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F0DC3" w14:textId="77777777" w:rsidR="00C53640" w:rsidRPr="00C53640" w:rsidRDefault="00C53640" w:rsidP="00C53640">
      <w:pPr>
        <w:widowControl w:val="0"/>
        <w:pBdr>
          <w:top w:val="single" w:sz="4" w:space="1" w:color="auto"/>
          <w:left w:val="single" w:sz="4" w:space="4" w:color="auto"/>
          <w:bottom w:val="single" w:sz="4" w:space="1" w:color="auto"/>
          <w:right w:val="single" w:sz="4" w:space="4" w:color="auto"/>
        </w:pBdr>
        <w:rPr>
          <w:rFonts w:asciiTheme="majorBidi" w:hAnsiTheme="majorBidi" w:cstheme="majorBidi"/>
          <w:sz w:val="22"/>
          <w:szCs w:val="22"/>
          <w:lang w:val="pl-PL"/>
        </w:rPr>
      </w:pPr>
      <w:r w:rsidRPr="00C53640">
        <w:rPr>
          <w:rFonts w:asciiTheme="majorBidi" w:hAnsiTheme="majorBidi" w:cstheme="majorBidi"/>
          <w:sz w:val="22"/>
          <w:szCs w:val="22"/>
          <w:lang w:val="pl-PL"/>
        </w:rPr>
        <w:t>Niniejszy dokument to zatwierdzone druki informacyjne produktu leczniczego MicardisPlus z wyróżnionymi zmianami wprowadzonymi od czasu poprzedniej procedury, mającymi wpływ na druki informacyjne (EMA/VR/0000252853).</w:t>
      </w:r>
    </w:p>
    <w:p w14:paraId="453FAFA8" w14:textId="77777777" w:rsidR="00C53640" w:rsidRPr="00C53640" w:rsidRDefault="00C53640" w:rsidP="00C53640">
      <w:pPr>
        <w:widowControl w:val="0"/>
        <w:pBdr>
          <w:top w:val="single" w:sz="4" w:space="1" w:color="auto"/>
          <w:left w:val="single" w:sz="4" w:space="4" w:color="auto"/>
          <w:bottom w:val="single" w:sz="4" w:space="1" w:color="auto"/>
          <w:right w:val="single" w:sz="4" w:space="4" w:color="auto"/>
        </w:pBdr>
        <w:rPr>
          <w:rFonts w:asciiTheme="majorBidi" w:hAnsiTheme="majorBidi" w:cstheme="majorBidi"/>
          <w:sz w:val="22"/>
          <w:szCs w:val="22"/>
          <w:lang w:val="pl-PL"/>
        </w:rPr>
      </w:pPr>
    </w:p>
    <w:p w14:paraId="5A6D06C4" w14:textId="37429440" w:rsidR="00172054" w:rsidRPr="00C53640" w:rsidRDefault="00C53640" w:rsidP="00C53640">
      <w:pPr>
        <w:pStyle w:val="BodyText"/>
        <w:pBdr>
          <w:top w:val="single" w:sz="4" w:space="1" w:color="auto"/>
          <w:left w:val="single" w:sz="4" w:space="4" w:color="auto"/>
          <w:bottom w:val="single" w:sz="4" w:space="1" w:color="auto"/>
          <w:right w:val="single" w:sz="4" w:space="4" w:color="auto"/>
        </w:pBdr>
        <w:spacing w:line="240" w:lineRule="auto"/>
        <w:jc w:val="left"/>
        <w:rPr>
          <w:sz w:val="22"/>
          <w:szCs w:val="22"/>
          <w:lang w:val="pl-PL"/>
        </w:rPr>
      </w:pPr>
      <w:r w:rsidRPr="00C53640">
        <w:rPr>
          <w:rFonts w:asciiTheme="majorBidi" w:hAnsiTheme="majorBidi" w:cstheme="majorBidi"/>
          <w:sz w:val="22"/>
          <w:szCs w:val="22"/>
        </w:rPr>
        <w:t xml:space="preserve">Więcej informacji znajduje się na stronie internetowej Europejskiej Agencji Leków: </w:t>
      </w:r>
      <w:r>
        <w:fldChar w:fldCharType="begin"/>
      </w:r>
      <w:r>
        <w:instrText>HYPERLINK "https://www.ema.europa.eu/en/medicines/human/epar/MicardisPlus"</w:instrText>
      </w:r>
      <w:r>
        <w:fldChar w:fldCharType="separate"/>
      </w:r>
      <w:r w:rsidRPr="00C53640">
        <w:rPr>
          <w:rStyle w:val="Hyperlink"/>
          <w:rFonts w:asciiTheme="majorBidi" w:hAnsiTheme="majorBidi" w:cstheme="majorBidi"/>
          <w:sz w:val="22"/>
          <w:szCs w:val="22"/>
        </w:rPr>
        <w:t>https://www.ema.europa.eu/en/medicines/human/</w:t>
      </w:r>
      <w:r w:rsidRPr="00C53640">
        <w:rPr>
          <w:rStyle w:val="Hyperlink"/>
          <w:rFonts w:asciiTheme="majorBidi" w:hAnsiTheme="majorBidi" w:cstheme="majorBidi"/>
          <w:sz w:val="22"/>
          <w:szCs w:val="22"/>
          <w:lang w:val="pl-PL"/>
        </w:rPr>
        <w:t>EPAR</w:t>
      </w:r>
      <w:r w:rsidRPr="00C53640">
        <w:rPr>
          <w:rStyle w:val="Hyperlink"/>
          <w:rFonts w:asciiTheme="majorBidi" w:hAnsiTheme="majorBidi" w:cstheme="majorBidi"/>
          <w:sz w:val="22"/>
          <w:szCs w:val="22"/>
        </w:rPr>
        <w:t>/MicardisPlus</w:t>
      </w:r>
      <w:r>
        <w:fldChar w:fldCharType="end"/>
      </w:r>
    </w:p>
    <w:p w14:paraId="08B962BD" w14:textId="77777777" w:rsidR="000016E2" w:rsidRPr="00BD22FE" w:rsidRDefault="000016E2" w:rsidP="00941FBF">
      <w:pPr>
        <w:pStyle w:val="BodyText"/>
        <w:spacing w:line="240" w:lineRule="auto"/>
        <w:jc w:val="center"/>
        <w:rPr>
          <w:sz w:val="22"/>
          <w:szCs w:val="22"/>
          <w:lang w:val="pl-PL"/>
        </w:rPr>
      </w:pPr>
    </w:p>
    <w:p w14:paraId="4B0DA78E" w14:textId="77777777" w:rsidR="000016E2" w:rsidRPr="00BD22FE" w:rsidRDefault="000016E2" w:rsidP="00941FBF">
      <w:pPr>
        <w:pStyle w:val="BodyText"/>
        <w:spacing w:line="240" w:lineRule="auto"/>
        <w:jc w:val="center"/>
        <w:rPr>
          <w:sz w:val="22"/>
          <w:szCs w:val="22"/>
          <w:lang w:val="pl-PL"/>
        </w:rPr>
      </w:pPr>
    </w:p>
    <w:p w14:paraId="65E1C395" w14:textId="77777777" w:rsidR="000016E2" w:rsidRPr="00BD22FE" w:rsidRDefault="000016E2" w:rsidP="00941FBF">
      <w:pPr>
        <w:pStyle w:val="BodyText"/>
        <w:spacing w:line="240" w:lineRule="auto"/>
        <w:jc w:val="center"/>
        <w:rPr>
          <w:sz w:val="22"/>
          <w:szCs w:val="22"/>
          <w:lang w:val="pl-PL"/>
        </w:rPr>
      </w:pPr>
    </w:p>
    <w:p w14:paraId="21191288" w14:textId="77777777" w:rsidR="000016E2" w:rsidRPr="00BD22FE" w:rsidRDefault="000016E2" w:rsidP="00941FBF">
      <w:pPr>
        <w:pStyle w:val="BodyText"/>
        <w:spacing w:line="240" w:lineRule="auto"/>
        <w:jc w:val="center"/>
        <w:rPr>
          <w:sz w:val="22"/>
          <w:szCs w:val="22"/>
          <w:lang w:val="pl-PL"/>
        </w:rPr>
      </w:pPr>
    </w:p>
    <w:p w14:paraId="6A08FCA9" w14:textId="77777777" w:rsidR="000016E2" w:rsidRPr="00BD22FE" w:rsidRDefault="000016E2" w:rsidP="00941FBF">
      <w:pPr>
        <w:pStyle w:val="BodyText"/>
        <w:spacing w:line="240" w:lineRule="auto"/>
        <w:jc w:val="center"/>
        <w:rPr>
          <w:sz w:val="22"/>
          <w:szCs w:val="22"/>
          <w:lang w:val="pl-PL"/>
        </w:rPr>
      </w:pPr>
    </w:p>
    <w:p w14:paraId="75D1E06B" w14:textId="77777777" w:rsidR="000016E2" w:rsidRPr="00BD22FE" w:rsidRDefault="000016E2" w:rsidP="00941FBF">
      <w:pPr>
        <w:pStyle w:val="BodyText"/>
        <w:spacing w:line="240" w:lineRule="auto"/>
        <w:jc w:val="center"/>
        <w:rPr>
          <w:sz w:val="22"/>
          <w:szCs w:val="22"/>
          <w:lang w:val="pl-PL"/>
        </w:rPr>
      </w:pPr>
    </w:p>
    <w:p w14:paraId="0F9B60D6" w14:textId="77777777" w:rsidR="000016E2" w:rsidRPr="00BD22FE" w:rsidRDefault="000016E2" w:rsidP="00941FBF">
      <w:pPr>
        <w:pStyle w:val="BodyText"/>
        <w:spacing w:line="240" w:lineRule="auto"/>
        <w:jc w:val="center"/>
        <w:rPr>
          <w:sz w:val="22"/>
          <w:szCs w:val="22"/>
          <w:lang w:val="pl-PL"/>
        </w:rPr>
      </w:pPr>
    </w:p>
    <w:p w14:paraId="56DE9DE0" w14:textId="77777777" w:rsidR="000016E2" w:rsidRPr="00BD22FE" w:rsidRDefault="000016E2" w:rsidP="00941FBF">
      <w:pPr>
        <w:pStyle w:val="BodyText"/>
        <w:spacing w:line="240" w:lineRule="auto"/>
        <w:jc w:val="center"/>
        <w:rPr>
          <w:sz w:val="22"/>
          <w:szCs w:val="22"/>
          <w:lang w:val="pl-PL"/>
        </w:rPr>
      </w:pPr>
    </w:p>
    <w:p w14:paraId="355B73B1" w14:textId="77777777" w:rsidR="000016E2" w:rsidRPr="00BD22FE" w:rsidRDefault="000016E2" w:rsidP="00941FBF">
      <w:pPr>
        <w:pStyle w:val="BodyText"/>
        <w:spacing w:line="240" w:lineRule="auto"/>
        <w:jc w:val="center"/>
        <w:rPr>
          <w:sz w:val="22"/>
          <w:szCs w:val="22"/>
          <w:lang w:val="pl-PL"/>
        </w:rPr>
      </w:pPr>
    </w:p>
    <w:p w14:paraId="10721490" w14:textId="77777777" w:rsidR="000016E2" w:rsidRPr="00BD22FE" w:rsidRDefault="000016E2" w:rsidP="00941FBF">
      <w:pPr>
        <w:pStyle w:val="BodyText"/>
        <w:spacing w:line="240" w:lineRule="auto"/>
        <w:jc w:val="center"/>
        <w:rPr>
          <w:sz w:val="22"/>
          <w:szCs w:val="22"/>
          <w:lang w:val="pl-PL"/>
        </w:rPr>
      </w:pPr>
    </w:p>
    <w:p w14:paraId="038B81D4" w14:textId="77777777" w:rsidR="000016E2" w:rsidRPr="00BD22FE" w:rsidRDefault="000016E2" w:rsidP="00941FBF">
      <w:pPr>
        <w:pStyle w:val="BodyText"/>
        <w:spacing w:line="240" w:lineRule="auto"/>
        <w:jc w:val="center"/>
        <w:rPr>
          <w:sz w:val="22"/>
          <w:szCs w:val="22"/>
          <w:lang w:val="pl-PL"/>
        </w:rPr>
      </w:pPr>
    </w:p>
    <w:p w14:paraId="1A004742" w14:textId="77777777" w:rsidR="000016E2" w:rsidRPr="00BD22FE" w:rsidRDefault="000016E2" w:rsidP="00941FBF">
      <w:pPr>
        <w:pStyle w:val="BodyText"/>
        <w:spacing w:line="240" w:lineRule="auto"/>
        <w:jc w:val="center"/>
        <w:rPr>
          <w:sz w:val="22"/>
          <w:szCs w:val="22"/>
          <w:lang w:val="pl-PL"/>
        </w:rPr>
      </w:pPr>
    </w:p>
    <w:p w14:paraId="17BA6D05" w14:textId="77777777" w:rsidR="000016E2" w:rsidRPr="00BD22FE" w:rsidRDefault="000016E2" w:rsidP="00941FBF">
      <w:pPr>
        <w:pStyle w:val="BodyText"/>
        <w:spacing w:line="240" w:lineRule="auto"/>
        <w:jc w:val="center"/>
        <w:rPr>
          <w:sz w:val="22"/>
          <w:szCs w:val="22"/>
          <w:lang w:val="pl-PL"/>
        </w:rPr>
      </w:pPr>
    </w:p>
    <w:p w14:paraId="65F51B93" w14:textId="77777777" w:rsidR="000016E2" w:rsidRPr="00BD22FE" w:rsidRDefault="000016E2" w:rsidP="00941FBF">
      <w:pPr>
        <w:pStyle w:val="BodyText"/>
        <w:spacing w:line="240" w:lineRule="auto"/>
        <w:jc w:val="center"/>
        <w:rPr>
          <w:sz w:val="22"/>
          <w:szCs w:val="22"/>
          <w:lang w:val="pl-PL"/>
        </w:rPr>
      </w:pPr>
    </w:p>
    <w:p w14:paraId="072FD08A" w14:textId="77777777" w:rsidR="000016E2" w:rsidRPr="00BD22FE" w:rsidRDefault="000016E2" w:rsidP="00941FBF">
      <w:pPr>
        <w:pStyle w:val="BodyText"/>
        <w:spacing w:line="240" w:lineRule="auto"/>
        <w:jc w:val="center"/>
        <w:rPr>
          <w:sz w:val="22"/>
          <w:szCs w:val="22"/>
          <w:lang w:val="pl-PL"/>
        </w:rPr>
      </w:pPr>
    </w:p>
    <w:p w14:paraId="505FF475" w14:textId="77777777" w:rsidR="000016E2" w:rsidRPr="00BD22FE" w:rsidRDefault="000016E2" w:rsidP="00941FBF">
      <w:pPr>
        <w:pStyle w:val="BodyText"/>
        <w:spacing w:line="240" w:lineRule="auto"/>
        <w:jc w:val="center"/>
        <w:rPr>
          <w:sz w:val="22"/>
          <w:szCs w:val="22"/>
          <w:lang w:val="pl-PL"/>
        </w:rPr>
      </w:pPr>
    </w:p>
    <w:p w14:paraId="0C31FA6F" w14:textId="77777777" w:rsidR="000016E2" w:rsidRPr="00BD22FE" w:rsidRDefault="000016E2" w:rsidP="00941FBF">
      <w:pPr>
        <w:pStyle w:val="BodyText"/>
        <w:spacing w:line="240" w:lineRule="auto"/>
        <w:jc w:val="center"/>
        <w:rPr>
          <w:sz w:val="22"/>
          <w:szCs w:val="22"/>
          <w:lang w:val="pl-PL"/>
        </w:rPr>
      </w:pPr>
    </w:p>
    <w:p w14:paraId="74612433" w14:textId="77777777" w:rsidR="000016E2" w:rsidRPr="00BD22FE" w:rsidRDefault="000016E2" w:rsidP="00941FBF">
      <w:pPr>
        <w:pStyle w:val="BodyText"/>
        <w:spacing w:line="240" w:lineRule="auto"/>
        <w:jc w:val="center"/>
        <w:rPr>
          <w:sz w:val="22"/>
          <w:szCs w:val="22"/>
          <w:lang w:val="pl-PL"/>
        </w:rPr>
      </w:pPr>
    </w:p>
    <w:p w14:paraId="4DB6BB5A" w14:textId="77777777" w:rsidR="000016E2" w:rsidRPr="00BD22FE" w:rsidRDefault="00104CA8" w:rsidP="00941FBF">
      <w:pPr>
        <w:pStyle w:val="BodyText"/>
        <w:spacing w:line="240" w:lineRule="auto"/>
        <w:jc w:val="center"/>
        <w:rPr>
          <w:b/>
          <w:sz w:val="22"/>
          <w:szCs w:val="22"/>
          <w:lang w:val="pl-PL"/>
        </w:rPr>
      </w:pPr>
      <w:r w:rsidRPr="00BD22FE">
        <w:rPr>
          <w:b/>
          <w:sz w:val="22"/>
          <w:szCs w:val="22"/>
          <w:lang w:val="pl-PL"/>
        </w:rPr>
        <w:t>ANEKS I</w:t>
      </w:r>
    </w:p>
    <w:p w14:paraId="763E4B3A" w14:textId="77777777" w:rsidR="000016E2" w:rsidRPr="00BD22FE" w:rsidRDefault="000016E2" w:rsidP="00941FBF">
      <w:pPr>
        <w:pStyle w:val="BodyText"/>
        <w:spacing w:line="240" w:lineRule="auto"/>
        <w:jc w:val="center"/>
        <w:rPr>
          <w:sz w:val="22"/>
          <w:szCs w:val="22"/>
          <w:lang w:val="pl-PL"/>
        </w:rPr>
      </w:pPr>
    </w:p>
    <w:p w14:paraId="4ED8E09D" w14:textId="114838C5" w:rsidR="000016E2" w:rsidRPr="00BD22FE" w:rsidRDefault="00104CA8" w:rsidP="00941FBF">
      <w:pPr>
        <w:pStyle w:val="QRD1"/>
        <w:rPr>
          <w:lang w:val="pl-PL"/>
        </w:rPr>
      </w:pPr>
      <w:r w:rsidRPr="00BD22FE">
        <w:rPr>
          <w:lang w:val="pl-PL"/>
        </w:rPr>
        <w:t>CHARAKTERYSTYKA PRODUKTU LECZNICZEGO</w:t>
      </w:r>
      <w:r w:rsidR="00C15F79" w:rsidRPr="00BD22FE">
        <w:rPr>
          <w:lang w:val="pl-PL"/>
        </w:rPr>
        <w:fldChar w:fldCharType="begin"/>
      </w:r>
      <w:r w:rsidR="00C15F79" w:rsidRPr="00BD22FE">
        <w:rPr>
          <w:lang w:val="pl-PL"/>
        </w:rPr>
        <w:instrText xml:space="preserve"> DOCVARIABLE VAULT_ND_2b4f1ca4-2fbf-4b54-88dd-3f9aa896ab40 \* MERGEFORMAT </w:instrText>
      </w:r>
      <w:r w:rsidR="00C15F79" w:rsidRPr="00BD22FE">
        <w:rPr>
          <w:lang w:val="pl-PL"/>
        </w:rPr>
        <w:fldChar w:fldCharType="separate"/>
      </w:r>
      <w:r w:rsidR="00C15F79" w:rsidRPr="00BD22FE">
        <w:rPr>
          <w:lang w:val="pl-PL"/>
        </w:rPr>
        <w:t xml:space="preserve"> </w:t>
      </w:r>
      <w:r w:rsidR="00C15F79" w:rsidRPr="00BD22FE">
        <w:rPr>
          <w:lang w:val="pl-PL"/>
        </w:rPr>
        <w:fldChar w:fldCharType="end"/>
      </w:r>
    </w:p>
    <w:p w14:paraId="712DBA47" w14:textId="77777777" w:rsidR="000016E2" w:rsidRPr="00BD22FE" w:rsidRDefault="00104CA8" w:rsidP="00A610E1">
      <w:pPr>
        <w:pStyle w:val="BodyText"/>
        <w:keepNext/>
        <w:spacing w:line="240" w:lineRule="auto"/>
        <w:ind w:left="567" w:hanging="567"/>
        <w:jc w:val="left"/>
        <w:rPr>
          <w:b/>
          <w:sz w:val="22"/>
          <w:szCs w:val="22"/>
          <w:lang w:val="pl-PL"/>
        </w:rPr>
      </w:pPr>
      <w:r w:rsidRPr="00BD22FE">
        <w:rPr>
          <w:b/>
          <w:sz w:val="22"/>
          <w:szCs w:val="22"/>
          <w:lang w:val="pl-PL"/>
        </w:rPr>
        <w:br w:type="page"/>
      </w:r>
      <w:r w:rsidRPr="00BD22FE">
        <w:rPr>
          <w:b/>
          <w:sz w:val="22"/>
          <w:szCs w:val="22"/>
          <w:lang w:val="pl-PL"/>
        </w:rPr>
        <w:lastRenderedPageBreak/>
        <w:t>1.</w:t>
      </w:r>
      <w:r w:rsidRPr="00BD22FE">
        <w:rPr>
          <w:b/>
          <w:sz w:val="22"/>
          <w:szCs w:val="22"/>
          <w:lang w:val="pl-PL"/>
        </w:rPr>
        <w:tab/>
        <w:t>NAZWA PRODUKTU LECZNICZEGO</w:t>
      </w:r>
    </w:p>
    <w:p w14:paraId="02502E6E" w14:textId="77777777" w:rsidR="000016E2" w:rsidRPr="00BD22FE" w:rsidRDefault="000016E2" w:rsidP="00A610E1">
      <w:pPr>
        <w:pStyle w:val="BodyText"/>
        <w:keepNext/>
        <w:spacing w:line="240" w:lineRule="auto"/>
        <w:jc w:val="left"/>
        <w:rPr>
          <w:sz w:val="22"/>
          <w:szCs w:val="22"/>
          <w:lang w:val="pl-PL"/>
        </w:rPr>
      </w:pPr>
    </w:p>
    <w:p w14:paraId="5911F685" w14:textId="77777777" w:rsidR="000016E2" w:rsidRPr="00DE4C52" w:rsidRDefault="00104CA8" w:rsidP="00A610E1">
      <w:pPr>
        <w:pStyle w:val="BodyText"/>
        <w:spacing w:line="240" w:lineRule="auto"/>
        <w:jc w:val="left"/>
        <w:rPr>
          <w:sz w:val="22"/>
          <w:szCs w:val="22"/>
          <w:lang w:val="en-US"/>
        </w:rPr>
      </w:pPr>
      <w:r w:rsidRPr="00DE4C52">
        <w:rPr>
          <w:sz w:val="22"/>
          <w:szCs w:val="22"/>
          <w:lang w:val="en-US"/>
        </w:rPr>
        <w:t>MicardisPlus 40 mg/12,5 mg tabletki</w:t>
      </w:r>
    </w:p>
    <w:p w14:paraId="212B2DE1" w14:textId="77777777" w:rsidR="000016E2" w:rsidRPr="00DE4C52" w:rsidRDefault="00104CA8" w:rsidP="00A610E1">
      <w:pPr>
        <w:pStyle w:val="BodyText"/>
        <w:spacing w:line="240" w:lineRule="auto"/>
        <w:jc w:val="left"/>
        <w:rPr>
          <w:sz w:val="22"/>
          <w:szCs w:val="22"/>
          <w:lang w:val="en-US"/>
        </w:rPr>
      </w:pPr>
      <w:r w:rsidRPr="00DE4C52">
        <w:rPr>
          <w:sz w:val="22"/>
          <w:szCs w:val="22"/>
          <w:lang w:val="en-US"/>
        </w:rPr>
        <w:t>MicardisPlus 80 mg/12,5 mg tabletki</w:t>
      </w:r>
    </w:p>
    <w:p w14:paraId="108BC7E4" w14:textId="77777777" w:rsidR="000016E2" w:rsidRPr="00DE4C52" w:rsidRDefault="000016E2" w:rsidP="00A610E1">
      <w:pPr>
        <w:pStyle w:val="BodyText"/>
        <w:spacing w:line="240" w:lineRule="auto"/>
        <w:jc w:val="left"/>
        <w:rPr>
          <w:sz w:val="22"/>
          <w:szCs w:val="22"/>
          <w:lang w:val="en-US"/>
        </w:rPr>
      </w:pPr>
    </w:p>
    <w:p w14:paraId="5D801D50" w14:textId="77777777" w:rsidR="000016E2" w:rsidRPr="00DE4C52" w:rsidRDefault="000016E2" w:rsidP="00A610E1">
      <w:pPr>
        <w:pStyle w:val="BodyText"/>
        <w:spacing w:line="240" w:lineRule="auto"/>
        <w:jc w:val="left"/>
        <w:rPr>
          <w:sz w:val="22"/>
          <w:szCs w:val="22"/>
          <w:lang w:val="en-US"/>
        </w:rPr>
      </w:pPr>
    </w:p>
    <w:p w14:paraId="16F17BB4" w14:textId="69B4FBE5" w:rsidR="000016E2" w:rsidRPr="00BD22FE" w:rsidRDefault="00104CA8" w:rsidP="00A610E1">
      <w:pPr>
        <w:pStyle w:val="BodyText"/>
        <w:keepNext/>
        <w:spacing w:line="240" w:lineRule="auto"/>
        <w:ind w:left="567" w:hanging="567"/>
        <w:jc w:val="left"/>
        <w:rPr>
          <w:b/>
          <w:sz w:val="22"/>
          <w:szCs w:val="22"/>
          <w:lang w:val="pl-PL"/>
        </w:rPr>
      </w:pPr>
      <w:r w:rsidRPr="00BD22FE">
        <w:rPr>
          <w:b/>
          <w:sz w:val="22"/>
          <w:szCs w:val="22"/>
          <w:lang w:val="pl-PL"/>
        </w:rPr>
        <w:t>2.</w:t>
      </w:r>
      <w:r w:rsidRPr="00BD22FE">
        <w:rPr>
          <w:b/>
          <w:sz w:val="22"/>
          <w:szCs w:val="22"/>
          <w:lang w:val="pl-PL"/>
        </w:rPr>
        <w:tab/>
        <w:t>SKŁAD JAKOŚCIOWY I</w:t>
      </w:r>
      <w:r w:rsidR="00717A7B" w:rsidRPr="00BD22FE">
        <w:rPr>
          <w:b/>
          <w:sz w:val="22"/>
          <w:szCs w:val="22"/>
          <w:lang w:val="pl-PL"/>
        </w:rPr>
        <w:t> </w:t>
      </w:r>
      <w:r w:rsidRPr="00BD22FE">
        <w:rPr>
          <w:b/>
          <w:sz w:val="22"/>
          <w:szCs w:val="22"/>
          <w:lang w:val="pl-PL"/>
        </w:rPr>
        <w:t>ILOŚCIOWY</w:t>
      </w:r>
    </w:p>
    <w:p w14:paraId="4923629C" w14:textId="77777777" w:rsidR="000016E2" w:rsidRPr="00BD22FE" w:rsidRDefault="000016E2" w:rsidP="00A610E1">
      <w:pPr>
        <w:pStyle w:val="BodyText"/>
        <w:keepNext/>
        <w:spacing w:line="240" w:lineRule="auto"/>
        <w:jc w:val="left"/>
        <w:rPr>
          <w:sz w:val="22"/>
          <w:szCs w:val="22"/>
          <w:lang w:val="pl-PL"/>
        </w:rPr>
      </w:pPr>
    </w:p>
    <w:p w14:paraId="6D8AD9AE" w14:textId="77777777" w:rsidR="000016E2" w:rsidRPr="00BD22FE" w:rsidRDefault="00104CA8" w:rsidP="00A610E1">
      <w:pPr>
        <w:pStyle w:val="BodyText"/>
        <w:keepNext/>
        <w:spacing w:line="240" w:lineRule="auto"/>
        <w:jc w:val="left"/>
        <w:rPr>
          <w:sz w:val="22"/>
          <w:szCs w:val="22"/>
          <w:u w:val="single"/>
          <w:lang w:val="pl-PL"/>
        </w:rPr>
      </w:pPr>
      <w:r w:rsidRPr="00BD22FE">
        <w:rPr>
          <w:sz w:val="22"/>
          <w:szCs w:val="22"/>
          <w:u w:val="single"/>
          <w:lang w:val="pl-PL"/>
        </w:rPr>
        <w:t>MicardisPlus 40 mg/12,5 mg tabletki</w:t>
      </w:r>
    </w:p>
    <w:p w14:paraId="02CDCE58" w14:textId="62169BBC" w:rsidR="000016E2" w:rsidRPr="00BD22FE" w:rsidRDefault="00104CA8" w:rsidP="00A610E1">
      <w:pPr>
        <w:pStyle w:val="BodyText"/>
        <w:spacing w:line="240" w:lineRule="auto"/>
        <w:jc w:val="left"/>
        <w:rPr>
          <w:sz w:val="22"/>
          <w:szCs w:val="22"/>
          <w:lang w:val="pl-PL"/>
        </w:rPr>
      </w:pPr>
      <w:r w:rsidRPr="00BD22FE">
        <w:rPr>
          <w:sz w:val="22"/>
          <w:szCs w:val="22"/>
          <w:lang w:val="pl-PL"/>
        </w:rPr>
        <w:t>Każda tabletka zawiera 40 mg telmisartanu i</w:t>
      </w:r>
      <w:r w:rsidR="00717A7B" w:rsidRPr="00BD22FE">
        <w:rPr>
          <w:sz w:val="22"/>
          <w:szCs w:val="22"/>
          <w:lang w:val="pl-PL"/>
        </w:rPr>
        <w:t> </w:t>
      </w:r>
      <w:r w:rsidRPr="00BD22FE">
        <w:rPr>
          <w:sz w:val="22"/>
          <w:szCs w:val="22"/>
          <w:lang w:val="pl-PL"/>
        </w:rPr>
        <w:t>12,5 mg hydrochlorotiazydu.</w:t>
      </w:r>
    </w:p>
    <w:p w14:paraId="2C71A943" w14:textId="77777777" w:rsidR="000016E2" w:rsidRPr="00BD22FE" w:rsidRDefault="000016E2" w:rsidP="00A610E1">
      <w:pPr>
        <w:pStyle w:val="BodyText"/>
        <w:spacing w:line="240" w:lineRule="auto"/>
        <w:jc w:val="left"/>
        <w:rPr>
          <w:sz w:val="22"/>
          <w:szCs w:val="22"/>
          <w:lang w:val="pl-PL"/>
        </w:rPr>
      </w:pPr>
    </w:p>
    <w:p w14:paraId="1F773806" w14:textId="77777777" w:rsidR="000016E2" w:rsidRPr="00BD22FE" w:rsidRDefault="00104CA8" w:rsidP="00A610E1">
      <w:pPr>
        <w:pStyle w:val="BodyText"/>
        <w:keepNext/>
        <w:spacing w:line="240" w:lineRule="auto"/>
        <w:jc w:val="left"/>
        <w:rPr>
          <w:sz w:val="22"/>
          <w:szCs w:val="22"/>
          <w:u w:val="single"/>
          <w:lang w:val="pl-PL"/>
        </w:rPr>
      </w:pPr>
      <w:r w:rsidRPr="00BD22FE">
        <w:rPr>
          <w:sz w:val="22"/>
          <w:szCs w:val="22"/>
          <w:u w:val="single"/>
          <w:lang w:val="pl-PL"/>
        </w:rPr>
        <w:t>MicardisPlus 80 mg/12,5 mg tabletki</w:t>
      </w:r>
    </w:p>
    <w:p w14:paraId="3BAD1001" w14:textId="69AFCA03" w:rsidR="000016E2" w:rsidRPr="00BD22FE" w:rsidRDefault="00104CA8" w:rsidP="00A610E1">
      <w:pPr>
        <w:pStyle w:val="BodyText"/>
        <w:spacing w:line="240" w:lineRule="auto"/>
        <w:jc w:val="left"/>
        <w:rPr>
          <w:sz w:val="22"/>
          <w:szCs w:val="22"/>
          <w:lang w:val="pl-PL"/>
        </w:rPr>
      </w:pPr>
      <w:r w:rsidRPr="00BD22FE">
        <w:rPr>
          <w:sz w:val="22"/>
          <w:szCs w:val="22"/>
          <w:lang w:val="pl-PL"/>
        </w:rPr>
        <w:t>Każda tabletka zawiera 80 mg telmisartanu i</w:t>
      </w:r>
      <w:r w:rsidR="00717A7B" w:rsidRPr="00BD22FE">
        <w:rPr>
          <w:sz w:val="22"/>
          <w:szCs w:val="22"/>
          <w:lang w:val="pl-PL"/>
        </w:rPr>
        <w:t> </w:t>
      </w:r>
      <w:r w:rsidRPr="00BD22FE">
        <w:rPr>
          <w:sz w:val="22"/>
          <w:szCs w:val="22"/>
          <w:lang w:val="pl-PL"/>
        </w:rPr>
        <w:t>12,5 mg hydrochlorotiazydu.</w:t>
      </w:r>
    </w:p>
    <w:p w14:paraId="794BB753" w14:textId="77777777" w:rsidR="000016E2" w:rsidRPr="00BD22FE" w:rsidRDefault="000016E2" w:rsidP="00A610E1">
      <w:pPr>
        <w:pStyle w:val="BodyText"/>
        <w:spacing w:line="240" w:lineRule="auto"/>
        <w:jc w:val="left"/>
        <w:rPr>
          <w:sz w:val="22"/>
          <w:szCs w:val="22"/>
          <w:lang w:val="pl-PL"/>
        </w:rPr>
      </w:pPr>
    </w:p>
    <w:p w14:paraId="68C4D77F" w14:textId="666E18D7" w:rsidR="000016E2" w:rsidRPr="00BD22FE" w:rsidRDefault="00104CA8" w:rsidP="00A610E1">
      <w:pPr>
        <w:pStyle w:val="BodyText"/>
        <w:keepNext/>
        <w:spacing w:line="240" w:lineRule="auto"/>
        <w:jc w:val="left"/>
        <w:rPr>
          <w:sz w:val="22"/>
          <w:szCs w:val="22"/>
          <w:u w:val="single"/>
          <w:lang w:val="pl-PL"/>
        </w:rPr>
      </w:pPr>
      <w:r w:rsidRPr="00BD22FE">
        <w:rPr>
          <w:sz w:val="22"/>
          <w:szCs w:val="22"/>
          <w:u w:val="single"/>
          <w:lang w:val="pl-PL"/>
        </w:rPr>
        <w:t>Substancje pomocnicze o</w:t>
      </w:r>
      <w:r w:rsidR="00717A7B" w:rsidRPr="00BD22FE">
        <w:rPr>
          <w:sz w:val="22"/>
          <w:szCs w:val="22"/>
          <w:u w:val="single"/>
          <w:lang w:val="pl-PL"/>
        </w:rPr>
        <w:t> </w:t>
      </w:r>
      <w:r w:rsidRPr="00BD22FE">
        <w:rPr>
          <w:sz w:val="22"/>
          <w:szCs w:val="22"/>
          <w:u w:val="single"/>
          <w:lang w:val="pl-PL"/>
        </w:rPr>
        <w:t>znanym działaniu</w:t>
      </w:r>
    </w:p>
    <w:p w14:paraId="628C1626" w14:textId="77777777" w:rsidR="000016E2" w:rsidRPr="00BD22FE" w:rsidRDefault="000016E2" w:rsidP="00A610E1">
      <w:pPr>
        <w:pStyle w:val="BodyText"/>
        <w:keepNext/>
        <w:spacing w:line="240" w:lineRule="auto"/>
        <w:jc w:val="left"/>
        <w:rPr>
          <w:sz w:val="22"/>
          <w:szCs w:val="22"/>
          <w:lang w:val="pl-PL"/>
        </w:rPr>
      </w:pPr>
    </w:p>
    <w:p w14:paraId="333AA90A" w14:textId="77777777" w:rsidR="000016E2" w:rsidRPr="00BD22FE" w:rsidRDefault="00104CA8" w:rsidP="00A610E1">
      <w:pPr>
        <w:pStyle w:val="BodyText"/>
        <w:keepNext/>
        <w:spacing w:line="240" w:lineRule="auto"/>
        <w:jc w:val="left"/>
        <w:rPr>
          <w:sz w:val="22"/>
          <w:szCs w:val="22"/>
          <w:u w:val="single"/>
          <w:lang w:val="pl-PL"/>
        </w:rPr>
      </w:pPr>
      <w:r w:rsidRPr="00BD22FE">
        <w:rPr>
          <w:sz w:val="22"/>
          <w:szCs w:val="22"/>
          <w:u w:val="single"/>
          <w:lang w:val="pl-PL"/>
        </w:rPr>
        <w:t>MicardisPlus 40 mg/12,5 mg tabletki</w:t>
      </w:r>
    </w:p>
    <w:p w14:paraId="6C73BA6C" w14:textId="77777777" w:rsidR="000016E2" w:rsidRPr="00BD22FE" w:rsidRDefault="00104CA8" w:rsidP="00A610E1">
      <w:pPr>
        <w:pStyle w:val="BodyText"/>
        <w:spacing w:line="240" w:lineRule="auto"/>
        <w:jc w:val="left"/>
        <w:rPr>
          <w:sz w:val="22"/>
          <w:szCs w:val="22"/>
          <w:lang w:val="pl-PL"/>
        </w:rPr>
      </w:pPr>
      <w:r w:rsidRPr="00BD22FE">
        <w:rPr>
          <w:sz w:val="22"/>
          <w:szCs w:val="22"/>
          <w:lang w:val="pl-PL"/>
        </w:rPr>
        <w:t>Każda tabletka zawiera 112 mg laktozy jednowodnej, co odpowiada 107 mg laktozy bezwodnej.</w:t>
      </w:r>
    </w:p>
    <w:p w14:paraId="2EC3C09D" w14:textId="77777777" w:rsidR="000016E2" w:rsidRPr="00BD22FE" w:rsidRDefault="00104CA8" w:rsidP="00A610E1">
      <w:pPr>
        <w:pStyle w:val="BodyText"/>
        <w:spacing w:line="240" w:lineRule="auto"/>
        <w:jc w:val="left"/>
        <w:rPr>
          <w:sz w:val="22"/>
          <w:szCs w:val="22"/>
          <w:lang w:val="pl-PL"/>
        </w:rPr>
      </w:pPr>
      <w:r w:rsidRPr="00BD22FE">
        <w:rPr>
          <w:sz w:val="22"/>
          <w:szCs w:val="22"/>
          <w:lang w:val="pl-PL"/>
        </w:rPr>
        <w:t>Każda tabletka zawiera 169 mg sorbitolu (E420).</w:t>
      </w:r>
    </w:p>
    <w:p w14:paraId="26C118C9" w14:textId="77777777" w:rsidR="000016E2" w:rsidRPr="00BD22FE" w:rsidRDefault="000016E2" w:rsidP="00A610E1">
      <w:pPr>
        <w:pStyle w:val="BodyText"/>
        <w:spacing w:line="240" w:lineRule="auto"/>
        <w:jc w:val="left"/>
        <w:rPr>
          <w:sz w:val="22"/>
          <w:szCs w:val="22"/>
          <w:lang w:val="pl-PL"/>
        </w:rPr>
      </w:pPr>
    </w:p>
    <w:p w14:paraId="58E09103" w14:textId="77777777" w:rsidR="000016E2" w:rsidRPr="00BD22FE" w:rsidRDefault="00104CA8" w:rsidP="00A610E1">
      <w:pPr>
        <w:pStyle w:val="BodyText"/>
        <w:keepNext/>
        <w:spacing w:line="240" w:lineRule="auto"/>
        <w:jc w:val="left"/>
        <w:rPr>
          <w:sz w:val="22"/>
          <w:szCs w:val="22"/>
          <w:u w:val="single"/>
          <w:lang w:val="pl-PL"/>
        </w:rPr>
      </w:pPr>
      <w:r w:rsidRPr="00BD22FE">
        <w:rPr>
          <w:sz w:val="22"/>
          <w:szCs w:val="22"/>
          <w:u w:val="single"/>
          <w:lang w:val="pl-PL"/>
        </w:rPr>
        <w:t>MicardisPlus 80 mg/12,5 mg tabletki</w:t>
      </w:r>
    </w:p>
    <w:p w14:paraId="3A28108F" w14:textId="77777777" w:rsidR="000016E2" w:rsidRPr="00BD22FE" w:rsidRDefault="00104CA8" w:rsidP="00A610E1">
      <w:pPr>
        <w:pStyle w:val="BodyText"/>
        <w:spacing w:line="240" w:lineRule="auto"/>
        <w:jc w:val="left"/>
        <w:rPr>
          <w:sz w:val="22"/>
          <w:szCs w:val="22"/>
          <w:lang w:val="pl-PL"/>
        </w:rPr>
      </w:pPr>
      <w:r w:rsidRPr="00BD22FE">
        <w:rPr>
          <w:sz w:val="22"/>
          <w:szCs w:val="22"/>
          <w:lang w:val="pl-PL"/>
        </w:rPr>
        <w:t>Każda tabletka zawiera 112 mg laktozy jednowodnej, co odpowiada 107 mg laktozy bezwodnej.</w:t>
      </w:r>
    </w:p>
    <w:p w14:paraId="2E100A14" w14:textId="77777777" w:rsidR="000016E2" w:rsidRPr="00BD22FE" w:rsidRDefault="00104CA8" w:rsidP="00A610E1">
      <w:pPr>
        <w:pStyle w:val="BodyText"/>
        <w:spacing w:line="240" w:lineRule="auto"/>
        <w:jc w:val="left"/>
        <w:rPr>
          <w:sz w:val="22"/>
          <w:szCs w:val="22"/>
          <w:lang w:val="pl-PL"/>
        </w:rPr>
      </w:pPr>
      <w:r w:rsidRPr="00BD22FE">
        <w:rPr>
          <w:sz w:val="22"/>
          <w:szCs w:val="22"/>
          <w:lang w:val="pl-PL"/>
        </w:rPr>
        <w:t>Każda tabletka zawiera 338 mg sorbitolu (E420).</w:t>
      </w:r>
    </w:p>
    <w:p w14:paraId="385F69B9" w14:textId="77777777" w:rsidR="000016E2" w:rsidRPr="00BD22FE" w:rsidRDefault="000016E2" w:rsidP="00A610E1">
      <w:pPr>
        <w:pStyle w:val="BodyText"/>
        <w:spacing w:line="240" w:lineRule="auto"/>
        <w:jc w:val="left"/>
        <w:rPr>
          <w:sz w:val="22"/>
          <w:szCs w:val="22"/>
          <w:lang w:val="pl-PL"/>
        </w:rPr>
      </w:pPr>
    </w:p>
    <w:p w14:paraId="3F67AA7C" w14:textId="77777777" w:rsidR="000016E2" w:rsidRPr="00BD22FE" w:rsidRDefault="00104CA8" w:rsidP="00A610E1">
      <w:pPr>
        <w:pStyle w:val="BodyText"/>
        <w:spacing w:line="240" w:lineRule="auto"/>
        <w:jc w:val="left"/>
        <w:rPr>
          <w:sz w:val="22"/>
          <w:szCs w:val="22"/>
          <w:lang w:val="pl-PL"/>
        </w:rPr>
      </w:pPr>
      <w:r w:rsidRPr="00BD22FE">
        <w:rPr>
          <w:sz w:val="22"/>
          <w:szCs w:val="22"/>
          <w:lang w:val="pl-PL"/>
        </w:rPr>
        <w:t>Pełny wykaz substancji pomocniczych, patrz punkt 6.1.</w:t>
      </w:r>
    </w:p>
    <w:p w14:paraId="07042D71" w14:textId="77777777" w:rsidR="000016E2" w:rsidRPr="00BD22FE" w:rsidRDefault="000016E2" w:rsidP="00A610E1">
      <w:pPr>
        <w:pStyle w:val="BodyText"/>
        <w:spacing w:line="240" w:lineRule="auto"/>
        <w:jc w:val="left"/>
        <w:rPr>
          <w:sz w:val="22"/>
          <w:szCs w:val="22"/>
          <w:lang w:val="pl-PL"/>
        </w:rPr>
      </w:pPr>
    </w:p>
    <w:p w14:paraId="46500C16" w14:textId="77777777" w:rsidR="000016E2" w:rsidRPr="00BD22FE" w:rsidRDefault="000016E2" w:rsidP="00A610E1">
      <w:pPr>
        <w:pStyle w:val="BodyText"/>
        <w:spacing w:line="240" w:lineRule="auto"/>
        <w:jc w:val="left"/>
        <w:rPr>
          <w:sz w:val="22"/>
          <w:szCs w:val="22"/>
          <w:lang w:val="pl-PL"/>
        </w:rPr>
      </w:pPr>
    </w:p>
    <w:p w14:paraId="07EC7F23" w14:textId="77777777" w:rsidR="000016E2" w:rsidRPr="00BD22FE" w:rsidRDefault="00104CA8" w:rsidP="00A610E1">
      <w:pPr>
        <w:pStyle w:val="BodyText"/>
        <w:keepNext/>
        <w:spacing w:line="240" w:lineRule="auto"/>
        <w:ind w:left="567" w:hanging="567"/>
        <w:jc w:val="left"/>
        <w:rPr>
          <w:b/>
          <w:sz w:val="22"/>
          <w:szCs w:val="22"/>
          <w:lang w:val="pl-PL"/>
        </w:rPr>
      </w:pPr>
      <w:r w:rsidRPr="00BD22FE">
        <w:rPr>
          <w:b/>
          <w:sz w:val="22"/>
          <w:szCs w:val="22"/>
          <w:lang w:val="pl-PL"/>
        </w:rPr>
        <w:t>3.</w:t>
      </w:r>
      <w:r w:rsidRPr="00BD22FE">
        <w:rPr>
          <w:b/>
          <w:sz w:val="22"/>
          <w:szCs w:val="22"/>
          <w:lang w:val="pl-PL"/>
        </w:rPr>
        <w:tab/>
        <w:t>POSTAĆ FARMACEUTYCZNA</w:t>
      </w:r>
    </w:p>
    <w:p w14:paraId="16D61EB6" w14:textId="77777777" w:rsidR="000016E2" w:rsidRPr="00BD22FE" w:rsidRDefault="000016E2" w:rsidP="00A610E1">
      <w:pPr>
        <w:pStyle w:val="BodyText"/>
        <w:keepNext/>
        <w:spacing w:line="240" w:lineRule="auto"/>
        <w:jc w:val="left"/>
        <w:rPr>
          <w:sz w:val="22"/>
          <w:szCs w:val="22"/>
          <w:lang w:val="pl-PL"/>
        </w:rPr>
      </w:pPr>
    </w:p>
    <w:p w14:paraId="2F64DA0D" w14:textId="77777777" w:rsidR="000016E2" w:rsidRPr="00BD22FE" w:rsidRDefault="00104CA8" w:rsidP="00A610E1">
      <w:pPr>
        <w:pStyle w:val="BodyText"/>
        <w:spacing w:line="240" w:lineRule="auto"/>
        <w:jc w:val="left"/>
        <w:rPr>
          <w:sz w:val="22"/>
          <w:szCs w:val="22"/>
          <w:lang w:val="pl-PL"/>
        </w:rPr>
      </w:pPr>
      <w:r w:rsidRPr="00BD22FE">
        <w:rPr>
          <w:sz w:val="22"/>
          <w:szCs w:val="22"/>
          <w:lang w:val="pl-PL"/>
        </w:rPr>
        <w:t>Tabletka.</w:t>
      </w:r>
    </w:p>
    <w:p w14:paraId="4B0DE576" w14:textId="77777777" w:rsidR="000016E2" w:rsidRPr="00BD22FE" w:rsidRDefault="000016E2" w:rsidP="00A610E1">
      <w:pPr>
        <w:pStyle w:val="BodyText"/>
        <w:spacing w:line="240" w:lineRule="auto"/>
        <w:jc w:val="left"/>
        <w:rPr>
          <w:sz w:val="22"/>
          <w:szCs w:val="22"/>
          <w:lang w:val="pl-PL"/>
        </w:rPr>
      </w:pPr>
    </w:p>
    <w:p w14:paraId="6F28B74E" w14:textId="77777777" w:rsidR="000016E2" w:rsidRPr="00BD22FE" w:rsidRDefault="00104CA8" w:rsidP="00A610E1">
      <w:pPr>
        <w:pStyle w:val="BodyText"/>
        <w:keepNext/>
        <w:spacing w:line="240" w:lineRule="auto"/>
        <w:jc w:val="left"/>
        <w:rPr>
          <w:sz w:val="22"/>
          <w:szCs w:val="22"/>
          <w:lang w:val="pl-PL"/>
        </w:rPr>
      </w:pPr>
      <w:r w:rsidRPr="00BD22FE">
        <w:rPr>
          <w:sz w:val="22"/>
          <w:szCs w:val="22"/>
          <w:u w:val="single"/>
          <w:lang w:val="pl-PL"/>
        </w:rPr>
        <w:t>MicardisPlus 40 mg/12,5 mg tabletki</w:t>
      </w:r>
    </w:p>
    <w:p w14:paraId="080D2A91" w14:textId="18BB72D5" w:rsidR="000016E2" w:rsidRPr="00BD22FE" w:rsidRDefault="00104CA8" w:rsidP="00A610E1">
      <w:pPr>
        <w:pStyle w:val="BodyText"/>
        <w:spacing w:line="240" w:lineRule="auto"/>
        <w:jc w:val="left"/>
        <w:rPr>
          <w:sz w:val="22"/>
          <w:szCs w:val="22"/>
          <w:lang w:val="pl-PL"/>
        </w:rPr>
      </w:pPr>
      <w:r w:rsidRPr="00BD22FE">
        <w:rPr>
          <w:sz w:val="22"/>
          <w:szCs w:val="22"/>
          <w:lang w:val="pl-PL"/>
        </w:rPr>
        <w:t>Czerwono-biała, podłużna tabletka dwuwarstwowa, długości 5,2 mm, z</w:t>
      </w:r>
      <w:r w:rsidR="00717A7B" w:rsidRPr="00BD22FE">
        <w:rPr>
          <w:sz w:val="22"/>
          <w:szCs w:val="22"/>
          <w:lang w:val="pl-PL"/>
        </w:rPr>
        <w:t> </w:t>
      </w:r>
      <w:r w:rsidRPr="00BD22FE">
        <w:rPr>
          <w:sz w:val="22"/>
          <w:szCs w:val="22"/>
          <w:lang w:val="pl-PL"/>
        </w:rPr>
        <w:t xml:space="preserve">wytłoczonym logo </w:t>
      </w:r>
      <w:r w:rsidR="00B213E4" w:rsidRPr="00BD22FE">
        <w:rPr>
          <w:sz w:val="22"/>
          <w:szCs w:val="22"/>
          <w:lang w:val="pl-PL"/>
        </w:rPr>
        <w:t xml:space="preserve">firmy </w:t>
      </w:r>
      <w:r w:rsidRPr="00BD22FE">
        <w:rPr>
          <w:sz w:val="22"/>
          <w:szCs w:val="22"/>
          <w:lang w:val="pl-PL"/>
        </w:rPr>
        <w:t>i</w:t>
      </w:r>
      <w:r w:rsidR="00717A7B" w:rsidRPr="00BD22FE">
        <w:rPr>
          <w:sz w:val="22"/>
          <w:szCs w:val="22"/>
          <w:lang w:val="pl-PL"/>
        </w:rPr>
        <w:t> </w:t>
      </w:r>
      <w:r w:rsidRPr="00BD22FE">
        <w:rPr>
          <w:sz w:val="22"/>
          <w:szCs w:val="22"/>
          <w:lang w:val="pl-PL"/>
        </w:rPr>
        <w:t>kodem „H4”.</w:t>
      </w:r>
    </w:p>
    <w:p w14:paraId="7C26C0A2" w14:textId="77777777" w:rsidR="000016E2" w:rsidRPr="00BD22FE" w:rsidRDefault="000016E2" w:rsidP="00A610E1">
      <w:pPr>
        <w:pStyle w:val="BodyText"/>
        <w:spacing w:line="240" w:lineRule="auto"/>
        <w:jc w:val="left"/>
        <w:rPr>
          <w:sz w:val="22"/>
          <w:szCs w:val="22"/>
          <w:lang w:val="pl-PL"/>
        </w:rPr>
      </w:pPr>
    </w:p>
    <w:p w14:paraId="75B8FD63" w14:textId="77777777" w:rsidR="000016E2" w:rsidRPr="00BD22FE" w:rsidRDefault="00104CA8" w:rsidP="00A610E1">
      <w:pPr>
        <w:pStyle w:val="BodyText"/>
        <w:keepNext/>
        <w:spacing w:line="240" w:lineRule="auto"/>
        <w:jc w:val="left"/>
        <w:rPr>
          <w:sz w:val="22"/>
          <w:szCs w:val="22"/>
          <w:lang w:val="pl-PL"/>
        </w:rPr>
      </w:pPr>
      <w:r w:rsidRPr="00BD22FE">
        <w:rPr>
          <w:sz w:val="22"/>
          <w:szCs w:val="22"/>
          <w:u w:val="single"/>
          <w:lang w:val="pl-PL"/>
        </w:rPr>
        <w:t>MicardisPlus 80 mg/12,5 mg tabletki</w:t>
      </w:r>
    </w:p>
    <w:p w14:paraId="54DDA697" w14:textId="068A275D" w:rsidR="000016E2" w:rsidRPr="00BD22FE" w:rsidRDefault="00104CA8" w:rsidP="00A610E1">
      <w:pPr>
        <w:pStyle w:val="BodyText"/>
        <w:spacing w:line="240" w:lineRule="auto"/>
        <w:jc w:val="left"/>
        <w:rPr>
          <w:sz w:val="22"/>
          <w:szCs w:val="22"/>
          <w:lang w:val="pl-PL"/>
        </w:rPr>
      </w:pPr>
      <w:r w:rsidRPr="00BD22FE">
        <w:rPr>
          <w:sz w:val="22"/>
          <w:szCs w:val="22"/>
          <w:lang w:val="pl-PL"/>
        </w:rPr>
        <w:t>Czerwono-biała, podłużna tabletka dwuwarstwowa, długości 6,2 mm, z</w:t>
      </w:r>
      <w:r w:rsidR="00717A7B" w:rsidRPr="00BD22FE">
        <w:rPr>
          <w:sz w:val="22"/>
          <w:szCs w:val="22"/>
          <w:lang w:val="pl-PL"/>
        </w:rPr>
        <w:t> </w:t>
      </w:r>
      <w:r w:rsidRPr="00BD22FE">
        <w:rPr>
          <w:sz w:val="22"/>
          <w:szCs w:val="22"/>
          <w:lang w:val="pl-PL"/>
        </w:rPr>
        <w:t>wytłoczonym logo</w:t>
      </w:r>
      <w:r w:rsidR="00B213E4" w:rsidRPr="00BD22FE">
        <w:rPr>
          <w:sz w:val="22"/>
          <w:szCs w:val="22"/>
          <w:lang w:val="pl-PL"/>
        </w:rPr>
        <w:t xml:space="preserve"> firmy</w:t>
      </w:r>
      <w:r w:rsidRPr="00BD22FE">
        <w:rPr>
          <w:sz w:val="22"/>
          <w:szCs w:val="22"/>
          <w:lang w:val="pl-PL"/>
        </w:rPr>
        <w:t xml:space="preserve"> i</w:t>
      </w:r>
      <w:r w:rsidR="00717A7B" w:rsidRPr="00BD22FE">
        <w:rPr>
          <w:sz w:val="22"/>
          <w:szCs w:val="22"/>
          <w:lang w:val="pl-PL"/>
        </w:rPr>
        <w:t> </w:t>
      </w:r>
      <w:r w:rsidRPr="00BD22FE">
        <w:rPr>
          <w:sz w:val="22"/>
          <w:szCs w:val="22"/>
          <w:lang w:val="pl-PL"/>
        </w:rPr>
        <w:t>kodem „H8”.</w:t>
      </w:r>
    </w:p>
    <w:p w14:paraId="564CD0C9" w14:textId="77777777" w:rsidR="000016E2" w:rsidRPr="00BD22FE" w:rsidRDefault="000016E2" w:rsidP="00A610E1">
      <w:pPr>
        <w:pStyle w:val="BodyText"/>
        <w:spacing w:line="240" w:lineRule="auto"/>
        <w:jc w:val="left"/>
        <w:rPr>
          <w:sz w:val="22"/>
          <w:szCs w:val="22"/>
          <w:lang w:val="pl-PL"/>
        </w:rPr>
      </w:pPr>
    </w:p>
    <w:p w14:paraId="5BF2985E" w14:textId="77777777" w:rsidR="000016E2" w:rsidRPr="00BD22FE" w:rsidRDefault="000016E2" w:rsidP="00A610E1">
      <w:pPr>
        <w:pStyle w:val="BodyText"/>
        <w:spacing w:line="240" w:lineRule="auto"/>
        <w:jc w:val="left"/>
        <w:rPr>
          <w:sz w:val="22"/>
          <w:szCs w:val="22"/>
          <w:lang w:val="pl-PL"/>
        </w:rPr>
      </w:pPr>
    </w:p>
    <w:p w14:paraId="04CC36D4" w14:textId="77777777" w:rsidR="000016E2" w:rsidRPr="00BD22FE" w:rsidRDefault="00104CA8" w:rsidP="00A610E1">
      <w:pPr>
        <w:pStyle w:val="BodyText"/>
        <w:keepNext/>
        <w:spacing w:line="240" w:lineRule="auto"/>
        <w:ind w:left="567" w:hanging="567"/>
        <w:jc w:val="left"/>
        <w:rPr>
          <w:b/>
          <w:sz w:val="22"/>
          <w:szCs w:val="22"/>
          <w:lang w:val="pl-PL"/>
        </w:rPr>
      </w:pPr>
      <w:r w:rsidRPr="00BD22FE">
        <w:rPr>
          <w:b/>
          <w:sz w:val="22"/>
          <w:szCs w:val="22"/>
          <w:lang w:val="pl-PL"/>
        </w:rPr>
        <w:t>4.</w:t>
      </w:r>
      <w:r w:rsidRPr="00BD22FE">
        <w:rPr>
          <w:b/>
          <w:sz w:val="22"/>
          <w:szCs w:val="22"/>
          <w:lang w:val="pl-PL"/>
        </w:rPr>
        <w:tab/>
        <w:t>SZCZEGÓŁOWE DANE KLINICZNE</w:t>
      </w:r>
    </w:p>
    <w:p w14:paraId="29600CFA" w14:textId="77777777" w:rsidR="000016E2" w:rsidRPr="00BD22FE" w:rsidRDefault="000016E2" w:rsidP="00A610E1">
      <w:pPr>
        <w:pStyle w:val="BodyText"/>
        <w:keepNext/>
        <w:spacing w:line="240" w:lineRule="auto"/>
        <w:jc w:val="left"/>
        <w:rPr>
          <w:sz w:val="22"/>
          <w:szCs w:val="22"/>
          <w:lang w:val="pl-PL"/>
        </w:rPr>
      </w:pPr>
    </w:p>
    <w:p w14:paraId="64DEA1DE" w14:textId="77777777" w:rsidR="000016E2" w:rsidRPr="00BD22FE" w:rsidRDefault="00104CA8" w:rsidP="00A610E1">
      <w:pPr>
        <w:pStyle w:val="BodyText"/>
        <w:keepNext/>
        <w:spacing w:line="240" w:lineRule="auto"/>
        <w:ind w:left="567" w:hanging="567"/>
        <w:jc w:val="left"/>
        <w:rPr>
          <w:b/>
          <w:sz w:val="22"/>
          <w:szCs w:val="22"/>
          <w:lang w:val="pl-PL"/>
        </w:rPr>
      </w:pPr>
      <w:r w:rsidRPr="00BD22FE">
        <w:rPr>
          <w:b/>
          <w:sz w:val="22"/>
          <w:szCs w:val="22"/>
          <w:lang w:val="pl-PL"/>
        </w:rPr>
        <w:t>4.1</w:t>
      </w:r>
      <w:r w:rsidRPr="00BD22FE">
        <w:rPr>
          <w:b/>
          <w:sz w:val="22"/>
          <w:szCs w:val="22"/>
          <w:lang w:val="pl-PL"/>
        </w:rPr>
        <w:tab/>
        <w:t>Wskazania do stosowania</w:t>
      </w:r>
    </w:p>
    <w:p w14:paraId="4BF4B3B0" w14:textId="77777777" w:rsidR="000016E2" w:rsidRPr="00BD22FE" w:rsidRDefault="000016E2" w:rsidP="00A610E1">
      <w:pPr>
        <w:pStyle w:val="BodyText"/>
        <w:keepNext/>
        <w:spacing w:line="240" w:lineRule="auto"/>
        <w:jc w:val="left"/>
        <w:rPr>
          <w:sz w:val="22"/>
          <w:szCs w:val="22"/>
          <w:lang w:val="pl-PL"/>
        </w:rPr>
      </w:pPr>
    </w:p>
    <w:p w14:paraId="059E5250" w14:textId="77777777" w:rsidR="000016E2" w:rsidRPr="00BD22FE" w:rsidRDefault="00104CA8" w:rsidP="00A610E1">
      <w:pPr>
        <w:pStyle w:val="BodyText"/>
        <w:spacing w:line="240" w:lineRule="auto"/>
        <w:jc w:val="left"/>
        <w:rPr>
          <w:sz w:val="22"/>
          <w:szCs w:val="22"/>
          <w:lang w:val="pl-PL"/>
        </w:rPr>
      </w:pPr>
      <w:r w:rsidRPr="00BD22FE">
        <w:rPr>
          <w:sz w:val="22"/>
          <w:szCs w:val="22"/>
          <w:lang w:val="pl-PL"/>
        </w:rPr>
        <w:t>Leczenie samoistnego nadciśnienia tętniczego.</w:t>
      </w:r>
    </w:p>
    <w:p w14:paraId="25C885B4" w14:textId="77777777" w:rsidR="000016E2" w:rsidRPr="00BD22FE" w:rsidRDefault="000016E2" w:rsidP="00A610E1">
      <w:pPr>
        <w:pStyle w:val="BodyText"/>
        <w:spacing w:line="240" w:lineRule="auto"/>
        <w:jc w:val="left"/>
        <w:rPr>
          <w:sz w:val="22"/>
          <w:szCs w:val="22"/>
          <w:lang w:val="pl-PL"/>
        </w:rPr>
      </w:pPr>
    </w:p>
    <w:p w14:paraId="18BE1E8A" w14:textId="4E47D3F4" w:rsidR="000016E2" w:rsidRPr="00BD22FE" w:rsidRDefault="00104CA8" w:rsidP="00A610E1">
      <w:pPr>
        <w:pStyle w:val="BodyText"/>
        <w:spacing w:line="240" w:lineRule="auto"/>
        <w:jc w:val="left"/>
        <w:rPr>
          <w:sz w:val="22"/>
          <w:szCs w:val="22"/>
          <w:lang w:val="pl-PL"/>
        </w:rPr>
      </w:pPr>
      <w:r w:rsidRPr="00BD22FE">
        <w:rPr>
          <w:sz w:val="22"/>
          <w:szCs w:val="22"/>
          <w:lang w:val="pl-PL"/>
        </w:rPr>
        <w:t>Złożony produkt leczniczy MicardisPlus (zawierający telmisartan w</w:t>
      </w:r>
      <w:r w:rsidR="00717A7B" w:rsidRPr="00BD22FE">
        <w:rPr>
          <w:sz w:val="22"/>
          <w:szCs w:val="22"/>
          <w:lang w:val="pl-PL"/>
        </w:rPr>
        <w:t> </w:t>
      </w:r>
      <w:r w:rsidRPr="00BD22FE">
        <w:rPr>
          <w:sz w:val="22"/>
          <w:szCs w:val="22"/>
          <w:lang w:val="pl-PL"/>
        </w:rPr>
        <w:t>dawce 40 mg i</w:t>
      </w:r>
      <w:r w:rsidR="00717A7B" w:rsidRPr="00BD22FE">
        <w:rPr>
          <w:sz w:val="22"/>
          <w:szCs w:val="22"/>
          <w:lang w:val="pl-PL"/>
        </w:rPr>
        <w:t> </w:t>
      </w:r>
      <w:r w:rsidRPr="00BD22FE">
        <w:rPr>
          <w:sz w:val="22"/>
          <w:szCs w:val="22"/>
          <w:lang w:val="pl-PL"/>
        </w:rPr>
        <w:t>hydrochlorotiazyd (HCTZ) w</w:t>
      </w:r>
      <w:r w:rsidR="00717A7B" w:rsidRPr="00BD22FE">
        <w:rPr>
          <w:sz w:val="22"/>
          <w:szCs w:val="22"/>
          <w:lang w:val="pl-PL"/>
        </w:rPr>
        <w:t> </w:t>
      </w:r>
      <w:r w:rsidRPr="00BD22FE">
        <w:rPr>
          <w:sz w:val="22"/>
          <w:szCs w:val="22"/>
          <w:lang w:val="pl-PL"/>
        </w:rPr>
        <w:t xml:space="preserve">dawce 12,5 mg oraz </w:t>
      </w:r>
      <w:bookmarkStart w:id="0" w:name="_Hlk44678162"/>
      <w:r w:rsidRPr="00BD22FE">
        <w:rPr>
          <w:sz w:val="22"/>
          <w:szCs w:val="22"/>
          <w:lang w:val="pl-PL"/>
        </w:rPr>
        <w:t>telmisarta</w:t>
      </w:r>
      <w:bookmarkEnd w:id="0"/>
      <w:r w:rsidRPr="00BD22FE">
        <w:rPr>
          <w:sz w:val="22"/>
          <w:szCs w:val="22"/>
          <w:lang w:val="pl-PL"/>
        </w:rPr>
        <w:t>n w</w:t>
      </w:r>
      <w:r w:rsidR="00717A7B" w:rsidRPr="00BD22FE">
        <w:rPr>
          <w:sz w:val="22"/>
          <w:szCs w:val="22"/>
          <w:lang w:val="pl-PL"/>
        </w:rPr>
        <w:t> </w:t>
      </w:r>
      <w:r w:rsidRPr="00BD22FE">
        <w:rPr>
          <w:sz w:val="22"/>
          <w:szCs w:val="22"/>
          <w:lang w:val="pl-PL"/>
        </w:rPr>
        <w:t>dawce 80 mg i</w:t>
      </w:r>
      <w:r w:rsidR="00717A7B" w:rsidRPr="00BD22FE">
        <w:rPr>
          <w:sz w:val="22"/>
          <w:szCs w:val="22"/>
          <w:lang w:val="pl-PL"/>
        </w:rPr>
        <w:t> </w:t>
      </w:r>
      <w:r w:rsidRPr="00BD22FE">
        <w:rPr>
          <w:sz w:val="22"/>
          <w:szCs w:val="22"/>
          <w:lang w:val="pl-PL"/>
        </w:rPr>
        <w:t>HCTZ w</w:t>
      </w:r>
      <w:r w:rsidR="00717A7B" w:rsidRPr="00BD22FE">
        <w:rPr>
          <w:sz w:val="22"/>
          <w:szCs w:val="22"/>
          <w:lang w:val="pl-PL"/>
        </w:rPr>
        <w:t> </w:t>
      </w:r>
      <w:r w:rsidRPr="00BD22FE">
        <w:rPr>
          <w:sz w:val="22"/>
          <w:szCs w:val="22"/>
          <w:lang w:val="pl-PL"/>
        </w:rPr>
        <w:t xml:space="preserve">dawce 12,5 mg) </w:t>
      </w:r>
      <w:bookmarkStart w:id="1" w:name="_Hlk45025741"/>
      <w:r w:rsidRPr="00BD22FE">
        <w:rPr>
          <w:sz w:val="22"/>
          <w:szCs w:val="22"/>
          <w:lang w:val="pl-PL"/>
        </w:rPr>
        <w:t>jest wskazany do stosowania u</w:t>
      </w:r>
      <w:bookmarkEnd w:id="1"/>
      <w:r w:rsidR="00717A7B" w:rsidRPr="00BD22FE">
        <w:rPr>
          <w:sz w:val="22"/>
          <w:szCs w:val="22"/>
          <w:lang w:val="pl-PL"/>
        </w:rPr>
        <w:t> </w:t>
      </w:r>
      <w:r w:rsidRPr="00BD22FE">
        <w:rPr>
          <w:sz w:val="22"/>
          <w:szCs w:val="22"/>
          <w:lang w:val="pl-PL"/>
        </w:rPr>
        <w:t>dorosłych, u</w:t>
      </w:r>
      <w:r w:rsidR="00717A7B" w:rsidRPr="00BD22FE">
        <w:rPr>
          <w:sz w:val="22"/>
          <w:szCs w:val="22"/>
          <w:lang w:val="pl-PL"/>
        </w:rPr>
        <w:t> </w:t>
      </w:r>
      <w:r w:rsidRPr="00BD22FE">
        <w:rPr>
          <w:sz w:val="22"/>
          <w:szCs w:val="22"/>
          <w:lang w:val="pl-PL"/>
        </w:rPr>
        <w:t>których ciśnienie tętnicze nie jest kontrolowane w</w:t>
      </w:r>
      <w:r w:rsidR="00717A7B" w:rsidRPr="00BD22FE">
        <w:rPr>
          <w:sz w:val="22"/>
          <w:szCs w:val="22"/>
          <w:lang w:val="pl-PL"/>
        </w:rPr>
        <w:t> </w:t>
      </w:r>
      <w:r w:rsidRPr="00BD22FE">
        <w:rPr>
          <w:sz w:val="22"/>
          <w:szCs w:val="22"/>
          <w:lang w:val="pl-PL"/>
        </w:rPr>
        <w:t>sposób wystarczający po zastosowaniu samego telmisartanu.</w:t>
      </w:r>
    </w:p>
    <w:p w14:paraId="50A646EF" w14:textId="77777777" w:rsidR="000016E2" w:rsidRPr="00BD22FE" w:rsidRDefault="000016E2" w:rsidP="00A610E1">
      <w:pPr>
        <w:pStyle w:val="BodyText"/>
        <w:spacing w:line="240" w:lineRule="auto"/>
        <w:jc w:val="left"/>
        <w:rPr>
          <w:sz w:val="22"/>
          <w:szCs w:val="22"/>
          <w:lang w:val="pl-PL"/>
        </w:rPr>
      </w:pPr>
    </w:p>
    <w:p w14:paraId="15FC1E83" w14:textId="6AB567BF" w:rsidR="000016E2" w:rsidRPr="00BD22FE" w:rsidRDefault="00104CA8" w:rsidP="00A610E1">
      <w:pPr>
        <w:pStyle w:val="BodyText"/>
        <w:keepNext/>
        <w:spacing w:line="240" w:lineRule="auto"/>
        <w:ind w:left="567" w:hanging="567"/>
        <w:jc w:val="left"/>
        <w:rPr>
          <w:b/>
          <w:sz w:val="22"/>
          <w:szCs w:val="22"/>
          <w:lang w:val="pl-PL"/>
        </w:rPr>
      </w:pPr>
      <w:r w:rsidRPr="00BD22FE">
        <w:rPr>
          <w:b/>
          <w:sz w:val="22"/>
          <w:szCs w:val="22"/>
          <w:lang w:val="pl-PL"/>
        </w:rPr>
        <w:t>4.2</w:t>
      </w:r>
      <w:r w:rsidRPr="00BD22FE">
        <w:rPr>
          <w:b/>
          <w:sz w:val="22"/>
          <w:szCs w:val="22"/>
          <w:lang w:val="pl-PL"/>
        </w:rPr>
        <w:tab/>
        <w:t>Dawkowanie i</w:t>
      </w:r>
      <w:r w:rsidR="00717A7B" w:rsidRPr="00BD22FE">
        <w:rPr>
          <w:b/>
          <w:sz w:val="22"/>
          <w:szCs w:val="22"/>
          <w:lang w:val="pl-PL"/>
        </w:rPr>
        <w:t> </w:t>
      </w:r>
      <w:r w:rsidRPr="00BD22FE">
        <w:rPr>
          <w:b/>
          <w:sz w:val="22"/>
          <w:szCs w:val="22"/>
          <w:lang w:val="pl-PL"/>
        </w:rPr>
        <w:t>sposób podawania</w:t>
      </w:r>
    </w:p>
    <w:p w14:paraId="042B3959" w14:textId="77777777" w:rsidR="000016E2" w:rsidRPr="00BD22FE" w:rsidRDefault="000016E2" w:rsidP="00A610E1">
      <w:pPr>
        <w:pStyle w:val="BodyText"/>
        <w:keepNext/>
        <w:spacing w:line="240" w:lineRule="auto"/>
        <w:jc w:val="left"/>
        <w:rPr>
          <w:sz w:val="22"/>
          <w:szCs w:val="22"/>
          <w:lang w:val="pl-PL"/>
        </w:rPr>
      </w:pPr>
    </w:p>
    <w:p w14:paraId="0943AFD3" w14:textId="06573A9B" w:rsidR="000016E2" w:rsidRPr="00BD22FE" w:rsidRDefault="00104CA8" w:rsidP="00A610E1">
      <w:pPr>
        <w:pStyle w:val="BodyText"/>
        <w:keepNext/>
        <w:spacing w:line="240" w:lineRule="auto"/>
        <w:jc w:val="left"/>
        <w:rPr>
          <w:sz w:val="22"/>
          <w:szCs w:val="22"/>
          <w:u w:val="single"/>
          <w:lang w:val="pl-PL"/>
        </w:rPr>
      </w:pPr>
      <w:r w:rsidRPr="00BD22FE">
        <w:rPr>
          <w:sz w:val="22"/>
          <w:szCs w:val="22"/>
          <w:u w:val="single"/>
          <w:lang w:val="pl-PL"/>
        </w:rPr>
        <w:t>Dawkowanie</w:t>
      </w:r>
    </w:p>
    <w:p w14:paraId="04BCF6BD" w14:textId="3BA7111B" w:rsidR="000016E2" w:rsidRPr="00BD22FE" w:rsidRDefault="00104CA8" w:rsidP="00A610E1">
      <w:pPr>
        <w:pStyle w:val="BodyText"/>
        <w:spacing w:line="240" w:lineRule="auto"/>
        <w:jc w:val="left"/>
        <w:rPr>
          <w:sz w:val="22"/>
          <w:szCs w:val="22"/>
          <w:lang w:val="pl-PL"/>
        </w:rPr>
      </w:pPr>
      <w:r w:rsidRPr="00BD22FE">
        <w:rPr>
          <w:sz w:val="22"/>
          <w:szCs w:val="22"/>
          <w:lang w:val="pl-PL"/>
        </w:rPr>
        <w:t xml:space="preserve">Złożony produkt leczniczy o ustalonej dawce powinien być przyjmowany przez pacjentów, u których ciśnienie </w:t>
      </w:r>
      <w:r w:rsidR="00F6382B" w:rsidRPr="00BD22FE">
        <w:rPr>
          <w:sz w:val="22"/>
          <w:szCs w:val="22"/>
          <w:lang w:val="pl-PL"/>
        </w:rPr>
        <w:t xml:space="preserve">tętnicze </w:t>
      </w:r>
      <w:r w:rsidRPr="00BD22FE">
        <w:rPr>
          <w:sz w:val="22"/>
          <w:szCs w:val="22"/>
          <w:lang w:val="pl-PL"/>
        </w:rPr>
        <w:t xml:space="preserve">nie jest dostatecznie kontrolowane samym telmisartanem. Zaleca się indywidualne dostosowanie dawki każdego ze składników przed zastosowaniem ustalonej dawki produktu </w:t>
      </w:r>
      <w:r w:rsidRPr="00BD22FE">
        <w:rPr>
          <w:sz w:val="22"/>
          <w:szCs w:val="22"/>
          <w:lang w:val="pl-PL"/>
        </w:rPr>
        <w:lastRenderedPageBreak/>
        <w:t>złożonego. Jeśli uzna się to za klinicznie odpowiednie, może być rozważona bezpośrednia zmiana z</w:t>
      </w:r>
      <w:r w:rsidR="00717A7B" w:rsidRPr="00BD22FE">
        <w:rPr>
          <w:sz w:val="22"/>
          <w:szCs w:val="22"/>
          <w:lang w:val="pl-PL"/>
        </w:rPr>
        <w:t> </w:t>
      </w:r>
      <w:r w:rsidRPr="00BD22FE">
        <w:rPr>
          <w:sz w:val="22"/>
          <w:szCs w:val="22"/>
          <w:lang w:val="pl-PL"/>
        </w:rPr>
        <w:t>monoterapii na terapię skojarzoną.</w:t>
      </w:r>
    </w:p>
    <w:p w14:paraId="60527644" w14:textId="5B6FEED9" w:rsidR="000016E2" w:rsidRPr="00BD22FE" w:rsidRDefault="000016E2" w:rsidP="00A610E1">
      <w:pPr>
        <w:pStyle w:val="BodyText"/>
        <w:spacing w:line="240" w:lineRule="auto"/>
        <w:jc w:val="left"/>
        <w:rPr>
          <w:sz w:val="22"/>
          <w:szCs w:val="22"/>
          <w:lang w:val="pl-PL"/>
        </w:rPr>
      </w:pPr>
    </w:p>
    <w:p w14:paraId="56900517" w14:textId="1348169F" w:rsidR="000016E2" w:rsidRPr="00BD22FE" w:rsidRDefault="00104CA8" w:rsidP="00A610E1">
      <w:pPr>
        <w:pStyle w:val="BodyText"/>
        <w:numPr>
          <w:ilvl w:val="0"/>
          <w:numId w:val="1"/>
        </w:numPr>
        <w:tabs>
          <w:tab w:val="clear" w:pos="2520"/>
        </w:tabs>
        <w:spacing w:line="240" w:lineRule="auto"/>
        <w:ind w:left="567" w:hanging="567"/>
        <w:jc w:val="left"/>
        <w:rPr>
          <w:sz w:val="22"/>
          <w:szCs w:val="22"/>
          <w:lang w:val="pl-PL"/>
        </w:rPr>
      </w:pPr>
      <w:r w:rsidRPr="00BD22FE">
        <w:rPr>
          <w:sz w:val="22"/>
          <w:szCs w:val="22"/>
          <w:lang w:val="pl-PL"/>
        </w:rPr>
        <w:t>Produkt leczniczy MicardisPlus 40 mg/12,5 mg może być podawany raz na dobę pacjentom, u</w:t>
      </w:r>
      <w:r w:rsidR="00717A7B" w:rsidRPr="00BD22FE">
        <w:rPr>
          <w:sz w:val="22"/>
          <w:szCs w:val="22"/>
          <w:lang w:val="pl-PL"/>
        </w:rPr>
        <w:t> </w:t>
      </w:r>
      <w:r w:rsidRPr="00BD22FE">
        <w:rPr>
          <w:sz w:val="22"/>
          <w:szCs w:val="22"/>
          <w:lang w:val="pl-PL"/>
        </w:rPr>
        <w:t xml:space="preserve">których ciśnienie tętnicze nie jest odpowiednio kontrolowane po zastosowaniu produktu </w:t>
      </w:r>
      <w:r w:rsidR="008E521C" w:rsidRPr="00BD22FE">
        <w:rPr>
          <w:sz w:val="22"/>
          <w:szCs w:val="22"/>
          <w:lang w:val="pl-PL"/>
        </w:rPr>
        <w:t xml:space="preserve">leczniczego </w:t>
      </w:r>
      <w:r w:rsidRPr="00BD22FE">
        <w:rPr>
          <w:sz w:val="22"/>
          <w:szCs w:val="22"/>
          <w:lang w:val="pl-PL"/>
        </w:rPr>
        <w:t>Micardis 40 mg.</w:t>
      </w:r>
    </w:p>
    <w:p w14:paraId="6E201CE4" w14:textId="4F98951F" w:rsidR="000016E2" w:rsidRPr="00BD22FE" w:rsidRDefault="00104CA8" w:rsidP="00A610E1">
      <w:pPr>
        <w:pStyle w:val="BodyText"/>
        <w:numPr>
          <w:ilvl w:val="0"/>
          <w:numId w:val="1"/>
        </w:numPr>
        <w:tabs>
          <w:tab w:val="clear" w:pos="2520"/>
        </w:tabs>
        <w:spacing w:line="240" w:lineRule="auto"/>
        <w:ind w:left="567" w:hanging="567"/>
        <w:jc w:val="left"/>
        <w:rPr>
          <w:sz w:val="22"/>
          <w:szCs w:val="22"/>
          <w:lang w:val="pl-PL"/>
        </w:rPr>
      </w:pPr>
      <w:r w:rsidRPr="00BD22FE">
        <w:rPr>
          <w:sz w:val="22"/>
          <w:szCs w:val="22"/>
          <w:lang w:val="pl-PL"/>
        </w:rPr>
        <w:t>Produkt leczniczy MicardisPlus 80 mg/12,5 mg może być podawany raz na dobę pacjentom, u</w:t>
      </w:r>
      <w:r w:rsidR="00717A7B" w:rsidRPr="00BD22FE">
        <w:rPr>
          <w:sz w:val="22"/>
          <w:szCs w:val="22"/>
          <w:lang w:val="pl-PL"/>
        </w:rPr>
        <w:t> </w:t>
      </w:r>
      <w:r w:rsidRPr="00BD22FE">
        <w:rPr>
          <w:sz w:val="22"/>
          <w:szCs w:val="22"/>
          <w:lang w:val="pl-PL"/>
        </w:rPr>
        <w:t xml:space="preserve">których ciśnienie tętnicze nie jest odpowiednio kontrolowane po zastosowaniu produktu </w:t>
      </w:r>
      <w:r w:rsidR="00C6394C" w:rsidRPr="00BD22FE">
        <w:rPr>
          <w:sz w:val="22"/>
          <w:szCs w:val="22"/>
          <w:lang w:val="pl-PL"/>
        </w:rPr>
        <w:t xml:space="preserve">leczniczego </w:t>
      </w:r>
      <w:r w:rsidRPr="00BD22FE">
        <w:rPr>
          <w:sz w:val="22"/>
          <w:szCs w:val="22"/>
          <w:lang w:val="pl-PL"/>
        </w:rPr>
        <w:t>Micardis 80 mg.</w:t>
      </w:r>
    </w:p>
    <w:p w14:paraId="3EE4CB1F" w14:textId="77777777" w:rsidR="00F54C1D" w:rsidRPr="00BD22FE" w:rsidRDefault="00F54C1D" w:rsidP="00A610E1">
      <w:pPr>
        <w:pStyle w:val="BodyText"/>
        <w:spacing w:line="240" w:lineRule="auto"/>
        <w:jc w:val="left"/>
        <w:rPr>
          <w:sz w:val="22"/>
          <w:szCs w:val="22"/>
          <w:lang w:val="pl-PL"/>
        </w:rPr>
      </w:pPr>
    </w:p>
    <w:p w14:paraId="70DA099E" w14:textId="0C1BC02A" w:rsidR="003A7E3D" w:rsidRPr="00BD22FE" w:rsidRDefault="00104CA8" w:rsidP="00A610E1">
      <w:pPr>
        <w:pStyle w:val="BodyText"/>
        <w:keepNext/>
        <w:spacing w:line="240" w:lineRule="auto"/>
        <w:jc w:val="left"/>
        <w:rPr>
          <w:i/>
          <w:iCs/>
          <w:sz w:val="22"/>
          <w:szCs w:val="22"/>
          <w:lang w:val="pl-PL"/>
        </w:rPr>
      </w:pPr>
      <w:r w:rsidRPr="00BD22FE">
        <w:rPr>
          <w:i/>
          <w:iCs/>
          <w:sz w:val="22"/>
          <w:szCs w:val="22"/>
          <w:lang w:val="pl-PL"/>
        </w:rPr>
        <w:t>Pacjenci w</w:t>
      </w:r>
      <w:r w:rsidR="00717A7B" w:rsidRPr="00BD22FE">
        <w:rPr>
          <w:i/>
          <w:iCs/>
          <w:sz w:val="22"/>
          <w:szCs w:val="22"/>
          <w:lang w:val="pl-PL"/>
        </w:rPr>
        <w:t> </w:t>
      </w:r>
      <w:r w:rsidRPr="00BD22FE">
        <w:rPr>
          <w:i/>
          <w:iCs/>
          <w:sz w:val="22"/>
          <w:szCs w:val="22"/>
          <w:lang w:val="pl-PL"/>
        </w:rPr>
        <w:t>podeszłym wieku</w:t>
      </w:r>
    </w:p>
    <w:p w14:paraId="2594B8D3" w14:textId="74C6FAB9" w:rsidR="000016E2" w:rsidRPr="00BD22FE" w:rsidRDefault="00104CA8" w:rsidP="00A610E1">
      <w:pPr>
        <w:pStyle w:val="BodyText"/>
        <w:spacing w:line="240" w:lineRule="auto"/>
        <w:jc w:val="left"/>
        <w:rPr>
          <w:sz w:val="22"/>
          <w:szCs w:val="22"/>
          <w:lang w:val="pl-PL"/>
        </w:rPr>
      </w:pPr>
      <w:r w:rsidRPr="00BD22FE">
        <w:rPr>
          <w:sz w:val="22"/>
          <w:szCs w:val="22"/>
          <w:lang w:val="pl-PL"/>
        </w:rPr>
        <w:t>Nie ma konieczności dostosowania dawk</w:t>
      </w:r>
      <w:r w:rsidR="00162932" w:rsidRPr="00BD22FE">
        <w:rPr>
          <w:sz w:val="22"/>
          <w:szCs w:val="22"/>
          <w:lang w:val="pl-PL"/>
        </w:rPr>
        <w:t>i</w:t>
      </w:r>
      <w:r w:rsidRPr="00BD22FE">
        <w:rPr>
          <w:sz w:val="20"/>
          <w:szCs w:val="20"/>
          <w:lang w:val="pl-PL"/>
        </w:rPr>
        <w:t xml:space="preserve"> </w:t>
      </w:r>
      <w:r w:rsidRPr="00BD22FE">
        <w:rPr>
          <w:sz w:val="22"/>
          <w:szCs w:val="22"/>
          <w:lang w:val="pl-PL"/>
        </w:rPr>
        <w:t>u </w:t>
      </w:r>
      <w:r w:rsidR="00162932" w:rsidRPr="00BD22FE">
        <w:rPr>
          <w:sz w:val="22"/>
          <w:szCs w:val="22"/>
          <w:lang w:val="pl-PL"/>
        </w:rPr>
        <w:t xml:space="preserve">pacjentów </w:t>
      </w:r>
      <w:r w:rsidRPr="00BD22FE">
        <w:rPr>
          <w:sz w:val="22"/>
          <w:szCs w:val="22"/>
          <w:lang w:val="pl-PL"/>
        </w:rPr>
        <w:t>w podeszłym wieku.</w:t>
      </w:r>
    </w:p>
    <w:p w14:paraId="55834926" w14:textId="77777777" w:rsidR="000016E2" w:rsidRPr="00BD22FE" w:rsidRDefault="000016E2" w:rsidP="00A610E1">
      <w:pPr>
        <w:pStyle w:val="BodyText"/>
        <w:spacing w:line="240" w:lineRule="auto"/>
        <w:jc w:val="left"/>
        <w:rPr>
          <w:sz w:val="22"/>
          <w:szCs w:val="22"/>
          <w:lang w:val="pl-PL"/>
        </w:rPr>
      </w:pPr>
    </w:p>
    <w:p w14:paraId="31DE6802" w14:textId="77777777" w:rsidR="003A7E3D" w:rsidRPr="00BD22FE" w:rsidRDefault="00104CA8" w:rsidP="00A610E1">
      <w:pPr>
        <w:keepNext/>
        <w:rPr>
          <w:i/>
          <w:iCs/>
          <w:sz w:val="22"/>
          <w:szCs w:val="22"/>
          <w:lang w:val="pl-PL"/>
        </w:rPr>
      </w:pPr>
      <w:r w:rsidRPr="00BD22FE">
        <w:rPr>
          <w:i/>
          <w:iCs/>
          <w:sz w:val="22"/>
          <w:szCs w:val="22"/>
          <w:lang w:val="pl-PL"/>
        </w:rPr>
        <w:t>Zaburzenia czynności nerek</w:t>
      </w:r>
    </w:p>
    <w:p w14:paraId="39693C85" w14:textId="1FDC9BE5" w:rsidR="000016E2" w:rsidRPr="00BD22FE" w:rsidRDefault="00650E53" w:rsidP="00A610E1">
      <w:pPr>
        <w:pStyle w:val="BodyText"/>
        <w:spacing w:line="240" w:lineRule="auto"/>
        <w:jc w:val="left"/>
        <w:rPr>
          <w:sz w:val="22"/>
          <w:szCs w:val="22"/>
          <w:lang w:val="pl-PL"/>
        </w:rPr>
      </w:pPr>
      <w:r w:rsidRPr="00BD22FE">
        <w:rPr>
          <w:sz w:val="22"/>
          <w:szCs w:val="22"/>
          <w:lang w:val="pl-PL"/>
        </w:rPr>
        <w:t>D</w:t>
      </w:r>
      <w:r w:rsidR="00DE793A" w:rsidRPr="00BD22FE">
        <w:rPr>
          <w:sz w:val="22"/>
          <w:szCs w:val="22"/>
          <w:lang w:val="pl-PL"/>
        </w:rPr>
        <w:t>oświadczeni</w:t>
      </w:r>
      <w:r w:rsidRPr="00BD22FE">
        <w:rPr>
          <w:sz w:val="22"/>
          <w:szCs w:val="22"/>
          <w:lang w:val="pl-PL"/>
        </w:rPr>
        <w:t>e</w:t>
      </w:r>
      <w:r w:rsidR="00DE793A" w:rsidRPr="00BD22FE">
        <w:rPr>
          <w:sz w:val="22"/>
          <w:szCs w:val="22"/>
          <w:lang w:val="pl-PL"/>
        </w:rPr>
        <w:t xml:space="preserve"> u pacjentów z łagodnymi </w:t>
      </w:r>
      <w:r w:rsidR="00162932" w:rsidRPr="00BD22FE">
        <w:rPr>
          <w:sz w:val="22"/>
          <w:szCs w:val="22"/>
          <w:lang w:val="pl-PL"/>
        </w:rPr>
        <w:t xml:space="preserve">do </w:t>
      </w:r>
      <w:r w:rsidR="00DE793A" w:rsidRPr="00BD22FE">
        <w:rPr>
          <w:sz w:val="22"/>
          <w:szCs w:val="22"/>
          <w:lang w:val="pl-PL"/>
        </w:rPr>
        <w:t>umiarkowany</w:t>
      </w:r>
      <w:r w:rsidR="00162932" w:rsidRPr="00BD22FE">
        <w:rPr>
          <w:sz w:val="22"/>
          <w:szCs w:val="22"/>
          <w:lang w:val="pl-PL"/>
        </w:rPr>
        <w:t>ch</w:t>
      </w:r>
      <w:r w:rsidR="00DE793A" w:rsidRPr="00BD22FE">
        <w:rPr>
          <w:sz w:val="22"/>
          <w:szCs w:val="22"/>
          <w:lang w:val="pl-PL"/>
        </w:rPr>
        <w:t xml:space="preserve"> zaburzeniami czynności nerek</w:t>
      </w:r>
      <w:r w:rsidRPr="00BD22FE">
        <w:rPr>
          <w:sz w:val="22"/>
          <w:szCs w:val="22"/>
          <w:lang w:val="pl-PL"/>
        </w:rPr>
        <w:t xml:space="preserve"> jest niewielkie</w:t>
      </w:r>
      <w:r w:rsidR="00DE793A" w:rsidRPr="00BD22FE">
        <w:rPr>
          <w:sz w:val="22"/>
          <w:szCs w:val="22"/>
          <w:lang w:val="pl-PL"/>
        </w:rPr>
        <w:t>, ale nie wskazuj</w:t>
      </w:r>
      <w:r w:rsidRPr="00BD22FE">
        <w:rPr>
          <w:sz w:val="22"/>
          <w:szCs w:val="22"/>
          <w:lang w:val="pl-PL"/>
        </w:rPr>
        <w:t>e</w:t>
      </w:r>
      <w:r w:rsidR="00DE793A" w:rsidRPr="00BD22FE">
        <w:rPr>
          <w:sz w:val="22"/>
          <w:szCs w:val="22"/>
          <w:lang w:val="pl-PL"/>
        </w:rPr>
        <w:t xml:space="preserve"> on</w:t>
      </w:r>
      <w:r w:rsidRPr="00BD22FE">
        <w:rPr>
          <w:sz w:val="22"/>
          <w:szCs w:val="22"/>
          <w:lang w:val="pl-PL"/>
        </w:rPr>
        <w:t>o</w:t>
      </w:r>
      <w:r w:rsidR="00DE793A" w:rsidRPr="00BD22FE">
        <w:rPr>
          <w:sz w:val="22"/>
          <w:szCs w:val="22"/>
          <w:lang w:val="pl-PL"/>
        </w:rPr>
        <w:t xml:space="preserve"> na niekorzystny wpływ na nerki</w:t>
      </w:r>
      <w:r w:rsidR="00FD743C" w:rsidRPr="00BD22FE">
        <w:rPr>
          <w:sz w:val="22"/>
          <w:szCs w:val="22"/>
          <w:lang w:val="pl-PL"/>
        </w:rPr>
        <w:t xml:space="preserve"> i dostosowanie dawki nie jest uważane za konieczne</w:t>
      </w:r>
      <w:r w:rsidR="00DE793A" w:rsidRPr="00BD22FE">
        <w:rPr>
          <w:sz w:val="22"/>
          <w:szCs w:val="22"/>
          <w:lang w:val="pl-PL"/>
        </w:rPr>
        <w:t xml:space="preserve">. </w:t>
      </w:r>
      <w:r w:rsidR="00104CA8" w:rsidRPr="00BD22FE">
        <w:rPr>
          <w:sz w:val="22"/>
          <w:szCs w:val="22"/>
          <w:lang w:val="pl-PL"/>
        </w:rPr>
        <w:t>Zaleca się okresowe monitorowanie czynności nerek (patrz punkt 4.4).</w:t>
      </w:r>
      <w:r w:rsidR="00BA359E" w:rsidRPr="00BD22FE">
        <w:rPr>
          <w:sz w:val="22"/>
          <w:szCs w:val="22"/>
          <w:lang w:val="pl-PL"/>
        </w:rPr>
        <w:t xml:space="preserve"> Ze względu na zawartość hydrochlorotiazydu złożony produkt leczniczy o ustalonej dawce jest przeciwwskazany </w:t>
      </w:r>
      <w:r w:rsidR="000249A6" w:rsidRPr="00BD22FE">
        <w:rPr>
          <w:sz w:val="22"/>
          <w:szCs w:val="22"/>
          <w:lang w:val="pl-PL"/>
        </w:rPr>
        <w:t xml:space="preserve">do stosowania </w:t>
      </w:r>
      <w:r w:rsidR="00BA359E" w:rsidRPr="00BD22FE">
        <w:rPr>
          <w:sz w:val="22"/>
          <w:szCs w:val="22"/>
          <w:lang w:val="pl-PL"/>
        </w:rPr>
        <w:t>u pacjentów z ciężkimi zaburzeniami czynności nerek (klirens kreatyniny &lt; 30 ml/min) (patrz punkt 4.3).</w:t>
      </w:r>
    </w:p>
    <w:p w14:paraId="15438A31" w14:textId="77777777" w:rsidR="000016E2" w:rsidRPr="00BD22FE" w:rsidRDefault="00104CA8" w:rsidP="00A610E1">
      <w:pPr>
        <w:pStyle w:val="BodyText"/>
        <w:spacing w:line="240" w:lineRule="auto"/>
        <w:jc w:val="left"/>
        <w:rPr>
          <w:lang w:val="pl-PL"/>
        </w:rPr>
      </w:pPr>
      <w:r w:rsidRPr="00BD22FE">
        <w:rPr>
          <w:sz w:val="22"/>
          <w:szCs w:val="22"/>
          <w:lang w:val="pl-PL"/>
        </w:rPr>
        <w:t>Telmisartan nie jest usuwany z krwi przez hemofiltrację i nie podlega dializie.</w:t>
      </w:r>
    </w:p>
    <w:p w14:paraId="5B194567" w14:textId="77777777" w:rsidR="000016E2" w:rsidRPr="00BD22FE" w:rsidRDefault="000016E2" w:rsidP="00A610E1">
      <w:pPr>
        <w:pStyle w:val="BodyText"/>
        <w:spacing w:line="240" w:lineRule="auto"/>
        <w:jc w:val="left"/>
        <w:rPr>
          <w:sz w:val="22"/>
          <w:szCs w:val="22"/>
          <w:u w:val="single"/>
          <w:lang w:val="pl-PL"/>
        </w:rPr>
      </w:pPr>
    </w:p>
    <w:p w14:paraId="738864D2" w14:textId="77777777" w:rsidR="000016E2" w:rsidRPr="00BD22FE" w:rsidRDefault="00104CA8" w:rsidP="00A610E1">
      <w:pPr>
        <w:keepNext/>
        <w:rPr>
          <w:i/>
          <w:iCs/>
          <w:sz w:val="22"/>
          <w:szCs w:val="22"/>
          <w:lang w:val="pl-PL"/>
        </w:rPr>
      </w:pPr>
      <w:r w:rsidRPr="00BD22FE">
        <w:rPr>
          <w:i/>
          <w:iCs/>
          <w:sz w:val="22"/>
          <w:szCs w:val="22"/>
          <w:lang w:val="pl-PL"/>
        </w:rPr>
        <w:t>Zaburzenia czynności wątroby</w:t>
      </w:r>
    </w:p>
    <w:p w14:paraId="148C775B" w14:textId="55BD9BE1" w:rsidR="000016E2" w:rsidRPr="00BD22FE" w:rsidRDefault="00104CA8" w:rsidP="00A610E1">
      <w:pPr>
        <w:pStyle w:val="BodyText"/>
        <w:spacing w:line="240" w:lineRule="auto"/>
        <w:jc w:val="left"/>
        <w:rPr>
          <w:sz w:val="22"/>
          <w:szCs w:val="22"/>
          <w:lang w:val="pl-PL"/>
        </w:rPr>
      </w:pPr>
      <w:r w:rsidRPr="00BD22FE">
        <w:rPr>
          <w:sz w:val="22"/>
          <w:szCs w:val="22"/>
          <w:lang w:val="pl-PL"/>
        </w:rPr>
        <w:t>U</w:t>
      </w:r>
      <w:r w:rsidR="00717A7B" w:rsidRPr="00BD22FE">
        <w:rPr>
          <w:sz w:val="22"/>
          <w:szCs w:val="22"/>
          <w:lang w:val="pl-PL"/>
        </w:rPr>
        <w:t> </w:t>
      </w:r>
      <w:r w:rsidRPr="00BD22FE">
        <w:rPr>
          <w:sz w:val="22"/>
          <w:szCs w:val="22"/>
          <w:lang w:val="pl-PL"/>
        </w:rPr>
        <w:t>pacjentów z</w:t>
      </w:r>
      <w:r w:rsidR="00717A7B" w:rsidRPr="00BD22FE">
        <w:rPr>
          <w:sz w:val="22"/>
          <w:szCs w:val="22"/>
          <w:lang w:val="pl-PL"/>
        </w:rPr>
        <w:t> </w:t>
      </w:r>
      <w:r w:rsidRPr="00BD22FE">
        <w:rPr>
          <w:sz w:val="22"/>
          <w:szCs w:val="22"/>
          <w:lang w:val="pl-PL"/>
        </w:rPr>
        <w:t>łagodnym</w:t>
      </w:r>
      <w:r w:rsidR="000249A6" w:rsidRPr="00BD22FE">
        <w:rPr>
          <w:sz w:val="22"/>
          <w:szCs w:val="22"/>
          <w:lang w:val="pl-PL"/>
        </w:rPr>
        <w:t>i</w:t>
      </w:r>
      <w:r w:rsidRPr="00BD22FE">
        <w:rPr>
          <w:sz w:val="22"/>
          <w:szCs w:val="22"/>
          <w:lang w:val="pl-PL"/>
        </w:rPr>
        <w:t xml:space="preserve"> </w:t>
      </w:r>
      <w:r w:rsidR="000249A6" w:rsidRPr="00BD22FE">
        <w:rPr>
          <w:sz w:val="22"/>
          <w:szCs w:val="22"/>
          <w:lang w:val="pl-PL"/>
        </w:rPr>
        <w:t xml:space="preserve">do </w:t>
      </w:r>
      <w:r w:rsidRPr="00BD22FE">
        <w:rPr>
          <w:sz w:val="22"/>
          <w:szCs w:val="22"/>
          <w:lang w:val="pl-PL"/>
        </w:rPr>
        <w:t>umiarkowany</w:t>
      </w:r>
      <w:r w:rsidR="000249A6" w:rsidRPr="00BD22FE">
        <w:rPr>
          <w:sz w:val="22"/>
          <w:szCs w:val="22"/>
          <w:lang w:val="pl-PL"/>
        </w:rPr>
        <w:t>ch</w:t>
      </w:r>
      <w:r w:rsidRPr="00BD22FE">
        <w:rPr>
          <w:sz w:val="22"/>
          <w:szCs w:val="22"/>
          <w:lang w:val="pl-PL"/>
        </w:rPr>
        <w:t xml:space="preserve"> zaburzeni</w:t>
      </w:r>
      <w:r w:rsidR="000249A6" w:rsidRPr="00BD22FE">
        <w:rPr>
          <w:sz w:val="22"/>
          <w:szCs w:val="22"/>
          <w:lang w:val="pl-PL"/>
        </w:rPr>
        <w:t>ami</w:t>
      </w:r>
      <w:r w:rsidRPr="00BD22FE">
        <w:rPr>
          <w:sz w:val="22"/>
          <w:szCs w:val="22"/>
          <w:lang w:val="pl-PL"/>
        </w:rPr>
        <w:t xml:space="preserve"> czynności wątroby produkt leczniczy MicardisPlus należy podawać z zachowaniem ostrożności. Nie należy przekraczać dawki telmisartanu 40</w:t>
      </w:r>
      <w:r w:rsidR="00F54C1D" w:rsidRPr="00BD22FE">
        <w:rPr>
          <w:sz w:val="22"/>
          <w:szCs w:val="22"/>
          <w:lang w:val="pl-PL"/>
        </w:rPr>
        <w:t> </w:t>
      </w:r>
      <w:r w:rsidRPr="00BD22FE">
        <w:rPr>
          <w:sz w:val="22"/>
          <w:szCs w:val="22"/>
          <w:lang w:val="pl-PL"/>
        </w:rPr>
        <w:t>mg raz na dobę</w:t>
      </w:r>
      <w:r w:rsidR="006D47BE" w:rsidRPr="00BD22FE">
        <w:rPr>
          <w:sz w:val="22"/>
          <w:szCs w:val="22"/>
          <w:lang w:val="pl-PL"/>
        </w:rPr>
        <w:t xml:space="preserve">. Złożony produkt leczniczy o ustalonej dawce jest przeciwwskazany </w:t>
      </w:r>
      <w:r w:rsidR="001D49CE" w:rsidRPr="00BD22FE">
        <w:rPr>
          <w:sz w:val="22"/>
          <w:szCs w:val="22"/>
          <w:lang w:val="pl-PL"/>
        </w:rPr>
        <w:t xml:space="preserve">do stosowania </w:t>
      </w:r>
      <w:r w:rsidR="006D47BE" w:rsidRPr="00BD22FE">
        <w:rPr>
          <w:sz w:val="22"/>
          <w:szCs w:val="22"/>
          <w:lang w:val="pl-PL"/>
        </w:rPr>
        <w:t>u pacjentów z ciężkimi zaburzeniami czynności wątroby</w:t>
      </w:r>
      <w:r w:rsidRPr="00BD22FE">
        <w:rPr>
          <w:sz w:val="22"/>
          <w:szCs w:val="22"/>
          <w:lang w:val="pl-PL"/>
        </w:rPr>
        <w:t xml:space="preserve"> (patrz punkt 4.3). U</w:t>
      </w:r>
      <w:r w:rsidR="00717A7B" w:rsidRPr="00BD22FE">
        <w:rPr>
          <w:sz w:val="22"/>
          <w:szCs w:val="22"/>
          <w:lang w:val="pl-PL"/>
        </w:rPr>
        <w:t> </w:t>
      </w:r>
      <w:r w:rsidRPr="00BD22FE">
        <w:rPr>
          <w:sz w:val="22"/>
          <w:szCs w:val="22"/>
          <w:lang w:val="pl-PL"/>
        </w:rPr>
        <w:t>pacjentów z</w:t>
      </w:r>
      <w:r w:rsidR="00717A7B" w:rsidRPr="00BD22FE">
        <w:rPr>
          <w:sz w:val="22"/>
          <w:szCs w:val="22"/>
          <w:lang w:val="pl-PL"/>
        </w:rPr>
        <w:t> </w:t>
      </w:r>
      <w:r w:rsidRPr="00BD22FE">
        <w:rPr>
          <w:sz w:val="22"/>
          <w:szCs w:val="22"/>
          <w:lang w:val="pl-PL"/>
        </w:rPr>
        <w:t>zaburzeniami czynności wątroby tiazydy powinny być stosowane z</w:t>
      </w:r>
      <w:r w:rsidR="00717A7B" w:rsidRPr="00BD22FE">
        <w:rPr>
          <w:sz w:val="22"/>
          <w:szCs w:val="22"/>
          <w:lang w:val="pl-PL"/>
        </w:rPr>
        <w:t> </w:t>
      </w:r>
      <w:r w:rsidRPr="00BD22FE">
        <w:rPr>
          <w:sz w:val="22"/>
          <w:szCs w:val="22"/>
          <w:lang w:val="pl-PL"/>
        </w:rPr>
        <w:t>ostrożnością (patrz punkt 4.4).</w:t>
      </w:r>
    </w:p>
    <w:p w14:paraId="6BCB9B59" w14:textId="77777777" w:rsidR="000016E2" w:rsidRPr="00BD22FE" w:rsidRDefault="000016E2" w:rsidP="00A610E1">
      <w:pPr>
        <w:pStyle w:val="BodyText"/>
        <w:spacing w:line="240" w:lineRule="auto"/>
        <w:jc w:val="left"/>
        <w:rPr>
          <w:sz w:val="22"/>
          <w:szCs w:val="22"/>
          <w:lang w:val="pl-PL"/>
        </w:rPr>
      </w:pPr>
    </w:p>
    <w:p w14:paraId="7D13957F" w14:textId="083B036C" w:rsidR="000016E2" w:rsidRPr="00BD22FE" w:rsidRDefault="00104CA8" w:rsidP="00A610E1">
      <w:pPr>
        <w:pStyle w:val="BodyText"/>
        <w:keepNext/>
        <w:spacing w:line="240" w:lineRule="auto"/>
        <w:jc w:val="left"/>
        <w:rPr>
          <w:i/>
          <w:sz w:val="22"/>
          <w:szCs w:val="22"/>
          <w:lang w:val="pl-PL"/>
        </w:rPr>
      </w:pPr>
      <w:r w:rsidRPr="00BD22FE">
        <w:rPr>
          <w:i/>
          <w:sz w:val="22"/>
          <w:szCs w:val="22"/>
          <w:lang w:val="pl-PL"/>
        </w:rPr>
        <w:t>Dzieci i</w:t>
      </w:r>
      <w:r w:rsidR="00717A7B" w:rsidRPr="00BD22FE">
        <w:rPr>
          <w:i/>
          <w:sz w:val="22"/>
          <w:szCs w:val="22"/>
          <w:lang w:val="pl-PL"/>
        </w:rPr>
        <w:t> </w:t>
      </w:r>
      <w:r w:rsidRPr="00BD22FE">
        <w:rPr>
          <w:i/>
          <w:sz w:val="22"/>
          <w:szCs w:val="22"/>
          <w:lang w:val="pl-PL"/>
        </w:rPr>
        <w:t>młodzież</w:t>
      </w:r>
    </w:p>
    <w:p w14:paraId="735B2630" w14:textId="03E083BF" w:rsidR="000016E2" w:rsidRPr="00BD22FE" w:rsidRDefault="00104CA8" w:rsidP="00A610E1">
      <w:pPr>
        <w:pStyle w:val="BodyText"/>
        <w:spacing w:line="240" w:lineRule="auto"/>
        <w:jc w:val="left"/>
        <w:rPr>
          <w:sz w:val="22"/>
          <w:szCs w:val="22"/>
          <w:lang w:val="pl-PL"/>
        </w:rPr>
      </w:pPr>
      <w:r w:rsidRPr="00BD22FE">
        <w:rPr>
          <w:sz w:val="22"/>
          <w:szCs w:val="22"/>
          <w:lang w:val="pl-PL"/>
        </w:rPr>
        <w:t>Nie określono bezpieczeństwa stosowania ani skuteczności produktu leczniczego MicardisPlus u pacjentów w</w:t>
      </w:r>
      <w:r w:rsidR="00717A7B" w:rsidRPr="00BD22FE">
        <w:rPr>
          <w:sz w:val="22"/>
          <w:szCs w:val="22"/>
          <w:lang w:val="pl-PL"/>
        </w:rPr>
        <w:t> </w:t>
      </w:r>
      <w:r w:rsidRPr="00BD22FE">
        <w:rPr>
          <w:sz w:val="22"/>
          <w:szCs w:val="22"/>
          <w:lang w:val="pl-PL"/>
        </w:rPr>
        <w:t>wieku poniżej 18 lat. Nie zaleca się stosowania produktu leczniczego MicardisPlus u dzieci i młodzieży.</w:t>
      </w:r>
    </w:p>
    <w:p w14:paraId="0AD505CA" w14:textId="77777777" w:rsidR="000016E2" w:rsidRPr="00BD22FE" w:rsidRDefault="000016E2" w:rsidP="00A610E1">
      <w:pPr>
        <w:rPr>
          <w:sz w:val="22"/>
          <w:szCs w:val="22"/>
          <w:lang w:val="pl-PL"/>
        </w:rPr>
      </w:pPr>
    </w:p>
    <w:p w14:paraId="294BBDB9" w14:textId="77777777" w:rsidR="000016E2" w:rsidRPr="00BD22FE" w:rsidRDefault="00104CA8" w:rsidP="00A610E1">
      <w:pPr>
        <w:keepNext/>
        <w:rPr>
          <w:sz w:val="22"/>
          <w:szCs w:val="22"/>
          <w:u w:val="single"/>
          <w:lang w:val="pl-PL"/>
        </w:rPr>
      </w:pPr>
      <w:r w:rsidRPr="00BD22FE">
        <w:rPr>
          <w:sz w:val="22"/>
          <w:szCs w:val="22"/>
          <w:u w:val="single"/>
          <w:lang w:val="pl-PL"/>
        </w:rPr>
        <w:t>Sposób podawania</w:t>
      </w:r>
    </w:p>
    <w:p w14:paraId="59BA238B" w14:textId="1DF2DF0A" w:rsidR="000016E2" w:rsidRPr="00BD22FE" w:rsidRDefault="00104CA8" w:rsidP="00A610E1">
      <w:pPr>
        <w:rPr>
          <w:sz w:val="22"/>
          <w:szCs w:val="22"/>
          <w:lang w:val="pl-PL"/>
        </w:rPr>
      </w:pPr>
      <w:r w:rsidRPr="00BD22FE">
        <w:rPr>
          <w:sz w:val="22"/>
          <w:szCs w:val="22"/>
          <w:lang w:val="pl-PL"/>
        </w:rPr>
        <w:t>Tabletki produktu leczniczego MicardisPlus należy przyjmować doustnie raz na dobę, połykając w całości i popijając płynem. Produkt leczniczy MicardisPlus można przyjmować niezależnie od posiłków.</w:t>
      </w:r>
    </w:p>
    <w:p w14:paraId="54F27452" w14:textId="77777777" w:rsidR="000016E2" w:rsidRPr="00BD22FE" w:rsidRDefault="000016E2" w:rsidP="00A610E1">
      <w:pPr>
        <w:rPr>
          <w:sz w:val="22"/>
          <w:szCs w:val="22"/>
          <w:lang w:val="pl-PL"/>
        </w:rPr>
      </w:pPr>
    </w:p>
    <w:p w14:paraId="74654C0C" w14:textId="6611F57B" w:rsidR="000016E2" w:rsidRPr="00BD22FE" w:rsidRDefault="00104CA8" w:rsidP="00A610E1">
      <w:pPr>
        <w:keepNext/>
        <w:rPr>
          <w:i/>
          <w:sz w:val="22"/>
          <w:szCs w:val="22"/>
          <w:lang w:val="pl-PL"/>
        </w:rPr>
      </w:pPr>
      <w:r w:rsidRPr="00BD22FE">
        <w:rPr>
          <w:i/>
          <w:sz w:val="22"/>
          <w:szCs w:val="22"/>
          <w:lang w:val="pl-PL"/>
        </w:rPr>
        <w:t>Środki ostrożności, które należy podjąć przed użyciem lub podaniem produktu leczniczego</w:t>
      </w:r>
    </w:p>
    <w:p w14:paraId="6D235587" w14:textId="6A916188" w:rsidR="000016E2" w:rsidRPr="00BD22FE" w:rsidRDefault="00104CA8" w:rsidP="00A610E1">
      <w:pPr>
        <w:rPr>
          <w:sz w:val="22"/>
          <w:szCs w:val="22"/>
          <w:lang w:val="pl-PL"/>
        </w:rPr>
      </w:pPr>
      <w:r w:rsidRPr="00BD22FE">
        <w:rPr>
          <w:sz w:val="22"/>
          <w:szCs w:val="22"/>
          <w:lang w:val="pl-PL"/>
        </w:rPr>
        <w:t>Produkt leczniczy MicardisPlus należy przechowywać w</w:t>
      </w:r>
      <w:r w:rsidR="00717A7B" w:rsidRPr="00BD22FE">
        <w:rPr>
          <w:sz w:val="22"/>
          <w:szCs w:val="22"/>
          <w:lang w:val="pl-PL"/>
        </w:rPr>
        <w:t> </w:t>
      </w:r>
      <w:r w:rsidR="00770336" w:rsidRPr="00BD22FE">
        <w:rPr>
          <w:sz w:val="22"/>
          <w:szCs w:val="22"/>
          <w:lang w:val="pl-PL"/>
        </w:rPr>
        <w:t xml:space="preserve">szczelnie zamkniętym </w:t>
      </w:r>
      <w:r w:rsidRPr="00BD22FE">
        <w:rPr>
          <w:sz w:val="22"/>
          <w:szCs w:val="22"/>
          <w:lang w:val="pl-PL"/>
        </w:rPr>
        <w:t xml:space="preserve">blistrze ze względu na właściwości </w:t>
      </w:r>
      <w:r w:rsidR="00770336" w:rsidRPr="00BD22FE">
        <w:rPr>
          <w:sz w:val="22"/>
          <w:szCs w:val="22"/>
          <w:lang w:val="pl-PL"/>
        </w:rPr>
        <w:t xml:space="preserve">higroskopijne </w:t>
      </w:r>
      <w:r w:rsidRPr="00BD22FE">
        <w:rPr>
          <w:sz w:val="22"/>
          <w:szCs w:val="22"/>
          <w:lang w:val="pl-PL"/>
        </w:rPr>
        <w:t xml:space="preserve">tabletek. </w:t>
      </w:r>
      <w:r w:rsidR="00A46089" w:rsidRPr="00BD22FE">
        <w:rPr>
          <w:sz w:val="22"/>
          <w:szCs w:val="22"/>
          <w:lang w:val="pl-PL"/>
        </w:rPr>
        <w:t>Tabletki należy wyjmować z blistra bezpośrednio przed podaniem</w:t>
      </w:r>
      <w:r w:rsidR="00A46089" w:rsidRPr="00BD22FE" w:rsidDel="00A46089">
        <w:rPr>
          <w:sz w:val="22"/>
          <w:szCs w:val="22"/>
          <w:lang w:val="pl-PL"/>
        </w:rPr>
        <w:t xml:space="preserve"> </w:t>
      </w:r>
      <w:r w:rsidRPr="00BD22FE">
        <w:rPr>
          <w:sz w:val="22"/>
          <w:szCs w:val="22"/>
          <w:lang w:val="pl-PL"/>
        </w:rPr>
        <w:t>(patrz punkt 6.6).</w:t>
      </w:r>
    </w:p>
    <w:p w14:paraId="7F950EE8" w14:textId="77777777" w:rsidR="000016E2" w:rsidRPr="00BD22FE" w:rsidRDefault="000016E2" w:rsidP="00A610E1">
      <w:pPr>
        <w:pStyle w:val="BodyText"/>
        <w:spacing w:line="240" w:lineRule="auto"/>
        <w:jc w:val="left"/>
        <w:rPr>
          <w:sz w:val="22"/>
          <w:szCs w:val="22"/>
          <w:lang w:val="pl-PL"/>
        </w:rPr>
      </w:pPr>
    </w:p>
    <w:p w14:paraId="1469C5A8" w14:textId="77777777" w:rsidR="000016E2" w:rsidRPr="00BD22FE" w:rsidRDefault="00104CA8" w:rsidP="00A610E1">
      <w:pPr>
        <w:pStyle w:val="BodyText"/>
        <w:keepNext/>
        <w:spacing w:line="240" w:lineRule="auto"/>
        <w:ind w:left="567" w:hanging="567"/>
        <w:jc w:val="left"/>
        <w:rPr>
          <w:b/>
          <w:sz w:val="22"/>
          <w:szCs w:val="22"/>
          <w:lang w:val="pl-PL"/>
        </w:rPr>
      </w:pPr>
      <w:r w:rsidRPr="00BD22FE">
        <w:rPr>
          <w:b/>
          <w:sz w:val="22"/>
          <w:szCs w:val="22"/>
          <w:lang w:val="pl-PL"/>
        </w:rPr>
        <w:t>4.3</w:t>
      </w:r>
      <w:r w:rsidRPr="00BD22FE">
        <w:rPr>
          <w:b/>
          <w:sz w:val="22"/>
          <w:szCs w:val="22"/>
          <w:lang w:val="pl-PL"/>
        </w:rPr>
        <w:tab/>
        <w:t>Przeciwwskazania</w:t>
      </w:r>
    </w:p>
    <w:p w14:paraId="38D07CBF" w14:textId="77777777" w:rsidR="000016E2" w:rsidRPr="00BD22FE" w:rsidRDefault="000016E2" w:rsidP="00A610E1">
      <w:pPr>
        <w:pStyle w:val="BodyText"/>
        <w:keepNext/>
        <w:spacing w:line="240" w:lineRule="auto"/>
        <w:jc w:val="left"/>
        <w:rPr>
          <w:sz w:val="22"/>
          <w:szCs w:val="22"/>
          <w:lang w:val="pl-PL"/>
        </w:rPr>
      </w:pPr>
    </w:p>
    <w:p w14:paraId="314E8680" w14:textId="4DC99F0F" w:rsidR="000016E2" w:rsidRPr="00BD22FE" w:rsidRDefault="00104CA8" w:rsidP="00A610E1">
      <w:pPr>
        <w:numPr>
          <w:ilvl w:val="0"/>
          <w:numId w:val="11"/>
        </w:numPr>
        <w:tabs>
          <w:tab w:val="clear" w:pos="1080"/>
        </w:tabs>
        <w:ind w:left="567" w:hanging="567"/>
        <w:rPr>
          <w:sz w:val="22"/>
          <w:szCs w:val="22"/>
          <w:lang w:val="pl-PL"/>
        </w:rPr>
      </w:pPr>
      <w:r w:rsidRPr="00BD22FE">
        <w:rPr>
          <w:sz w:val="22"/>
          <w:szCs w:val="22"/>
          <w:lang w:val="pl-PL"/>
        </w:rPr>
        <w:t>Nadwrażliwość na którąkolwiek substancję czynną lub na którąkolwiek substancję pomocniczą wymienioną w</w:t>
      </w:r>
      <w:r w:rsidR="00717A7B" w:rsidRPr="00BD22FE">
        <w:rPr>
          <w:sz w:val="22"/>
          <w:szCs w:val="22"/>
          <w:lang w:val="pl-PL"/>
        </w:rPr>
        <w:t> </w:t>
      </w:r>
      <w:r w:rsidRPr="00BD22FE">
        <w:rPr>
          <w:sz w:val="22"/>
          <w:szCs w:val="22"/>
          <w:lang w:val="pl-PL"/>
        </w:rPr>
        <w:t>punkcie 6.1.</w:t>
      </w:r>
    </w:p>
    <w:p w14:paraId="2C8AB18C" w14:textId="77777777" w:rsidR="000016E2" w:rsidRPr="00BD22FE" w:rsidRDefault="00104CA8" w:rsidP="00A610E1">
      <w:pPr>
        <w:pStyle w:val="BodyText"/>
        <w:numPr>
          <w:ilvl w:val="0"/>
          <w:numId w:val="2"/>
        </w:numPr>
        <w:tabs>
          <w:tab w:val="clear" w:pos="2520"/>
        </w:tabs>
        <w:spacing w:line="240" w:lineRule="auto"/>
        <w:ind w:left="567" w:hanging="567"/>
        <w:jc w:val="left"/>
        <w:rPr>
          <w:sz w:val="22"/>
          <w:szCs w:val="22"/>
          <w:lang w:val="pl-PL"/>
        </w:rPr>
      </w:pPr>
      <w:r w:rsidRPr="00BD22FE">
        <w:rPr>
          <w:sz w:val="22"/>
          <w:szCs w:val="22"/>
          <w:lang w:val="pl-PL"/>
        </w:rPr>
        <w:t>Nadwrażliwość na inne pochodne sulfonamidowe (</w:t>
      </w:r>
      <w:bookmarkStart w:id="2" w:name="_Hlk44678108"/>
      <w:r w:rsidRPr="00BD22FE">
        <w:rPr>
          <w:sz w:val="22"/>
          <w:szCs w:val="22"/>
          <w:lang w:val="pl-PL"/>
        </w:rPr>
        <w:t>HCT</w:t>
      </w:r>
      <w:bookmarkEnd w:id="2"/>
      <w:r w:rsidRPr="00BD22FE">
        <w:rPr>
          <w:sz w:val="22"/>
          <w:szCs w:val="22"/>
          <w:lang w:val="pl-PL"/>
        </w:rPr>
        <w:t>Z jest pochodną sulfonamidową).</w:t>
      </w:r>
    </w:p>
    <w:p w14:paraId="5FCA018D" w14:textId="56664372" w:rsidR="000016E2" w:rsidRPr="00BD22FE" w:rsidRDefault="00104CA8" w:rsidP="00A610E1">
      <w:pPr>
        <w:pStyle w:val="BodyText"/>
        <w:numPr>
          <w:ilvl w:val="0"/>
          <w:numId w:val="2"/>
        </w:numPr>
        <w:tabs>
          <w:tab w:val="clear" w:pos="2520"/>
        </w:tabs>
        <w:spacing w:line="240" w:lineRule="auto"/>
        <w:ind w:left="567" w:hanging="567"/>
        <w:jc w:val="left"/>
        <w:rPr>
          <w:sz w:val="22"/>
          <w:szCs w:val="22"/>
          <w:lang w:val="pl-PL"/>
        </w:rPr>
      </w:pPr>
      <w:r w:rsidRPr="00BD22FE">
        <w:rPr>
          <w:sz w:val="22"/>
          <w:szCs w:val="22"/>
          <w:lang w:val="pl-PL"/>
        </w:rPr>
        <w:t>Drugi i</w:t>
      </w:r>
      <w:r w:rsidR="00717A7B" w:rsidRPr="00BD22FE">
        <w:rPr>
          <w:sz w:val="22"/>
          <w:szCs w:val="22"/>
          <w:lang w:val="pl-PL"/>
        </w:rPr>
        <w:t> </w:t>
      </w:r>
      <w:r w:rsidRPr="00BD22FE">
        <w:rPr>
          <w:sz w:val="22"/>
          <w:szCs w:val="22"/>
          <w:lang w:val="pl-PL"/>
        </w:rPr>
        <w:t>trzeci trymestr ciąży (patrz punkt</w:t>
      </w:r>
      <w:r w:rsidR="007138E8" w:rsidRPr="00BD22FE">
        <w:rPr>
          <w:sz w:val="22"/>
          <w:szCs w:val="22"/>
          <w:lang w:val="pl-PL"/>
        </w:rPr>
        <w:t>y</w:t>
      </w:r>
      <w:r w:rsidRPr="00BD22FE">
        <w:rPr>
          <w:sz w:val="22"/>
          <w:szCs w:val="22"/>
          <w:lang w:val="pl-PL"/>
        </w:rPr>
        <w:t> 4.4 i</w:t>
      </w:r>
      <w:r w:rsidR="00717A7B" w:rsidRPr="00BD22FE">
        <w:rPr>
          <w:sz w:val="22"/>
          <w:szCs w:val="22"/>
          <w:lang w:val="pl-PL"/>
        </w:rPr>
        <w:t> </w:t>
      </w:r>
      <w:r w:rsidRPr="00BD22FE">
        <w:rPr>
          <w:sz w:val="22"/>
          <w:szCs w:val="22"/>
          <w:lang w:val="pl-PL"/>
        </w:rPr>
        <w:t>4.6).</w:t>
      </w:r>
    </w:p>
    <w:p w14:paraId="63AA792E" w14:textId="2EBE6878" w:rsidR="000016E2" w:rsidRPr="00BD22FE" w:rsidRDefault="00104CA8" w:rsidP="00A610E1">
      <w:pPr>
        <w:pStyle w:val="BodyText"/>
        <w:numPr>
          <w:ilvl w:val="0"/>
          <w:numId w:val="2"/>
        </w:numPr>
        <w:tabs>
          <w:tab w:val="clear" w:pos="2520"/>
        </w:tabs>
        <w:spacing w:line="240" w:lineRule="auto"/>
        <w:ind w:left="567" w:hanging="567"/>
        <w:jc w:val="left"/>
        <w:rPr>
          <w:sz w:val="22"/>
          <w:szCs w:val="22"/>
          <w:lang w:val="pl-PL"/>
        </w:rPr>
      </w:pPr>
      <w:r w:rsidRPr="00BD22FE">
        <w:rPr>
          <w:sz w:val="22"/>
          <w:szCs w:val="22"/>
          <w:lang w:val="pl-PL"/>
        </w:rPr>
        <w:t>Zastój żółci i</w:t>
      </w:r>
      <w:r w:rsidR="00717A7B" w:rsidRPr="00BD22FE">
        <w:rPr>
          <w:sz w:val="22"/>
          <w:szCs w:val="22"/>
          <w:lang w:val="pl-PL"/>
        </w:rPr>
        <w:t> </w:t>
      </w:r>
      <w:r w:rsidRPr="00BD22FE">
        <w:rPr>
          <w:sz w:val="22"/>
          <w:szCs w:val="22"/>
          <w:lang w:val="pl-PL"/>
        </w:rPr>
        <w:t>niedrożność dróg żółciowych.</w:t>
      </w:r>
    </w:p>
    <w:p w14:paraId="1DF7B653" w14:textId="66578EDF" w:rsidR="000016E2" w:rsidRPr="00BD22FE" w:rsidRDefault="00104CA8" w:rsidP="006717CD">
      <w:pPr>
        <w:pStyle w:val="BodyText"/>
        <w:numPr>
          <w:ilvl w:val="0"/>
          <w:numId w:val="2"/>
        </w:numPr>
        <w:tabs>
          <w:tab w:val="clear" w:pos="2520"/>
        </w:tabs>
        <w:spacing w:line="240" w:lineRule="auto"/>
        <w:ind w:left="567" w:hanging="567"/>
        <w:jc w:val="left"/>
        <w:rPr>
          <w:sz w:val="22"/>
          <w:szCs w:val="22"/>
          <w:lang w:val="pl-PL"/>
        </w:rPr>
      </w:pPr>
      <w:r w:rsidRPr="00BD22FE">
        <w:rPr>
          <w:sz w:val="22"/>
          <w:szCs w:val="22"/>
          <w:lang w:val="pl-PL"/>
        </w:rPr>
        <w:t>Ciężk</w:t>
      </w:r>
      <w:r w:rsidR="009E42F2" w:rsidRPr="00BD22FE">
        <w:rPr>
          <w:sz w:val="22"/>
          <w:szCs w:val="22"/>
          <w:lang w:val="pl-PL"/>
        </w:rPr>
        <w:t xml:space="preserve">ie zaburzenia czynności </w:t>
      </w:r>
      <w:r w:rsidRPr="00BD22FE">
        <w:rPr>
          <w:sz w:val="22"/>
          <w:szCs w:val="22"/>
          <w:lang w:val="pl-PL"/>
        </w:rPr>
        <w:t>wątroby.</w:t>
      </w:r>
    </w:p>
    <w:p w14:paraId="431A551C" w14:textId="4D5A6452" w:rsidR="000016E2" w:rsidRPr="00BD22FE" w:rsidRDefault="00104CA8" w:rsidP="006717CD">
      <w:pPr>
        <w:pStyle w:val="BodyText"/>
        <w:numPr>
          <w:ilvl w:val="0"/>
          <w:numId w:val="2"/>
        </w:numPr>
        <w:tabs>
          <w:tab w:val="clear" w:pos="2520"/>
        </w:tabs>
        <w:spacing w:line="240" w:lineRule="auto"/>
        <w:ind w:left="567" w:hanging="567"/>
        <w:jc w:val="left"/>
        <w:rPr>
          <w:sz w:val="22"/>
          <w:szCs w:val="22"/>
          <w:lang w:val="pl-PL"/>
        </w:rPr>
      </w:pPr>
      <w:r w:rsidRPr="00BD22FE">
        <w:rPr>
          <w:sz w:val="22"/>
          <w:szCs w:val="22"/>
          <w:lang w:val="pl-PL"/>
        </w:rPr>
        <w:t>Ciężk</w:t>
      </w:r>
      <w:r w:rsidR="009E42F2" w:rsidRPr="00BD22FE">
        <w:rPr>
          <w:sz w:val="22"/>
          <w:szCs w:val="22"/>
          <w:lang w:val="pl-PL"/>
        </w:rPr>
        <w:t>ie</w:t>
      </w:r>
      <w:r w:rsidRPr="00BD22FE">
        <w:rPr>
          <w:sz w:val="22"/>
          <w:szCs w:val="22"/>
          <w:lang w:val="pl-PL"/>
        </w:rPr>
        <w:t xml:space="preserve"> </w:t>
      </w:r>
      <w:r w:rsidR="009E42F2" w:rsidRPr="00BD22FE">
        <w:rPr>
          <w:sz w:val="22"/>
          <w:szCs w:val="22"/>
          <w:lang w:val="pl-PL"/>
        </w:rPr>
        <w:t>zaburzenia czynności</w:t>
      </w:r>
      <w:r w:rsidRPr="00BD22FE">
        <w:rPr>
          <w:sz w:val="22"/>
          <w:szCs w:val="22"/>
          <w:lang w:val="pl-PL"/>
        </w:rPr>
        <w:t xml:space="preserve"> nerek (klirens kreatyniny &lt; 30 ml/min), bezmocz.</w:t>
      </w:r>
    </w:p>
    <w:p w14:paraId="643FED89" w14:textId="77777777" w:rsidR="000016E2" w:rsidRPr="00BD22FE" w:rsidRDefault="00104CA8" w:rsidP="006717CD">
      <w:pPr>
        <w:pStyle w:val="BodyText"/>
        <w:numPr>
          <w:ilvl w:val="0"/>
          <w:numId w:val="2"/>
        </w:numPr>
        <w:tabs>
          <w:tab w:val="clear" w:pos="2520"/>
        </w:tabs>
        <w:spacing w:line="240" w:lineRule="auto"/>
        <w:ind w:left="567" w:hanging="567"/>
        <w:jc w:val="left"/>
        <w:rPr>
          <w:sz w:val="22"/>
          <w:szCs w:val="22"/>
          <w:lang w:val="pl-PL"/>
        </w:rPr>
      </w:pPr>
      <w:r w:rsidRPr="00BD22FE">
        <w:rPr>
          <w:sz w:val="22"/>
          <w:szCs w:val="22"/>
          <w:lang w:val="pl-PL"/>
        </w:rPr>
        <w:t>Oporna na leczenie hipokaliemia, hiperkalcemia.</w:t>
      </w:r>
    </w:p>
    <w:p w14:paraId="03887CDC" w14:textId="77777777" w:rsidR="000016E2" w:rsidRPr="00BD22FE" w:rsidRDefault="000016E2" w:rsidP="00941FBF">
      <w:pPr>
        <w:pStyle w:val="BodyText"/>
        <w:spacing w:line="240" w:lineRule="auto"/>
        <w:jc w:val="left"/>
        <w:rPr>
          <w:sz w:val="22"/>
          <w:szCs w:val="22"/>
          <w:lang w:val="pl-PL"/>
        </w:rPr>
      </w:pPr>
    </w:p>
    <w:p w14:paraId="262AC077" w14:textId="1FC76A11" w:rsidR="000016E2" w:rsidRPr="00BD22FE" w:rsidRDefault="00104CA8" w:rsidP="00941FBF">
      <w:pPr>
        <w:rPr>
          <w:sz w:val="22"/>
          <w:szCs w:val="22"/>
          <w:lang w:val="pl-PL"/>
        </w:rPr>
      </w:pPr>
      <w:r w:rsidRPr="00BD22FE">
        <w:rPr>
          <w:sz w:val="22"/>
          <w:szCs w:val="22"/>
          <w:lang w:val="pl-PL"/>
        </w:rPr>
        <w:lastRenderedPageBreak/>
        <w:t>Jednoczesne stosowanie telmisartanu/HCTZ z</w:t>
      </w:r>
      <w:r w:rsidR="00717A7B" w:rsidRPr="00BD22FE">
        <w:rPr>
          <w:sz w:val="22"/>
          <w:szCs w:val="22"/>
          <w:lang w:val="pl-PL"/>
        </w:rPr>
        <w:t> </w:t>
      </w:r>
      <w:r w:rsidRPr="00BD22FE">
        <w:rPr>
          <w:sz w:val="22"/>
          <w:szCs w:val="22"/>
          <w:lang w:val="pl-PL"/>
        </w:rPr>
        <w:t>produktami zawierającymi aliskiren jest przeciwwskazane u</w:t>
      </w:r>
      <w:r w:rsidR="00717A7B" w:rsidRPr="00BD22FE">
        <w:rPr>
          <w:sz w:val="22"/>
          <w:szCs w:val="22"/>
          <w:lang w:val="pl-PL"/>
        </w:rPr>
        <w:t> </w:t>
      </w:r>
      <w:r w:rsidRPr="00BD22FE">
        <w:rPr>
          <w:sz w:val="22"/>
          <w:szCs w:val="22"/>
          <w:lang w:val="pl-PL"/>
        </w:rPr>
        <w:t>pacjentów z</w:t>
      </w:r>
      <w:r w:rsidR="00717A7B" w:rsidRPr="00BD22FE">
        <w:rPr>
          <w:sz w:val="22"/>
          <w:szCs w:val="22"/>
          <w:lang w:val="pl-PL"/>
        </w:rPr>
        <w:t> </w:t>
      </w:r>
      <w:r w:rsidRPr="00BD22FE">
        <w:rPr>
          <w:sz w:val="22"/>
          <w:szCs w:val="22"/>
          <w:lang w:val="pl-PL"/>
        </w:rPr>
        <w:t>cukrzycą lub zaburzeni</w:t>
      </w:r>
      <w:r w:rsidR="00B67DF0" w:rsidRPr="00BD22FE">
        <w:rPr>
          <w:sz w:val="22"/>
          <w:szCs w:val="22"/>
          <w:lang w:val="pl-PL"/>
        </w:rPr>
        <w:t>ami</w:t>
      </w:r>
      <w:r w:rsidRPr="00BD22FE">
        <w:rPr>
          <w:sz w:val="22"/>
          <w:szCs w:val="22"/>
          <w:lang w:val="pl-PL"/>
        </w:rPr>
        <w:t xml:space="preserve"> czynności nerek (</w:t>
      </w:r>
      <w:bookmarkStart w:id="3" w:name="_Hlk44858420"/>
      <w:r w:rsidRPr="00BD22FE">
        <w:rPr>
          <w:sz w:val="22"/>
          <w:szCs w:val="22"/>
          <w:lang w:val="pl-PL"/>
        </w:rPr>
        <w:t>współczynnik filtracji kłębuszkowej</w:t>
      </w:r>
      <w:bookmarkEnd w:id="3"/>
      <w:r w:rsidRPr="00BD22FE">
        <w:rPr>
          <w:sz w:val="22"/>
          <w:szCs w:val="22"/>
          <w:lang w:val="pl-PL"/>
        </w:rPr>
        <w:t>, GFR &lt; 60 ml/min/1,73 m</w:t>
      </w:r>
      <w:r w:rsidRPr="00BD22FE">
        <w:rPr>
          <w:sz w:val="22"/>
          <w:szCs w:val="22"/>
          <w:vertAlign w:val="superscript"/>
          <w:lang w:val="pl-PL"/>
        </w:rPr>
        <w:t>2</w:t>
      </w:r>
      <w:r w:rsidRPr="00BD22FE">
        <w:rPr>
          <w:sz w:val="22"/>
          <w:szCs w:val="22"/>
          <w:lang w:val="pl-PL"/>
        </w:rPr>
        <w:t>) (patrz punkty 4.5 i</w:t>
      </w:r>
      <w:r w:rsidR="00717A7B" w:rsidRPr="00BD22FE">
        <w:rPr>
          <w:sz w:val="22"/>
          <w:szCs w:val="22"/>
          <w:lang w:val="pl-PL"/>
        </w:rPr>
        <w:t> </w:t>
      </w:r>
      <w:r w:rsidRPr="00BD22FE">
        <w:rPr>
          <w:sz w:val="22"/>
          <w:szCs w:val="22"/>
          <w:lang w:val="pl-PL"/>
        </w:rPr>
        <w:t>5.1).</w:t>
      </w:r>
    </w:p>
    <w:p w14:paraId="51266614" w14:textId="77777777" w:rsidR="000016E2" w:rsidRPr="00BD22FE" w:rsidRDefault="000016E2" w:rsidP="00941FBF">
      <w:pPr>
        <w:pStyle w:val="BodyText"/>
        <w:spacing w:line="240" w:lineRule="auto"/>
        <w:jc w:val="left"/>
        <w:rPr>
          <w:sz w:val="22"/>
          <w:szCs w:val="22"/>
          <w:lang w:val="pl-PL"/>
        </w:rPr>
      </w:pPr>
    </w:p>
    <w:p w14:paraId="4926E6BB" w14:textId="291E8E9E" w:rsidR="000016E2" w:rsidRPr="00BD22FE" w:rsidRDefault="00104CA8" w:rsidP="005E756D">
      <w:pPr>
        <w:pStyle w:val="BodyText"/>
        <w:keepNext/>
        <w:spacing w:line="240" w:lineRule="auto"/>
        <w:ind w:left="567" w:hanging="567"/>
        <w:jc w:val="left"/>
        <w:rPr>
          <w:b/>
          <w:sz w:val="22"/>
          <w:szCs w:val="22"/>
          <w:lang w:val="pl-PL"/>
        </w:rPr>
      </w:pPr>
      <w:r w:rsidRPr="00BD22FE">
        <w:rPr>
          <w:b/>
          <w:sz w:val="22"/>
          <w:szCs w:val="22"/>
          <w:lang w:val="pl-PL"/>
        </w:rPr>
        <w:t>4.4</w:t>
      </w:r>
      <w:r w:rsidRPr="00BD22FE">
        <w:rPr>
          <w:b/>
          <w:sz w:val="22"/>
          <w:szCs w:val="22"/>
          <w:lang w:val="pl-PL"/>
        </w:rPr>
        <w:tab/>
        <w:t>Specjalne ostrzeżenia i</w:t>
      </w:r>
      <w:r w:rsidR="00717A7B" w:rsidRPr="00BD22FE">
        <w:rPr>
          <w:b/>
          <w:sz w:val="22"/>
          <w:szCs w:val="22"/>
          <w:lang w:val="pl-PL"/>
        </w:rPr>
        <w:t> </w:t>
      </w:r>
      <w:r w:rsidRPr="00BD22FE">
        <w:rPr>
          <w:b/>
          <w:sz w:val="22"/>
          <w:szCs w:val="22"/>
          <w:lang w:val="pl-PL"/>
        </w:rPr>
        <w:t>środki ostrożności dotyczące stosowania</w:t>
      </w:r>
    </w:p>
    <w:p w14:paraId="746E6920" w14:textId="77777777" w:rsidR="000016E2" w:rsidRPr="00BD22FE" w:rsidRDefault="000016E2" w:rsidP="00941FBF">
      <w:pPr>
        <w:pStyle w:val="BodyText"/>
        <w:keepNext/>
        <w:spacing w:line="240" w:lineRule="auto"/>
        <w:jc w:val="left"/>
        <w:rPr>
          <w:sz w:val="22"/>
          <w:szCs w:val="22"/>
          <w:lang w:val="pl-PL"/>
        </w:rPr>
      </w:pPr>
    </w:p>
    <w:p w14:paraId="5151AC40" w14:textId="77777777" w:rsidR="003A7E3D" w:rsidRPr="00BD22FE" w:rsidRDefault="00104CA8" w:rsidP="00941FBF">
      <w:pPr>
        <w:pStyle w:val="BodyText"/>
        <w:keepNext/>
        <w:spacing w:line="240" w:lineRule="auto"/>
        <w:jc w:val="left"/>
        <w:rPr>
          <w:sz w:val="22"/>
          <w:szCs w:val="22"/>
          <w:lang w:val="pl-PL"/>
        </w:rPr>
      </w:pPr>
      <w:r w:rsidRPr="00BD22FE">
        <w:rPr>
          <w:sz w:val="22"/>
          <w:szCs w:val="22"/>
          <w:u w:val="single"/>
          <w:lang w:val="pl-PL"/>
        </w:rPr>
        <w:t>Ciąża</w:t>
      </w:r>
    </w:p>
    <w:p w14:paraId="5740461D" w14:textId="450382DC" w:rsidR="000016E2" w:rsidRPr="00BD22FE" w:rsidRDefault="00104CA8" w:rsidP="00941FBF">
      <w:pPr>
        <w:pStyle w:val="BodyText"/>
        <w:spacing w:line="240" w:lineRule="auto"/>
        <w:jc w:val="left"/>
        <w:rPr>
          <w:sz w:val="22"/>
          <w:szCs w:val="22"/>
          <w:lang w:val="pl-PL"/>
        </w:rPr>
      </w:pPr>
      <w:r w:rsidRPr="00BD22FE">
        <w:rPr>
          <w:sz w:val="22"/>
          <w:szCs w:val="22"/>
          <w:lang w:val="pl-PL"/>
        </w:rPr>
        <w:t>Nie należy rozpoczynać leczenia blokerami receptora angiotensyny</w:t>
      </w:r>
      <w:r w:rsidR="001E0877" w:rsidRPr="00BD22FE">
        <w:rPr>
          <w:sz w:val="22"/>
          <w:szCs w:val="22"/>
          <w:lang w:val="pl-PL"/>
        </w:rPr>
        <w:t> </w:t>
      </w:r>
      <w:r w:rsidRPr="00BD22FE">
        <w:rPr>
          <w:sz w:val="22"/>
          <w:szCs w:val="22"/>
          <w:lang w:val="pl-PL"/>
        </w:rPr>
        <w:t>II w</w:t>
      </w:r>
      <w:r w:rsidR="00717A7B" w:rsidRPr="00BD22FE">
        <w:rPr>
          <w:sz w:val="22"/>
          <w:szCs w:val="22"/>
          <w:lang w:val="pl-PL"/>
        </w:rPr>
        <w:t> </w:t>
      </w:r>
      <w:r w:rsidR="00173962" w:rsidRPr="00BD22FE">
        <w:rPr>
          <w:sz w:val="22"/>
          <w:szCs w:val="22"/>
          <w:lang w:val="pl-PL"/>
        </w:rPr>
        <w:t xml:space="preserve">okresie </w:t>
      </w:r>
      <w:r w:rsidRPr="00BD22FE">
        <w:rPr>
          <w:sz w:val="22"/>
          <w:szCs w:val="22"/>
          <w:lang w:val="pl-PL"/>
        </w:rPr>
        <w:t>ciąży. O</w:t>
      </w:r>
      <w:r w:rsidR="00717A7B" w:rsidRPr="00BD22FE">
        <w:rPr>
          <w:sz w:val="22"/>
          <w:szCs w:val="22"/>
          <w:lang w:val="pl-PL"/>
        </w:rPr>
        <w:t> </w:t>
      </w:r>
      <w:r w:rsidRPr="00BD22FE">
        <w:rPr>
          <w:sz w:val="22"/>
          <w:szCs w:val="22"/>
          <w:lang w:val="pl-PL"/>
        </w:rPr>
        <w:t>ile kontynuacja leczenia za pomocą blokera receptora angiotensyny</w:t>
      </w:r>
      <w:r w:rsidR="001E0877" w:rsidRPr="00BD22FE">
        <w:rPr>
          <w:sz w:val="22"/>
          <w:szCs w:val="22"/>
          <w:lang w:val="pl-PL"/>
        </w:rPr>
        <w:t> </w:t>
      </w:r>
      <w:r w:rsidRPr="00BD22FE">
        <w:rPr>
          <w:sz w:val="22"/>
          <w:szCs w:val="22"/>
          <w:lang w:val="pl-PL"/>
        </w:rPr>
        <w:t>II nie jest niezbędna, u</w:t>
      </w:r>
      <w:r w:rsidR="00717A7B" w:rsidRPr="00BD22FE">
        <w:rPr>
          <w:sz w:val="22"/>
          <w:szCs w:val="22"/>
          <w:lang w:val="pl-PL"/>
        </w:rPr>
        <w:t> </w:t>
      </w:r>
      <w:r w:rsidRPr="00BD22FE">
        <w:rPr>
          <w:sz w:val="22"/>
          <w:szCs w:val="22"/>
          <w:lang w:val="pl-PL"/>
        </w:rPr>
        <w:t xml:space="preserve">pacjentek planujących ciążę należy zastosować </w:t>
      </w:r>
      <w:r w:rsidR="00173962" w:rsidRPr="00BD22FE">
        <w:rPr>
          <w:sz w:val="22"/>
          <w:szCs w:val="22"/>
          <w:lang w:val="pl-PL"/>
        </w:rPr>
        <w:t>alternatywne metody leczenia nadciśnienia</w:t>
      </w:r>
      <w:r w:rsidRPr="00BD22FE">
        <w:rPr>
          <w:sz w:val="22"/>
          <w:szCs w:val="22"/>
          <w:lang w:val="pl-PL"/>
        </w:rPr>
        <w:t>, które mają ustalony profil bezpieczeństwa stosowania w</w:t>
      </w:r>
      <w:r w:rsidR="00717A7B" w:rsidRPr="00BD22FE">
        <w:rPr>
          <w:sz w:val="22"/>
          <w:szCs w:val="22"/>
          <w:lang w:val="pl-PL"/>
        </w:rPr>
        <w:t> </w:t>
      </w:r>
      <w:r w:rsidRPr="00BD22FE">
        <w:rPr>
          <w:sz w:val="22"/>
          <w:szCs w:val="22"/>
          <w:lang w:val="pl-PL"/>
        </w:rPr>
        <w:t>ciąży. Po stwierdzeniu ciąży leczenie blokerami receptora angiotensyny</w:t>
      </w:r>
      <w:r w:rsidR="001E0877" w:rsidRPr="00BD22FE">
        <w:rPr>
          <w:sz w:val="22"/>
          <w:szCs w:val="22"/>
          <w:lang w:val="pl-PL"/>
        </w:rPr>
        <w:t> </w:t>
      </w:r>
      <w:r w:rsidRPr="00BD22FE">
        <w:rPr>
          <w:sz w:val="22"/>
          <w:szCs w:val="22"/>
          <w:lang w:val="pl-PL"/>
        </w:rPr>
        <w:t>II należy natychmiast przerwać i</w:t>
      </w:r>
      <w:r w:rsidR="00717A7B" w:rsidRPr="00BD22FE">
        <w:rPr>
          <w:sz w:val="22"/>
          <w:szCs w:val="22"/>
          <w:lang w:val="pl-PL"/>
        </w:rPr>
        <w:t> </w:t>
      </w:r>
      <w:r w:rsidRPr="00BD22FE">
        <w:rPr>
          <w:sz w:val="22"/>
          <w:szCs w:val="22"/>
          <w:lang w:val="pl-PL"/>
        </w:rPr>
        <w:t>w</w:t>
      </w:r>
      <w:r w:rsidR="00717A7B" w:rsidRPr="00BD22FE">
        <w:rPr>
          <w:sz w:val="22"/>
          <w:szCs w:val="22"/>
          <w:lang w:val="pl-PL"/>
        </w:rPr>
        <w:t> </w:t>
      </w:r>
      <w:r w:rsidRPr="00BD22FE">
        <w:rPr>
          <w:sz w:val="22"/>
          <w:szCs w:val="22"/>
          <w:lang w:val="pl-PL"/>
        </w:rPr>
        <w:t xml:space="preserve">razie potrzeby rozpocząć </w:t>
      </w:r>
      <w:r w:rsidR="00173962" w:rsidRPr="00BD22FE">
        <w:rPr>
          <w:sz w:val="22"/>
          <w:szCs w:val="22"/>
          <w:lang w:val="pl-PL"/>
        </w:rPr>
        <w:t>alternatywne</w:t>
      </w:r>
      <w:r w:rsidRPr="00BD22FE">
        <w:rPr>
          <w:sz w:val="22"/>
          <w:szCs w:val="22"/>
          <w:lang w:val="pl-PL"/>
        </w:rPr>
        <w:t xml:space="preserve"> leczenie (patrz punkty 4.3 i</w:t>
      </w:r>
      <w:r w:rsidR="00717A7B" w:rsidRPr="00BD22FE">
        <w:rPr>
          <w:sz w:val="22"/>
          <w:szCs w:val="22"/>
          <w:lang w:val="pl-PL"/>
        </w:rPr>
        <w:t> </w:t>
      </w:r>
      <w:r w:rsidRPr="00BD22FE">
        <w:rPr>
          <w:sz w:val="22"/>
          <w:szCs w:val="22"/>
          <w:lang w:val="pl-PL"/>
        </w:rPr>
        <w:t>4.6).</w:t>
      </w:r>
    </w:p>
    <w:p w14:paraId="57CEA3E5" w14:textId="77777777" w:rsidR="000016E2" w:rsidRPr="00BD22FE" w:rsidRDefault="000016E2" w:rsidP="00941FBF">
      <w:pPr>
        <w:pStyle w:val="BodyText"/>
        <w:spacing w:line="240" w:lineRule="auto"/>
        <w:jc w:val="left"/>
        <w:rPr>
          <w:sz w:val="22"/>
          <w:szCs w:val="22"/>
          <w:u w:val="single"/>
          <w:lang w:val="pl-PL"/>
        </w:rPr>
      </w:pPr>
    </w:p>
    <w:p w14:paraId="2D726E78" w14:textId="77777777" w:rsidR="000016E2" w:rsidRPr="00BD22FE" w:rsidRDefault="00104CA8" w:rsidP="00283374">
      <w:pPr>
        <w:pStyle w:val="BodyText"/>
        <w:keepNext/>
        <w:spacing w:line="240" w:lineRule="auto"/>
        <w:jc w:val="left"/>
        <w:rPr>
          <w:sz w:val="22"/>
          <w:szCs w:val="22"/>
          <w:lang w:val="pl-PL"/>
        </w:rPr>
      </w:pPr>
      <w:r w:rsidRPr="00BD22FE">
        <w:rPr>
          <w:sz w:val="22"/>
          <w:szCs w:val="22"/>
          <w:u w:val="single"/>
          <w:lang w:val="pl-PL"/>
        </w:rPr>
        <w:t>Zaburzenia czynności wątroby</w:t>
      </w:r>
    </w:p>
    <w:p w14:paraId="1A04C91D" w14:textId="01DD36D7" w:rsidR="000016E2" w:rsidRPr="00BD22FE" w:rsidRDefault="00173962" w:rsidP="00941FBF">
      <w:pPr>
        <w:pStyle w:val="BodyText"/>
        <w:spacing w:line="240" w:lineRule="auto"/>
        <w:jc w:val="left"/>
        <w:rPr>
          <w:sz w:val="22"/>
          <w:szCs w:val="22"/>
          <w:lang w:val="pl-PL"/>
        </w:rPr>
      </w:pPr>
      <w:r w:rsidRPr="00BD22FE">
        <w:rPr>
          <w:sz w:val="22"/>
          <w:szCs w:val="22"/>
          <w:lang w:val="pl-PL"/>
        </w:rPr>
        <w:t xml:space="preserve">Nie wolno podawać </w:t>
      </w:r>
      <w:r w:rsidR="00104CA8" w:rsidRPr="00BD22FE">
        <w:rPr>
          <w:sz w:val="22"/>
          <w:szCs w:val="22"/>
          <w:lang w:val="pl-PL"/>
        </w:rPr>
        <w:t>telmisartanu/HCTZ pacjent</w:t>
      </w:r>
      <w:r w:rsidRPr="00BD22FE">
        <w:rPr>
          <w:sz w:val="22"/>
          <w:szCs w:val="22"/>
          <w:lang w:val="pl-PL"/>
        </w:rPr>
        <w:t>om</w:t>
      </w:r>
      <w:r w:rsidR="00104CA8" w:rsidRPr="00BD22FE">
        <w:rPr>
          <w:sz w:val="22"/>
          <w:szCs w:val="22"/>
          <w:lang w:val="pl-PL"/>
        </w:rPr>
        <w:t xml:space="preserve"> z</w:t>
      </w:r>
      <w:r w:rsidR="00717A7B" w:rsidRPr="00BD22FE">
        <w:rPr>
          <w:sz w:val="22"/>
          <w:szCs w:val="22"/>
          <w:lang w:val="pl-PL"/>
        </w:rPr>
        <w:t> </w:t>
      </w:r>
      <w:r w:rsidR="00104CA8" w:rsidRPr="00BD22FE">
        <w:rPr>
          <w:sz w:val="22"/>
          <w:szCs w:val="22"/>
          <w:lang w:val="pl-PL"/>
        </w:rPr>
        <w:t xml:space="preserve">zastojem żółci, </w:t>
      </w:r>
      <w:r w:rsidRPr="00BD22FE">
        <w:rPr>
          <w:sz w:val="22"/>
          <w:szCs w:val="22"/>
          <w:lang w:val="pl-PL"/>
        </w:rPr>
        <w:t>zaburzeniami odpływu żółci lub z </w:t>
      </w:r>
      <w:r w:rsidR="00104CA8" w:rsidRPr="00BD22FE">
        <w:rPr>
          <w:sz w:val="22"/>
          <w:szCs w:val="22"/>
          <w:lang w:val="pl-PL"/>
        </w:rPr>
        <w:t>ciężką niewydolnością wątroby (patrz punkt 4.3)</w:t>
      </w:r>
      <w:r w:rsidRPr="00BD22FE">
        <w:rPr>
          <w:sz w:val="22"/>
          <w:szCs w:val="22"/>
          <w:lang w:val="pl-PL"/>
        </w:rPr>
        <w:t>, ponieważ telmisartan jest wydalany głównie z żółcią</w:t>
      </w:r>
      <w:r w:rsidR="00104CA8" w:rsidRPr="00BD22FE">
        <w:rPr>
          <w:sz w:val="22"/>
          <w:szCs w:val="22"/>
          <w:lang w:val="pl-PL"/>
        </w:rPr>
        <w:t>. U</w:t>
      </w:r>
      <w:r w:rsidR="00717A7B" w:rsidRPr="00BD22FE">
        <w:rPr>
          <w:sz w:val="22"/>
          <w:szCs w:val="22"/>
          <w:lang w:val="pl-PL"/>
        </w:rPr>
        <w:t> </w:t>
      </w:r>
      <w:r w:rsidR="00104CA8" w:rsidRPr="00BD22FE">
        <w:rPr>
          <w:sz w:val="22"/>
          <w:szCs w:val="22"/>
          <w:lang w:val="pl-PL"/>
        </w:rPr>
        <w:t xml:space="preserve">tych pacjentów można spodziewać się </w:t>
      </w:r>
      <w:r w:rsidR="00090042" w:rsidRPr="00BD22FE">
        <w:rPr>
          <w:sz w:val="22"/>
          <w:szCs w:val="22"/>
          <w:lang w:val="pl-PL"/>
        </w:rPr>
        <w:t>zmniejszenia</w:t>
      </w:r>
      <w:r w:rsidR="00104CA8" w:rsidRPr="00BD22FE">
        <w:rPr>
          <w:sz w:val="22"/>
          <w:szCs w:val="22"/>
          <w:lang w:val="pl-PL"/>
        </w:rPr>
        <w:t xml:space="preserve"> klirensu wątrobowego telmisartanu.</w:t>
      </w:r>
    </w:p>
    <w:p w14:paraId="44A41701" w14:textId="77777777" w:rsidR="000016E2" w:rsidRPr="00BD22FE" w:rsidRDefault="000016E2" w:rsidP="00941FBF">
      <w:pPr>
        <w:pStyle w:val="BodyText"/>
        <w:spacing w:line="240" w:lineRule="auto"/>
        <w:jc w:val="left"/>
        <w:rPr>
          <w:sz w:val="22"/>
          <w:szCs w:val="22"/>
          <w:lang w:val="pl-PL"/>
        </w:rPr>
      </w:pPr>
    </w:p>
    <w:p w14:paraId="6613676A" w14:textId="06054701" w:rsidR="000016E2" w:rsidRPr="00BD22FE" w:rsidRDefault="00104CA8" w:rsidP="00941FBF">
      <w:pPr>
        <w:pStyle w:val="BodyText"/>
        <w:spacing w:line="240" w:lineRule="auto"/>
        <w:jc w:val="left"/>
        <w:rPr>
          <w:sz w:val="22"/>
          <w:szCs w:val="22"/>
          <w:lang w:val="pl-PL"/>
        </w:rPr>
      </w:pPr>
      <w:r w:rsidRPr="00BD22FE">
        <w:rPr>
          <w:sz w:val="22"/>
          <w:szCs w:val="22"/>
          <w:lang w:val="pl-PL"/>
        </w:rPr>
        <w:t>Ponadto należy zachować ostrożność w</w:t>
      </w:r>
      <w:r w:rsidR="00717A7B" w:rsidRPr="00BD22FE">
        <w:rPr>
          <w:sz w:val="22"/>
          <w:szCs w:val="22"/>
          <w:lang w:val="pl-PL"/>
        </w:rPr>
        <w:t> </w:t>
      </w:r>
      <w:r w:rsidRPr="00BD22FE">
        <w:rPr>
          <w:sz w:val="22"/>
          <w:szCs w:val="22"/>
          <w:lang w:val="pl-PL"/>
        </w:rPr>
        <w:t xml:space="preserve">przypadku </w:t>
      </w:r>
      <w:r w:rsidR="00AD74C5" w:rsidRPr="00BD22FE">
        <w:rPr>
          <w:sz w:val="22"/>
          <w:szCs w:val="22"/>
          <w:lang w:val="pl-PL"/>
        </w:rPr>
        <w:t xml:space="preserve">stosowania </w:t>
      </w:r>
      <w:r w:rsidRPr="00BD22FE">
        <w:rPr>
          <w:sz w:val="22"/>
          <w:szCs w:val="22"/>
          <w:lang w:val="pl-PL"/>
        </w:rPr>
        <w:t>telmisartanu/HCTZ pacjentom z zaburzeniem czynności wątroby lub z</w:t>
      </w:r>
      <w:r w:rsidR="00717A7B" w:rsidRPr="00BD22FE">
        <w:rPr>
          <w:sz w:val="22"/>
          <w:szCs w:val="22"/>
          <w:lang w:val="pl-PL"/>
        </w:rPr>
        <w:t> </w:t>
      </w:r>
      <w:r w:rsidRPr="00BD22FE">
        <w:rPr>
          <w:sz w:val="22"/>
          <w:szCs w:val="22"/>
          <w:lang w:val="pl-PL"/>
        </w:rPr>
        <w:t xml:space="preserve">postępującą chorobą wątroby, ponieważ nieznaczne zmiany równowagi wodno-elektrolitowej mogą przyśpieszyć wystąpienie śpiączki wątrobowej. Brak </w:t>
      </w:r>
      <w:r w:rsidR="009D2505" w:rsidRPr="00BD22FE">
        <w:rPr>
          <w:sz w:val="22"/>
          <w:szCs w:val="22"/>
          <w:lang w:val="pl-PL"/>
        </w:rPr>
        <w:t xml:space="preserve">doświadczenia </w:t>
      </w:r>
      <w:r w:rsidRPr="00BD22FE">
        <w:rPr>
          <w:sz w:val="22"/>
          <w:szCs w:val="22"/>
          <w:lang w:val="pl-PL"/>
        </w:rPr>
        <w:t>kliniczn</w:t>
      </w:r>
      <w:r w:rsidR="009D2505" w:rsidRPr="00BD22FE">
        <w:rPr>
          <w:sz w:val="22"/>
          <w:szCs w:val="22"/>
          <w:lang w:val="pl-PL"/>
        </w:rPr>
        <w:t>ego</w:t>
      </w:r>
      <w:r w:rsidRPr="00BD22FE">
        <w:rPr>
          <w:sz w:val="22"/>
          <w:szCs w:val="22"/>
          <w:lang w:val="pl-PL"/>
        </w:rPr>
        <w:t xml:space="preserve"> </w:t>
      </w:r>
      <w:r w:rsidR="009D2505" w:rsidRPr="00BD22FE">
        <w:rPr>
          <w:sz w:val="22"/>
          <w:szCs w:val="22"/>
          <w:lang w:val="pl-PL"/>
        </w:rPr>
        <w:t>ze </w:t>
      </w:r>
      <w:r w:rsidRPr="00BD22FE">
        <w:rPr>
          <w:sz w:val="22"/>
          <w:szCs w:val="22"/>
          <w:lang w:val="pl-PL"/>
        </w:rPr>
        <w:t>stosowani</w:t>
      </w:r>
      <w:r w:rsidR="009D2505" w:rsidRPr="00BD22FE">
        <w:rPr>
          <w:sz w:val="22"/>
          <w:szCs w:val="22"/>
          <w:lang w:val="pl-PL"/>
        </w:rPr>
        <w:t>em</w:t>
      </w:r>
      <w:r w:rsidRPr="00BD22FE">
        <w:rPr>
          <w:sz w:val="22"/>
          <w:szCs w:val="22"/>
          <w:lang w:val="pl-PL"/>
        </w:rPr>
        <w:t xml:space="preserve"> telmisartanu/HCTZ u</w:t>
      </w:r>
      <w:r w:rsidR="00717A7B" w:rsidRPr="00BD22FE">
        <w:rPr>
          <w:sz w:val="22"/>
          <w:szCs w:val="22"/>
          <w:lang w:val="pl-PL"/>
        </w:rPr>
        <w:t> </w:t>
      </w:r>
      <w:r w:rsidRPr="00BD22FE">
        <w:rPr>
          <w:sz w:val="22"/>
          <w:szCs w:val="22"/>
          <w:lang w:val="pl-PL"/>
        </w:rPr>
        <w:t>pacjentów z</w:t>
      </w:r>
      <w:r w:rsidR="00717A7B" w:rsidRPr="00BD22FE">
        <w:rPr>
          <w:sz w:val="22"/>
          <w:szCs w:val="22"/>
          <w:lang w:val="pl-PL"/>
        </w:rPr>
        <w:t> </w:t>
      </w:r>
      <w:r w:rsidRPr="00BD22FE">
        <w:rPr>
          <w:sz w:val="22"/>
          <w:szCs w:val="22"/>
          <w:lang w:val="pl-PL"/>
        </w:rPr>
        <w:t>zaburzeniem czynności wątroby.</w:t>
      </w:r>
    </w:p>
    <w:p w14:paraId="1173367C" w14:textId="77777777" w:rsidR="000016E2" w:rsidRPr="00BD22FE" w:rsidRDefault="000016E2" w:rsidP="00941FBF">
      <w:pPr>
        <w:pStyle w:val="BodyText"/>
        <w:spacing w:line="240" w:lineRule="auto"/>
        <w:jc w:val="left"/>
        <w:rPr>
          <w:sz w:val="22"/>
          <w:szCs w:val="22"/>
          <w:lang w:val="pl-PL"/>
        </w:rPr>
      </w:pPr>
    </w:p>
    <w:p w14:paraId="0BFDF8E2" w14:textId="77777777" w:rsidR="000016E2" w:rsidRPr="00BD22FE" w:rsidRDefault="00104CA8" w:rsidP="00283374">
      <w:pPr>
        <w:pStyle w:val="BodyText"/>
        <w:keepNext/>
        <w:spacing w:line="240" w:lineRule="auto"/>
        <w:jc w:val="left"/>
        <w:rPr>
          <w:sz w:val="22"/>
          <w:szCs w:val="22"/>
          <w:lang w:val="pl-PL"/>
        </w:rPr>
      </w:pPr>
      <w:r w:rsidRPr="00BD22FE">
        <w:rPr>
          <w:sz w:val="22"/>
          <w:szCs w:val="22"/>
          <w:u w:val="single"/>
          <w:lang w:val="pl-PL"/>
        </w:rPr>
        <w:t>Nadciśnienie naczyniowo-nerkowe</w:t>
      </w:r>
    </w:p>
    <w:p w14:paraId="2941B4AB" w14:textId="0338405E" w:rsidR="000016E2" w:rsidRPr="00BD22FE" w:rsidRDefault="00104CA8" w:rsidP="00941FBF">
      <w:pPr>
        <w:pStyle w:val="BodyText"/>
        <w:spacing w:line="240" w:lineRule="auto"/>
        <w:jc w:val="left"/>
        <w:rPr>
          <w:sz w:val="22"/>
          <w:szCs w:val="22"/>
          <w:lang w:val="pl-PL"/>
        </w:rPr>
      </w:pPr>
      <w:r w:rsidRPr="00BD22FE">
        <w:rPr>
          <w:sz w:val="22"/>
          <w:szCs w:val="22"/>
          <w:lang w:val="pl-PL"/>
        </w:rPr>
        <w:t>Stwierdzono zwiększone ryzyko wystąpienia ciężkiego niedociśnienia tętniczego i</w:t>
      </w:r>
      <w:r w:rsidR="00717A7B" w:rsidRPr="00BD22FE">
        <w:rPr>
          <w:sz w:val="22"/>
          <w:szCs w:val="22"/>
          <w:lang w:val="pl-PL"/>
        </w:rPr>
        <w:t> </w:t>
      </w:r>
      <w:r w:rsidRPr="00BD22FE">
        <w:rPr>
          <w:sz w:val="22"/>
          <w:szCs w:val="22"/>
          <w:lang w:val="pl-PL"/>
        </w:rPr>
        <w:t xml:space="preserve">niewydolności nerek podczas </w:t>
      </w:r>
      <w:r w:rsidR="00A55013" w:rsidRPr="00BD22FE">
        <w:rPr>
          <w:sz w:val="22"/>
          <w:szCs w:val="22"/>
          <w:lang w:val="pl-PL"/>
        </w:rPr>
        <w:t xml:space="preserve">leczenia produktami leczniczymi </w:t>
      </w:r>
      <w:r w:rsidRPr="00BD22FE">
        <w:rPr>
          <w:sz w:val="22"/>
          <w:szCs w:val="22"/>
          <w:lang w:val="pl-PL"/>
        </w:rPr>
        <w:t>wpływający</w:t>
      </w:r>
      <w:r w:rsidR="00A55013" w:rsidRPr="00BD22FE">
        <w:rPr>
          <w:sz w:val="22"/>
          <w:szCs w:val="22"/>
          <w:lang w:val="pl-PL"/>
        </w:rPr>
        <w:t>mi</w:t>
      </w:r>
      <w:r w:rsidRPr="00BD22FE">
        <w:rPr>
          <w:sz w:val="22"/>
          <w:szCs w:val="22"/>
          <w:lang w:val="pl-PL"/>
        </w:rPr>
        <w:t xml:space="preserve"> na układ renina-angiotensyna-aldosteron pacjent</w:t>
      </w:r>
      <w:r w:rsidR="00AE01B3" w:rsidRPr="00BD22FE">
        <w:rPr>
          <w:sz w:val="22"/>
          <w:szCs w:val="22"/>
          <w:lang w:val="pl-PL"/>
        </w:rPr>
        <w:t>ów</w:t>
      </w:r>
      <w:r w:rsidRPr="00BD22FE">
        <w:rPr>
          <w:sz w:val="22"/>
          <w:szCs w:val="22"/>
          <w:lang w:val="pl-PL"/>
        </w:rPr>
        <w:t xml:space="preserve"> z</w:t>
      </w:r>
      <w:r w:rsidR="00717A7B" w:rsidRPr="00BD22FE">
        <w:rPr>
          <w:sz w:val="22"/>
          <w:szCs w:val="22"/>
          <w:lang w:val="pl-PL"/>
        </w:rPr>
        <w:t> </w:t>
      </w:r>
      <w:r w:rsidRPr="00BD22FE">
        <w:rPr>
          <w:sz w:val="22"/>
          <w:szCs w:val="22"/>
          <w:lang w:val="pl-PL"/>
        </w:rPr>
        <w:t>obustronnym zwężeniem tętnic nerkowych lub ze zwężeniem tętnicy nerkowej w</w:t>
      </w:r>
      <w:r w:rsidR="00717A7B" w:rsidRPr="00BD22FE">
        <w:rPr>
          <w:sz w:val="22"/>
          <w:szCs w:val="22"/>
          <w:lang w:val="pl-PL"/>
        </w:rPr>
        <w:t> </w:t>
      </w:r>
      <w:r w:rsidRPr="00BD22FE">
        <w:rPr>
          <w:sz w:val="22"/>
          <w:szCs w:val="22"/>
          <w:lang w:val="pl-PL"/>
        </w:rPr>
        <w:t>przypadku jednej czynnej nerki.</w:t>
      </w:r>
    </w:p>
    <w:p w14:paraId="58BCD14C" w14:textId="060F7C8A" w:rsidR="000016E2" w:rsidRPr="00BD22FE" w:rsidRDefault="000016E2" w:rsidP="00941FBF">
      <w:pPr>
        <w:pStyle w:val="BodyText"/>
        <w:spacing w:line="240" w:lineRule="auto"/>
        <w:jc w:val="left"/>
        <w:rPr>
          <w:sz w:val="22"/>
          <w:szCs w:val="22"/>
          <w:lang w:val="pl-PL"/>
        </w:rPr>
      </w:pPr>
    </w:p>
    <w:p w14:paraId="5EB62DE5" w14:textId="3BC9D4AE" w:rsidR="000016E2" w:rsidRPr="00BD22FE" w:rsidRDefault="00104CA8" w:rsidP="00283374">
      <w:pPr>
        <w:pStyle w:val="BodyText"/>
        <w:keepNext/>
        <w:spacing w:line="240" w:lineRule="auto"/>
        <w:jc w:val="left"/>
        <w:rPr>
          <w:sz w:val="22"/>
          <w:szCs w:val="22"/>
          <w:lang w:val="pl-PL"/>
        </w:rPr>
      </w:pPr>
      <w:r w:rsidRPr="00BD22FE">
        <w:rPr>
          <w:sz w:val="22"/>
          <w:szCs w:val="22"/>
          <w:u w:val="single"/>
          <w:lang w:val="pl-PL"/>
        </w:rPr>
        <w:t>Zaburzenia czynności nerek i</w:t>
      </w:r>
      <w:r w:rsidR="00717A7B" w:rsidRPr="00BD22FE">
        <w:rPr>
          <w:sz w:val="22"/>
          <w:szCs w:val="22"/>
          <w:u w:val="single"/>
          <w:lang w:val="pl-PL"/>
        </w:rPr>
        <w:t> </w:t>
      </w:r>
      <w:r w:rsidRPr="00BD22FE">
        <w:rPr>
          <w:sz w:val="22"/>
          <w:szCs w:val="22"/>
          <w:u w:val="single"/>
          <w:lang w:val="pl-PL"/>
        </w:rPr>
        <w:t>przeszczep nerki</w:t>
      </w:r>
    </w:p>
    <w:p w14:paraId="0E0B8981" w14:textId="28BD2726" w:rsidR="000016E2" w:rsidRPr="00BD22FE" w:rsidRDefault="00104CA8" w:rsidP="00941FBF">
      <w:pPr>
        <w:pStyle w:val="BodyText"/>
        <w:spacing w:line="240" w:lineRule="auto"/>
        <w:jc w:val="left"/>
        <w:rPr>
          <w:sz w:val="22"/>
          <w:szCs w:val="22"/>
          <w:lang w:val="pl-PL"/>
        </w:rPr>
      </w:pPr>
      <w:r w:rsidRPr="00BD22FE">
        <w:rPr>
          <w:sz w:val="22"/>
          <w:szCs w:val="22"/>
          <w:lang w:val="pl-PL"/>
        </w:rPr>
        <w:t>Telmisartanu/HCTZ nie wolno stosować u</w:t>
      </w:r>
      <w:r w:rsidR="00717A7B" w:rsidRPr="00BD22FE">
        <w:rPr>
          <w:sz w:val="22"/>
          <w:szCs w:val="22"/>
          <w:lang w:val="pl-PL"/>
        </w:rPr>
        <w:t> </w:t>
      </w:r>
      <w:r w:rsidRPr="00BD22FE">
        <w:rPr>
          <w:sz w:val="22"/>
          <w:szCs w:val="22"/>
          <w:lang w:val="pl-PL"/>
        </w:rPr>
        <w:t>pacjentów z</w:t>
      </w:r>
      <w:r w:rsidR="00717A7B" w:rsidRPr="00BD22FE">
        <w:rPr>
          <w:sz w:val="22"/>
          <w:szCs w:val="22"/>
          <w:lang w:val="pl-PL"/>
        </w:rPr>
        <w:t> </w:t>
      </w:r>
      <w:r w:rsidRPr="00BD22FE">
        <w:rPr>
          <w:sz w:val="22"/>
          <w:szCs w:val="22"/>
          <w:lang w:val="pl-PL"/>
        </w:rPr>
        <w:t>ciężk</w:t>
      </w:r>
      <w:r w:rsidR="00CA348A" w:rsidRPr="00BD22FE">
        <w:rPr>
          <w:sz w:val="22"/>
          <w:szCs w:val="22"/>
          <w:lang w:val="pl-PL"/>
        </w:rPr>
        <w:t>imi</w:t>
      </w:r>
      <w:r w:rsidRPr="00BD22FE">
        <w:rPr>
          <w:sz w:val="22"/>
          <w:szCs w:val="22"/>
          <w:lang w:val="pl-PL"/>
        </w:rPr>
        <w:t xml:space="preserve"> </w:t>
      </w:r>
      <w:r w:rsidR="00CA348A" w:rsidRPr="00BD22FE">
        <w:rPr>
          <w:sz w:val="22"/>
          <w:szCs w:val="22"/>
          <w:lang w:val="pl-PL"/>
        </w:rPr>
        <w:t xml:space="preserve">zaburzeniami czynności </w:t>
      </w:r>
      <w:r w:rsidRPr="00BD22FE">
        <w:rPr>
          <w:sz w:val="22"/>
          <w:szCs w:val="22"/>
          <w:lang w:val="pl-PL"/>
        </w:rPr>
        <w:t xml:space="preserve">nerek (klirens kreatyniny &lt; 30 ml/min) (patrz punkt 4.3). Brak doświadczenia odnośnie </w:t>
      </w:r>
      <w:r w:rsidR="008C4140" w:rsidRPr="00BD22FE">
        <w:rPr>
          <w:sz w:val="22"/>
          <w:szCs w:val="22"/>
          <w:lang w:val="pl-PL"/>
        </w:rPr>
        <w:t>poda</w:t>
      </w:r>
      <w:r w:rsidRPr="00BD22FE">
        <w:rPr>
          <w:sz w:val="22"/>
          <w:szCs w:val="22"/>
          <w:lang w:val="pl-PL"/>
        </w:rPr>
        <w:t>wania telmisartanu/HCTZ pacjent</w:t>
      </w:r>
      <w:r w:rsidR="008C4140" w:rsidRPr="00BD22FE">
        <w:rPr>
          <w:sz w:val="22"/>
          <w:szCs w:val="22"/>
          <w:lang w:val="pl-PL"/>
        </w:rPr>
        <w:t>om</w:t>
      </w:r>
      <w:r w:rsidRPr="00BD22FE">
        <w:rPr>
          <w:sz w:val="22"/>
          <w:szCs w:val="22"/>
          <w:lang w:val="pl-PL"/>
        </w:rPr>
        <w:t xml:space="preserve"> po niedawno przebytym przeszczepieniu nerki. Istniej</w:t>
      </w:r>
      <w:r w:rsidR="008C4140" w:rsidRPr="00BD22FE">
        <w:rPr>
          <w:sz w:val="22"/>
          <w:szCs w:val="22"/>
          <w:lang w:val="pl-PL"/>
        </w:rPr>
        <w:t>e</w:t>
      </w:r>
      <w:r w:rsidRPr="00BD22FE">
        <w:rPr>
          <w:sz w:val="22"/>
          <w:szCs w:val="22"/>
          <w:lang w:val="pl-PL"/>
        </w:rPr>
        <w:t xml:space="preserve"> niewielkie doświadczeni</w:t>
      </w:r>
      <w:r w:rsidR="008C4140" w:rsidRPr="00BD22FE">
        <w:rPr>
          <w:sz w:val="22"/>
          <w:szCs w:val="22"/>
          <w:lang w:val="pl-PL"/>
        </w:rPr>
        <w:t>e</w:t>
      </w:r>
      <w:r w:rsidRPr="00BD22FE">
        <w:rPr>
          <w:sz w:val="22"/>
          <w:szCs w:val="22"/>
          <w:lang w:val="pl-PL"/>
        </w:rPr>
        <w:t xml:space="preserve"> w</w:t>
      </w:r>
      <w:r w:rsidR="00717A7B" w:rsidRPr="00BD22FE">
        <w:rPr>
          <w:sz w:val="22"/>
          <w:szCs w:val="22"/>
          <w:lang w:val="pl-PL"/>
        </w:rPr>
        <w:t> </w:t>
      </w:r>
      <w:r w:rsidRPr="00BD22FE">
        <w:rPr>
          <w:sz w:val="22"/>
          <w:szCs w:val="22"/>
          <w:lang w:val="pl-PL"/>
        </w:rPr>
        <w:t>stosowaniu telmisartanu/HCTZ u pacjentów z</w:t>
      </w:r>
      <w:r w:rsidR="00717A7B" w:rsidRPr="00BD22FE">
        <w:rPr>
          <w:sz w:val="22"/>
          <w:szCs w:val="22"/>
          <w:lang w:val="pl-PL"/>
        </w:rPr>
        <w:t> </w:t>
      </w:r>
      <w:r w:rsidRPr="00BD22FE">
        <w:rPr>
          <w:sz w:val="22"/>
          <w:szCs w:val="22"/>
          <w:lang w:val="pl-PL"/>
        </w:rPr>
        <w:t>łagodn</w:t>
      </w:r>
      <w:r w:rsidR="008C4140" w:rsidRPr="00BD22FE">
        <w:rPr>
          <w:sz w:val="22"/>
          <w:szCs w:val="22"/>
          <w:lang w:val="pl-PL"/>
        </w:rPr>
        <w:t>ymi</w:t>
      </w:r>
      <w:r w:rsidRPr="00BD22FE">
        <w:rPr>
          <w:sz w:val="22"/>
          <w:szCs w:val="22"/>
          <w:lang w:val="pl-PL"/>
        </w:rPr>
        <w:t xml:space="preserve"> </w:t>
      </w:r>
      <w:r w:rsidR="008C4140" w:rsidRPr="00BD22FE">
        <w:rPr>
          <w:sz w:val="22"/>
          <w:szCs w:val="22"/>
          <w:lang w:val="pl-PL"/>
        </w:rPr>
        <w:t>do </w:t>
      </w:r>
      <w:r w:rsidRPr="00BD22FE">
        <w:rPr>
          <w:sz w:val="22"/>
          <w:szCs w:val="22"/>
          <w:lang w:val="pl-PL"/>
        </w:rPr>
        <w:t>umiarkowan</w:t>
      </w:r>
      <w:r w:rsidR="008C4140" w:rsidRPr="00BD22FE">
        <w:rPr>
          <w:sz w:val="22"/>
          <w:szCs w:val="22"/>
          <w:lang w:val="pl-PL"/>
        </w:rPr>
        <w:t>ych</w:t>
      </w:r>
      <w:r w:rsidRPr="00BD22FE">
        <w:rPr>
          <w:sz w:val="22"/>
          <w:szCs w:val="22"/>
          <w:lang w:val="pl-PL"/>
        </w:rPr>
        <w:t xml:space="preserve"> </w:t>
      </w:r>
      <w:r w:rsidR="008C4140" w:rsidRPr="00BD22FE">
        <w:rPr>
          <w:sz w:val="22"/>
          <w:szCs w:val="22"/>
          <w:lang w:val="pl-PL"/>
        </w:rPr>
        <w:t xml:space="preserve">zaburzeniami czynności </w:t>
      </w:r>
      <w:r w:rsidRPr="00BD22FE">
        <w:rPr>
          <w:sz w:val="22"/>
          <w:szCs w:val="22"/>
          <w:lang w:val="pl-PL"/>
        </w:rPr>
        <w:t>nerek, w</w:t>
      </w:r>
      <w:r w:rsidR="00717A7B" w:rsidRPr="00BD22FE">
        <w:rPr>
          <w:sz w:val="22"/>
          <w:szCs w:val="22"/>
          <w:lang w:val="pl-PL"/>
        </w:rPr>
        <w:t> </w:t>
      </w:r>
      <w:r w:rsidRPr="00BD22FE">
        <w:rPr>
          <w:sz w:val="22"/>
          <w:szCs w:val="22"/>
          <w:lang w:val="pl-PL"/>
        </w:rPr>
        <w:t>związku z</w:t>
      </w:r>
      <w:r w:rsidR="00717A7B" w:rsidRPr="00BD22FE">
        <w:rPr>
          <w:sz w:val="22"/>
          <w:szCs w:val="22"/>
          <w:lang w:val="pl-PL"/>
        </w:rPr>
        <w:t> </w:t>
      </w:r>
      <w:r w:rsidRPr="00BD22FE">
        <w:rPr>
          <w:sz w:val="22"/>
          <w:szCs w:val="22"/>
          <w:lang w:val="pl-PL"/>
        </w:rPr>
        <w:t>tym zaleca się okresowe monitorowanie stężenia potasu, kreatyniny i</w:t>
      </w:r>
      <w:r w:rsidR="00717A7B" w:rsidRPr="00BD22FE">
        <w:rPr>
          <w:sz w:val="22"/>
          <w:szCs w:val="22"/>
          <w:lang w:val="pl-PL"/>
        </w:rPr>
        <w:t> </w:t>
      </w:r>
      <w:r w:rsidRPr="00BD22FE">
        <w:rPr>
          <w:sz w:val="22"/>
          <w:szCs w:val="22"/>
          <w:lang w:val="pl-PL"/>
        </w:rPr>
        <w:t>kwasu moczowego w</w:t>
      </w:r>
      <w:r w:rsidR="00717A7B" w:rsidRPr="00BD22FE">
        <w:rPr>
          <w:sz w:val="22"/>
          <w:szCs w:val="22"/>
          <w:lang w:val="pl-PL"/>
        </w:rPr>
        <w:t> </w:t>
      </w:r>
      <w:r w:rsidRPr="00BD22FE">
        <w:rPr>
          <w:sz w:val="22"/>
          <w:szCs w:val="22"/>
          <w:lang w:val="pl-PL"/>
        </w:rPr>
        <w:t>surowicy krwi. U</w:t>
      </w:r>
      <w:r w:rsidR="00717A7B" w:rsidRPr="00BD22FE">
        <w:rPr>
          <w:sz w:val="22"/>
          <w:szCs w:val="22"/>
          <w:lang w:val="pl-PL"/>
        </w:rPr>
        <w:t> </w:t>
      </w:r>
      <w:r w:rsidRPr="00BD22FE">
        <w:rPr>
          <w:sz w:val="22"/>
          <w:szCs w:val="22"/>
          <w:lang w:val="pl-PL"/>
        </w:rPr>
        <w:t>pacjentów z zaburzeniami czynności nerek może wystąpić azotemia związana z</w:t>
      </w:r>
      <w:r w:rsidR="00717A7B" w:rsidRPr="00BD22FE">
        <w:rPr>
          <w:sz w:val="22"/>
          <w:szCs w:val="22"/>
          <w:lang w:val="pl-PL"/>
        </w:rPr>
        <w:t> </w:t>
      </w:r>
      <w:r w:rsidRPr="00BD22FE">
        <w:rPr>
          <w:sz w:val="22"/>
          <w:szCs w:val="22"/>
          <w:lang w:val="pl-PL"/>
        </w:rPr>
        <w:t>podawanym diuretykiem tiazydowym.</w:t>
      </w:r>
    </w:p>
    <w:p w14:paraId="6BA6CF23" w14:textId="77777777" w:rsidR="000016E2" w:rsidRPr="00BD22FE" w:rsidRDefault="00104CA8" w:rsidP="00941FBF">
      <w:pPr>
        <w:pStyle w:val="BodyText"/>
        <w:spacing w:line="240" w:lineRule="auto"/>
        <w:jc w:val="left"/>
        <w:rPr>
          <w:lang w:val="pl-PL"/>
        </w:rPr>
      </w:pPr>
      <w:r w:rsidRPr="00BD22FE">
        <w:rPr>
          <w:sz w:val="22"/>
          <w:szCs w:val="22"/>
          <w:lang w:val="pl-PL"/>
        </w:rPr>
        <w:t>Telmisartan nie jest usuwany z krwi przez hemofiltrację i nie podlega dializie.</w:t>
      </w:r>
    </w:p>
    <w:p w14:paraId="7965512C" w14:textId="77777777" w:rsidR="000016E2" w:rsidRPr="00BD22FE" w:rsidRDefault="000016E2" w:rsidP="00941FBF">
      <w:pPr>
        <w:pStyle w:val="BodyText"/>
        <w:spacing w:line="240" w:lineRule="auto"/>
        <w:jc w:val="left"/>
        <w:rPr>
          <w:sz w:val="22"/>
          <w:szCs w:val="22"/>
          <w:lang w:val="pl-PL"/>
        </w:rPr>
      </w:pPr>
    </w:p>
    <w:p w14:paraId="3EE7EEB5" w14:textId="35286A69" w:rsidR="000016E2" w:rsidRPr="00BD22FE" w:rsidRDefault="00104CA8" w:rsidP="00283374">
      <w:pPr>
        <w:pStyle w:val="BodyText"/>
        <w:keepNext/>
        <w:spacing w:line="240" w:lineRule="auto"/>
        <w:jc w:val="left"/>
        <w:rPr>
          <w:sz w:val="22"/>
          <w:szCs w:val="22"/>
          <w:lang w:val="pl-PL"/>
        </w:rPr>
      </w:pPr>
      <w:r w:rsidRPr="00BD22FE">
        <w:rPr>
          <w:sz w:val="22"/>
          <w:szCs w:val="22"/>
          <w:u w:val="single"/>
          <w:lang w:val="pl-PL"/>
        </w:rPr>
        <w:t>Pacjenci ze zmniejszoną objętością wewnątrznaczyniową i (lub) zmniejszonym stężeniem sodu</w:t>
      </w:r>
    </w:p>
    <w:p w14:paraId="62BD7AFB" w14:textId="7B939B97" w:rsidR="000016E2" w:rsidRPr="00BD22FE" w:rsidRDefault="00104CA8" w:rsidP="00941FBF">
      <w:pPr>
        <w:pStyle w:val="BodyText"/>
        <w:spacing w:line="240" w:lineRule="auto"/>
        <w:jc w:val="left"/>
        <w:rPr>
          <w:sz w:val="22"/>
          <w:szCs w:val="22"/>
          <w:lang w:val="pl-PL"/>
        </w:rPr>
      </w:pPr>
      <w:r w:rsidRPr="00BD22FE">
        <w:rPr>
          <w:sz w:val="22"/>
          <w:szCs w:val="22"/>
          <w:lang w:val="pl-PL"/>
        </w:rPr>
        <w:t>Objawowe niedociśnienie tętnicze, szczególnie po pierwszej dawce, może wystąpić u</w:t>
      </w:r>
      <w:r w:rsidR="00717A7B" w:rsidRPr="00BD22FE">
        <w:rPr>
          <w:sz w:val="22"/>
          <w:szCs w:val="22"/>
          <w:lang w:val="pl-PL"/>
        </w:rPr>
        <w:t> </w:t>
      </w:r>
      <w:r w:rsidR="00402CB4" w:rsidRPr="00BD22FE">
        <w:rPr>
          <w:sz w:val="22"/>
          <w:szCs w:val="22"/>
          <w:lang w:val="pl-PL"/>
        </w:rPr>
        <w:t>pacjentów</w:t>
      </w:r>
      <w:r w:rsidRPr="00BD22FE">
        <w:rPr>
          <w:sz w:val="22"/>
          <w:szCs w:val="22"/>
          <w:lang w:val="pl-PL"/>
        </w:rPr>
        <w:t xml:space="preserve"> ze zmniejszoną objętością wewnątrznaczyniową i</w:t>
      </w:r>
      <w:r w:rsidR="00B15C46" w:rsidRPr="00BD22FE">
        <w:rPr>
          <w:sz w:val="22"/>
          <w:szCs w:val="22"/>
          <w:lang w:val="pl-PL"/>
        </w:rPr>
        <w:t> </w:t>
      </w:r>
      <w:r w:rsidRPr="00BD22FE">
        <w:rPr>
          <w:sz w:val="22"/>
          <w:szCs w:val="22"/>
          <w:lang w:val="pl-PL"/>
        </w:rPr>
        <w:t>(lub) zmniejszonym stężeniem sodu w</w:t>
      </w:r>
      <w:r w:rsidR="00717A7B" w:rsidRPr="00BD22FE">
        <w:rPr>
          <w:sz w:val="22"/>
          <w:szCs w:val="22"/>
          <w:lang w:val="pl-PL"/>
        </w:rPr>
        <w:t> </w:t>
      </w:r>
      <w:r w:rsidRPr="00BD22FE">
        <w:rPr>
          <w:sz w:val="22"/>
          <w:szCs w:val="22"/>
          <w:lang w:val="pl-PL"/>
        </w:rPr>
        <w:t>wyniku intensywnego leczenia moczopędnego, ograniczenia spożycia soli, biegunki lub wymiotów. Zaburzenia te, w</w:t>
      </w:r>
      <w:r w:rsidR="00717A7B" w:rsidRPr="00BD22FE">
        <w:rPr>
          <w:sz w:val="22"/>
          <w:szCs w:val="22"/>
          <w:lang w:val="pl-PL"/>
        </w:rPr>
        <w:t> </w:t>
      </w:r>
      <w:r w:rsidRPr="00BD22FE">
        <w:rPr>
          <w:sz w:val="22"/>
          <w:szCs w:val="22"/>
          <w:lang w:val="pl-PL"/>
        </w:rPr>
        <w:t>szczególności zmniejszenie objętości wewnątrznaczyniowej i</w:t>
      </w:r>
      <w:r w:rsidR="00B15C46" w:rsidRPr="00BD22FE">
        <w:rPr>
          <w:sz w:val="22"/>
          <w:szCs w:val="22"/>
          <w:lang w:val="pl-PL"/>
        </w:rPr>
        <w:t> </w:t>
      </w:r>
      <w:r w:rsidRPr="00BD22FE">
        <w:rPr>
          <w:sz w:val="22"/>
          <w:szCs w:val="22"/>
          <w:lang w:val="pl-PL"/>
        </w:rPr>
        <w:t>(lub) zmniejszenie stężenia sodu, powinny zostać wyrównane przed podaniem produktu leczniczego MicardisPlus.</w:t>
      </w:r>
    </w:p>
    <w:p w14:paraId="1A23D83C" w14:textId="77777777" w:rsidR="000016E2" w:rsidRPr="00BD22FE" w:rsidRDefault="00104CA8" w:rsidP="00941FBF">
      <w:pPr>
        <w:rPr>
          <w:sz w:val="22"/>
          <w:szCs w:val="22"/>
          <w:lang w:val="pl-PL"/>
        </w:rPr>
      </w:pPr>
      <w:r w:rsidRPr="00BD22FE">
        <w:rPr>
          <w:sz w:val="22"/>
          <w:szCs w:val="22"/>
          <w:lang w:val="pl-PL"/>
        </w:rPr>
        <w:t>W przypadku stosowania HCTZ obserwowano izolowane przypadki hiponatremii z towarzyszącymi objawami neurologicznymi (nudności, postępująca dezorientacja, apatia).</w:t>
      </w:r>
    </w:p>
    <w:p w14:paraId="6C2B4299" w14:textId="77777777" w:rsidR="000016E2" w:rsidRPr="00BD22FE" w:rsidRDefault="000016E2" w:rsidP="00941FBF">
      <w:pPr>
        <w:rPr>
          <w:sz w:val="22"/>
          <w:szCs w:val="22"/>
          <w:u w:val="single"/>
          <w:lang w:val="pl-PL"/>
        </w:rPr>
      </w:pPr>
    </w:p>
    <w:p w14:paraId="52A6C863" w14:textId="3925BA42" w:rsidR="000016E2" w:rsidRPr="00BD22FE" w:rsidRDefault="00104CA8" w:rsidP="00941FBF">
      <w:pPr>
        <w:keepNext/>
        <w:rPr>
          <w:sz w:val="22"/>
          <w:szCs w:val="22"/>
          <w:u w:val="single"/>
          <w:lang w:val="pl-PL"/>
        </w:rPr>
      </w:pPr>
      <w:r w:rsidRPr="00BD22FE">
        <w:rPr>
          <w:sz w:val="22"/>
          <w:szCs w:val="22"/>
          <w:u w:val="single"/>
          <w:lang w:val="pl-PL"/>
        </w:rPr>
        <w:t>Podwójna blokada układu renina-angiotensyna-aldosteron (RAA) (ang. Renin-Angiotensin-Aldosterone-system</w:t>
      </w:r>
      <w:r w:rsidR="00EE3382" w:rsidRPr="00BD22FE">
        <w:rPr>
          <w:sz w:val="22"/>
          <w:szCs w:val="22"/>
          <w:u w:val="single"/>
          <w:lang w:val="pl-PL"/>
        </w:rPr>
        <w:t>,</w:t>
      </w:r>
      <w:r w:rsidRPr="00BD22FE">
        <w:rPr>
          <w:sz w:val="22"/>
          <w:szCs w:val="22"/>
          <w:u w:val="single"/>
          <w:lang w:val="pl-PL"/>
        </w:rPr>
        <w:t xml:space="preserve"> RAAS)</w:t>
      </w:r>
    </w:p>
    <w:p w14:paraId="636271E1" w14:textId="17BCCDF9" w:rsidR="000016E2" w:rsidRPr="00BD22FE" w:rsidRDefault="00104CA8" w:rsidP="00941FBF">
      <w:pPr>
        <w:rPr>
          <w:sz w:val="22"/>
          <w:szCs w:val="22"/>
          <w:lang w:val="pl-PL"/>
        </w:rPr>
      </w:pPr>
      <w:r w:rsidRPr="00BD22FE">
        <w:rPr>
          <w:sz w:val="22"/>
          <w:szCs w:val="22"/>
          <w:lang w:val="pl-PL"/>
        </w:rPr>
        <w:t>Istnieją dowody, iż jednoczesne stosowanie inhibitorów konwertazy angiotensyny (ang. Angiotensin Converting Enzyme Inhibitors, ACEi), blokerów receptora angiotensyny II lub aliskirenu zwiększa ryzyko niedociśnienia</w:t>
      </w:r>
      <w:r w:rsidR="00DC3673" w:rsidRPr="00BD22FE">
        <w:rPr>
          <w:sz w:val="22"/>
          <w:szCs w:val="22"/>
          <w:lang w:val="pl-PL"/>
        </w:rPr>
        <w:t xml:space="preserve"> tętniczego</w:t>
      </w:r>
      <w:r w:rsidRPr="00BD22FE">
        <w:rPr>
          <w:sz w:val="22"/>
          <w:szCs w:val="22"/>
          <w:lang w:val="pl-PL"/>
        </w:rPr>
        <w:t>, hiperkaliemii oraz zaburze</w:t>
      </w:r>
      <w:r w:rsidR="00DC3673" w:rsidRPr="00BD22FE">
        <w:rPr>
          <w:sz w:val="22"/>
          <w:szCs w:val="22"/>
          <w:lang w:val="pl-PL"/>
        </w:rPr>
        <w:t>ń</w:t>
      </w:r>
      <w:r w:rsidRPr="00BD22FE">
        <w:rPr>
          <w:sz w:val="22"/>
          <w:szCs w:val="22"/>
          <w:lang w:val="pl-PL"/>
        </w:rPr>
        <w:t xml:space="preserve"> czynności nerek (w tym ostrej niewydolności nerek). W</w:t>
      </w:r>
      <w:r w:rsidR="00717A7B" w:rsidRPr="00BD22FE">
        <w:rPr>
          <w:sz w:val="22"/>
          <w:szCs w:val="22"/>
          <w:lang w:val="pl-PL"/>
        </w:rPr>
        <w:t> </w:t>
      </w:r>
      <w:r w:rsidRPr="00BD22FE">
        <w:rPr>
          <w:sz w:val="22"/>
          <w:szCs w:val="22"/>
          <w:lang w:val="pl-PL"/>
        </w:rPr>
        <w:t xml:space="preserve">związku z tym nie zaleca się podwójnego blokowania układu RAA poprzez </w:t>
      </w:r>
      <w:r w:rsidRPr="00BD22FE">
        <w:rPr>
          <w:sz w:val="22"/>
          <w:szCs w:val="22"/>
          <w:lang w:val="pl-PL"/>
        </w:rPr>
        <w:lastRenderedPageBreak/>
        <w:t>jednoczesne stosowanie inhibitorów ACE, blokerów receptora angiotensyny</w:t>
      </w:r>
      <w:r w:rsidR="001E0877" w:rsidRPr="00BD22FE">
        <w:rPr>
          <w:sz w:val="22"/>
          <w:szCs w:val="22"/>
          <w:lang w:val="pl-PL"/>
        </w:rPr>
        <w:t> </w:t>
      </w:r>
      <w:r w:rsidRPr="00BD22FE">
        <w:rPr>
          <w:sz w:val="22"/>
          <w:szCs w:val="22"/>
          <w:lang w:val="pl-PL"/>
        </w:rPr>
        <w:t>II lub aliskirenu (patrz punkty 4.5 i 5.1).</w:t>
      </w:r>
    </w:p>
    <w:p w14:paraId="52B79E80" w14:textId="627D8D55" w:rsidR="000016E2" w:rsidRPr="00BD22FE" w:rsidRDefault="00104CA8" w:rsidP="00941FBF">
      <w:pPr>
        <w:rPr>
          <w:sz w:val="22"/>
          <w:szCs w:val="22"/>
          <w:lang w:val="pl-PL"/>
        </w:rPr>
      </w:pPr>
      <w:r w:rsidRPr="00BD22FE">
        <w:rPr>
          <w:sz w:val="22"/>
          <w:szCs w:val="22"/>
          <w:lang w:val="pl-PL"/>
        </w:rPr>
        <w:t>Jeśli zastosowanie podwójnej blokady układu RAA</w:t>
      </w:r>
      <w:r w:rsidR="00DB6F1E" w:rsidRPr="00BD22FE">
        <w:rPr>
          <w:sz w:val="22"/>
          <w:szCs w:val="22"/>
          <w:lang w:val="pl-PL"/>
        </w:rPr>
        <w:t xml:space="preserve"> </w:t>
      </w:r>
      <w:r w:rsidR="005460E0" w:rsidRPr="00BD22FE">
        <w:rPr>
          <w:sz w:val="22"/>
          <w:szCs w:val="22"/>
          <w:lang w:val="pl-PL"/>
        </w:rPr>
        <w:t>uważa się za </w:t>
      </w:r>
      <w:r w:rsidRPr="00BD22FE">
        <w:rPr>
          <w:sz w:val="22"/>
          <w:szCs w:val="22"/>
          <w:lang w:val="pl-PL"/>
        </w:rPr>
        <w:t>absolutnie konieczne, powinno być prowadzone wyłącznie pod nadzorem specjalisty, a</w:t>
      </w:r>
      <w:r w:rsidR="00717A7B" w:rsidRPr="00BD22FE">
        <w:rPr>
          <w:sz w:val="22"/>
          <w:szCs w:val="22"/>
          <w:lang w:val="pl-PL"/>
        </w:rPr>
        <w:t> </w:t>
      </w:r>
      <w:r w:rsidRPr="00BD22FE">
        <w:rPr>
          <w:sz w:val="22"/>
          <w:szCs w:val="22"/>
          <w:lang w:val="pl-PL"/>
        </w:rPr>
        <w:t xml:space="preserve">czynność nerek, stężenie elektrolitów oraz ciśnienie </w:t>
      </w:r>
      <w:r w:rsidR="002A78E5" w:rsidRPr="00BD22FE">
        <w:rPr>
          <w:sz w:val="22"/>
          <w:szCs w:val="22"/>
          <w:lang w:val="pl-PL"/>
        </w:rPr>
        <w:t xml:space="preserve">tętnicze </w:t>
      </w:r>
      <w:r w:rsidRPr="00BD22FE">
        <w:rPr>
          <w:sz w:val="22"/>
          <w:szCs w:val="22"/>
          <w:lang w:val="pl-PL"/>
        </w:rPr>
        <w:t xml:space="preserve">krwi powinny być </w:t>
      </w:r>
      <w:r w:rsidR="002A78E5" w:rsidRPr="00BD22FE">
        <w:rPr>
          <w:sz w:val="22"/>
          <w:szCs w:val="22"/>
          <w:lang w:val="pl-PL"/>
        </w:rPr>
        <w:t>często i </w:t>
      </w:r>
      <w:r w:rsidRPr="00BD22FE">
        <w:rPr>
          <w:sz w:val="22"/>
          <w:szCs w:val="22"/>
          <w:lang w:val="pl-PL"/>
        </w:rPr>
        <w:t>ściśle monitorowane.</w:t>
      </w:r>
    </w:p>
    <w:p w14:paraId="69488591" w14:textId="7E777162" w:rsidR="000016E2" w:rsidRPr="00BD22FE" w:rsidRDefault="00104CA8" w:rsidP="00941FBF">
      <w:pPr>
        <w:rPr>
          <w:sz w:val="22"/>
          <w:szCs w:val="22"/>
          <w:lang w:val="pl-PL"/>
        </w:rPr>
      </w:pPr>
      <w:r w:rsidRPr="00BD22FE">
        <w:rPr>
          <w:sz w:val="22"/>
          <w:szCs w:val="22"/>
          <w:lang w:val="pl-PL"/>
        </w:rPr>
        <w:t>U</w:t>
      </w:r>
      <w:r w:rsidR="00717A7B" w:rsidRPr="00BD22FE">
        <w:rPr>
          <w:sz w:val="22"/>
          <w:szCs w:val="22"/>
          <w:lang w:val="pl-PL"/>
        </w:rPr>
        <w:t> </w:t>
      </w:r>
      <w:r w:rsidRPr="00BD22FE">
        <w:rPr>
          <w:sz w:val="22"/>
          <w:szCs w:val="22"/>
          <w:lang w:val="pl-PL"/>
        </w:rPr>
        <w:t>pacjentów z</w:t>
      </w:r>
      <w:r w:rsidR="00717A7B" w:rsidRPr="00BD22FE">
        <w:rPr>
          <w:sz w:val="22"/>
          <w:szCs w:val="22"/>
          <w:lang w:val="pl-PL"/>
        </w:rPr>
        <w:t> </w:t>
      </w:r>
      <w:r w:rsidRPr="00BD22FE">
        <w:rPr>
          <w:sz w:val="22"/>
          <w:szCs w:val="22"/>
          <w:lang w:val="pl-PL"/>
        </w:rPr>
        <w:t>nefropatią cukrzycową nie należy stosować jednocześnie inhibitorów ACE oraz blokerów receptora angiotensyny</w:t>
      </w:r>
      <w:r w:rsidR="001E0877" w:rsidRPr="00BD22FE">
        <w:rPr>
          <w:sz w:val="22"/>
          <w:szCs w:val="22"/>
          <w:lang w:val="pl-PL"/>
        </w:rPr>
        <w:t> </w:t>
      </w:r>
      <w:r w:rsidRPr="00BD22FE">
        <w:rPr>
          <w:sz w:val="22"/>
          <w:szCs w:val="22"/>
          <w:lang w:val="pl-PL"/>
        </w:rPr>
        <w:t>II.</w:t>
      </w:r>
    </w:p>
    <w:p w14:paraId="1E38E930" w14:textId="77777777" w:rsidR="000016E2" w:rsidRPr="00BD22FE" w:rsidRDefault="000016E2" w:rsidP="00941FBF">
      <w:pPr>
        <w:rPr>
          <w:sz w:val="22"/>
          <w:szCs w:val="22"/>
          <w:lang w:val="pl-PL"/>
        </w:rPr>
      </w:pPr>
    </w:p>
    <w:p w14:paraId="0856A44B" w14:textId="046E611A" w:rsidR="000016E2" w:rsidRPr="00BD22FE" w:rsidRDefault="00104CA8" w:rsidP="00941FBF">
      <w:pPr>
        <w:pStyle w:val="BodyText"/>
        <w:keepNext/>
        <w:spacing w:line="240" w:lineRule="auto"/>
        <w:jc w:val="left"/>
        <w:rPr>
          <w:sz w:val="22"/>
          <w:szCs w:val="22"/>
          <w:u w:val="single"/>
          <w:lang w:val="pl-PL"/>
        </w:rPr>
      </w:pPr>
      <w:r w:rsidRPr="00BD22FE">
        <w:rPr>
          <w:sz w:val="22"/>
          <w:szCs w:val="22"/>
          <w:u w:val="single"/>
          <w:lang w:val="pl-PL"/>
        </w:rPr>
        <w:t>Inne stany związane z</w:t>
      </w:r>
      <w:r w:rsidR="00717A7B" w:rsidRPr="00BD22FE">
        <w:rPr>
          <w:sz w:val="22"/>
          <w:szCs w:val="22"/>
          <w:u w:val="single"/>
          <w:lang w:val="pl-PL"/>
        </w:rPr>
        <w:t> </w:t>
      </w:r>
      <w:r w:rsidRPr="00BD22FE">
        <w:rPr>
          <w:sz w:val="22"/>
          <w:szCs w:val="22"/>
          <w:u w:val="single"/>
          <w:lang w:val="pl-PL"/>
        </w:rPr>
        <w:t>pobudzeniem układu renina-angiotensyna-aldosteron</w:t>
      </w:r>
    </w:p>
    <w:p w14:paraId="7EE97A27" w14:textId="65977C6C" w:rsidR="000016E2" w:rsidRPr="00BD22FE" w:rsidRDefault="00104CA8" w:rsidP="00941FBF">
      <w:pPr>
        <w:pStyle w:val="BodyText"/>
        <w:spacing w:line="240" w:lineRule="auto"/>
        <w:jc w:val="left"/>
        <w:rPr>
          <w:sz w:val="22"/>
          <w:szCs w:val="22"/>
          <w:lang w:val="pl-PL"/>
        </w:rPr>
      </w:pPr>
      <w:r w:rsidRPr="00BD22FE">
        <w:rPr>
          <w:sz w:val="22"/>
          <w:szCs w:val="22"/>
          <w:lang w:val="pl-PL"/>
        </w:rPr>
        <w:t>U</w:t>
      </w:r>
      <w:r w:rsidR="00717A7B" w:rsidRPr="00BD22FE">
        <w:rPr>
          <w:sz w:val="22"/>
          <w:szCs w:val="22"/>
          <w:lang w:val="pl-PL"/>
        </w:rPr>
        <w:t> </w:t>
      </w:r>
      <w:r w:rsidR="003B5FF4" w:rsidRPr="00BD22FE">
        <w:rPr>
          <w:sz w:val="22"/>
          <w:szCs w:val="22"/>
          <w:lang w:val="pl-PL"/>
        </w:rPr>
        <w:t>pacjentów</w:t>
      </w:r>
      <w:r w:rsidRPr="00BD22FE">
        <w:rPr>
          <w:sz w:val="22"/>
          <w:szCs w:val="22"/>
          <w:lang w:val="pl-PL"/>
        </w:rPr>
        <w:t>, u</w:t>
      </w:r>
      <w:r w:rsidR="00717A7B" w:rsidRPr="00BD22FE">
        <w:rPr>
          <w:sz w:val="22"/>
          <w:szCs w:val="22"/>
          <w:lang w:val="pl-PL"/>
        </w:rPr>
        <w:t> </w:t>
      </w:r>
      <w:r w:rsidRPr="00BD22FE">
        <w:rPr>
          <w:sz w:val="22"/>
          <w:szCs w:val="22"/>
          <w:lang w:val="pl-PL"/>
        </w:rPr>
        <w:t>których napięcie naczyniowe i</w:t>
      </w:r>
      <w:r w:rsidR="00717A7B" w:rsidRPr="00BD22FE">
        <w:rPr>
          <w:sz w:val="22"/>
          <w:szCs w:val="22"/>
          <w:lang w:val="pl-PL"/>
        </w:rPr>
        <w:t> </w:t>
      </w:r>
      <w:r w:rsidRPr="00BD22FE">
        <w:rPr>
          <w:sz w:val="22"/>
          <w:szCs w:val="22"/>
          <w:lang w:val="pl-PL"/>
        </w:rPr>
        <w:t>czynność nerek zależą głównie od aktywności układu renina-angiotensyna-aldosteron (np. pacjenci z</w:t>
      </w:r>
      <w:r w:rsidR="00717A7B" w:rsidRPr="00BD22FE">
        <w:rPr>
          <w:sz w:val="22"/>
          <w:szCs w:val="22"/>
          <w:lang w:val="pl-PL"/>
        </w:rPr>
        <w:t> </w:t>
      </w:r>
      <w:r w:rsidRPr="00BD22FE">
        <w:rPr>
          <w:sz w:val="22"/>
          <w:szCs w:val="22"/>
          <w:lang w:val="pl-PL"/>
        </w:rPr>
        <w:t xml:space="preserve">ciężką zastoinową niewydolnością serca lub </w:t>
      </w:r>
      <w:r w:rsidR="003B5FF4" w:rsidRPr="00BD22FE">
        <w:rPr>
          <w:sz w:val="22"/>
          <w:szCs w:val="22"/>
          <w:lang w:val="pl-PL"/>
        </w:rPr>
        <w:t>z chorobami</w:t>
      </w:r>
      <w:r w:rsidRPr="00BD22FE">
        <w:rPr>
          <w:sz w:val="22"/>
          <w:szCs w:val="22"/>
          <w:lang w:val="pl-PL"/>
        </w:rPr>
        <w:t xml:space="preserve"> nerek, w</w:t>
      </w:r>
      <w:r w:rsidR="00717A7B" w:rsidRPr="00BD22FE">
        <w:rPr>
          <w:sz w:val="22"/>
          <w:szCs w:val="22"/>
          <w:lang w:val="pl-PL"/>
        </w:rPr>
        <w:t> </w:t>
      </w:r>
      <w:r w:rsidRPr="00BD22FE">
        <w:rPr>
          <w:sz w:val="22"/>
          <w:szCs w:val="22"/>
          <w:lang w:val="pl-PL"/>
        </w:rPr>
        <w:t xml:space="preserve">tym ze zwężeniem tętnicy nerkowej) </w:t>
      </w:r>
      <w:r w:rsidR="003B5FF4" w:rsidRPr="00BD22FE">
        <w:rPr>
          <w:sz w:val="22"/>
          <w:szCs w:val="22"/>
          <w:lang w:val="pl-PL"/>
        </w:rPr>
        <w:t>leczenie produktami leczniczymi</w:t>
      </w:r>
      <w:r w:rsidR="003B5FF4" w:rsidRPr="00BD22FE" w:rsidDel="003B5FF4">
        <w:rPr>
          <w:sz w:val="22"/>
          <w:szCs w:val="22"/>
          <w:lang w:val="pl-PL"/>
        </w:rPr>
        <w:t xml:space="preserve"> </w:t>
      </w:r>
      <w:r w:rsidRPr="00BD22FE">
        <w:rPr>
          <w:sz w:val="22"/>
          <w:szCs w:val="22"/>
          <w:lang w:val="pl-PL"/>
        </w:rPr>
        <w:t>wpływający</w:t>
      </w:r>
      <w:r w:rsidR="003B5FF4" w:rsidRPr="00BD22FE">
        <w:rPr>
          <w:sz w:val="22"/>
          <w:szCs w:val="22"/>
          <w:lang w:val="pl-PL"/>
        </w:rPr>
        <w:t>mi</w:t>
      </w:r>
      <w:r w:rsidRPr="00BD22FE">
        <w:rPr>
          <w:sz w:val="22"/>
          <w:szCs w:val="22"/>
          <w:lang w:val="pl-PL"/>
        </w:rPr>
        <w:t xml:space="preserve"> na ten układ było związane z</w:t>
      </w:r>
      <w:r w:rsidR="00717A7B" w:rsidRPr="00BD22FE">
        <w:rPr>
          <w:sz w:val="22"/>
          <w:szCs w:val="22"/>
          <w:lang w:val="pl-PL"/>
        </w:rPr>
        <w:t> </w:t>
      </w:r>
      <w:r w:rsidRPr="00BD22FE">
        <w:rPr>
          <w:sz w:val="22"/>
          <w:szCs w:val="22"/>
          <w:lang w:val="pl-PL"/>
        </w:rPr>
        <w:t>gwałtownym obniżeniem ciśnienia</w:t>
      </w:r>
      <w:r w:rsidR="003B5FF4" w:rsidRPr="00BD22FE">
        <w:rPr>
          <w:sz w:val="22"/>
          <w:szCs w:val="22"/>
          <w:lang w:val="pl-PL"/>
        </w:rPr>
        <w:t xml:space="preserve"> tętniczego</w:t>
      </w:r>
      <w:r w:rsidRPr="00BD22FE">
        <w:rPr>
          <w:sz w:val="22"/>
          <w:szCs w:val="22"/>
          <w:lang w:val="pl-PL"/>
        </w:rPr>
        <w:t xml:space="preserve"> krwi, hiperazotemią, oligurią oraz rzadko, z</w:t>
      </w:r>
      <w:r w:rsidR="00717A7B" w:rsidRPr="00BD22FE">
        <w:rPr>
          <w:sz w:val="22"/>
          <w:szCs w:val="22"/>
          <w:lang w:val="pl-PL"/>
        </w:rPr>
        <w:t> </w:t>
      </w:r>
      <w:r w:rsidRPr="00BD22FE">
        <w:rPr>
          <w:sz w:val="22"/>
          <w:szCs w:val="22"/>
          <w:lang w:val="pl-PL"/>
        </w:rPr>
        <w:t>ostrą niewydolnością nerek (patrz punkt 4.8).</w:t>
      </w:r>
    </w:p>
    <w:p w14:paraId="5E00311D" w14:textId="77777777" w:rsidR="000016E2" w:rsidRPr="00BD22FE" w:rsidRDefault="000016E2" w:rsidP="00941FBF">
      <w:pPr>
        <w:pStyle w:val="BodyText"/>
        <w:spacing w:line="240" w:lineRule="auto"/>
        <w:jc w:val="left"/>
        <w:rPr>
          <w:sz w:val="22"/>
          <w:szCs w:val="22"/>
          <w:lang w:val="pl-PL"/>
        </w:rPr>
      </w:pPr>
    </w:p>
    <w:p w14:paraId="4869049E" w14:textId="4F985519" w:rsidR="000016E2" w:rsidRPr="00BD22FE" w:rsidRDefault="00104CA8" w:rsidP="00283374">
      <w:pPr>
        <w:pStyle w:val="BodyText"/>
        <w:keepNext/>
        <w:spacing w:line="240" w:lineRule="auto"/>
        <w:jc w:val="left"/>
        <w:rPr>
          <w:sz w:val="22"/>
          <w:szCs w:val="22"/>
          <w:u w:val="single"/>
          <w:lang w:val="pl-PL"/>
        </w:rPr>
      </w:pPr>
      <w:r w:rsidRPr="00BD22FE">
        <w:rPr>
          <w:sz w:val="22"/>
          <w:szCs w:val="22"/>
          <w:u w:val="single"/>
          <w:lang w:val="pl-PL"/>
        </w:rPr>
        <w:t>Pierwotny hiperaldosteronizm</w:t>
      </w:r>
    </w:p>
    <w:p w14:paraId="44AFE398" w14:textId="10EEAEDB" w:rsidR="000016E2" w:rsidRPr="00BD22FE" w:rsidRDefault="001164DF" w:rsidP="00941FBF">
      <w:pPr>
        <w:pStyle w:val="BodyText"/>
        <w:spacing w:line="240" w:lineRule="auto"/>
        <w:jc w:val="left"/>
        <w:rPr>
          <w:sz w:val="22"/>
          <w:szCs w:val="22"/>
          <w:lang w:val="pl-PL"/>
        </w:rPr>
      </w:pPr>
      <w:r w:rsidRPr="00BD22FE">
        <w:rPr>
          <w:sz w:val="22"/>
          <w:szCs w:val="22"/>
          <w:lang w:val="pl-PL"/>
        </w:rPr>
        <w:t>Pacjenci</w:t>
      </w:r>
      <w:r w:rsidR="00104CA8" w:rsidRPr="00BD22FE">
        <w:rPr>
          <w:sz w:val="22"/>
          <w:szCs w:val="22"/>
          <w:lang w:val="pl-PL"/>
        </w:rPr>
        <w:t xml:space="preserve"> z</w:t>
      </w:r>
      <w:r w:rsidR="00717A7B" w:rsidRPr="00BD22FE">
        <w:rPr>
          <w:sz w:val="22"/>
          <w:szCs w:val="22"/>
          <w:lang w:val="pl-PL"/>
        </w:rPr>
        <w:t> </w:t>
      </w:r>
      <w:r w:rsidR="00104CA8" w:rsidRPr="00BD22FE">
        <w:rPr>
          <w:sz w:val="22"/>
          <w:szCs w:val="22"/>
          <w:lang w:val="pl-PL"/>
        </w:rPr>
        <w:t xml:space="preserve">pierwotnym hiperaldosteronizmem przeważnie nie odpowiadają na leczenie przeciwnadciśnieniowymi </w:t>
      </w:r>
      <w:r w:rsidRPr="00BD22FE">
        <w:rPr>
          <w:sz w:val="22"/>
          <w:szCs w:val="22"/>
          <w:lang w:val="pl-PL"/>
        </w:rPr>
        <w:t xml:space="preserve">produktami leczniczymi </w:t>
      </w:r>
      <w:r w:rsidR="00104CA8" w:rsidRPr="00BD22FE">
        <w:rPr>
          <w:sz w:val="22"/>
          <w:szCs w:val="22"/>
          <w:lang w:val="pl-PL"/>
        </w:rPr>
        <w:t>działającymi poprzez hamowanie układu renina-angiotensyna.</w:t>
      </w:r>
      <w:r w:rsidR="00BB2F1C" w:rsidRPr="00BD22FE">
        <w:rPr>
          <w:sz w:val="22"/>
          <w:szCs w:val="22"/>
          <w:lang w:val="pl-PL"/>
        </w:rPr>
        <w:t xml:space="preserve"> </w:t>
      </w:r>
      <w:r w:rsidR="00104CA8" w:rsidRPr="00BD22FE">
        <w:rPr>
          <w:sz w:val="22"/>
          <w:szCs w:val="22"/>
          <w:lang w:val="pl-PL"/>
        </w:rPr>
        <w:t>Tak więc stosowanie telmisartanu/HCTZ nie jest zalecane.</w:t>
      </w:r>
    </w:p>
    <w:p w14:paraId="2ABB26BF" w14:textId="77777777" w:rsidR="000016E2" w:rsidRPr="00BD22FE" w:rsidRDefault="000016E2" w:rsidP="00941FBF">
      <w:pPr>
        <w:pStyle w:val="BodyText"/>
        <w:spacing w:line="240" w:lineRule="auto"/>
        <w:jc w:val="left"/>
        <w:rPr>
          <w:sz w:val="22"/>
          <w:szCs w:val="22"/>
          <w:lang w:val="pl-PL"/>
        </w:rPr>
      </w:pPr>
    </w:p>
    <w:p w14:paraId="68CA2FC5" w14:textId="5057205C" w:rsidR="000016E2" w:rsidRPr="00BD22FE" w:rsidRDefault="00104CA8" w:rsidP="00283374">
      <w:pPr>
        <w:pStyle w:val="BodyText"/>
        <w:keepNext/>
        <w:spacing w:line="240" w:lineRule="auto"/>
        <w:jc w:val="left"/>
        <w:rPr>
          <w:sz w:val="22"/>
          <w:szCs w:val="22"/>
          <w:u w:val="single"/>
          <w:lang w:val="pl-PL"/>
        </w:rPr>
      </w:pPr>
      <w:r w:rsidRPr="00BD22FE">
        <w:rPr>
          <w:sz w:val="22"/>
          <w:szCs w:val="22"/>
          <w:u w:val="single"/>
          <w:lang w:val="pl-PL"/>
        </w:rPr>
        <w:t>Zwężenie zastawki aortalnej i</w:t>
      </w:r>
      <w:r w:rsidR="00717A7B" w:rsidRPr="00BD22FE">
        <w:rPr>
          <w:sz w:val="22"/>
          <w:szCs w:val="22"/>
          <w:u w:val="single"/>
          <w:lang w:val="pl-PL"/>
        </w:rPr>
        <w:t> </w:t>
      </w:r>
      <w:r w:rsidRPr="00BD22FE">
        <w:rPr>
          <w:sz w:val="22"/>
          <w:szCs w:val="22"/>
          <w:u w:val="single"/>
          <w:lang w:val="pl-PL"/>
        </w:rPr>
        <w:t>dwudzielnej, przerostowa kardiomiopatia zawężająca</w:t>
      </w:r>
    </w:p>
    <w:p w14:paraId="2F979639" w14:textId="09FFE932" w:rsidR="000016E2" w:rsidRPr="00BD22FE" w:rsidRDefault="00104CA8" w:rsidP="00941FBF">
      <w:pPr>
        <w:pStyle w:val="BodyText"/>
        <w:spacing w:line="240" w:lineRule="auto"/>
        <w:jc w:val="left"/>
        <w:rPr>
          <w:sz w:val="22"/>
          <w:szCs w:val="22"/>
          <w:lang w:val="pl-PL"/>
        </w:rPr>
      </w:pPr>
      <w:r w:rsidRPr="00BD22FE">
        <w:rPr>
          <w:sz w:val="22"/>
          <w:szCs w:val="22"/>
          <w:lang w:val="pl-PL"/>
        </w:rPr>
        <w:t>Podobnie jak w</w:t>
      </w:r>
      <w:r w:rsidR="00717A7B" w:rsidRPr="00BD22FE">
        <w:rPr>
          <w:sz w:val="22"/>
          <w:szCs w:val="22"/>
          <w:lang w:val="pl-PL"/>
        </w:rPr>
        <w:t> </w:t>
      </w:r>
      <w:r w:rsidRPr="00BD22FE">
        <w:rPr>
          <w:sz w:val="22"/>
          <w:szCs w:val="22"/>
          <w:lang w:val="pl-PL"/>
        </w:rPr>
        <w:t xml:space="preserve">przypadku innych leków rozszerzających naczynia krwionośne, </w:t>
      </w:r>
      <w:r w:rsidR="00BB2F1C" w:rsidRPr="00BD22FE">
        <w:rPr>
          <w:sz w:val="22"/>
          <w:szCs w:val="22"/>
          <w:lang w:val="pl-PL"/>
        </w:rPr>
        <w:t>wskazane jest</w:t>
      </w:r>
      <w:r w:rsidRPr="00BD22FE">
        <w:rPr>
          <w:sz w:val="22"/>
          <w:szCs w:val="22"/>
          <w:lang w:val="pl-PL"/>
        </w:rPr>
        <w:t xml:space="preserve"> zachowa</w:t>
      </w:r>
      <w:r w:rsidR="00BB2F1C" w:rsidRPr="00BD22FE">
        <w:rPr>
          <w:sz w:val="22"/>
          <w:szCs w:val="22"/>
          <w:lang w:val="pl-PL"/>
        </w:rPr>
        <w:t>nie</w:t>
      </w:r>
      <w:r w:rsidRPr="00BD22FE">
        <w:rPr>
          <w:sz w:val="22"/>
          <w:szCs w:val="22"/>
          <w:lang w:val="pl-PL"/>
        </w:rPr>
        <w:t xml:space="preserve"> szczególn</w:t>
      </w:r>
      <w:r w:rsidR="00BB2F1C" w:rsidRPr="00BD22FE">
        <w:rPr>
          <w:sz w:val="22"/>
          <w:szCs w:val="22"/>
          <w:lang w:val="pl-PL"/>
        </w:rPr>
        <w:t>ej</w:t>
      </w:r>
      <w:r w:rsidRPr="00BD22FE">
        <w:rPr>
          <w:sz w:val="22"/>
          <w:szCs w:val="22"/>
          <w:lang w:val="pl-PL"/>
        </w:rPr>
        <w:t xml:space="preserve"> ostrożnoś</w:t>
      </w:r>
      <w:r w:rsidR="00BB2F1C" w:rsidRPr="00BD22FE">
        <w:rPr>
          <w:sz w:val="22"/>
          <w:szCs w:val="22"/>
          <w:lang w:val="pl-PL"/>
        </w:rPr>
        <w:t>ci</w:t>
      </w:r>
      <w:r w:rsidRPr="00BD22FE">
        <w:rPr>
          <w:sz w:val="22"/>
          <w:szCs w:val="22"/>
          <w:lang w:val="pl-PL"/>
        </w:rPr>
        <w:t xml:space="preserve"> u</w:t>
      </w:r>
      <w:r w:rsidR="00717A7B" w:rsidRPr="00BD22FE">
        <w:rPr>
          <w:sz w:val="22"/>
          <w:szCs w:val="22"/>
          <w:lang w:val="pl-PL"/>
        </w:rPr>
        <w:t> </w:t>
      </w:r>
      <w:r w:rsidRPr="00BD22FE">
        <w:rPr>
          <w:sz w:val="22"/>
          <w:szCs w:val="22"/>
          <w:lang w:val="pl-PL"/>
        </w:rPr>
        <w:t>pacjentów ze zwężeniem zastawki aortalnej lub dwudzielnej, lub przerostową kardiomiopatią zawężającą.</w:t>
      </w:r>
    </w:p>
    <w:p w14:paraId="656AD3A2" w14:textId="77777777" w:rsidR="000016E2" w:rsidRPr="00BD22FE" w:rsidRDefault="000016E2" w:rsidP="00941FBF">
      <w:pPr>
        <w:pStyle w:val="BodyText"/>
        <w:spacing w:line="240" w:lineRule="auto"/>
        <w:jc w:val="left"/>
        <w:rPr>
          <w:sz w:val="22"/>
          <w:szCs w:val="22"/>
          <w:lang w:val="pl-PL"/>
        </w:rPr>
      </w:pPr>
    </w:p>
    <w:p w14:paraId="4E45E044" w14:textId="0AA47344" w:rsidR="000016E2" w:rsidRPr="00BD22FE" w:rsidRDefault="00104CA8" w:rsidP="00283374">
      <w:pPr>
        <w:pStyle w:val="BodyText"/>
        <w:keepNext/>
        <w:spacing w:line="240" w:lineRule="auto"/>
        <w:jc w:val="left"/>
        <w:rPr>
          <w:sz w:val="22"/>
          <w:szCs w:val="22"/>
          <w:u w:val="single"/>
          <w:lang w:val="pl-PL"/>
        </w:rPr>
      </w:pPr>
      <w:r w:rsidRPr="00BD22FE">
        <w:rPr>
          <w:sz w:val="22"/>
          <w:szCs w:val="22"/>
          <w:u w:val="single"/>
          <w:lang w:val="pl-PL"/>
        </w:rPr>
        <w:t>Wpływ na metabolizm i</w:t>
      </w:r>
      <w:r w:rsidR="00717A7B" w:rsidRPr="00BD22FE">
        <w:rPr>
          <w:sz w:val="22"/>
          <w:szCs w:val="22"/>
          <w:u w:val="single"/>
          <w:lang w:val="pl-PL"/>
        </w:rPr>
        <w:t> </w:t>
      </w:r>
      <w:r w:rsidRPr="00BD22FE">
        <w:rPr>
          <w:sz w:val="22"/>
          <w:szCs w:val="22"/>
          <w:u w:val="single"/>
          <w:lang w:val="pl-PL"/>
        </w:rPr>
        <w:t>układ dokrewny</w:t>
      </w:r>
    </w:p>
    <w:p w14:paraId="69B9788D" w14:textId="152A27B5" w:rsidR="000016E2" w:rsidRPr="00BD22FE" w:rsidRDefault="00104CA8" w:rsidP="00941FBF">
      <w:pPr>
        <w:pStyle w:val="BodyText"/>
        <w:spacing w:line="240" w:lineRule="auto"/>
        <w:jc w:val="left"/>
        <w:rPr>
          <w:sz w:val="22"/>
          <w:szCs w:val="22"/>
          <w:lang w:val="pl-PL"/>
        </w:rPr>
      </w:pPr>
      <w:r w:rsidRPr="00BD22FE">
        <w:rPr>
          <w:sz w:val="22"/>
          <w:szCs w:val="22"/>
          <w:lang w:val="pl-PL"/>
        </w:rPr>
        <w:t>Leczenie tiazydem może zaburzać tolerancję glukozy</w:t>
      </w:r>
      <w:r w:rsidR="005017D2" w:rsidRPr="00BD22FE">
        <w:rPr>
          <w:sz w:val="22"/>
          <w:szCs w:val="22"/>
          <w:lang w:val="pl-PL"/>
        </w:rPr>
        <w:t>, natomiast u</w:t>
      </w:r>
      <w:r w:rsidR="00717A7B" w:rsidRPr="00BD22FE">
        <w:rPr>
          <w:sz w:val="22"/>
          <w:szCs w:val="22"/>
          <w:lang w:val="pl-PL"/>
        </w:rPr>
        <w:t> </w:t>
      </w:r>
      <w:r w:rsidRPr="00BD22FE">
        <w:rPr>
          <w:sz w:val="22"/>
          <w:szCs w:val="22"/>
          <w:lang w:val="pl-PL"/>
        </w:rPr>
        <w:t>pacjentów z</w:t>
      </w:r>
      <w:r w:rsidR="00717A7B" w:rsidRPr="00BD22FE">
        <w:rPr>
          <w:sz w:val="22"/>
          <w:szCs w:val="22"/>
          <w:lang w:val="pl-PL"/>
        </w:rPr>
        <w:t> </w:t>
      </w:r>
      <w:r w:rsidRPr="00BD22FE">
        <w:rPr>
          <w:sz w:val="22"/>
          <w:szCs w:val="22"/>
          <w:lang w:val="pl-PL"/>
        </w:rPr>
        <w:t>cukrzycą przyjmujących insulinę lub lek</w:t>
      </w:r>
      <w:r w:rsidR="00096AF6" w:rsidRPr="00BD22FE">
        <w:rPr>
          <w:sz w:val="22"/>
          <w:szCs w:val="22"/>
          <w:lang w:val="pl-PL"/>
        </w:rPr>
        <w:t>i</w:t>
      </w:r>
      <w:r w:rsidRPr="00BD22FE">
        <w:rPr>
          <w:sz w:val="22"/>
          <w:szCs w:val="22"/>
          <w:lang w:val="pl-PL"/>
        </w:rPr>
        <w:t xml:space="preserve"> przeciwcukrzycow</w:t>
      </w:r>
      <w:r w:rsidR="00096AF6" w:rsidRPr="00BD22FE">
        <w:rPr>
          <w:sz w:val="22"/>
          <w:szCs w:val="22"/>
          <w:lang w:val="pl-PL"/>
        </w:rPr>
        <w:t>e</w:t>
      </w:r>
      <w:r w:rsidRPr="00BD22FE">
        <w:rPr>
          <w:sz w:val="22"/>
          <w:szCs w:val="22"/>
          <w:lang w:val="pl-PL"/>
        </w:rPr>
        <w:t xml:space="preserve"> oraz telmisartan może wystąpić hipoglikemia. Dlatego u</w:t>
      </w:r>
      <w:r w:rsidR="00717A7B" w:rsidRPr="00BD22FE">
        <w:rPr>
          <w:sz w:val="22"/>
          <w:szCs w:val="22"/>
          <w:lang w:val="pl-PL"/>
        </w:rPr>
        <w:t> </w:t>
      </w:r>
      <w:r w:rsidRPr="00BD22FE">
        <w:rPr>
          <w:sz w:val="22"/>
          <w:szCs w:val="22"/>
          <w:lang w:val="pl-PL"/>
        </w:rPr>
        <w:t xml:space="preserve">tych pacjentów należy </w:t>
      </w:r>
      <w:r w:rsidR="00BD2004" w:rsidRPr="00BD22FE">
        <w:rPr>
          <w:sz w:val="22"/>
          <w:szCs w:val="22"/>
          <w:lang w:val="pl-PL"/>
        </w:rPr>
        <w:t xml:space="preserve">rozważyć </w:t>
      </w:r>
      <w:r w:rsidRPr="00BD22FE">
        <w:rPr>
          <w:sz w:val="22"/>
          <w:szCs w:val="22"/>
          <w:lang w:val="pl-PL"/>
        </w:rPr>
        <w:t>monitorowa</w:t>
      </w:r>
      <w:r w:rsidR="00BD2004" w:rsidRPr="00BD22FE">
        <w:rPr>
          <w:sz w:val="22"/>
          <w:szCs w:val="22"/>
          <w:lang w:val="pl-PL"/>
        </w:rPr>
        <w:t>nie</w:t>
      </w:r>
      <w:r w:rsidRPr="00BD22FE">
        <w:rPr>
          <w:sz w:val="22"/>
          <w:szCs w:val="22"/>
          <w:lang w:val="pl-PL"/>
        </w:rPr>
        <w:t xml:space="preserve"> stężeni</w:t>
      </w:r>
      <w:r w:rsidR="00BD2004" w:rsidRPr="00BD22FE">
        <w:rPr>
          <w:sz w:val="22"/>
          <w:szCs w:val="22"/>
          <w:lang w:val="pl-PL"/>
        </w:rPr>
        <w:t>a</w:t>
      </w:r>
      <w:r w:rsidRPr="00BD22FE">
        <w:rPr>
          <w:sz w:val="22"/>
          <w:szCs w:val="22"/>
          <w:lang w:val="pl-PL"/>
        </w:rPr>
        <w:t xml:space="preserve"> glukozy; </w:t>
      </w:r>
      <w:r w:rsidR="00BD2004" w:rsidRPr="00BD22FE">
        <w:rPr>
          <w:sz w:val="22"/>
          <w:szCs w:val="22"/>
          <w:lang w:val="pl-PL"/>
        </w:rPr>
        <w:t xml:space="preserve">jeśli istnieją takie wskazania, </w:t>
      </w:r>
      <w:r w:rsidRPr="00BD22FE">
        <w:rPr>
          <w:sz w:val="22"/>
          <w:szCs w:val="22"/>
          <w:lang w:val="pl-PL"/>
        </w:rPr>
        <w:t>konieczna może być modyfikacja dawki insuliny lub</w:t>
      </w:r>
      <w:r w:rsidR="00BD2004" w:rsidRPr="00BD22FE">
        <w:rPr>
          <w:sz w:val="22"/>
          <w:szCs w:val="22"/>
          <w:lang w:val="pl-PL"/>
        </w:rPr>
        <w:t> </w:t>
      </w:r>
      <w:r w:rsidRPr="00BD22FE">
        <w:rPr>
          <w:sz w:val="22"/>
          <w:szCs w:val="22"/>
          <w:lang w:val="pl-PL"/>
        </w:rPr>
        <w:t>leków przeciwcukrzycowych. Cukrzyca utajona może się ujawnić w</w:t>
      </w:r>
      <w:r w:rsidR="00717A7B" w:rsidRPr="00BD22FE">
        <w:rPr>
          <w:sz w:val="22"/>
          <w:szCs w:val="22"/>
          <w:lang w:val="pl-PL"/>
        </w:rPr>
        <w:t> </w:t>
      </w:r>
      <w:r w:rsidRPr="00BD22FE">
        <w:rPr>
          <w:sz w:val="22"/>
          <w:szCs w:val="22"/>
          <w:lang w:val="pl-PL"/>
        </w:rPr>
        <w:t>trakcie leczenia tiazydem.</w:t>
      </w:r>
    </w:p>
    <w:p w14:paraId="0B52AFFD" w14:textId="77777777" w:rsidR="000016E2" w:rsidRPr="00BD22FE" w:rsidRDefault="000016E2" w:rsidP="00941FBF">
      <w:pPr>
        <w:pStyle w:val="BodyText"/>
        <w:spacing w:line="240" w:lineRule="auto"/>
        <w:jc w:val="left"/>
        <w:rPr>
          <w:sz w:val="22"/>
          <w:szCs w:val="22"/>
          <w:lang w:val="pl-PL"/>
        </w:rPr>
      </w:pPr>
    </w:p>
    <w:p w14:paraId="3EE8AABC" w14:textId="1F085430" w:rsidR="003A7E3D" w:rsidRPr="00BD22FE" w:rsidRDefault="00104CA8" w:rsidP="00941FBF">
      <w:pPr>
        <w:pStyle w:val="BodyText"/>
        <w:spacing w:line="240" w:lineRule="auto"/>
        <w:jc w:val="left"/>
        <w:rPr>
          <w:sz w:val="22"/>
          <w:szCs w:val="22"/>
          <w:lang w:val="pl-PL"/>
        </w:rPr>
      </w:pPr>
      <w:r w:rsidRPr="00BD22FE">
        <w:rPr>
          <w:sz w:val="22"/>
          <w:szCs w:val="22"/>
          <w:lang w:val="pl-PL"/>
        </w:rPr>
        <w:t xml:space="preserve">Leczenie diuretykami </w:t>
      </w:r>
      <w:r w:rsidR="004F7349" w:rsidRPr="00BD22FE">
        <w:rPr>
          <w:sz w:val="22"/>
          <w:szCs w:val="22"/>
          <w:lang w:val="pl-PL"/>
        </w:rPr>
        <w:t>było związane</w:t>
      </w:r>
      <w:r w:rsidRPr="00BD22FE">
        <w:rPr>
          <w:sz w:val="22"/>
          <w:szCs w:val="22"/>
          <w:lang w:val="pl-PL"/>
        </w:rPr>
        <w:t xml:space="preserve"> </w:t>
      </w:r>
      <w:r w:rsidR="004F7349" w:rsidRPr="00BD22FE">
        <w:rPr>
          <w:sz w:val="22"/>
          <w:szCs w:val="22"/>
          <w:lang w:val="pl-PL"/>
        </w:rPr>
        <w:t>ze </w:t>
      </w:r>
      <w:r w:rsidRPr="00BD22FE">
        <w:rPr>
          <w:sz w:val="22"/>
          <w:szCs w:val="22"/>
          <w:lang w:val="pl-PL"/>
        </w:rPr>
        <w:t>zwiększenie</w:t>
      </w:r>
      <w:r w:rsidR="004F7349" w:rsidRPr="00BD22FE">
        <w:rPr>
          <w:sz w:val="22"/>
          <w:szCs w:val="22"/>
          <w:lang w:val="pl-PL"/>
        </w:rPr>
        <w:t>m</w:t>
      </w:r>
      <w:r w:rsidRPr="00BD22FE">
        <w:rPr>
          <w:sz w:val="22"/>
          <w:szCs w:val="22"/>
          <w:lang w:val="pl-PL"/>
        </w:rPr>
        <w:t xml:space="preserve"> stężenia cholesterolu i</w:t>
      </w:r>
      <w:r w:rsidR="00717A7B" w:rsidRPr="00BD22FE">
        <w:rPr>
          <w:sz w:val="22"/>
          <w:szCs w:val="22"/>
          <w:lang w:val="pl-PL"/>
        </w:rPr>
        <w:t> </w:t>
      </w:r>
      <w:r w:rsidRPr="00BD22FE">
        <w:rPr>
          <w:sz w:val="22"/>
          <w:szCs w:val="22"/>
          <w:lang w:val="pl-PL"/>
        </w:rPr>
        <w:t xml:space="preserve">triglicerydów, jednak po dawce 12,5 mg zawartej w produkcie leczniczym odnotowano </w:t>
      </w:r>
      <w:r w:rsidR="004F7349" w:rsidRPr="00BD22FE">
        <w:rPr>
          <w:sz w:val="22"/>
          <w:szCs w:val="22"/>
          <w:lang w:val="pl-PL"/>
        </w:rPr>
        <w:t xml:space="preserve">minimalny </w:t>
      </w:r>
      <w:r w:rsidRPr="00BD22FE">
        <w:rPr>
          <w:sz w:val="22"/>
          <w:szCs w:val="22"/>
          <w:lang w:val="pl-PL"/>
        </w:rPr>
        <w:t xml:space="preserve">wpływ </w:t>
      </w:r>
      <w:r w:rsidR="004F7349" w:rsidRPr="00BD22FE">
        <w:rPr>
          <w:sz w:val="22"/>
          <w:szCs w:val="22"/>
          <w:lang w:val="pl-PL"/>
        </w:rPr>
        <w:t xml:space="preserve">lub nie odnotowano żadnego wpływu </w:t>
      </w:r>
      <w:r w:rsidRPr="00BD22FE">
        <w:rPr>
          <w:sz w:val="22"/>
          <w:szCs w:val="22"/>
          <w:lang w:val="pl-PL"/>
        </w:rPr>
        <w:t>na ich stężenie. U</w:t>
      </w:r>
      <w:r w:rsidR="00717A7B" w:rsidRPr="00BD22FE">
        <w:rPr>
          <w:sz w:val="22"/>
          <w:szCs w:val="22"/>
          <w:lang w:val="pl-PL"/>
        </w:rPr>
        <w:t> </w:t>
      </w:r>
      <w:r w:rsidRPr="00BD22FE">
        <w:rPr>
          <w:sz w:val="22"/>
          <w:szCs w:val="22"/>
          <w:lang w:val="pl-PL"/>
        </w:rPr>
        <w:t xml:space="preserve">niektórych pacjentów przyjmujących tiazyd </w:t>
      </w:r>
      <w:r w:rsidR="009E63FF" w:rsidRPr="00BD22FE">
        <w:rPr>
          <w:sz w:val="22"/>
          <w:szCs w:val="22"/>
          <w:lang w:val="pl-PL"/>
        </w:rPr>
        <w:t xml:space="preserve">może </w:t>
      </w:r>
      <w:r w:rsidRPr="00BD22FE">
        <w:rPr>
          <w:sz w:val="22"/>
          <w:szCs w:val="22"/>
          <w:lang w:val="pl-PL"/>
        </w:rPr>
        <w:t>wystąpi</w:t>
      </w:r>
      <w:r w:rsidR="009E63FF" w:rsidRPr="00BD22FE">
        <w:rPr>
          <w:sz w:val="22"/>
          <w:szCs w:val="22"/>
          <w:lang w:val="pl-PL"/>
        </w:rPr>
        <w:t>ć</w:t>
      </w:r>
      <w:r w:rsidRPr="00BD22FE">
        <w:rPr>
          <w:sz w:val="22"/>
          <w:szCs w:val="22"/>
          <w:lang w:val="pl-PL"/>
        </w:rPr>
        <w:t xml:space="preserve"> hiperurykemi</w:t>
      </w:r>
      <w:r w:rsidR="009E63FF" w:rsidRPr="00BD22FE">
        <w:rPr>
          <w:sz w:val="22"/>
          <w:szCs w:val="22"/>
          <w:lang w:val="pl-PL"/>
        </w:rPr>
        <w:t>a</w:t>
      </w:r>
      <w:r w:rsidRPr="00BD22FE">
        <w:rPr>
          <w:sz w:val="22"/>
          <w:szCs w:val="22"/>
          <w:lang w:val="pl-PL"/>
        </w:rPr>
        <w:t xml:space="preserve"> lub </w:t>
      </w:r>
      <w:r w:rsidR="009E63FF" w:rsidRPr="00BD22FE">
        <w:rPr>
          <w:sz w:val="22"/>
          <w:szCs w:val="22"/>
          <w:lang w:val="pl-PL"/>
        </w:rPr>
        <w:t xml:space="preserve">może zostać przyśpieszone wystąpienie pełnoobjawowej </w:t>
      </w:r>
      <w:r w:rsidRPr="00BD22FE">
        <w:rPr>
          <w:sz w:val="22"/>
          <w:szCs w:val="22"/>
          <w:lang w:val="pl-PL"/>
        </w:rPr>
        <w:t>dn</w:t>
      </w:r>
      <w:r w:rsidR="009E63FF" w:rsidRPr="00BD22FE">
        <w:rPr>
          <w:sz w:val="22"/>
          <w:szCs w:val="22"/>
          <w:lang w:val="pl-PL"/>
        </w:rPr>
        <w:t>y</w:t>
      </w:r>
      <w:r w:rsidRPr="00BD22FE">
        <w:rPr>
          <w:sz w:val="22"/>
          <w:szCs w:val="22"/>
          <w:lang w:val="pl-PL"/>
        </w:rPr>
        <w:t xml:space="preserve"> moczanow</w:t>
      </w:r>
      <w:r w:rsidR="009E63FF" w:rsidRPr="00BD22FE">
        <w:rPr>
          <w:sz w:val="22"/>
          <w:szCs w:val="22"/>
          <w:lang w:val="pl-PL"/>
        </w:rPr>
        <w:t>ej</w:t>
      </w:r>
      <w:r w:rsidRPr="00BD22FE">
        <w:rPr>
          <w:sz w:val="22"/>
          <w:szCs w:val="22"/>
          <w:lang w:val="pl-PL"/>
        </w:rPr>
        <w:t>.</w:t>
      </w:r>
    </w:p>
    <w:p w14:paraId="7F587E3B" w14:textId="4549E526" w:rsidR="000016E2" w:rsidRPr="00BD22FE" w:rsidRDefault="000016E2" w:rsidP="00941FBF">
      <w:pPr>
        <w:pStyle w:val="BodyText"/>
        <w:spacing w:line="240" w:lineRule="auto"/>
        <w:jc w:val="left"/>
        <w:rPr>
          <w:sz w:val="22"/>
          <w:szCs w:val="22"/>
          <w:lang w:val="pl-PL"/>
        </w:rPr>
      </w:pPr>
    </w:p>
    <w:p w14:paraId="00EF8942" w14:textId="77777777" w:rsidR="000016E2" w:rsidRPr="00BD22FE" w:rsidRDefault="00104CA8" w:rsidP="00283374">
      <w:pPr>
        <w:pStyle w:val="BodyText"/>
        <w:keepNext/>
        <w:spacing w:line="240" w:lineRule="auto"/>
        <w:jc w:val="left"/>
        <w:rPr>
          <w:sz w:val="22"/>
          <w:szCs w:val="22"/>
          <w:lang w:val="pl-PL"/>
        </w:rPr>
      </w:pPr>
      <w:r w:rsidRPr="00BD22FE">
        <w:rPr>
          <w:sz w:val="22"/>
          <w:szCs w:val="22"/>
          <w:u w:val="single"/>
          <w:lang w:val="pl-PL"/>
        </w:rPr>
        <w:t>Zaburzenia równowagi elektrolitowej</w:t>
      </w:r>
    </w:p>
    <w:p w14:paraId="00716B24" w14:textId="1D9276B4" w:rsidR="000016E2" w:rsidRPr="00BD22FE" w:rsidRDefault="00104CA8" w:rsidP="00941FBF">
      <w:pPr>
        <w:pStyle w:val="BodyText"/>
        <w:spacing w:line="240" w:lineRule="auto"/>
        <w:jc w:val="left"/>
        <w:rPr>
          <w:sz w:val="22"/>
          <w:szCs w:val="22"/>
          <w:lang w:val="pl-PL"/>
        </w:rPr>
      </w:pPr>
      <w:r w:rsidRPr="00BD22FE">
        <w:rPr>
          <w:sz w:val="22"/>
          <w:szCs w:val="22"/>
          <w:lang w:val="pl-PL"/>
        </w:rPr>
        <w:t>Tak jak w</w:t>
      </w:r>
      <w:r w:rsidR="00717A7B" w:rsidRPr="00BD22FE">
        <w:rPr>
          <w:sz w:val="22"/>
          <w:szCs w:val="22"/>
          <w:lang w:val="pl-PL"/>
        </w:rPr>
        <w:t> </w:t>
      </w:r>
      <w:r w:rsidRPr="00BD22FE">
        <w:rPr>
          <w:sz w:val="22"/>
          <w:szCs w:val="22"/>
          <w:lang w:val="pl-PL"/>
        </w:rPr>
        <w:t xml:space="preserve">przypadku wszystkich pacjentów przyjmujących diuretyki, okresowe </w:t>
      </w:r>
      <w:r w:rsidR="00FC7284" w:rsidRPr="00BD22FE">
        <w:rPr>
          <w:sz w:val="22"/>
          <w:szCs w:val="22"/>
          <w:lang w:val="pl-PL"/>
        </w:rPr>
        <w:t xml:space="preserve">oznaczanie </w:t>
      </w:r>
      <w:r w:rsidRPr="00BD22FE">
        <w:rPr>
          <w:sz w:val="22"/>
          <w:szCs w:val="22"/>
          <w:lang w:val="pl-PL"/>
        </w:rPr>
        <w:t>stężenia elektrolitów w</w:t>
      </w:r>
      <w:r w:rsidR="00717A7B" w:rsidRPr="00BD22FE">
        <w:rPr>
          <w:sz w:val="22"/>
          <w:szCs w:val="22"/>
          <w:lang w:val="pl-PL"/>
        </w:rPr>
        <w:t> </w:t>
      </w:r>
      <w:r w:rsidRPr="00BD22FE">
        <w:rPr>
          <w:sz w:val="22"/>
          <w:szCs w:val="22"/>
          <w:lang w:val="pl-PL"/>
        </w:rPr>
        <w:t>surowicy powinno być wykonywane w odpowiednich odstępach czasu.</w:t>
      </w:r>
    </w:p>
    <w:p w14:paraId="1A280678" w14:textId="406FCA7C" w:rsidR="000016E2" w:rsidRPr="00BD22FE" w:rsidRDefault="00104CA8" w:rsidP="00941FBF">
      <w:pPr>
        <w:pStyle w:val="BodyText"/>
        <w:spacing w:line="240" w:lineRule="auto"/>
        <w:jc w:val="left"/>
        <w:rPr>
          <w:sz w:val="22"/>
          <w:szCs w:val="22"/>
          <w:lang w:val="pl-PL"/>
        </w:rPr>
      </w:pPr>
      <w:r w:rsidRPr="00BD22FE">
        <w:rPr>
          <w:sz w:val="22"/>
          <w:szCs w:val="22"/>
          <w:lang w:val="pl-PL"/>
        </w:rPr>
        <w:t>Tiazydy, w</w:t>
      </w:r>
      <w:r w:rsidR="00717A7B" w:rsidRPr="00BD22FE">
        <w:rPr>
          <w:sz w:val="22"/>
          <w:szCs w:val="22"/>
          <w:lang w:val="pl-PL"/>
        </w:rPr>
        <w:t> </w:t>
      </w:r>
      <w:r w:rsidRPr="00BD22FE">
        <w:rPr>
          <w:sz w:val="22"/>
          <w:szCs w:val="22"/>
          <w:lang w:val="pl-PL"/>
        </w:rPr>
        <w:t>tym hydrochlorotiazyd, mogą powodować zaburzenia równowagi wodno-elektrolitowej (w tym hipokaliemię, hiponatremię i</w:t>
      </w:r>
      <w:r w:rsidR="00717A7B" w:rsidRPr="00BD22FE">
        <w:rPr>
          <w:sz w:val="22"/>
          <w:szCs w:val="22"/>
          <w:lang w:val="pl-PL"/>
        </w:rPr>
        <w:t> </w:t>
      </w:r>
      <w:r w:rsidRPr="00BD22FE">
        <w:rPr>
          <w:sz w:val="22"/>
          <w:szCs w:val="22"/>
          <w:lang w:val="pl-PL"/>
        </w:rPr>
        <w:t xml:space="preserve">alkalozę hipochloremiczną). Objawami ostrzegającymi o zaburzeniach równowagi wodno-elektrolitowej są suchość błony śluzowej jamy ustnej, pragnienie, astenia, letarg, senność, niepokój, bóle mięśniowe lub skurcze, męczliwość mięśni, </w:t>
      </w:r>
      <w:r w:rsidR="00FC7284" w:rsidRPr="00BD22FE">
        <w:rPr>
          <w:sz w:val="22"/>
          <w:szCs w:val="22"/>
          <w:lang w:val="pl-PL"/>
        </w:rPr>
        <w:t>niedo</w:t>
      </w:r>
      <w:r w:rsidRPr="00BD22FE">
        <w:rPr>
          <w:sz w:val="22"/>
          <w:szCs w:val="22"/>
          <w:lang w:val="pl-PL"/>
        </w:rPr>
        <w:t>ciśnienie tętnicze, oliguria, tachykardia, zaburzenia dotyczące układu pokarmowego takie jak nudności i</w:t>
      </w:r>
      <w:r w:rsidR="00717A7B" w:rsidRPr="00BD22FE">
        <w:rPr>
          <w:sz w:val="22"/>
          <w:szCs w:val="22"/>
          <w:lang w:val="pl-PL"/>
        </w:rPr>
        <w:t> </w:t>
      </w:r>
      <w:r w:rsidRPr="00BD22FE">
        <w:rPr>
          <w:sz w:val="22"/>
          <w:szCs w:val="22"/>
          <w:lang w:val="pl-PL"/>
        </w:rPr>
        <w:t>wymioty (patrz punkt 4.8).</w:t>
      </w:r>
    </w:p>
    <w:p w14:paraId="0C8CE606" w14:textId="77777777" w:rsidR="000016E2" w:rsidRPr="00BD22FE" w:rsidRDefault="000016E2" w:rsidP="00941FBF">
      <w:pPr>
        <w:pStyle w:val="BodyText"/>
        <w:spacing w:line="240" w:lineRule="auto"/>
        <w:jc w:val="left"/>
        <w:rPr>
          <w:sz w:val="22"/>
          <w:szCs w:val="22"/>
          <w:lang w:val="pl-PL"/>
        </w:rPr>
      </w:pPr>
    </w:p>
    <w:p w14:paraId="146136C2" w14:textId="73AE1DA1" w:rsidR="000016E2" w:rsidRPr="00BD22FE" w:rsidRDefault="00104CA8" w:rsidP="006717CD">
      <w:pPr>
        <w:pStyle w:val="BodyText"/>
        <w:keepNext/>
        <w:numPr>
          <w:ilvl w:val="0"/>
          <w:numId w:val="30"/>
        </w:numPr>
        <w:spacing w:line="240" w:lineRule="auto"/>
        <w:ind w:left="567" w:hanging="567"/>
        <w:jc w:val="left"/>
        <w:rPr>
          <w:sz w:val="22"/>
          <w:szCs w:val="22"/>
          <w:lang w:val="pl-PL"/>
        </w:rPr>
      </w:pPr>
      <w:r w:rsidRPr="00BD22FE">
        <w:rPr>
          <w:sz w:val="22"/>
          <w:szCs w:val="22"/>
          <w:lang w:val="pl-PL"/>
        </w:rPr>
        <w:t>Hipokaliemia</w:t>
      </w:r>
    </w:p>
    <w:p w14:paraId="707E5FA4" w14:textId="72ECE7A1" w:rsidR="000016E2" w:rsidRPr="00BD22FE" w:rsidRDefault="00104CA8" w:rsidP="00941FBF">
      <w:pPr>
        <w:pStyle w:val="BodyText"/>
        <w:spacing w:line="240" w:lineRule="auto"/>
        <w:jc w:val="left"/>
        <w:rPr>
          <w:sz w:val="22"/>
          <w:szCs w:val="22"/>
          <w:lang w:val="pl-PL"/>
        </w:rPr>
      </w:pPr>
      <w:r w:rsidRPr="00BD22FE">
        <w:rPr>
          <w:sz w:val="22"/>
          <w:szCs w:val="22"/>
          <w:lang w:val="pl-PL"/>
        </w:rPr>
        <w:t>Chociaż w</w:t>
      </w:r>
      <w:r w:rsidR="00717A7B" w:rsidRPr="00BD22FE">
        <w:rPr>
          <w:sz w:val="22"/>
          <w:szCs w:val="22"/>
          <w:lang w:val="pl-PL"/>
        </w:rPr>
        <w:t> </w:t>
      </w:r>
      <w:r w:rsidRPr="00BD22FE">
        <w:rPr>
          <w:sz w:val="22"/>
          <w:szCs w:val="22"/>
          <w:lang w:val="pl-PL"/>
        </w:rPr>
        <w:t>przypadku stosowania diuretyków tiazydowych może dojść do hipokaliemii, jednoczesna terapia telmisartanem może zmniejszyć hipokaliemię wywołaną przez diuretyki. Ryzyko hipokaliemii jest większe u</w:t>
      </w:r>
      <w:r w:rsidR="00717A7B" w:rsidRPr="00BD22FE">
        <w:rPr>
          <w:sz w:val="22"/>
          <w:szCs w:val="22"/>
          <w:lang w:val="pl-PL"/>
        </w:rPr>
        <w:t> </w:t>
      </w:r>
      <w:r w:rsidRPr="00BD22FE">
        <w:rPr>
          <w:sz w:val="22"/>
          <w:szCs w:val="22"/>
          <w:lang w:val="pl-PL"/>
        </w:rPr>
        <w:t>pacjentów z</w:t>
      </w:r>
      <w:r w:rsidR="00717A7B" w:rsidRPr="00BD22FE">
        <w:rPr>
          <w:sz w:val="22"/>
          <w:szCs w:val="22"/>
          <w:lang w:val="pl-PL"/>
        </w:rPr>
        <w:t> </w:t>
      </w:r>
      <w:r w:rsidRPr="00BD22FE">
        <w:rPr>
          <w:sz w:val="22"/>
          <w:szCs w:val="22"/>
          <w:lang w:val="pl-PL"/>
        </w:rPr>
        <w:t>marskością wątroby, u</w:t>
      </w:r>
      <w:r w:rsidR="00717A7B" w:rsidRPr="00BD22FE">
        <w:rPr>
          <w:sz w:val="22"/>
          <w:szCs w:val="22"/>
          <w:lang w:val="pl-PL"/>
        </w:rPr>
        <w:t> </w:t>
      </w:r>
      <w:r w:rsidRPr="00BD22FE">
        <w:rPr>
          <w:sz w:val="22"/>
          <w:szCs w:val="22"/>
          <w:lang w:val="pl-PL"/>
        </w:rPr>
        <w:t>pacjentów, u</w:t>
      </w:r>
      <w:r w:rsidR="00717A7B" w:rsidRPr="00BD22FE">
        <w:rPr>
          <w:sz w:val="22"/>
          <w:szCs w:val="22"/>
          <w:lang w:val="pl-PL"/>
        </w:rPr>
        <w:t> </w:t>
      </w:r>
      <w:r w:rsidRPr="00BD22FE">
        <w:rPr>
          <w:sz w:val="22"/>
          <w:szCs w:val="22"/>
          <w:lang w:val="pl-PL"/>
        </w:rPr>
        <w:t>których dochodzi do szybkiej diurezy</w:t>
      </w:r>
      <w:r w:rsidR="00F73095" w:rsidRPr="00BD22FE">
        <w:rPr>
          <w:sz w:val="22"/>
          <w:szCs w:val="22"/>
          <w:lang w:val="pl-PL"/>
        </w:rPr>
        <w:t>,</w:t>
      </w:r>
      <w:r w:rsidRPr="00BD22FE">
        <w:rPr>
          <w:sz w:val="22"/>
          <w:szCs w:val="22"/>
          <w:lang w:val="pl-PL"/>
        </w:rPr>
        <w:t xml:space="preserve"> </w:t>
      </w:r>
      <w:r w:rsidR="00A51DD6" w:rsidRPr="00BD22FE">
        <w:rPr>
          <w:sz w:val="22"/>
          <w:szCs w:val="22"/>
          <w:lang w:val="pl-PL"/>
        </w:rPr>
        <w:t xml:space="preserve">oraz </w:t>
      </w:r>
      <w:r w:rsidRPr="00BD22FE">
        <w:rPr>
          <w:sz w:val="22"/>
          <w:szCs w:val="22"/>
          <w:lang w:val="pl-PL"/>
        </w:rPr>
        <w:t>u</w:t>
      </w:r>
      <w:r w:rsidR="00717A7B" w:rsidRPr="00BD22FE">
        <w:rPr>
          <w:sz w:val="22"/>
          <w:szCs w:val="22"/>
          <w:lang w:val="pl-PL"/>
        </w:rPr>
        <w:t> </w:t>
      </w:r>
      <w:r w:rsidRPr="00BD22FE">
        <w:rPr>
          <w:sz w:val="22"/>
          <w:szCs w:val="22"/>
          <w:lang w:val="pl-PL"/>
        </w:rPr>
        <w:t>pacjentów, którzy przyjmują doustnie nieodpowiednią ilość elektrolitów</w:t>
      </w:r>
      <w:r w:rsidR="00F73095" w:rsidRPr="00BD22FE">
        <w:rPr>
          <w:sz w:val="22"/>
          <w:szCs w:val="22"/>
          <w:lang w:val="pl-PL"/>
        </w:rPr>
        <w:t>,</w:t>
      </w:r>
      <w:r w:rsidRPr="00BD22FE">
        <w:rPr>
          <w:sz w:val="22"/>
          <w:szCs w:val="22"/>
          <w:lang w:val="pl-PL"/>
        </w:rPr>
        <w:t xml:space="preserve"> lub </w:t>
      </w:r>
      <w:r w:rsidR="00F73095" w:rsidRPr="00BD22FE">
        <w:rPr>
          <w:sz w:val="22"/>
          <w:szCs w:val="22"/>
          <w:lang w:val="pl-PL"/>
        </w:rPr>
        <w:t xml:space="preserve">u pacjentów otrzymujących </w:t>
      </w:r>
      <w:r w:rsidRPr="00BD22FE">
        <w:rPr>
          <w:sz w:val="22"/>
          <w:szCs w:val="22"/>
          <w:lang w:val="pl-PL"/>
        </w:rPr>
        <w:t xml:space="preserve">jednocześnie </w:t>
      </w:r>
      <w:r w:rsidR="00F73095" w:rsidRPr="00BD22FE">
        <w:rPr>
          <w:sz w:val="22"/>
          <w:szCs w:val="22"/>
          <w:lang w:val="pl-PL"/>
        </w:rPr>
        <w:t xml:space="preserve">terapię </w:t>
      </w:r>
      <w:r w:rsidRPr="00BD22FE">
        <w:rPr>
          <w:sz w:val="22"/>
          <w:szCs w:val="22"/>
          <w:lang w:val="pl-PL"/>
        </w:rPr>
        <w:t>kortykosteroidami lub hormonem adrenokortykotropowym (ACTH) (patrz punkt 4.5).</w:t>
      </w:r>
    </w:p>
    <w:p w14:paraId="3B2810C0" w14:textId="77777777" w:rsidR="000016E2" w:rsidRPr="00BD22FE" w:rsidRDefault="000016E2" w:rsidP="00941FBF">
      <w:pPr>
        <w:pStyle w:val="BodyText"/>
        <w:spacing w:line="240" w:lineRule="auto"/>
        <w:jc w:val="left"/>
        <w:rPr>
          <w:sz w:val="22"/>
          <w:szCs w:val="22"/>
          <w:lang w:val="pl-PL"/>
        </w:rPr>
      </w:pPr>
    </w:p>
    <w:p w14:paraId="0B1762DB" w14:textId="7BA81D64" w:rsidR="000016E2" w:rsidRPr="00BD22FE" w:rsidRDefault="00104CA8" w:rsidP="006717CD">
      <w:pPr>
        <w:pStyle w:val="BodyText"/>
        <w:keepNext/>
        <w:numPr>
          <w:ilvl w:val="0"/>
          <w:numId w:val="30"/>
        </w:numPr>
        <w:spacing w:line="240" w:lineRule="auto"/>
        <w:ind w:left="567" w:hanging="567"/>
        <w:jc w:val="left"/>
        <w:rPr>
          <w:sz w:val="22"/>
          <w:szCs w:val="22"/>
          <w:lang w:val="pl-PL"/>
        </w:rPr>
      </w:pPr>
      <w:r w:rsidRPr="00BD22FE">
        <w:rPr>
          <w:sz w:val="22"/>
          <w:szCs w:val="22"/>
          <w:lang w:val="pl-PL"/>
        </w:rPr>
        <w:lastRenderedPageBreak/>
        <w:t>Hiperkaliemia</w:t>
      </w:r>
    </w:p>
    <w:p w14:paraId="52845405" w14:textId="023853C5" w:rsidR="000016E2" w:rsidRPr="00BD22FE" w:rsidRDefault="00104CA8" w:rsidP="00941FBF">
      <w:pPr>
        <w:pStyle w:val="BodyText"/>
        <w:spacing w:line="240" w:lineRule="auto"/>
        <w:jc w:val="left"/>
        <w:rPr>
          <w:sz w:val="22"/>
          <w:szCs w:val="22"/>
          <w:lang w:val="pl-PL"/>
        </w:rPr>
      </w:pPr>
      <w:r w:rsidRPr="00BD22FE">
        <w:rPr>
          <w:sz w:val="22"/>
          <w:szCs w:val="22"/>
          <w:lang w:val="pl-PL"/>
        </w:rPr>
        <w:t>Z</w:t>
      </w:r>
      <w:r w:rsidR="00717A7B" w:rsidRPr="00BD22FE">
        <w:rPr>
          <w:sz w:val="22"/>
          <w:szCs w:val="22"/>
          <w:lang w:val="pl-PL"/>
        </w:rPr>
        <w:t> </w:t>
      </w:r>
      <w:r w:rsidRPr="00BD22FE">
        <w:rPr>
          <w:sz w:val="22"/>
          <w:szCs w:val="22"/>
          <w:lang w:val="pl-PL"/>
        </w:rPr>
        <w:t>drugiej strony, z</w:t>
      </w:r>
      <w:r w:rsidR="00717A7B" w:rsidRPr="00BD22FE">
        <w:rPr>
          <w:sz w:val="22"/>
          <w:szCs w:val="22"/>
          <w:lang w:val="pl-PL"/>
        </w:rPr>
        <w:t> </w:t>
      </w:r>
      <w:r w:rsidRPr="00BD22FE">
        <w:rPr>
          <w:sz w:val="22"/>
          <w:szCs w:val="22"/>
          <w:lang w:val="pl-PL"/>
        </w:rPr>
        <w:t>powodu antagonistycznego działania telmisartanu, składnika produktu leczniczego, na receptor angiotensyny</w:t>
      </w:r>
      <w:r w:rsidR="001E0877" w:rsidRPr="00BD22FE">
        <w:rPr>
          <w:sz w:val="22"/>
          <w:szCs w:val="22"/>
          <w:lang w:val="pl-PL"/>
        </w:rPr>
        <w:t> </w:t>
      </w:r>
      <w:r w:rsidRPr="00BD22FE">
        <w:rPr>
          <w:sz w:val="22"/>
          <w:szCs w:val="22"/>
          <w:lang w:val="pl-PL"/>
        </w:rPr>
        <w:t>II (AT</w:t>
      </w:r>
      <w:r w:rsidRPr="00BD22FE">
        <w:rPr>
          <w:sz w:val="22"/>
          <w:szCs w:val="22"/>
          <w:vertAlign w:val="subscript"/>
          <w:lang w:val="pl-PL"/>
        </w:rPr>
        <w:t>1</w:t>
      </w:r>
      <w:r w:rsidRPr="00BD22FE">
        <w:rPr>
          <w:sz w:val="22"/>
          <w:szCs w:val="22"/>
          <w:lang w:val="pl-PL"/>
        </w:rPr>
        <w:t>) może wystąpić hiperkaliemia.</w:t>
      </w:r>
      <w:r w:rsidR="00956276" w:rsidRPr="00BD22FE">
        <w:rPr>
          <w:sz w:val="22"/>
          <w:szCs w:val="22"/>
          <w:lang w:val="pl-PL"/>
        </w:rPr>
        <w:t xml:space="preserve"> </w:t>
      </w:r>
      <w:r w:rsidRPr="00BD22FE">
        <w:rPr>
          <w:sz w:val="22"/>
          <w:szCs w:val="22"/>
          <w:lang w:val="pl-PL"/>
        </w:rPr>
        <w:t>Pomimo faktu, że nie odnotowano klinicznie znamiennych przypadków wystąpienia hiperkaliemii związanej ze stosowaniem telmisartanu/HCTZ, czynniki ryzyka związane z</w:t>
      </w:r>
      <w:r w:rsidR="00717A7B" w:rsidRPr="00BD22FE">
        <w:rPr>
          <w:sz w:val="22"/>
          <w:szCs w:val="22"/>
          <w:lang w:val="pl-PL"/>
        </w:rPr>
        <w:t> </w:t>
      </w:r>
      <w:r w:rsidRPr="00BD22FE">
        <w:rPr>
          <w:sz w:val="22"/>
          <w:szCs w:val="22"/>
          <w:lang w:val="pl-PL"/>
        </w:rPr>
        <w:t xml:space="preserve">wystąpieniem </w:t>
      </w:r>
      <w:r w:rsidR="00A46C9E" w:rsidRPr="00BD22FE">
        <w:rPr>
          <w:sz w:val="22"/>
          <w:szCs w:val="22"/>
          <w:lang w:val="pl-PL"/>
        </w:rPr>
        <w:t xml:space="preserve">hiperkaliemii </w:t>
      </w:r>
      <w:r w:rsidRPr="00BD22FE">
        <w:rPr>
          <w:sz w:val="22"/>
          <w:szCs w:val="22"/>
          <w:lang w:val="pl-PL"/>
        </w:rPr>
        <w:t>obejmują niewydolność nerek i</w:t>
      </w:r>
      <w:r w:rsidR="00B15C46" w:rsidRPr="00BD22FE">
        <w:rPr>
          <w:sz w:val="22"/>
          <w:szCs w:val="22"/>
          <w:lang w:val="pl-PL"/>
        </w:rPr>
        <w:t> </w:t>
      </w:r>
      <w:r w:rsidRPr="00BD22FE">
        <w:rPr>
          <w:sz w:val="22"/>
          <w:szCs w:val="22"/>
          <w:lang w:val="pl-PL"/>
        </w:rPr>
        <w:t xml:space="preserve">(lub) niewydolność serca oraz cukrzycę. Diuretyki oszczędzające potas, suplementy potasu lub sole zawierające potas powinny być </w:t>
      </w:r>
      <w:r w:rsidR="00FB052E" w:rsidRPr="00BD22FE">
        <w:rPr>
          <w:sz w:val="22"/>
          <w:szCs w:val="22"/>
          <w:lang w:val="pl-PL"/>
        </w:rPr>
        <w:t xml:space="preserve">podawane </w:t>
      </w:r>
      <w:r w:rsidRPr="00BD22FE">
        <w:rPr>
          <w:sz w:val="22"/>
          <w:szCs w:val="22"/>
          <w:lang w:val="pl-PL"/>
        </w:rPr>
        <w:t>z</w:t>
      </w:r>
      <w:r w:rsidR="00717A7B" w:rsidRPr="00BD22FE">
        <w:rPr>
          <w:sz w:val="22"/>
          <w:szCs w:val="22"/>
          <w:lang w:val="pl-PL"/>
        </w:rPr>
        <w:t> </w:t>
      </w:r>
      <w:r w:rsidRPr="00BD22FE">
        <w:rPr>
          <w:sz w:val="22"/>
          <w:szCs w:val="22"/>
          <w:lang w:val="pl-PL"/>
        </w:rPr>
        <w:t>dużą ostrożnością podczas terapii telmisartanem/HCTZ (patrz punkt 4.5).</w:t>
      </w:r>
    </w:p>
    <w:p w14:paraId="39981F14" w14:textId="77777777" w:rsidR="000016E2" w:rsidRPr="00BD22FE" w:rsidRDefault="000016E2" w:rsidP="00941FBF">
      <w:pPr>
        <w:pStyle w:val="BodyText"/>
        <w:spacing w:line="240" w:lineRule="auto"/>
        <w:jc w:val="left"/>
        <w:rPr>
          <w:sz w:val="22"/>
          <w:szCs w:val="22"/>
          <w:lang w:val="pl-PL"/>
        </w:rPr>
      </w:pPr>
    </w:p>
    <w:p w14:paraId="1BED2540" w14:textId="7BC9C552" w:rsidR="000016E2" w:rsidRPr="00BD22FE" w:rsidRDefault="00104CA8" w:rsidP="006717CD">
      <w:pPr>
        <w:pStyle w:val="BodyText"/>
        <w:keepNext/>
        <w:numPr>
          <w:ilvl w:val="0"/>
          <w:numId w:val="30"/>
        </w:numPr>
        <w:spacing w:line="240" w:lineRule="auto"/>
        <w:ind w:left="567" w:hanging="567"/>
        <w:jc w:val="left"/>
        <w:rPr>
          <w:sz w:val="22"/>
          <w:szCs w:val="22"/>
          <w:lang w:val="pl-PL"/>
        </w:rPr>
      </w:pPr>
      <w:r w:rsidRPr="00BD22FE">
        <w:rPr>
          <w:sz w:val="22"/>
          <w:szCs w:val="22"/>
          <w:lang w:val="pl-PL"/>
        </w:rPr>
        <w:t>Alkaloza hipochloremiczna</w:t>
      </w:r>
    </w:p>
    <w:p w14:paraId="73BAB9B3" w14:textId="45F26B6E" w:rsidR="000016E2" w:rsidRPr="00BD22FE" w:rsidRDefault="00104CA8" w:rsidP="00941FBF">
      <w:pPr>
        <w:pStyle w:val="BodyText"/>
        <w:spacing w:line="240" w:lineRule="auto"/>
        <w:jc w:val="left"/>
        <w:rPr>
          <w:sz w:val="22"/>
          <w:szCs w:val="22"/>
          <w:lang w:val="pl-PL"/>
        </w:rPr>
      </w:pPr>
      <w:r w:rsidRPr="00BD22FE">
        <w:rPr>
          <w:sz w:val="22"/>
          <w:szCs w:val="22"/>
          <w:lang w:val="pl-PL"/>
        </w:rPr>
        <w:t xml:space="preserve">Niedobór chlorków na ogół jest </w:t>
      </w:r>
      <w:r w:rsidR="00816A57" w:rsidRPr="00BD22FE">
        <w:rPr>
          <w:sz w:val="22"/>
          <w:szCs w:val="22"/>
          <w:lang w:val="pl-PL"/>
        </w:rPr>
        <w:t xml:space="preserve">niewielki </w:t>
      </w:r>
      <w:r w:rsidRPr="00BD22FE">
        <w:rPr>
          <w:sz w:val="22"/>
          <w:szCs w:val="22"/>
          <w:lang w:val="pl-PL"/>
        </w:rPr>
        <w:t>i</w:t>
      </w:r>
      <w:r w:rsidR="00717A7B" w:rsidRPr="00BD22FE">
        <w:rPr>
          <w:sz w:val="22"/>
          <w:szCs w:val="22"/>
          <w:lang w:val="pl-PL"/>
        </w:rPr>
        <w:t> </w:t>
      </w:r>
      <w:r w:rsidRPr="00BD22FE">
        <w:rPr>
          <w:sz w:val="22"/>
          <w:szCs w:val="22"/>
          <w:lang w:val="pl-PL"/>
        </w:rPr>
        <w:t>nie wymaga leczenia.</w:t>
      </w:r>
    </w:p>
    <w:p w14:paraId="5D7303BC" w14:textId="77777777" w:rsidR="000016E2" w:rsidRPr="00BD22FE" w:rsidRDefault="000016E2" w:rsidP="00941FBF">
      <w:pPr>
        <w:pStyle w:val="BodyText"/>
        <w:spacing w:line="240" w:lineRule="auto"/>
        <w:jc w:val="left"/>
        <w:rPr>
          <w:sz w:val="22"/>
          <w:szCs w:val="22"/>
          <w:lang w:val="pl-PL"/>
        </w:rPr>
      </w:pPr>
    </w:p>
    <w:p w14:paraId="206318F1" w14:textId="575A10EA" w:rsidR="000016E2" w:rsidRPr="00BD22FE" w:rsidRDefault="00104CA8" w:rsidP="006717CD">
      <w:pPr>
        <w:pStyle w:val="BodyText"/>
        <w:keepNext/>
        <w:numPr>
          <w:ilvl w:val="0"/>
          <w:numId w:val="30"/>
        </w:numPr>
        <w:spacing w:line="240" w:lineRule="auto"/>
        <w:ind w:left="567" w:hanging="567"/>
        <w:jc w:val="left"/>
        <w:rPr>
          <w:sz w:val="22"/>
          <w:szCs w:val="22"/>
          <w:lang w:val="pl-PL"/>
        </w:rPr>
      </w:pPr>
      <w:r w:rsidRPr="00BD22FE">
        <w:rPr>
          <w:sz w:val="22"/>
          <w:szCs w:val="22"/>
          <w:lang w:val="pl-PL"/>
        </w:rPr>
        <w:t>Hiperkalcemia</w:t>
      </w:r>
    </w:p>
    <w:p w14:paraId="14C0A0A2" w14:textId="2308BBA1" w:rsidR="000016E2" w:rsidRPr="00BD22FE" w:rsidRDefault="00104CA8" w:rsidP="00941FBF">
      <w:pPr>
        <w:pStyle w:val="BodyText"/>
        <w:spacing w:line="240" w:lineRule="auto"/>
        <w:jc w:val="left"/>
        <w:rPr>
          <w:sz w:val="22"/>
          <w:szCs w:val="22"/>
          <w:lang w:val="pl-PL"/>
        </w:rPr>
      </w:pPr>
      <w:r w:rsidRPr="00BD22FE">
        <w:rPr>
          <w:sz w:val="22"/>
          <w:szCs w:val="22"/>
          <w:lang w:val="pl-PL"/>
        </w:rPr>
        <w:t>Tiazydy mogą zmniejszać wydalanie wapnia z</w:t>
      </w:r>
      <w:r w:rsidR="00717A7B" w:rsidRPr="00BD22FE">
        <w:rPr>
          <w:sz w:val="22"/>
          <w:szCs w:val="22"/>
          <w:lang w:val="pl-PL"/>
        </w:rPr>
        <w:t> </w:t>
      </w:r>
      <w:r w:rsidRPr="00BD22FE">
        <w:rPr>
          <w:sz w:val="22"/>
          <w:szCs w:val="22"/>
          <w:lang w:val="pl-PL"/>
        </w:rPr>
        <w:t>moczem</w:t>
      </w:r>
      <w:r w:rsidR="00FF4CD8" w:rsidRPr="00BD22FE">
        <w:rPr>
          <w:sz w:val="22"/>
          <w:szCs w:val="22"/>
          <w:lang w:val="pl-PL"/>
        </w:rPr>
        <w:t xml:space="preserve"> i mogą </w:t>
      </w:r>
      <w:r w:rsidRPr="00BD22FE">
        <w:rPr>
          <w:sz w:val="22"/>
          <w:szCs w:val="22"/>
          <w:lang w:val="pl-PL"/>
        </w:rPr>
        <w:t>powodować przejściowe i</w:t>
      </w:r>
      <w:r w:rsidR="00F54C1D" w:rsidRPr="00BD22FE">
        <w:rPr>
          <w:sz w:val="22"/>
          <w:szCs w:val="22"/>
          <w:lang w:val="pl-PL"/>
        </w:rPr>
        <w:t> </w:t>
      </w:r>
      <w:r w:rsidRPr="00BD22FE">
        <w:rPr>
          <w:sz w:val="22"/>
          <w:szCs w:val="22"/>
          <w:lang w:val="pl-PL"/>
        </w:rPr>
        <w:t>niewielkie zwiększenie stężenia wapnia w</w:t>
      </w:r>
      <w:r w:rsidR="00717A7B" w:rsidRPr="00BD22FE">
        <w:rPr>
          <w:sz w:val="22"/>
          <w:szCs w:val="22"/>
          <w:lang w:val="pl-PL"/>
        </w:rPr>
        <w:t> </w:t>
      </w:r>
      <w:r w:rsidRPr="00BD22FE">
        <w:rPr>
          <w:sz w:val="22"/>
          <w:szCs w:val="22"/>
          <w:lang w:val="pl-PL"/>
        </w:rPr>
        <w:t>surowicy przy braku znanych zaburzeń metabolizmu wapnia. Znaczna hiperkalcemia może być objawem utajonej nadczynności przytarczyc. Tiazydy powinny zostać odstawione przed przeprowadzeniem badań czynnościowych przytarczyc.</w:t>
      </w:r>
    </w:p>
    <w:p w14:paraId="3CDF1A7A" w14:textId="77777777" w:rsidR="000016E2" w:rsidRPr="00BD22FE" w:rsidRDefault="000016E2" w:rsidP="00941FBF">
      <w:pPr>
        <w:pStyle w:val="BodyText"/>
        <w:spacing w:line="240" w:lineRule="auto"/>
        <w:jc w:val="left"/>
        <w:rPr>
          <w:sz w:val="22"/>
          <w:szCs w:val="22"/>
          <w:lang w:val="pl-PL"/>
        </w:rPr>
      </w:pPr>
    </w:p>
    <w:p w14:paraId="560799EE" w14:textId="1F3EE152" w:rsidR="000016E2" w:rsidRPr="00BD22FE" w:rsidRDefault="00104CA8" w:rsidP="006717CD">
      <w:pPr>
        <w:pStyle w:val="BodyText"/>
        <w:keepNext/>
        <w:numPr>
          <w:ilvl w:val="0"/>
          <w:numId w:val="30"/>
        </w:numPr>
        <w:spacing w:line="240" w:lineRule="auto"/>
        <w:ind w:left="567" w:hanging="567"/>
        <w:jc w:val="left"/>
        <w:rPr>
          <w:sz w:val="22"/>
          <w:szCs w:val="22"/>
          <w:lang w:val="pl-PL"/>
        </w:rPr>
      </w:pPr>
      <w:r w:rsidRPr="00BD22FE">
        <w:rPr>
          <w:sz w:val="22"/>
          <w:szCs w:val="22"/>
          <w:lang w:val="pl-PL"/>
        </w:rPr>
        <w:t>Hipomagnezemia</w:t>
      </w:r>
    </w:p>
    <w:p w14:paraId="7CA9109B" w14:textId="0ED6D8D2" w:rsidR="000016E2" w:rsidRPr="00BD22FE" w:rsidRDefault="00104CA8" w:rsidP="00941FBF">
      <w:pPr>
        <w:pStyle w:val="BodyText"/>
        <w:spacing w:line="240" w:lineRule="auto"/>
        <w:jc w:val="left"/>
        <w:rPr>
          <w:sz w:val="22"/>
          <w:szCs w:val="22"/>
          <w:lang w:val="pl-PL"/>
        </w:rPr>
      </w:pPr>
      <w:r w:rsidRPr="00BD22FE">
        <w:rPr>
          <w:sz w:val="22"/>
          <w:szCs w:val="22"/>
          <w:lang w:val="pl-PL"/>
        </w:rPr>
        <w:t>Wykazano, że tiazydy zwiększają wydalanie magnezu z</w:t>
      </w:r>
      <w:r w:rsidR="00717A7B" w:rsidRPr="00BD22FE">
        <w:rPr>
          <w:sz w:val="22"/>
          <w:szCs w:val="22"/>
          <w:lang w:val="pl-PL"/>
        </w:rPr>
        <w:t> </w:t>
      </w:r>
      <w:r w:rsidRPr="00BD22FE">
        <w:rPr>
          <w:sz w:val="22"/>
          <w:szCs w:val="22"/>
          <w:lang w:val="pl-PL"/>
        </w:rPr>
        <w:t>moczem, co może doprowadzić do hipomagnezemii (patrz punkt 4.5).</w:t>
      </w:r>
    </w:p>
    <w:p w14:paraId="7CEEFFA5" w14:textId="77777777" w:rsidR="000016E2" w:rsidRPr="00BD22FE" w:rsidRDefault="000016E2" w:rsidP="00941FBF">
      <w:pPr>
        <w:pStyle w:val="BodyText"/>
        <w:spacing w:line="240" w:lineRule="auto"/>
        <w:jc w:val="left"/>
        <w:rPr>
          <w:sz w:val="22"/>
          <w:szCs w:val="22"/>
          <w:lang w:val="pl-PL"/>
        </w:rPr>
      </w:pPr>
    </w:p>
    <w:p w14:paraId="77D24829" w14:textId="77777777" w:rsidR="000016E2" w:rsidRPr="00BD22FE" w:rsidRDefault="00104CA8" w:rsidP="00283374">
      <w:pPr>
        <w:pStyle w:val="BodyText"/>
        <w:keepNext/>
        <w:spacing w:line="240" w:lineRule="auto"/>
        <w:jc w:val="left"/>
        <w:rPr>
          <w:sz w:val="22"/>
          <w:szCs w:val="22"/>
          <w:lang w:val="pl-PL"/>
        </w:rPr>
      </w:pPr>
      <w:r w:rsidRPr="00BD22FE">
        <w:rPr>
          <w:sz w:val="22"/>
          <w:szCs w:val="22"/>
          <w:u w:val="single"/>
          <w:lang w:val="pl-PL"/>
        </w:rPr>
        <w:t>Różnice etniczne</w:t>
      </w:r>
    </w:p>
    <w:p w14:paraId="59274A66" w14:textId="1E45D717" w:rsidR="000016E2" w:rsidRPr="00BD22FE" w:rsidRDefault="00104CA8" w:rsidP="00941FBF">
      <w:pPr>
        <w:pStyle w:val="BodyText"/>
        <w:spacing w:line="240" w:lineRule="auto"/>
        <w:jc w:val="left"/>
        <w:rPr>
          <w:sz w:val="22"/>
          <w:szCs w:val="22"/>
          <w:lang w:val="pl-PL"/>
        </w:rPr>
      </w:pPr>
      <w:r w:rsidRPr="00BD22FE">
        <w:rPr>
          <w:sz w:val="22"/>
          <w:szCs w:val="22"/>
          <w:lang w:val="pl-PL"/>
        </w:rPr>
        <w:t>Podobnie jak w</w:t>
      </w:r>
      <w:r w:rsidR="00717A7B" w:rsidRPr="00BD22FE">
        <w:rPr>
          <w:sz w:val="22"/>
          <w:szCs w:val="22"/>
          <w:lang w:val="pl-PL"/>
        </w:rPr>
        <w:t> </w:t>
      </w:r>
      <w:r w:rsidRPr="00BD22FE">
        <w:rPr>
          <w:sz w:val="22"/>
          <w:szCs w:val="22"/>
          <w:lang w:val="pl-PL"/>
        </w:rPr>
        <w:t>przypadku innych blokerów receptora angiotensyny</w:t>
      </w:r>
      <w:r w:rsidR="001E0877" w:rsidRPr="00BD22FE">
        <w:rPr>
          <w:sz w:val="22"/>
          <w:szCs w:val="22"/>
          <w:lang w:val="pl-PL"/>
        </w:rPr>
        <w:t> </w:t>
      </w:r>
      <w:r w:rsidRPr="00BD22FE">
        <w:rPr>
          <w:sz w:val="22"/>
          <w:szCs w:val="22"/>
          <w:lang w:val="pl-PL"/>
        </w:rPr>
        <w:t xml:space="preserve">II, telmisartan </w:t>
      </w:r>
      <w:r w:rsidR="00B35C01" w:rsidRPr="00BD22FE">
        <w:rPr>
          <w:sz w:val="22"/>
          <w:szCs w:val="22"/>
          <w:lang w:val="pl-PL"/>
        </w:rPr>
        <w:t xml:space="preserve">wykazuje mniejszą skuteczność w obniżaniu </w:t>
      </w:r>
      <w:r w:rsidRPr="00BD22FE">
        <w:rPr>
          <w:sz w:val="22"/>
          <w:szCs w:val="22"/>
          <w:lang w:val="pl-PL"/>
        </w:rPr>
        <w:t>nadciśnienia</w:t>
      </w:r>
      <w:r w:rsidR="00B35C01" w:rsidRPr="00BD22FE">
        <w:rPr>
          <w:sz w:val="22"/>
          <w:szCs w:val="22"/>
          <w:lang w:val="pl-PL"/>
        </w:rPr>
        <w:t xml:space="preserve"> tętniczego</w:t>
      </w:r>
      <w:r w:rsidRPr="00BD22FE">
        <w:rPr>
          <w:sz w:val="22"/>
          <w:szCs w:val="22"/>
          <w:lang w:val="pl-PL"/>
        </w:rPr>
        <w:t xml:space="preserve"> u</w:t>
      </w:r>
      <w:r w:rsidR="00717A7B" w:rsidRPr="00BD22FE">
        <w:rPr>
          <w:sz w:val="22"/>
          <w:szCs w:val="22"/>
          <w:lang w:val="pl-PL"/>
        </w:rPr>
        <w:t> </w:t>
      </w:r>
      <w:r w:rsidR="00B35C01" w:rsidRPr="00BD22FE">
        <w:rPr>
          <w:sz w:val="22"/>
          <w:szCs w:val="22"/>
          <w:lang w:val="pl-PL"/>
        </w:rPr>
        <w:t xml:space="preserve">pacjentów </w:t>
      </w:r>
      <w:r w:rsidRPr="00BD22FE">
        <w:rPr>
          <w:sz w:val="22"/>
          <w:szCs w:val="22"/>
          <w:lang w:val="pl-PL"/>
        </w:rPr>
        <w:t>rasy czarnej</w:t>
      </w:r>
      <w:r w:rsidR="00A2615E" w:rsidRPr="00BD22FE">
        <w:rPr>
          <w:sz w:val="22"/>
          <w:szCs w:val="22"/>
          <w:lang w:val="pl-PL"/>
        </w:rPr>
        <w:t>.</w:t>
      </w:r>
      <w:r w:rsidRPr="00BD22FE">
        <w:rPr>
          <w:sz w:val="22"/>
          <w:szCs w:val="22"/>
          <w:lang w:val="pl-PL"/>
        </w:rPr>
        <w:t xml:space="preserve"> </w:t>
      </w:r>
      <w:r w:rsidR="00A2615E" w:rsidRPr="00BD22FE">
        <w:rPr>
          <w:sz w:val="22"/>
          <w:szCs w:val="22"/>
          <w:lang w:val="pl-PL"/>
        </w:rPr>
        <w:t>J</w:t>
      </w:r>
      <w:r w:rsidR="00B35C01" w:rsidRPr="00BD22FE">
        <w:rPr>
          <w:sz w:val="22"/>
          <w:szCs w:val="22"/>
          <w:lang w:val="pl-PL"/>
        </w:rPr>
        <w:t xml:space="preserve">est to </w:t>
      </w:r>
      <w:r w:rsidRPr="00BD22FE">
        <w:rPr>
          <w:sz w:val="22"/>
          <w:szCs w:val="22"/>
          <w:lang w:val="pl-PL"/>
        </w:rPr>
        <w:t xml:space="preserve">prawdopodobnie </w:t>
      </w:r>
      <w:r w:rsidR="00B35C01" w:rsidRPr="00BD22FE">
        <w:rPr>
          <w:sz w:val="22"/>
          <w:szCs w:val="22"/>
          <w:lang w:val="pl-PL"/>
        </w:rPr>
        <w:t>związane z większą</w:t>
      </w:r>
      <w:r w:rsidRPr="00BD22FE">
        <w:rPr>
          <w:sz w:val="22"/>
          <w:szCs w:val="22"/>
          <w:lang w:val="pl-PL"/>
        </w:rPr>
        <w:t xml:space="preserve"> częst</w:t>
      </w:r>
      <w:r w:rsidR="00B35C01" w:rsidRPr="00BD22FE">
        <w:rPr>
          <w:sz w:val="22"/>
          <w:szCs w:val="22"/>
          <w:lang w:val="pl-PL"/>
        </w:rPr>
        <w:t>ością</w:t>
      </w:r>
      <w:r w:rsidR="008933DF" w:rsidRPr="00BD22FE">
        <w:rPr>
          <w:sz w:val="22"/>
          <w:szCs w:val="22"/>
          <w:lang w:val="pl-PL"/>
        </w:rPr>
        <w:t xml:space="preserve"> </w:t>
      </w:r>
      <w:r w:rsidRPr="00BD22FE">
        <w:rPr>
          <w:sz w:val="22"/>
          <w:szCs w:val="22"/>
          <w:lang w:val="pl-PL"/>
        </w:rPr>
        <w:t>występowania zmniejszonego stężenia reniny w</w:t>
      </w:r>
      <w:r w:rsidR="00717A7B" w:rsidRPr="00BD22FE">
        <w:rPr>
          <w:sz w:val="22"/>
          <w:szCs w:val="22"/>
          <w:lang w:val="pl-PL"/>
        </w:rPr>
        <w:t> </w:t>
      </w:r>
      <w:r w:rsidRPr="00BD22FE">
        <w:rPr>
          <w:sz w:val="22"/>
          <w:szCs w:val="22"/>
          <w:lang w:val="pl-PL"/>
        </w:rPr>
        <w:t>populacji pacjentów rasy czarnej z</w:t>
      </w:r>
      <w:r w:rsidR="00717A7B" w:rsidRPr="00BD22FE">
        <w:rPr>
          <w:sz w:val="22"/>
          <w:szCs w:val="22"/>
          <w:lang w:val="pl-PL"/>
        </w:rPr>
        <w:t> </w:t>
      </w:r>
      <w:r w:rsidRPr="00BD22FE">
        <w:rPr>
          <w:sz w:val="22"/>
          <w:szCs w:val="22"/>
          <w:lang w:val="pl-PL"/>
        </w:rPr>
        <w:t>nadciśnieniem</w:t>
      </w:r>
      <w:r w:rsidR="00B35C01" w:rsidRPr="00BD22FE">
        <w:rPr>
          <w:sz w:val="22"/>
          <w:szCs w:val="22"/>
          <w:lang w:val="pl-PL"/>
        </w:rPr>
        <w:t xml:space="preserve"> tętniczym</w:t>
      </w:r>
      <w:r w:rsidRPr="00BD22FE">
        <w:rPr>
          <w:sz w:val="22"/>
          <w:szCs w:val="22"/>
          <w:lang w:val="pl-PL"/>
        </w:rPr>
        <w:t>.</w:t>
      </w:r>
    </w:p>
    <w:p w14:paraId="535E0E7C" w14:textId="77777777" w:rsidR="000016E2" w:rsidRPr="00BD22FE" w:rsidRDefault="000016E2" w:rsidP="00941FBF">
      <w:pPr>
        <w:pStyle w:val="BodyText"/>
        <w:spacing w:line="240" w:lineRule="auto"/>
        <w:jc w:val="left"/>
        <w:rPr>
          <w:sz w:val="22"/>
          <w:szCs w:val="22"/>
          <w:lang w:val="pl-PL"/>
        </w:rPr>
      </w:pPr>
    </w:p>
    <w:p w14:paraId="5A5E864F" w14:textId="26D6C3E2" w:rsidR="000016E2" w:rsidRPr="00BD22FE" w:rsidRDefault="00104CA8" w:rsidP="00283374">
      <w:pPr>
        <w:pStyle w:val="BodyText"/>
        <w:keepNext/>
        <w:spacing w:line="240" w:lineRule="auto"/>
        <w:jc w:val="left"/>
        <w:rPr>
          <w:sz w:val="22"/>
          <w:szCs w:val="22"/>
          <w:lang w:val="pl-PL"/>
        </w:rPr>
      </w:pPr>
      <w:r w:rsidRPr="00BD22FE">
        <w:rPr>
          <w:sz w:val="22"/>
          <w:szCs w:val="22"/>
          <w:u w:val="single"/>
          <w:lang w:val="pl-PL"/>
        </w:rPr>
        <w:t>Choroba niedokrwienna serca</w:t>
      </w:r>
    </w:p>
    <w:p w14:paraId="775367AD" w14:textId="75E6BF2E" w:rsidR="000016E2" w:rsidRPr="00BD22FE" w:rsidRDefault="00CC4B48" w:rsidP="00941FBF">
      <w:pPr>
        <w:pStyle w:val="BodyText"/>
        <w:spacing w:line="240" w:lineRule="auto"/>
        <w:jc w:val="left"/>
        <w:rPr>
          <w:sz w:val="22"/>
          <w:szCs w:val="22"/>
          <w:lang w:val="pl-PL"/>
        </w:rPr>
      </w:pPr>
      <w:r w:rsidRPr="00BD22FE">
        <w:rPr>
          <w:sz w:val="22"/>
          <w:szCs w:val="22"/>
          <w:lang w:val="pl-PL"/>
        </w:rPr>
        <w:t xml:space="preserve">Tak </w:t>
      </w:r>
      <w:r w:rsidR="00104CA8" w:rsidRPr="00BD22FE">
        <w:rPr>
          <w:sz w:val="22"/>
          <w:szCs w:val="22"/>
          <w:lang w:val="pl-PL"/>
        </w:rPr>
        <w:t>jak w</w:t>
      </w:r>
      <w:r w:rsidR="00717A7B" w:rsidRPr="00BD22FE">
        <w:rPr>
          <w:sz w:val="22"/>
          <w:szCs w:val="22"/>
          <w:lang w:val="pl-PL"/>
        </w:rPr>
        <w:t> </w:t>
      </w:r>
      <w:r w:rsidR="00104CA8" w:rsidRPr="00BD22FE">
        <w:rPr>
          <w:sz w:val="22"/>
          <w:szCs w:val="22"/>
          <w:lang w:val="pl-PL"/>
        </w:rPr>
        <w:t xml:space="preserve">przypadku </w:t>
      </w:r>
      <w:r w:rsidRPr="00BD22FE">
        <w:rPr>
          <w:sz w:val="22"/>
          <w:szCs w:val="22"/>
          <w:lang w:val="pl-PL"/>
        </w:rPr>
        <w:t>pozostałych</w:t>
      </w:r>
      <w:r w:rsidR="00104CA8" w:rsidRPr="00BD22FE">
        <w:rPr>
          <w:sz w:val="22"/>
          <w:szCs w:val="22"/>
          <w:lang w:val="pl-PL"/>
        </w:rPr>
        <w:t xml:space="preserve"> leków przeciwnadciśnieniowych, nadmierne obniżenie ciśnienia </w:t>
      </w:r>
      <w:r w:rsidRPr="00BD22FE">
        <w:rPr>
          <w:sz w:val="22"/>
          <w:szCs w:val="22"/>
          <w:lang w:val="pl-PL"/>
        </w:rPr>
        <w:t xml:space="preserve">tętniczego </w:t>
      </w:r>
      <w:r w:rsidR="00104CA8" w:rsidRPr="00BD22FE">
        <w:rPr>
          <w:sz w:val="22"/>
          <w:szCs w:val="22"/>
          <w:lang w:val="pl-PL"/>
        </w:rPr>
        <w:t>krwi u</w:t>
      </w:r>
      <w:r w:rsidR="00717A7B" w:rsidRPr="00BD22FE">
        <w:rPr>
          <w:sz w:val="22"/>
          <w:szCs w:val="22"/>
          <w:lang w:val="pl-PL"/>
        </w:rPr>
        <w:t> </w:t>
      </w:r>
      <w:r w:rsidR="00104CA8" w:rsidRPr="00BD22FE">
        <w:rPr>
          <w:sz w:val="22"/>
          <w:szCs w:val="22"/>
          <w:lang w:val="pl-PL"/>
        </w:rPr>
        <w:t>pacjentów z</w:t>
      </w:r>
      <w:r w:rsidR="00717A7B" w:rsidRPr="00BD22FE">
        <w:rPr>
          <w:sz w:val="22"/>
          <w:szCs w:val="22"/>
          <w:lang w:val="pl-PL"/>
        </w:rPr>
        <w:t> </w:t>
      </w:r>
      <w:r w:rsidR="00104CA8" w:rsidRPr="00BD22FE">
        <w:rPr>
          <w:sz w:val="22"/>
          <w:szCs w:val="22"/>
          <w:lang w:val="pl-PL"/>
        </w:rPr>
        <w:t>kardiomiopatią niedokrwienną lub</w:t>
      </w:r>
      <w:r w:rsidR="00717A7B" w:rsidRPr="00BD22FE">
        <w:rPr>
          <w:sz w:val="22"/>
          <w:szCs w:val="22"/>
          <w:lang w:val="pl-PL"/>
        </w:rPr>
        <w:t> </w:t>
      </w:r>
      <w:r w:rsidR="00104CA8" w:rsidRPr="00BD22FE">
        <w:rPr>
          <w:sz w:val="22"/>
          <w:szCs w:val="22"/>
          <w:lang w:val="pl-PL"/>
        </w:rPr>
        <w:t xml:space="preserve">chorobą niedokrwienną </w:t>
      </w:r>
      <w:r w:rsidRPr="00BD22FE">
        <w:rPr>
          <w:sz w:val="22"/>
          <w:szCs w:val="22"/>
          <w:lang w:val="pl-PL"/>
        </w:rPr>
        <w:t>układu sercowo-naczyniowego</w:t>
      </w:r>
      <w:r w:rsidR="00104CA8" w:rsidRPr="00BD22FE">
        <w:rPr>
          <w:sz w:val="22"/>
          <w:szCs w:val="22"/>
          <w:lang w:val="pl-PL"/>
        </w:rPr>
        <w:t xml:space="preserve"> może powodować </w:t>
      </w:r>
      <w:r w:rsidRPr="00BD22FE">
        <w:rPr>
          <w:sz w:val="22"/>
          <w:szCs w:val="22"/>
          <w:lang w:val="pl-PL"/>
        </w:rPr>
        <w:t xml:space="preserve">wystąpienie </w:t>
      </w:r>
      <w:r w:rsidR="00104CA8" w:rsidRPr="00BD22FE">
        <w:rPr>
          <w:sz w:val="22"/>
          <w:szCs w:val="22"/>
          <w:lang w:val="pl-PL"/>
        </w:rPr>
        <w:t>zawał</w:t>
      </w:r>
      <w:r w:rsidRPr="00BD22FE">
        <w:rPr>
          <w:sz w:val="22"/>
          <w:szCs w:val="22"/>
          <w:lang w:val="pl-PL"/>
        </w:rPr>
        <w:t>u</w:t>
      </w:r>
      <w:r w:rsidR="00104CA8" w:rsidRPr="00BD22FE">
        <w:rPr>
          <w:sz w:val="22"/>
          <w:szCs w:val="22"/>
          <w:lang w:val="pl-PL"/>
        </w:rPr>
        <w:t xml:space="preserve"> serca lub</w:t>
      </w:r>
      <w:r w:rsidRPr="00BD22FE">
        <w:rPr>
          <w:sz w:val="22"/>
          <w:szCs w:val="22"/>
          <w:lang w:val="pl-PL"/>
        </w:rPr>
        <w:t> </w:t>
      </w:r>
      <w:r w:rsidR="00104CA8" w:rsidRPr="00BD22FE">
        <w:rPr>
          <w:sz w:val="22"/>
          <w:szCs w:val="22"/>
          <w:lang w:val="pl-PL"/>
        </w:rPr>
        <w:t>udar</w:t>
      </w:r>
      <w:r w:rsidRPr="00BD22FE">
        <w:rPr>
          <w:sz w:val="22"/>
          <w:szCs w:val="22"/>
          <w:lang w:val="pl-PL"/>
        </w:rPr>
        <w:t>u</w:t>
      </w:r>
      <w:r w:rsidR="00104CA8" w:rsidRPr="00BD22FE">
        <w:rPr>
          <w:sz w:val="22"/>
          <w:szCs w:val="22"/>
          <w:lang w:val="pl-PL"/>
        </w:rPr>
        <w:t>.</w:t>
      </w:r>
    </w:p>
    <w:p w14:paraId="55BD5607" w14:textId="77777777" w:rsidR="000016E2" w:rsidRPr="00BD22FE" w:rsidRDefault="000016E2" w:rsidP="00941FBF">
      <w:pPr>
        <w:pStyle w:val="BodyText"/>
        <w:spacing w:line="240" w:lineRule="auto"/>
        <w:jc w:val="left"/>
        <w:rPr>
          <w:sz w:val="22"/>
          <w:szCs w:val="22"/>
          <w:lang w:val="pl-PL"/>
        </w:rPr>
      </w:pPr>
    </w:p>
    <w:p w14:paraId="5B9A1FE3" w14:textId="77777777" w:rsidR="000016E2" w:rsidRPr="00BD22FE" w:rsidRDefault="00104CA8" w:rsidP="00941FBF">
      <w:pPr>
        <w:pStyle w:val="BodyText"/>
        <w:keepNext/>
        <w:spacing w:line="240" w:lineRule="auto"/>
        <w:jc w:val="left"/>
        <w:rPr>
          <w:sz w:val="22"/>
          <w:szCs w:val="22"/>
          <w:lang w:val="pl-PL"/>
        </w:rPr>
      </w:pPr>
      <w:r w:rsidRPr="00BD22FE">
        <w:rPr>
          <w:sz w:val="22"/>
          <w:szCs w:val="22"/>
          <w:u w:val="single"/>
          <w:lang w:val="pl-PL"/>
        </w:rPr>
        <w:t>Informacje ogólne</w:t>
      </w:r>
    </w:p>
    <w:p w14:paraId="12349F8F" w14:textId="68AE8A41" w:rsidR="003A7E3D" w:rsidRPr="00BD22FE" w:rsidRDefault="00104CA8" w:rsidP="00941FBF">
      <w:pPr>
        <w:pStyle w:val="BodyText"/>
        <w:spacing w:line="240" w:lineRule="auto"/>
        <w:jc w:val="left"/>
        <w:rPr>
          <w:sz w:val="22"/>
          <w:szCs w:val="22"/>
          <w:lang w:val="pl-PL"/>
        </w:rPr>
      </w:pPr>
      <w:r w:rsidRPr="00BD22FE">
        <w:rPr>
          <w:sz w:val="22"/>
          <w:szCs w:val="22"/>
          <w:lang w:val="pl-PL"/>
        </w:rPr>
        <w:t>Reakcje nadwrażliwości na HCTZ mogą wystąpić u</w:t>
      </w:r>
      <w:r w:rsidR="00717A7B" w:rsidRPr="00BD22FE">
        <w:rPr>
          <w:sz w:val="22"/>
          <w:szCs w:val="22"/>
          <w:lang w:val="pl-PL"/>
        </w:rPr>
        <w:t> </w:t>
      </w:r>
      <w:r w:rsidRPr="00BD22FE">
        <w:rPr>
          <w:sz w:val="22"/>
          <w:szCs w:val="22"/>
          <w:lang w:val="pl-PL"/>
        </w:rPr>
        <w:t>pacjentów z</w:t>
      </w:r>
      <w:r w:rsidR="00717A7B" w:rsidRPr="00BD22FE">
        <w:rPr>
          <w:sz w:val="22"/>
          <w:szCs w:val="22"/>
          <w:lang w:val="pl-PL"/>
        </w:rPr>
        <w:t> </w:t>
      </w:r>
      <w:r w:rsidRPr="00BD22FE">
        <w:rPr>
          <w:sz w:val="22"/>
          <w:szCs w:val="22"/>
          <w:lang w:val="pl-PL"/>
        </w:rPr>
        <w:t>lub bez alergii czy astmy oskrzelowej w</w:t>
      </w:r>
      <w:r w:rsidR="00717A7B" w:rsidRPr="00BD22FE">
        <w:rPr>
          <w:sz w:val="22"/>
          <w:szCs w:val="22"/>
          <w:lang w:val="pl-PL"/>
        </w:rPr>
        <w:t> </w:t>
      </w:r>
      <w:r w:rsidRPr="00BD22FE">
        <w:rPr>
          <w:sz w:val="22"/>
          <w:szCs w:val="22"/>
          <w:lang w:val="pl-PL"/>
        </w:rPr>
        <w:t>wywiadzie, jednakże takie epizody są bardziej prawdopodobne u</w:t>
      </w:r>
      <w:r w:rsidR="00F54C1D" w:rsidRPr="00BD22FE">
        <w:rPr>
          <w:sz w:val="22"/>
          <w:szCs w:val="22"/>
          <w:lang w:val="pl-PL"/>
        </w:rPr>
        <w:t> </w:t>
      </w:r>
      <w:r w:rsidRPr="00BD22FE">
        <w:rPr>
          <w:sz w:val="22"/>
          <w:szCs w:val="22"/>
          <w:lang w:val="pl-PL"/>
        </w:rPr>
        <w:t>pacjentów z</w:t>
      </w:r>
      <w:r w:rsidR="00717A7B" w:rsidRPr="00BD22FE">
        <w:rPr>
          <w:sz w:val="22"/>
          <w:szCs w:val="22"/>
          <w:lang w:val="pl-PL"/>
        </w:rPr>
        <w:t> </w:t>
      </w:r>
      <w:r w:rsidRPr="00BD22FE">
        <w:rPr>
          <w:sz w:val="22"/>
          <w:szCs w:val="22"/>
          <w:lang w:val="pl-PL"/>
        </w:rPr>
        <w:t>obciążonym wywiadem.</w:t>
      </w:r>
    </w:p>
    <w:p w14:paraId="4554A661" w14:textId="30414AB0" w:rsidR="000016E2" w:rsidRPr="00BD22FE" w:rsidRDefault="00104CA8" w:rsidP="00941FBF">
      <w:pPr>
        <w:pStyle w:val="BodyText"/>
        <w:spacing w:line="240" w:lineRule="auto"/>
        <w:jc w:val="left"/>
        <w:rPr>
          <w:sz w:val="22"/>
          <w:szCs w:val="22"/>
          <w:lang w:val="pl-PL"/>
        </w:rPr>
      </w:pPr>
      <w:r w:rsidRPr="00BD22FE">
        <w:rPr>
          <w:sz w:val="22"/>
          <w:szCs w:val="22"/>
          <w:lang w:val="pl-PL"/>
        </w:rPr>
        <w:t>Istnieją doniesienia o</w:t>
      </w:r>
      <w:r w:rsidR="00717A7B" w:rsidRPr="00BD22FE">
        <w:rPr>
          <w:sz w:val="22"/>
          <w:szCs w:val="22"/>
          <w:lang w:val="pl-PL"/>
        </w:rPr>
        <w:t> </w:t>
      </w:r>
      <w:r w:rsidRPr="00BD22FE">
        <w:rPr>
          <w:sz w:val="22"/>
          <w:szCs w:val="22"/>
          <w:lang w:val="pl-PL"/>
        </w:rPr>
        <w:t xml:space="preserve">zaostrzeniu lub aktywacji tocznia rumieniowatego układowego </w:t>
      </w:r>
      <w:r w:rsidR="005543E0" w:rsidRPr="00BD22FE">
        <w:rPr>
          <w:sz w:val="22"/>
          <w:szCs w:val="22"/>
          <w:lang w:val="pl-PL"/>
        </w:rPr>
        <w:t>w przypadku stosowania</w:t>
      </w:r>
      <w:r w:rsidRPr="00BD22FE">
        <w:rPr>
          <w:sz w:val="22"/>
          <w:szCs w:val="22"/>
          <w:lang w:val="pl-PL"/>
        </w:rPr>
        <w:t xml:space="preserve"> diuretyków tiazydowych, w</w:t>
      </w:r>
      <w:r w:rsidR="00717A7B" w:rsidRPr="00BD22FE">
        <w:rPr>
          <w:sz w:val="22"/>
          <w:szCs w:val="22"/>
          <w:lang w:val="pl-PL"/>
        </w:rPr>
        <w:t> </w:t>
      </w:r>
      <w:r w:rsidRPr="00BD22FE">
        <w:rPr>
          <w:sz w:val="22"/>
          <w:szCs w:val="22"/>
          <w:lang w:val="pl-PL"/>
        </w:rPr>
        <w:t>tym HCTZ.</w:t>
      </w:r>
    </w:p>
    <w:p w14:paraId="5B7FB559" w14:textId="5003EF86" w:rsidR="000016E2" w:rsidRPr="00BD22FE" w:rsidRDefault="00104CA8" w:rsidP="00941FBF">
      <w:pPr>
        <w:pStyle w:val="BodyText"/>
        <w:spacing w:line="240" w:lineRule="auto"/>
        <w:jc w:val="left"/>
        <w:rPr>
          <w:sz w:val="22"/>
          <w:szCs w:val="22"/>
          <w:lang w:val="pl-PL"/>
        </w:rPr>
      </w:pPr>
      <w:r w:rsidRPr="00BD22FE">
        <w:rPr>
          <w:sz w:val="22"/>
          <w:szCs w:val="22"/>
          <w:lang w:val="pl-PL"/>
        </w:rPr>
        <w:t>W</w:t>
      </w:r>
      <w:r w:rsidR="00717A7B" w:rsidRPr="00BD22FE">
        <w:rPr>
          <w:sz w:val="22"/>
          <w:szCs w:val="22"/>
          <w:lang w:val="pl-PL"/>
        </w:rPr>
        <w:t> </w:t>
      </w:r>
      <w:r w:rsidRPr="00BD22FE">
        <w:rPr>
          <w:sz w:val="22"/>
          <w:szCs w:val="22"/>
          <w:lang w:val="pl-PL"/>
        </w:rPr>
        <w:t xml:space="preserve">związku ze stosowaniem </w:t>
      </w:r>
      <w:r w:rsidR="0049074A" w:rsidRPr="00BD22FE">
        <w:rPr>
          <w:sz w:val="22"/>
          <w:szCs w:val="22"/>
          <w:lang w:val="pl-PL"/>
        </w:rPr>
        <w:t xml:space="preserve">diuretyków </w:t>
      </w:r>
      <w:r w:rsidRPr="00BD22FE">
        <w:rPr>
          <w:sz w:val="22"/>
          <w:szCs w:val="22"/>
          <w:lang w:val="pl-PL"/>
        </w:rPr>
        <w:t>tiazydowych opisywano przypadki reakcji nadwrażliwości na światło (patrz punkt 4.8). W</w:t>
      </w:r>
      <w:r w:rsidR="00717A7B" w:rsidRPr="00BD22FE">
        <w:rPr>
          <w:sz w:val="22"/>
          <w:szCs w:val="22"/>
          <w:lang w:val="pl-PL"/>
        </w:rPr>
        <w:t> </w:t>
      </w:r>
      <w:r w:rsidRPr="00BD22FE">
        <w:rPr>
          <w:sz w:val="22"/>
          <w:szCs w:val="22"/>
          <w:lang w:val="pl-PL"/>
        </w:rPr>
        <w:t xml:space="preserve">przypadku wystąpienia reakcji nadwrażliwości </w:t>
      </w:r>
      <w:r w:rsidR="0049074A" w:rsidRPr="00BD22FE">
        <w:rPr>
          <w:sz w:val="22"/>
          <w:szCs w:val="22"/>
          <w:lang w:val="pl-PL"/>
        </w:rPr>
        <w:t xml:space="preserve">na światło </w:t>
      </w:r>
      <w:r w:rsidRPr="00BD22FE">
        <w:rPr>
          <w:sz w:val="22"/>
          <w:szCs w:val="22"/>
          <w:lang w:val="pl-PL"/>
        </w:rPr>
        <w:t xml:space="preserve">podczas leczenia, zaleca się przerwanie </w:t>
      </w:r>
      <w:r w:rsidR="002E17EB" w:rsidRPr="00BD22FE">
        <w:rPr>
          <w:sz w:val="22"/>
          <w:szCs w:val="22"/>
          <w:lang w:val="pl-PL"/>
        </w:rPr>
        <w:t>leczenia</w:t>
      </w:r>
      <w:r w:rsidRPr="00BD22FE">
        <w:rPr>
          <w:sz w:val="22"/>
          <w:szCs w:val="22"/>
          <w:lang w:val="pl-PL"/>
        </w:rPr>
        <w:t>. Jeśli ponowne podani</w:t>
      </w:r>
      <w:r w:rsidR="004D23ED" w:rsidRPr="00BD22FE">
        <w:rPr>
          <w:sz w:val="22"/>
          <w:szCs w:val="22"/>
          <w:lang w:val="pl-PL"/>
        </w:rPr>
        <w:t>e</w:t>
      </w:r>
      <w:r w:rsidRPr="00BD22FE">
        <w:rPr>
          <w:sz w:val="22"/>
          <w:szCs w:val="22"/>
          <w:lang w:val="pl-PL"/>
        </w:rPr>
        <w:t xml:space="preserve"> </w:t>
      </w:r>
      <w:r w:rsidR="002E17EB" w:rsidRPr="00BD22FE">
        <w:rPr>
          <w:sz w:val="22"/>
          <w:szCs w:val="22"/>
          <w:lang w:val="pl-PL"/>
        </w:rPr>
        <w:t xml:space="preserve">diuretyku </w:t>
      </w:r>
      <w:r w:rsidRPr="00BD22FE">
        <w:rPr>
          <w:sz w:val="22"/>
          <w:szCs w:val="22"/>
          <w:lang w:val="pl-PL"/>
        </w:rPr>
        <w:t xml:space="preserve">wydaje się być konieczne, zaleca się osłanianie </w:t>
      </w:r>
      <w:r w:rsidR="004D23ED" w:rsidRPr="00BD22FE">
        <w:rPr>
          <w:sz w:val="22"/>
          <w:szCs w:val="22"/>
          <w:lang w:val="pl-PL"/>
        </w:rPr>
        <w:t xml:space="preserve">powierzchni </w:t>
      </w:r>
      <w:r w:rsidRPr="00BD22FE">
        <w:rPr>
          <w:sz w:val="22"/>
          <w:szCs w:val="22"/>
          <w:lang w:val="pl-PL"/>
        </w:rPr>
        <w:t xml:space="preserve">ciała </w:t>
      </w:r>
      <w:r w:rsidR="004D23ED" w:rsidRPr="00BD22FE">
        <w:rPr>
          <w:sz w:val="22"/>
          <w:szCs w:val="22"/>
          <w:lang w:val="pl-PL"/>
        </w:rPr>
        <w:t xml:space="preserve">narażonych na słońce </w:t>
      </w:r>
      <w:r w:rsidRPr="00BD22FE">
        <w:rPr>
          <w:sz w:val="22"/>
          <w:szCs w:val="22"/>
          <w:lang w:val="pl-PL"/>
        </w:rPr>
        <w:t>lub sztuczn</w:t>
      </w:r>
      <w:r w:rsidR="004D23ED" w:rsidRPr="00BD22FE">
        <w:rPr>
          <w:sz w:val="22"/>
          <w:szCs w:val="22"/>
          <w:lang w:val="pl-PL"/>
        </w:rPr>
        <w:t>e</w:t>
      </w:r>
      <w:r w:rsidRPr="00BD22FE">
        <w:rPr>
          <w:sz w:val="22"/>
          <w:szCs w:val="22"/>
          <w:lang w:val="pl-PL"/>
        </w:rPr>
        <w:t xml:space="preserve"> promieniowanie UVA.</w:t>
      </w:r>
    </w:p>
    <w:p w14:paraId="4D5CF691" w14:textId="77777777" w:rsidR="000016E2" w:rsidRPr="00BD22FE" w:rsidRDefault="000016E2" w:rsidP="00941FBF">
      <w:pPr>
        <w:pStyle w:val="BodyText"/>
        <w:spacing w:line="240" w:lineRule="auto"/>
        <w:jc w:val="left"/>
        <w:rPr>
          <w:sz w:val="22"/>
          <w:szCs w:val="22"/>
          <w:lang w:val="pl-PL"/>
        </w:rPr>
      </w:pPr>
    </w:p>
    <w:p w14:paraId="026BED59" w14:textId="5094428C" w:rsidR="000016E2" w:rsidRPr="00BD22FE" w:rsidRDefault="00104CA8" w:rsidP="00941FBF">
      <w:pPr>
        <w:keepNext/>
        <w:rPr>
          <w:sz w:val="22"/>
          <w:szCs w:val="22"/>
          <w:u w:val="single"/>
          <w:lang w:val="pl-PL"/>
        </w:rPr>
      </w:pPr>
      <w:r w:rsidRPr="00BD22FE">
        <w:rPr>
          <w:sz w:val="22"/>
          <w:szCs w:val="22"/>
          <w:u w:val="single"/>
          <w:lang w:val="pl-PL"/>
        </w:rPr>
        <w:t>Nadmierne nagromadzenie płynu między naczyniówką a</w:t>
      </w:r>
      <w:r w:rsidR="00717A7B" w:rsidRPr="00BD22FE">
        <w:rPr>
          <w:sz w:val="22"/>
          <w:szCs w:val="22"/>
          <w:u w:val="single"/>
          <w:lang w:val="pl-PL"/>
        </w:rPr>
        <w:t> </w:t>
      </w:r>
      <w:r w:rsidRPr="00BD22FE">
        <w:rPr>
          <w:sz w:val="22"/>
          <w:szCs w:val="22"/>
          <w:u w:val="single"/>
          <w:lang w:val="pl-PL"/>
        </w:rPr>
        <w:t>twardówką, ostra krótkowzroczność i</w:t>
      </w:r>
      <w:r w:rsidR="00717A7B" w:rsidRPr="00BD22FE">
        <w:rPr>
          <w:sz w:val="22"/>
          <w:szCs w:val="22"/>
          <w:u w:val="single"/>
          <w:lang w:val="pl-PL"/>
        </w:rPr>
        <w:t> </w:t>
      </w:r>
      <w:r w:rsidRPr="00BD22FE">
        <w:rPr>
          <w:sz w:val="22"/>
          <w:szCs w:val="22"/>
          <w:u w:val="single"/>
          <w:lang w:val="pl-PL"/>
        </w:rPr>
        <w:t>jaskra z</w:t>
      </w:r>
      <w:r w:rsidR="00717A7B" w:rsidRPr="00BD22FE">
        <w:rPr>
          <w:sz w:val="22"/>
          <w:szCs w:val="22"/>
          <w:u w:val="single"/>
          <w:lang w:val="pl-PL"/>
        </w:rPr>
        <w:t> </w:t>
      </w:r>
      <w:r w:rsidRPr="00BD22FE">
        <w:rPr>
          <w:sz w:val="22"/>
          <w:szCs w:val="22"/>
          <w:u w:val="single"/>
          <w:lang w:val="pl-PL"/>
        </w:rPr>
        <w:t>zamkniętym kątem przesączania</w:t>
      </w:r>
    </w:p>
    <w:p w14:paraId="05C5BFDA" w14:textId="31FE59A0" w:rsidR="003A7E3D" w:rsidRPr="00BD22FE" w:rsidRDefault="00104CA8" w:rsidP="00941FBF">
      <w:pPr>
        <w:rPr>
          <w:sz w:val="22"/>
          <w:szCs w:val="22"/>
          <w:lang w:val="pl-PL"/>
        </w:rPr>
      </w:pPr>
      <w:r w:rsidRPr="00BD22FE">
        <w:rPr>
          <w:sz w:val="22"/>
          <w:szCs w:val="22"/>
          <w:lang w:val="pl-PL"/>
        </w:rPr>
        <w:t>Hydrochlorotiazyd, będący sulfonamidem, może powodować swoiste reakcje prowadzące do nadmiernego nagromadzenia płynu między naczyniówką a twardówką z ograniczeniem pola widzenia, ostrej przejściowej krótkowzroczności i</w:t>
      </w:r>
      <w:r w:rsidR="00717A7B" w:rsidRPr="00BD22FE">
        <w:rPr>
          <w:sz w:val="22"/>
          <w:szCs w:val="22"/>
          <w:lang w:val="pl-PL"/>
        </w:rPr>
        <w:t> </w:t>
      </w:r>
      <w:r w:rsidRPr="00BD22FE">
        <w:rPr>
          <w:sz w:val="22"/>
          <w:szCs w:val="22"/>
          <w:lang w:val="pl-PL"/>
        </w:rPr>
        <w:t>ostrej jaskry z</w:t>
      </w:r>
      <w:r w:rsidR="00717A7B" w:rsidRPr="00BD22FE">
        <w:rPr>
          <w:sz w:val="22"/>
          <w:szCs w:val="22"/>
          <w:lang w:val="pl-PL"/>
        </w:rPr>
        <w:t> </w:t>
      </w:r>
      <w:r w:rsidRPr="00BD22FE">
        <w:rPr>
          <w:sz w:val="22"/>
          <w:szCs w:val="22"/>
          <w:lang w:val="pl-PL"/>
        </w:rPr>
        <w:t>zamkniętym kątem przesączania.</w:t>
      </w:r>
      <w:r w:rsidR="000E4A08" w:rsidRPr="00BD22FE">
        <w:rPr>
          <w:sz w:val="22"/>
          <w:szCs w:val="22"/>
          <w:lang w:val="pl-PL"/>
        </w:rPr>
        <w:t xml:space="preserve"> </w:t>
      </w:r>
      <w:r w:rsidRPr="00BD22FE">
        <w:rPr>
          <w:sz w:val="22"/>
          <w:szCs w:val="22"/>
          <w:lang w:val="pl-PL"/>
        </w:rPr>
        <w:t xml:space="preserve">Objawy obejmują nagłe zmniejszenie ostrości widzenia lub ból oczu </w:t>
      </w:r>
      <w:r w:rsidR="00D57F19" w:rsidRPr="00BD22FE">
        <w:rPr>
          <w:sz w:val="22"/>
          <w:szCs w:val="22"/>
          <w:lang w:val="pl-PL"/>
        </w:rPr>
        <w:t>i </w:t>
      </w:r>
      <w:r w:rsidRPr="00BD22FE">
        <w:rPr>
          <w:sz w:val="22"/>
          <w:szCs w:val="22"/>
          <w:lang w:val="pl-PL"/>
        </w:rPr>
        <w:t>zwykle występują w</w:t>
      </w:r>
      <w:r w:rsidR="00717A7B" w:rsidRPr="00BD22FE">
        <w:rPr>
          <w:sz w:val="22"/>
          <w:szCs w:val="22"/>
          <w:lang w:val="pl-PL"/>
        </w:rPr>
        <w:t> </w:t>
      </w:r>
      <w:r w:rsidRPr="00BD22FE">
        <w:rPr>
          <w:sz w:val="22"/>
          <w:szCs w:val="22"/>
          <w:lang w:val="pl-PL"/>
        </w:rPr>
        <w:t>ciągu kilku godzin lub tygodni od rozpoczęcia terapii lekiem. Nieleczona ostra jaskra z</w:t>
      </w:r>
      <w:r w:rsidR="00717A7B" w:rsidRPr="00BD22FE">
        <w:rPr>
          <w:sz w:val="22"/>
          <w:szCs w:val="22"/>
          <w:lang w:val="pl-PL"/>
        </w:rPr>
        <w:t> </w:t>
      </w:r>
      <w:r w:rsidRPr="00BD22FE">
        <w:rPr>
          <w:sz w:val="22"/>
          <w:szCs w:val="22"/>
          <w:lang w:val="pl-PL"/>
        </w:rPr>
        <w:t>zamkniętym kątem przesączania może prowadzić do trwałej utraty wzroku. Leczenie w</w:t>
      </w:r>
      <w:r w:rsidR="00717A7B" w:rsidRPr="00BD22FE">
        <w:rPr>
          <w:sz w:val="22"/>
          <w:szCs w:val="22"/>
          <w:lang w:val="pl-PL"/>
        </w:rPr>
        <w:t> </w:t>
      </w:r>
      <w:r w:rsidRPr="00BD22FE">
        <w:rPr>
          <w:sz w:val="22"/>
          <w:szCs w:val="22"/>
          <w:lang w:val="pl-PL"/>
        </w:rPr>
        <w:t>pierwszej kolejności polega na jak najszybszym odstawieniu hydrochlorotiazydu. W</w:t>
      </w:r>
      <w:r w:rsidR="00717A7B" w:rsidRPr="00BD22FE">
        <w:rPr>
          <w:sz w:val="22"/>
          <w:szCs w:val="22"/>
          <w:lang w:val="pl-PL"/>
        </w:rPr>
        <w:t> </w:t>
      </w:r>
      <w:r w:rsidRPr="00BD22FE">
        <w:rPr>
          <w:sz w:val="22"/>
          <w:szCs w:val="22"/>
          <w:lang w:val="pl-PL"/>
        </w:rPr>
        <w:t xml:space="preserve">przypadku, gdy nie udaje się opanować ciśnienia wewnątrzgałkowego, należy rozważyć niezwłoczne podjęcie leczenia </w:t>
      </w:r>
      <w:r w:rsidR="009474AC" w:rsidRPr="00BD22FE">
        <w:rPr>
          <w:sz w:val="22"/>
          <w:szCs w:val="22"/>
          <w:lang w:val="pl-PL"/>
        </w:rPr>
        <w:t>zachowawczego lub </w:t>
      </w:r>
      <w:r w:rsidRPr="00BD22FE">
        <w:rPr>
          <w:sz w:val="22"/>
          <w:szCs w:val="22"/>
          <w:lang w:val="pl-PL"/>
        </w:rPr>
        <w:t>chirurgicznego. Do czynników ryzyka rozwoju ostrej jaskry z</w:t>
      </w:r>
      <w:r w:rsidR="00717A7B" w:rsidRPr="00BD22FE">
        <w:rPr>
          <w:sz w:val="22"/>
          <w:szCs w:val="22"/>
          <w:lang w:val="pl-PL"/>
        </w:rPr>
        <w:t> </w:t>
      </w:r>
      <w:r w:rsidRPr="00BD22FE">
        <w:rPr>
          <w:sz w:val="22"/>
          <w:szCs w:val="22"/>
          <w:lang w:val="pl-PL"/>
        </w:rPr>
        <w:t>zamkniętym kątem przesączania może należeć uczulenie na sulfonamidy lub penicylinę w</w:t>
      </w:r>
      <w:r w:rsidR="00717A7B" w:rsidRPr="00BD22FE">
        <w:rPr>
          <w:sz w:val="22"/>
          <w:szCs w:val="22"/>
          <w:lang w:val="pl-PL"/>
        </w:rPr>
        <w:t> </w:t>
      </w:r>
      <w:r w:rsidRPr="00BD22FE">
        <w:rPr>
          <w:sz w:val="22"/>
          <w:szCs w:val="22"/>
          <w:lang w:val="pl-PL"/>
        </w:rPr>
        <w:t>wywiadzie.</w:t>
      </w:r>
    </w:p>
    <w:p w14:paraId="66FA912F" w14:textId="679622E6" w:rsidR="000016E2" w:rsidRPr="00BD22FE" w:rsidRDefault="000016E2" w:rsidP="00941FBF">
      <w:pPr>
        <w:pStyle w:val="BodyText"/>
        <w:spacing w:line="240" w:lineRule="auto"/>
        <w:jc w:val="left"/>
        <w:rPr>
          <w:sz w:val="22"/>
          <w:szCs w:val="22"/>
          <w:lang w:val="pl-PL"/>
        </w:rPr>
      </w:pPr>
    </w:p>
    <w:p w14:paraId="35A09AD5" w14:textId="77777777" w:rsidR="000016E2" w:rsidRPr="00BD22FE" w:rsidRDefault="00104CA8" w:rsidP="00283374">
      <w:pPr>
        <w:pStyle w:val="BodyText"/>
        <w:keepNext/>
        <w:spacing w:line="240" w:lineRule="auto"/>
        <w:jc w:val="left"/>
        <w:rPr>
          <w:sz w:val="22"/>
          <w:szCs w:val="22"/>
          <w:u w:val="single"/>
          <w:lang w:val="pl-PL"/>
        </w:rPr>
      </w:pPr>
      <w:r w:rsidRPr="00BD22FE">
        <w:rPr>
          <w:sz w:val="22"/>
          <w:szCs w:val="22"/>
          <w:u w:val="single"/>
          <w:lang w:val="pl-PL"/>
        </w:rPr>
        <w:lastRenderedPageBreak/>
        <w:t>Nieczerniakowe nowotwory złośliwe skóry</w:t>
      </w:r>
    </w:p>
    <w:p w14:paraId="6D60A04A" w14:textId="2D798A4F" w:rsidR="000016E2" w:rsidRPr="00BD22FE" w:rsidRDefault="00104CA8" w:rsidP="00941FBF">
      <w:pPr>
        <w:pStyle w:val="BodyText"/>
        <w:spacing w:line="240" w:lineRule="auto"/>
        <w:jc w:val="left"/>
        <w:rPr>
          <w:sz w:val="22"/>
          <w:szCs w:val="22"/>
          <w:lang w:val="pl-PL"/>
        </w:rPr>
      </w:pPr>
      <w:r w:rsidRPr="00BD22FE">
        <w:rPr>
          <w:sz w:val="22"/>
          <w:szCs w:val="22"/>
          <w:lang w:val="pl-PL"/>
        </w:rPr>
        <w:t>W</w:t>
      </w:r>
      <w:r w:rsidR="00717A7B" w:rsidRPr="00BD22FE">
        <w:rPr>
          <w:sz w:val="22"/>
          <w:szCs w:val="22"/>
          <w:lang w:val="pl-PL"/>
        </w:rPr>
        <w:t> </w:t>
      </w:r>
      <w:r w:rsidRPr="00BD22FE">
        <w:rPr>
          <w:sz w:val="22"/>
          <w:szCs w:val="22"/>
          <w:lang w:val="pl-PL"/>
        </w:rPr>
        <w:t>dwóch badaniach epidemiologicznych z</w:t>
      </w:r>
      <w:r w:rsidR="00717A7B" w:rsidRPr="00BD22FE">
        <w:rPr>
          <w:sz w:val="22"/>
          <w:szCs w:val="22"/>
          <w:lang w:val="pl-PL"/>
        </w:rPr>
        <w:t> </w:t>
      </w:r>
      <w:r w:rsidRPr="00BD22FE">
        <w:rPr>
          <w:sz w:val="22"/>
          <w:szCs w:val="22"/>
          <w:lang w:val="pl-PL"/>
        </w:rPr>
        <w:t>wykorzystaniem danych z</w:t>
      </w:r>
      <w:r w:rsidR="00717A7B" w:rsidRPr="00BD22FE">
        <w:rPr>
          <w:sz w:val="22"/>
          <w:szCs w:val="22"/>
          <w:lang w:val="pl-PL"/>
        </w:rPr>
        <w:t> </w:t>
      </w:r>
      <w:r w:rsidRPr="00BD22FE">
        <w:rPr>
          <w:sz w:val="22"/>
          <w:szCs w:val="22"/>
          <w:lang w:val="pl-PL"/>
        </w:rPr>
        <w:t>duńskiego krajowego rejestru nowotworów złośliwych stwierdzono zwiększenie ryzyka nieczerniakowych nowotworów złośliwych skóry (ang. non</w:t>
      </w:r>
      <w:r w:rsidR="00C15D43" w:rsidRPr="00BD22FE">
        <w:rPr>
          <w:sz w:val="22"/>
          <w:szCs w:val="22"/>
          <w:lang w:val="pl-PL"/>
        </w:rPr>
        <w:noBreakHyphen/>
      </w:r>
      <w:r w:rsidRPr="00BD22FE">
        <w:rPr>
          <w:sz w:val="22"/>
          <w:szCs w:val="22"/>
          <w:lang w:val="pl-PL"/>
        </w:rPr>
        <w:t>melanoma skin cancer</w:t>
      </w:r>
      <w:r w:rsidR="00BF25F5" w:rsidRPr="00BD22FE">
        <w:rPr>
          <w:sz w:val="22"/>
          <w:szCs w:val="22"/>
          <w:lang w:val="pl-PL"/>
        </w:rPr>
        <w:t>, NMSC</w:t>
      </w:r>
      <w:r w:rsidRPr="00BD22FE">
        <w:rPr>
          <w:sz w:val="22"/>
          <w:szCs w:val="22"/>
          <w:lang w:val="pl-PL"/>
        </w:rPr>
        <w:t>) [raka podstawnokomórkowego (ang.</w:t>
      </w:r>
      <w:r w:rsidR="00DB6F1E" w:rsidRPr="00BD22FE">
        <w:rPr>
          <w:sz w:val="22"/>
          <w:szCs w:val="22"/>
          <w:lang w:val="pl-PL"/>
        </w:rPr>
        <w:t> </w:t>
      </w:r>
      <w:r w:rsidRPr="00BD22FE">
        <w:rPr>
          <w:sz w:val="22"/>
          <w:szCs w:val="22"/>
          <w:lang w:val="pl-PL"/>
        </w:rPr>
        <w:t>basal cell carcinoma</w:t>
      </w:r>
      <w:r w:rsidR="00BF25F5" w:rsidRPr="00BD22FE">
        <w:rPr>
          <w:sz w:val="22"/>
          <w:szCs w:val="22"/>
          <w:lang w:val="pl-PL"/>
        </w:rPr>
        <w:t>, BCC</w:t>
      </w:r>
      <w:r w:rsidRPr="00BD22FE">
        <w:rPr>
          <w:sz w:val="22"/>
          <w:szCs w:val="22"/>
          <w:lang w:val="pl-PL"/>
        </w:rPr>
        <w:t>) i</w:t>
      </w:r>
      <w:r w:rsidR="00717A7B" w:rsidRPr="00BD22FE">
        <w:rPr>
          <w:sz w:val="22"/>
          <w:szCs w:val="22"/>
          <w:lang w:val="pl-PL"/>
        </w:rPr>
        <w:t> </w:t>
      </w:r>
      <w:r w:rsidRPr="00BD22FE">
        <w:rPr>
          <w:sz w:val="22"/>
          <w:szCs w:val="22"/>
          <w:lang w:val="pl-PL"/>
        </w:rPr>
        <w:t>raka kolczystokomórkowego (ang.</w:t>
      </w:r>
      <w:r w:rsidR="00BF25F5" w:rsidRPr="00BD22FE">
        <w:rPr>
          <w:sz w:val="22"/>
          <w:szCs w:val="22"/>
          <w:lang w:val="pl-PL"/>
        </w:rPr>
        <w:t> </w:t>
      </w:r>
      <w:r w:rsidRPr="00BD22FE">
        <w:rPr>
          <w:sz w:val="22"/>
          <w:szCs w:val="22"/>
          <w:lang w:val="pl-PL"/>
        </w:rPr>
        <w:t>squamous cell carcinoma</w:t>
      </w:r>
      <w:r w:rsidR="00BF25F5" w:rsidRPr="00BD22FE">
        <w:rPr>
          <w:sz w:val="22"/>
          <w:szCs w:val="22"/>
          <w:lang w:val="pl-PL"/>
        </w:rPr>
        <w:t>, SCC</w:t>
      </w:r>
      <w:r w:rsidRPr="00BD22FE">
        <w:rPr>
          <w:sz w:val="22"/>
          <w:szCs w:val="22"/>
          <w:lang w:val="pl-PL"/>
        </w:rPr>
        <w:t xml:space="preserve">)] </w:t>
      </w:r>
      <w:r w:rsidR="000B3A5C" w:rsidRPr="00BD22FE">
        <w:rPr>
          <w:sz w:val="22"/>
          <w:szCs w:val="22"/>
          <w:lang w:val="pl-PL"/>
        </w:rPr>
        <w:t>wraz</w:t>
      </w:r>
      <w:r w:rsidRPr="00BD22FE">
        <w:rPr>
          <w:sz w:val="22"/>
          <w:szCs w:val="22"/>
          <w:lang w:val="pl-PL"/>
        </w:rPr>
        <w:t xml:space="preserve"> </w:t>
      </w:r>
      <w:r w:rsidR="000B3A5C" w:rsidRPr="00BD22FE">
        <w:rPr>
          <w:sz w:val="22"/>
          <w:szCs w:val="22"/>
          <w:lang w:val="pl-PL"/>
        </w:rPr>
        <w:t>ze </w:t>
      </w:r>
      <w:r w:rsidRPr="00BD22FE">
        <w:rPr>
          <w:sz w:val="22"/>
          <w:szCs w:val="22"/>
          <w:lang w:val="pl-PL"/>
        </w:rPr>
        <w:t>zwiększając</w:t>
      </w:r>
      <w:r w:rsidR="000B3A5C" w:rsidRPr="00BD22FE">
        <w:rPr>
          <w:sz w:val="22"/>
          <w:szCs w:val="22"/>
          <w:lang w:val="pl-PL"/>
        </w:rPr>
        <w:t>ą</w:t>
      </w:r>
      <w:r w:rsidRPr="00BD22FE">
        <w:rPr>
          <w:sz w:val="22"/>
          <w:szCs w:val="22"/>
          <w:lang w:val="pl-PL"/>
        </w:rPr>
        <w:t xml:space="preserve"> się </w:t>
      </w:r>
      <w:r w:rsidR="000B3A5C" w:rsidRPr="00BD22FE">
        <w:rPr>
          <w:sz w:val="22"/>
          <w:szCs w:val="22"/>
          <w:lang w:val="pl-PL"/>
        </w:rPr>
        <w:t>dawką skumulowaną</w:t>
      </w:r>
      <w:r w:rsidRPr="00BD22FE">
        <w:rPr>
          <w:sz w:val="22"/>
          <w:szCs w:val="22"/>
          <w:lang w:val="pl-PL"/>
        </w:rPr>
        <w:t xml:space="preserve"> HCTZ (patrz punkt 4.8). W</w:t>
      </w:r>
      <w:r w:rsidR="00717A7B" w:rsidRPr="00BD22FE">
        <w:rPr>
          <w:sz w:val="22"/>
          <w:szCs w:val="22"/>
          <w:lang w:val="pl-PL"/>
        </w:rPr>
        <w:t> </w:t>
      </w:r>
      <w:r w:rsidRPr="00BD22FE">
        <w:rPr>
          <w:sz w:val="22"/>
          <w:szCs w:val="22"/>
          <w:lang w:val="pl-PL"/>
        </w:rPr>
        <w:t>mechanizmie rozwoju NMCS mogą odgrywać rolę właściwości fotouczulające HCTZ.</w:t>
      </w:r>
    </w:p>
    <w:p w14:paraId="2EF21897" w14:textId="77777777" w:rsidR="000016E2" w:rsidRPr="00BD22FE" w:rsidRDefault="000016E2" w:rsidP="00941FBF">
      <w:pPr>
        <w:pStyle w:val="BodyText"/>
        <w:spacing w:line="240" w:lineRule="auto"/>
        <w:jc w:val="left"/>
        <w:rPr>
          <w:sz w:val="22"/>
          <w:szCs w:val="22"/>
          <w:lang w:val="pl-PL"/>
        </w:rPr>
      </w:pPr>
    </w:p>
    <w:p w14:paraId="18A62D4D" w14:textId="0FF18312" w:rsidR="000016E2" w:rsidRPr="00BD22FE" w:rsidRDefault="00104CA8" w:rsidP="00941FBF">
      <w:pPr>
        <w:pStyle w:val="BodyText"/>
        <w:spacing w:line="240" w:lineRule="auto"/>
        <w:jc w:val="left"/>
        <w:rPr>
          <w:sz w:val="22"/>
          <w:szCs w:val="22"/>
          <w:lang w:val="pl-PL"/>
        </w:rPr>
      </w:pPr>
      <w:r w:rsidRPr="00BD22FE">
        <w:rPr>
          <w:sz w:val="22"/>
          <w:szCs w:val="22"/>
          <w:lang w:val="pl-PL"/>
        </w:rPr>
        <w:t>Pacjentów przyjmujących HCTZ należy poinformować o</w:t>
      </w:r>
      <w:r w:rsidR="00717A7B" w:rsidRPr="00BD22FE">
        <w:rPr>
          <w:sz w:val="22"/>
          <w:szCs w:val="22"/>
          <w:lang w:val="pl-PL"/>
        </w:rPr>
        <w:t> </w:t>
      </w:r>
      <w:r w:rsidRPr="00BD22FE">
        <w:rPr>
          <w:sz w:val="22"/>
          <w:szCs w:val="22"/>
          <w:lang w:val="pl-PL"/>
        </w:rPr>
        <w:t>ryzyku NMSC i</w:t>
      </w:r>
      <w:r w:rsidR="00717A7B" w:rsidRPr="00BD22FE">
        <w:rPr>
          <w:sz w:val="22"/>
          <w:szCs w:val="22"/>
          <w:lang w:val="pl-PL"/>
        </w:rPr>
        <w:t> </w:t>
      </w:r>
      <w:r w:rsidRPr="00BD22FE">
        <w:rPr>
          <w:sz w:val="22"/>
          <w:szCs w:val="22"/>
          <w:lang w:val="pl-PL"/>
        </w:rPr>
        <w:t>zalecić regularne sprawdzanie, czy na skórze nie pojawiły się nowe zmiany, i</w:t>
      </w:r>
      <w:r w:rsidR="00717A7B" w:rsidRPr="00BD22FE">
        <w:rPr>
          <w:sz w:val="22"/>
          <w:szCs w:val="22"/>
          <w:lang w:val="pl-PL"/>
        </w:rPr>
        <w:t> </w:t>
      </w:r>
      <w:r w:rsidRPr="00BD22FE">
        <w:rPr>
          <w:sz w:val="22"/>
          <w:szCs w:val="22"/>
          <w:lang w:val="pl-PL"/>
        </w:rPr>
        <w:t>szybki kontakt z</w:t>
      </w:r>
      <w:r w:rsidR="00717A7B" w:rsidRPr="00BD22FE">
        <w:rPr>
          <w:sz w:val="22"/>
          <w:szCs w:val="22"/>
          <w:lang w:val="pl-PL"/>
        </w:rPr>
        <w:t> </w:t>
      </w:r>
      <w:r w:rsidRPr="00BD22FE">
        <w:rPr>
          <w:sz w:val="22"/>
          <w:szCs w:val="22"/>
          <w:lang w:val="pl-PL"/>
        </w:rPr>
        <w:t>lekarzem w</w:t>
      </w:r>
      <w:r w:rsidR="00717A7B" w:rsidRPr="00BD22FE">
        <w:rPr>
          <w:sz w:val="22"/>
          <w:szCs w:val="22"/>
          <w:lang w:val="pl-PL"/>
        </w:rPr>
        <w:t> </w:t>
      </w:r>
      <w:r w:rsidRPr="00BD22FE">
        <w:rPr>
          <w:sz w:val="22"/>
          <w:szCs w:val="22"/>
          <w:lang w:val="pl-PL"/>
        </w:rPr>
        <w:t>przypadku stwierdzenia jakichkolwiek podejrzanych zmian skórnych. Pacjentom należy zalecić podejmowanie możliwych działań zapobiegawczych w</w:t>
      </w:r>
      <w:r w:rsidR="00717A7B" w:rsidRPr="00BD22FE">
        <w:rPr>
          <w:sz w:val="22"/>
          <w:szCs w:val="22"/>
          <w:lang w:val="pl-PL"/>
        </w:rPr>
        <w:t> </w:t>
      </w:r>
      <w:r w:rsidRPr="00BD22FE">
        <w:rPr>
          <w:sz w:val="22"/>
          <w:szCs w:val="22"/>
          <w:lang w:val="pl-PL"/>
        </w:rPr>
        <w:t>celu minimalizacji ryzyka rozwoju nowotworów złośliwych skóry, jak ograniczanie narażania się na działanie światła słonecznego i</w:t>
      </w:r>
      <w:r w:rsidR="00717A7B" w:rsidRPr="00BD22FE">
        <w:rPr>
          <w:sz w:val="22"/>
          <w:szCs w:val="22"/>
          <w:lang w:val="pl-PL"/>
        </w:rPr>
        <w:t> </w:t>
      </w:r>
      <w:r w:rsidRPr="00BD22FE">
        <w:rPr>
          <w:sz w:val="22"/>
          <w:szCs w:val="22"/>
          <w:lang w:val="pl-PL"/>
        </w:rPr>
        <w:t>promieniowania UV, a</w:t>
      </w:r>
      <w:r w:rsidR="00717A7B" w:rsidRPr="00BD22FE">
        <w:rPr>
          <w:sz w:val="22"/>
          <w:szCs w:val="22"/>
          <w:lang w:val="pl-PL"/>
        </w:rPr>
        <w:t> </w:t>
      </w:r>
      <w:r w:rsidR="002513CF" w:rsidRPr="00BD22FE">
        <w:rPr>
          <w:sz w:val="22"/>
          <w:szCs w:val="22"/>
          <w:lang w:val="pl-PL"/>
        </w:rPr>
        <w:t>w przypadku narażenia</w:t>
      </w:r>
      <w:r w:rsidRPr="00BD22FE">
        <w:rPr>
          <w:sz w:val="22"/>
          <w:szCs w:val="22"/>
          <w:lang w:val="pl-PL"/>
        </w:rPr>
        <w:t xml:space="preserve"> - odpowiednią ochronę. </w:t>
      </w:r>
      <w:r w:rsidR="0017612C" w:rsidRPr="00BD22FE">
        <w:rPr>
          <w:sz w:val="22"/>
          <w:szCs w:val="22"/>
          <w:lang w:val="pl-PL"/>
        </w:rPr>
        <w:t xml:space="preserve">Podejrzane </w:t>
      </w:r>
      <w:r w:rsidRPr="00BD22FE">
        <w:rPr>
          <w:sz w:val="22"/>
          <w:szCs w:val="22"/>
          <w:lang w:val="pl-PL"/>
        </w:rPr>
        <w:t>zmiany skórne należy niezwłocznie badać</w:t>
      </w:r>
      <w:r w:rsidR="0017612C" w:rsidRPr="00BD22FE">
        <w:rPr>
          <w:sz w:val="22"/>
          <w:szCs w:val="22"/>
          <w:lang w:val="pl-PL"/>
        </w:rPr>
        <w:t>,</w:t>
      </w:r>
      <w:r w:rsidRPr="00BD22FE">
        <w:rPr>
          <w:sz w:val="22"/>
          <w:szCs w:val="22"/>
          <w:lang w:val="pl-PL"/>
        </w:rPr>
        <w:t xml:space="preserve"> z</w:t>
      </w:r>
      <w:r w:rsidR="00717A7B" w:rsidRPr="00BD22FE">
        <w:rPr>
          <w:sz w:val="22"/>
          <w:szCs w:val="22"/>
          <w:lang w:val="pl-PL"/>
        </w:rPr>
        <w:t> </w:t>
      </w:r>
      <w:r w:rsidRPr="00BD22FE">
        <w:rPr>
          <w:sz w:val="22"/>
          <w:szCs w:val="22"/>
          <w:lang w:val="pl-PL"/>
        </w:rPr>
        <w:t>możliwością wykonania biopsji z</w:t>
      </w:r>
      <w:r w:rsidR="00717A7B" w:rsidRPr="00BD22FE">
        <w:rPr>
          <w:sz w:val="22"/>
          <w:szCs w:val="22"/>
          <w:lang w:val="pl-PL"/>
        </w:rPr>
        <w:t> </w:t>
      </w:r>
      <w:r w:rsidRPr="00BD22FE">
        <w:rPr>
          <w:sz w:val="22"/>
          <w:szCs w:val="22"/>
          <w:lang w:val="pl-PL"/>
        </w:rPr>
        <w:t>oceną histologiczną. U</w:t>
      </w:r>
      <w:r w:rsidR="00717A7B" w:rsidRPr="00BD22FE">
        <w:rPr>
          <w:sz w:val="22"/>
          <w:szCs w:val="22"/>
          <w:lang w:val="pl-PL"/>
        </w:rPr>
        <w:t> </w:t>
      </w:r>
      <w:r w:rsidR="0017612C" w:rsidRPr="00BD22FE">
        <w:rPr>
          <w:sz w:val="22"/>
          <w:szCs w:val="22"/>
          <w:lang w:val="pl-PL"/>
        </w:rPr>
        <w:t>pacjentów</w:t>
      </w:r>
      <w:r w:rsidRPr="00BD22FE">
        <w:rPr>
          <w:sz w:val="22"/>
          <w:szCs w:val="22"/>
          <w:lang w:val="pl-PL"/>
        </w:rPr>
        <w:t>, u</w:t>
      </w:r>
      <w:r w:rsidR="00717A7B" w:rsidRPr="00BD22FE">
        <w:rPr>
          <w:sz w:val="22"/>
          <w:szCs w:val="22"/>
          <w:lang w:val="pl-PL"/>
        </w:rPr>
        <w:t> </w:t>
      </w:r>
      <w:r w:rsidRPr="00BD22FE">
        <w:rPr>
          <w:sz w:val="22"/>
          <w:szCs w:val="22"/>
          <w:lang w:val="pl-PL"/>
        </w:rPr>
        <w:t>których w</w:t>
      </w:r>
      <w:r w:rsidR="00717A7B" w:rsidRPr="00BD22FE">
        <w:rPr>
          <w:sz w:val="22"/>
          <w:szCs w:val="22"/>
          <w:lang w:val="pl-PL"/>
        </w:rPr>
        <w:t> </w:t>
      </w:r>
      <w:r w:rsidRPr="00BD22FE">
        <w:rPr>
          <w:sz w:val="22"/>
          <w:szCs w:val="22"/>
          <w:lang w:val="pl-PL"/>
        </w:rPr>
        <w:t>przeszłości występowały NMSC, może być konieczne ponowne rozważenie stosowania HCTZ (patrz również punkt 4.8).</w:t>
      </w:r>
    </w:p>
    <w:p w14:paraId="3A24B1A6" w14:textId="77777777" w:rsidR="000016E2" w:rsidRPr="00BD22FE" w:rsidRDefault="000016E2" w:rsidP="00941FBF">
      <w:pPr>
        <w:pStyle w:val="BodyText"/>
        <w:spacing w:line="240" w:lineRule="auto"/>
        <w:jc w:val="left"/>
        <w:rPr>
          <w:sz w:val="22"/>
          <w:szCs w:val="22"/>
          <w:lang w:val="pl-PL"/>
        </w:rPr>
      </w:pPr>
    </w:p>
    <w:p w14:paraId="2CBFFC81" w14:textId="77777777" w:rsidR="000016E2" w:rsidRPr="00BD22FE" w:rsidRDefault="00104CA8" w:rsidP="00941FBF">
      <w:pPr>
        <w:keepNext/>
        <w:rPr>
          <w:sz w:val="22"/>
          <w:szCs w:val="22"/>
          <w:u w:val="single"/>
          <w:lang w:val="pl-PL"/>
        </w:rPr>
      </w:pPr>
      <w:r w:rsidRPr="00BD22FE">
        <w:rPr>
          <w:sz w:val="22"/>
          <w:szCs w:val="22"/>
          <w:u w:val="single"/>
          <w:lang w:val="pl-PL"/>
        </w:rPr>
        <w:t>Ostra toksyczność na układ oddechowy</w:t>
      </w:r>
    </w:p>
    <w:p w14:paraId="5C46BA7A" w14:textId="3F3DF60C" w:rsidR="000016E2" w:rsidRPr="00BD22FE" w:rsidRDefault="00104CA8" w:rsidP="00A610E1">
      <w:pPr>
        <w:rPr>
          <w:sz w:val="22"/>
          <w:szCs w:val="22"/>
          <w:lang w:val="pl-PL"/>
        </w:rPr>
      </w:pPr>
      <w:r w:rsidRPr="00BD22FE">
        <w:rPr>
          <w:sz w:val="22"/>
          <w:szCs w:val="22"/>
          <w:lang w:val="pl-PL"/>
        </w:rPr>
        <w:t>Po przyjęciu hydrochlorotiazydu notowano bardzo rzadko poważne przypadki ostrej toksyczności na układ oddechowy, w</w:t>
      </w:r>
      <w:r w:rsidR="00717A7B" w:rsidRPr="00BD22FE">
        <w:rPr>
          <w:sz w:val="22"/>
          <w:szCs w:val="22"/>
          <w:lang w:val="pl-PL"/>
        </w:rPr>
        <w:t> </w:t>
      </w:r>
      <w:r w:rsidRPr="00BD22FE">
        <w:rPr>
          <w:sz w:val="22"/>
          <w:szCs w:val="22"/>
          <w:lang w:val="pl-PL"/>
        </w:rPr>
        <w:t>tym zespół ostrej niewydolności oddechowej (ang.</w:t>
      </w:r>
      <w:r w:rsidR="00F37DB4" w:rsidRPr="00BD22FE">
        <w:rPr>
          <w:sz w:val="22"/>
          <w:szCs w:val="22"/>
          <w:lang w:val="pl-PL"/>
        </w:rPr>
        <w:t> </w:t>
      </w:r>
      <w:r w:rsidRPr="00BD22FE">
        <w:rPr>
          <w:sz w:val="22"/>
          <w:szCs w:val="22"/>
          <w:lang w:val="pl-PL"/>
        </w:rPr>
        <w:t>acute respiratory distress syndrome</w:t>
      </w:r>
      <w:r w:rsidR="00F37DB4" w:rsidRPr="00BD22FE">
        <w:rPr>
          <w:sz w:val="22"/>
          <w:szCs w:val="22"/>
          <w:lang w:val="pl-PL"/>
        </w:rPr>
        <w:t>, ARDS</w:t>
      </w:r>
      <w:r w:rsidRPr="00BD22FE">
        <w:rPr>
          <w:sz w:val="22"/>
          <w:szCs w:val="22"/>
          <w:lang w:val="pl-PL"/>
        </w:rPr>
        <w:t>). Obrzęk płuc zwykle rozwija się w</w:t>
      </w:r>
      <w:r w:rsidR="00717A7B" w:rsidRPr="00BD22FE">
        <w:rPr>
          <w:sz w:val="22"/>
          <w:szCs w:val="22"/>
          <w:lang w:val="pl-PL"/>
        </w:rPr>
        <w:t> </w:t>
      </w:r>
      <w:r w:rsidRPr="00BD22FE">
        <w:rPr>
          <w:sz w:val="22"/>
          <w:szCs w:val="22"/>
          <w:lang w:val="pl-PL"/>
        </w:rPr>
        <w:t>ciągu kilku minut do kilku godzin po przyjęciu hydrochlorotiazydu. Początkowo objawy obejmują duszność, gorączkę, osłabioną czynność płuc i</w:t>
      </w:r>
      <w:r w:rsidR="00717A7B" w:rsidRPr="00BD22FE">
        <w:rPr>
          <w:sz w:val="22"/>
          <w:szCs w:val="22"/>
          <w:lang w:val="pl-PL"/>
        </w:rPr>
        <w:t> </w:t>
      </w:r>
      <w:r w:rsidRPr="00BD22FE">
        <w:rPr>
          <w:sz w:val="22"/>
          <w:szCs w:val="22"/>
          <w:lang w:val="pl-PL"/>
        </w:rPr>
        <w:t>niedociśnienie tętnicze. Jeśli podejrzewa się rozpoznanie ARDS, należy odstawić produkt leczniczy MicardisPlus i</w:t>
      </w:r>
      <w:r w:rsidR="00717A7B" w:rsidRPr="00BD22FE">
        <w:rPr>
          <w:sz w:val="22"/>
          <w:szCs w:val="22"/>
          <w:lang w:val="pl-PL"/>
        </w:rPr>
        <w:t> </w:t>
      </w:r>
      <w:r w:rsidRPr="00BD22FE">
        <w:rPr>
          <w:sz w:val="22"/>
          <w:szCs w:val="22"/>
          <w:lang w:val="pl-PL"/>
        </w:rPr>
        <w:t>zastosować odpowiednie leczenie. Hydrochlorotiazydu nie należy podawać pacjentom, u</w:t>
      </w:r>
      <w:r w:rsidR="00717A7B" w:rsidRPr="00BD22FE">
        <w:rPr>
          <w:sz w:val="22"/>
          <w:szCs w:val="22"/>
          <w:lang w:val="pl-PL"/>
        </w:rPr>
        <w:t> </w:t>
      </w:r>
      <w:r w:rsidRPr="00BD22FE">
        <w:rPr>
          <w:sz w:val="22"/>
          <w:szCs w:val="22"/>
          <w:lang w:val="pl-PL"/>
        </w:rPr>
        <w:t>których wcześniej po przyjęciu hydrochlorotiazydu wystąpił ARDS.</w:t>
      </w:r>
    </w:p>
    <w:p w14:paraId="4248DFB4" w14:textId="77777777" w:rsidR="002049D2" w:rsidRPr="00BD22FE" w:rsidRDefault="002049D2" w:rsidP="002049D2">
      <w:pPr>
        <w:rPr>
          <w:sz w:val="22"/>
          <w:szCs w:val="22"/>
          <w:lang w:val="pl-PL"/>
        </w:rPr>
      </w:pPr>
      <w:bookmarkStart w:id="4" w:name="_Hlk183953972"/>
    </w:p>
    <w:p w14:paraId="00BAC42D" w14:textId="77777777" w:rsidR="002049D2" w:rsidRPr="00BD22FE" w:rsidRDefault="002049D2" w:rsidP="002049D2">
      <w:pPr>
        <w:keepNext/>
        <w:rPr>
          <w:sz w:val="22"/>
          <w:szCs w:val="22"/>
          <w:u w:val="single"/>
          <w:lang w:val="pl-PL"/>
        </w:rPr>
      </w:pPr>
      <w:r w:rsidRPr="00BD22FE">
        <w:rPr>
          <w:sz w:val="22"/>
          <w:szCs w:val="22"/>
          <w:u w:val="single"/>
          <w:lang w:val="pl-PL"/>
        </w:rPr>
        <w:t>Obrzęk naczynioruchowy jelit</w:t>
      </w:r>
    </w:p>
    <w:p w14:paraId="1804A647" w14:textId="0D6CED5F" w:rsidR="002049D2" w:rsidRPr="00BD22FE" w:rsidRDefault="002049D2" w:rsidP="002049D2">
      <w:pPr>
        <w:rPr>
          <w:sz w:val="22"/>
          <w:szCs w:val="22"/>
          <w:lang w:val="pl-PL"/>
        </w:rPr>
      </w:pPr>
      <w:r w:rsidRPr="00BD22FE">
        <w:rPr>
          <w:sz w:val="22"/>
          <w:szCs w:val="22"/>
          <w:lang w:val="pl-PL"/>
        </w:rPr>
        <w:t xml:space="preserve">U pacjentów leczonych </w:t>
      </w:r>
      <w:r w:rsidR="00221104">
        <w:rPr>
          <w:sz w:val="22"/>
          <w:szCs w:val="22"/>
          <w:lang w:val="pl-PL"/>
        </w:rPr>
        <w:t>blokerami</w:t>
      </w:r>
      <w:r w:rsidR="00221104" w:rsidRPr="00BD22FE">
        <w:rPr>
          <w:sz w:val="22"/>
          <w:szCs w:val="22"/>
          <w:lang w:val="pl-PL"/>
        </w:rPr>
        <w:t xml:space="preserve"> </w:t>
      </w:r>
      <w:r w:rsidRPr="00BD22FE">
        <w:rPr>
          <w:sz w:val="22"/>
          <w:szCs w:val="22"/>
          <w:lang w:val="pl-PL"/>
        </w:rPr>
        <w:t xml:space="preserve">receptora angiotensyny II notowano występowanie obrzęku naczynioruchowego jelit (patrz punkt 4.8). U tych pacjentów występowały ból brzucha, nudności, wymioty i biegunka. Objawy ustąpiły po przerwaniu leczenia </w:t>
      </w:r>
      <w:r w:rsidR="00221104">
        <w:rPr>
          <w:sz w:val="22"/>
          <w:szCs w:val="22"/>
          <w:lang w:val="pl-PL"/>
        </w:rPr>
        <w:t>blokerami</w:t>
      </w:r>
      <w:r w:rsidR="00221104" w:rsidRPr="00BD22FE">
        <w:rPr>
          <w:sz w:val="22"/>
          <w:szCs w:val="22"/>
          <w:lang w:val="pl-PL"/>
        </w:rPr>
        <w:t xml:space="preserve"> </w:t>
      </w:r>
      <w:r w:rsidRPr="00BD22FE">
        <w:rPr>
          <w:sz w:val="22"/>
          <w:szCs w:val="22"/>
          <w:lang w:val="pl-PL"/>
        </w:rPr>
        <w:t>receptora angiotensyny II. Jeśli u pacjenta zostanie rozpoznany obrzęk naczynioruchowy jelit, należy przerwać stosowanie telmisartanu i rozpocząć odpowiednią obserwację do czasu całkowitego ustąpienia objawów.</w:t>
      </w:r>
    </w:p>
    <w:bookmarkEnd w:id="4"/>
    <w:p w14:paraId="206CBD74" w14:textId="77777777" w:rsidR="000016E2" w:rsidRPr="00BD22FE" w:rsidRDefault="000016E2" w:rsidP="00A610E1">
      <w:pPr>
        <w:pStyle w:val="BodyText"/>
        <w:spacing w:line="240" w:lineRule="auto"/>
        <w:jc w:val="left"/>
        <w:rPr>
          <w:sz w:val="22"/>
          <w:szCs w:val="22"/>
          <w:lang w:val="pl-PL"/>
        </w:rPr>
      </w:pPr>
    </w:p>
    <w:p w14:paraId="06ACCA89" w14:textId="77777777" w:rsidR="000016E2" w:rsidRPr="00BD22FE" w:rsidRDefault="00104CA8" w:rsidP="00A610E1">
      <w:pPr>
        <w:pStyle w:val="BodyText"/>
        <w:keepNext/>
        <w:spacing w:line="240" w:lineRule="auto"/>
        <w:jc w:val="left"/>
        <w:rPr>
          <w:sz w:val="22"/>
          <w:szCs w:val="22"/>
          <w:lang w:val="pl-PL"/>
        </w:rPr>
      </w:pPr>
      <w:r w:rsidRPr="00BD22FE">
        <w:rPr>
          <w:sz w:val="22"/>
          <w:szCs w:val="22"/>
          <w:u w:val="single"/>
          <w:lang w:val="pl-PL"/>
        </w:rPr>
        <w:t>Laktoza</w:t>
      </w:r>
    </w:p>
    <w:p w14:paraId="2DE29082" w14:textId="0A435556" w:rsidR="000016E2" w:rsidRPr="00BD22FE" w:rsidRDefault="00104CA8" w:rsidP="00A610E1">
      <w:pPr>
        <w:pStyle w:val="BodyText"/>
        <w:spacing w:line="240" w:lineRule="auto"/>
        <w:jc w:val="left"/>
        <w:rPr>
          <w:sz w:val="22"/>
          <w:szCs w:val="22"/>
          <w:lang w:val="pl-PL"/>
        </w:rPr>
      </w:pPr>
      <w:r w:rsidRPr="00BD22FE">
        <w:rPr>
          <w:sz w:val="22"/>
          <w:szCs w:val="22"/>
          <w:lang w:val="pl-PL"/>
        </w:rPr>
        <w:t>Każda tabletka zawiera laktozę. Produkt leczniczy nie powinien być stosowany u</w:t>
      </w:r>
      <w:r w:rsidR="00F54C1D" w:rsidRPr="00BD22FE">
        <w:rPr>
          <w:sz w:val="22"/>
          <w:szCs w:val="22"/>
          <w:lang w:val="pl-PL"/>
        </w:rPr>
        <w:t> </w:t>
      </w:r>
      <w:r w:rsidRPr="00BD22FE">
        <w:rPr>
          <w:sz w:val="22"/>
          <w:szCs w:val="22"/>
          <w:lang w:val="pl-PL"/>
        </w:rPr>
        <w:t>pacjentów z</w:t>
      </w:r>
      <w:r w:rsidR="00F54C1D" w:rsidRPr="00BD22FE">
        <w:rPr>
          <w:sz w:val="22"/>
          <w:szCs w:val="22"/>
          <w:lang w:val="pl-PL"/>
        </w:rPr>
        <w:t> </w:t>
      </w:r>
      <w:r w:rsidRPr="00BD22FE">
        <w:rPr>
          <w:sz w:val="22"/>
          <w:szCs w:val="22"/>
          <w:lang w:val="pl-PL"/>
        </w:rPr>
        <w:t>rzadko występującą dziedziczną nietolerancją galaktozy, brakiem laktazy lub zespołem złego wchłaniania glukozy</w:t>
      </w:r>
      <w:r w:rsidRPr="00BD22FE">
        <w:rPr>
          <w:sz w:val="22"/>
          <w:szCs w:val="22"/>
          <w:lang w:val="pl-PL"/>
        </w:rPr>
        <w:noBreakHyphen/>
        <w:t>galaktozy.</w:t>
      </w:r>
    </w:p>
    <w:p w14:paraId="67CEA18B" w14:textId="77777777" w:rsidR="000016E2" w:rsidRPr="00BD22FE" w:rsidRDefault="000016E2" w:rsidP="00A610E1">
      <w:pPr>
        <w:pStyle w:val="BodyText"/>
        <w:spacing w:line="240" w:lineRule="auto"/>
        <w:jc w:val="left"/>
        <w:rPr>
          <w:sz w:val="22"/>
          <w:szCs w:val="22"/>
          <w:lang w:val="pl-PL"/>
        </w:rPr>
      </w:pPr>
    </w:p>
    <w:p w14:paraId="7D1834EC" w14:textId="77777777" w:rsidR="000016E2" w:rsidRPr="00BD22FE" w:rsidRDefault="00104CA8" w:rsidP="00A610E1">
      <w:pPr>
        <w:pStyle w:val="BodyText"/>
        <w:keepNext/>
        <w:spacing w:line="240" w:lineRule="auto"/>
        <w:jc w:val="left"/>
        <w:rPr>
          <w:sz w:val="22"/>
          <w:szCs w:val="22"/>
          <w:u w:val="single"/>
          <w:lang w:val="pl-PL"/>
        </w:rPr>
      </w:pPr>
      <w:r w:rsidRPr="00BD22FE">
        <w:rPr>
          <w:sz w:val="22"/>
          <w:szCs w:val="22"/>
          <w:u w:val="single"/>
          <w:lang w:val="pl-PL"/>
        </w:rPr>
        <w:t>Sorbitol</w:t>
      </w:r>
    </w:p>
    <w:p w14:paraId="24B3435D" w14:textId="77777777" w:rsidR="000016E2" w:rsidRPr="00BD22FE" w:rsidRDefault="00104CA8" w:rsidP="00A610E1">
      <w:pPr>
        <w:pStyle w:val="BodyText"/>
        <w:keepNext/>
        <w:spacing w:line="240" w:lineRule="auto"/>
        <w:jc w:val="left"/>
        <w:rPr>
          <w:sz w:val="22"/>
          <w:szCs w:val="22"/>
          <w:u w:val="single"/>
          <w:lang w:val="pl-PL"/>
        </w:rPr>
      </w:pPr>
      <w:r w:rsidRPr="00BD22FE">
        <w:rPr>
          <w:sz w:val="22"/>
          <w:szCs w:val="22"/>
          <w:u w:val="single"/>
          <w:lang w:val="pl-PL"/>
        </w:rPr>
        <w:t>MicardisPlus 40 mg/12,5 mg tabletki</w:t>
      </w:r>
    </w:p>
    <w:p w14:paraId="0C2C038E" w14:textId="77777777" w:rsidR="000016E2" w:rsidRPr="00BD22FE" w:rsidRDefault="00104CA8" w:rsidP="00A610E1">
      <w:pPr>
        <w:pStyle w:val="BodyText"/>
        <w:spacing w:line="240" w:lineRule="auto"/>
        <w:jc w:val="left"/>
        <w:rPr>
          <w:sz w:val="22"/>
          <w:szCs w:val="22"/>
          <w:lang w:val="pl-PL"/>
        </w:rPr>
      </w:pPr>
      <w:r w:rsidRPr="00BD22FE">
        <w:rPr>
          <w:sz w:val="22"/>
          <w:szCs w:val="22"/>
          <w:lang w:val="pl-PL"/>
        </w:rPr>
        <w:t xml:space="preserve">Produkt leczniczy MicardisPlus 40 mg/12,5 mg tabletki zawiera 169 mg sorbitolu </w:t>
      </w:r>
      <w:r w:rsidRPr="00BD22FE">
        <w:rPr>
          <w:sz w:val="22"/>
          <w:szCs w:val="22"/>
          <w:lang w:val="pl-PL" w:eastAsia="de-DE"/>
        </w:rPr>
        <w:t>w każdej tabletce.</w:t>
      </w:r>
    </w:p>
    <w:p w14:paraId="0F911DFB" w14:textId="77777777" w:rsidR="000016E2" w:rsidRPr="00BD22FE" w:rsidRDefault="000016E2" w:rsidP="00A610E1">
      <w:pPr>
        <w:pStyle w:val="BodyText"/>
        <w:spacing w:line="240" w:lineRule="auto"/>
        <w:jc w:val="left"/>
        <w:rPr>
          <w:sz w:val="22"/>
          <w:szCs w:val="22"/>
          <w:lang w:val="pl-PL"/>
        </w:rPr>
      </w:pPr>
    </w:p>
    <w:p w14:paraId="4D37CCEC" w14:textId="77777777" w:rsidR="000016E2" w:rsidRPr="00BD22FE" w:rsidRDefault="00104CA8" w:rsidP="00A610E1">
      <w:pPr>
        <w:pStyle w:val="BodyText"/>
        <w:keepNext/>
        <w:spacing w:line="240" w:lineRule="auto"/>
        <w:jc w:val="left"/>
        <w:rPr>
          <w:sz w:val="22"/>
          <w:szCs w:val="22"/>
          <w:u w:val="single"/>
          <w:lang w:val="pl-PL"/>
        </w:rPr>
      </w:pPr>
      <w:r w:rsidRPr="00BD22FE">
        <w:rPr>
          <w:sz w:val="22"/>
          <w:szCs w:val="22"/>
          <w:u w:val="single"/>
          <w:lang w:val="pl-PL"/>
        </w:rPr>
        <w:t>MicardisPlus 80 mg/12,5 mg tabletki</w:t>
      </w:r>
    </w:p>
    <w:p w14:paraId="70BD500D" w14:textId="77777777" w:rsidR="000016E2" w:rsidRPr="00BD22FE" w:rsidRDefault="00104CA8" w:rsidP="00A610E1">
      <w:pPr>
        <w:pStyle w:val="BodyText"/>
        <w:spacing w:line="240" w:lineRule="auto"/>
        <w:jc w:val="left"/>
        <w:rPr>
          <w:sz w:val="22"/>
          <w:szCs w:val="22"/>
          <w:lang w:val="pl-PL"/>
        </w:rPr>
      </w:pPr>
      <w:r w:rsidRPr="00BD22FE">
        <w:rPr>
          <w:sz w:val="22"/>
          <w:szCs w:val="22"/>
          <w:lang w:val="pl-PL"/>
        </w:rPr>
        <w:t xml:space="preserve">Produkt leczniczy MicardisPlus 80 mg/12,5 mg tabletki zawiera 338 mg sorbitolu </w:t>
      </w:r>
      <w:r w:rsidRPr="00BD22FE">
        <w:rPr>
          <w:sz w:val="22"/>
          <w:szCs w:val="22"/>
          <w:lang w:val="pl-PL" w:eastAsia="de-DE"/>
        </w:rPr>
        <w:t>w każdej tabletce.</w:t>
      </w:r>
      <w:r w:rsidRPr="00BD22FE">
        <w:rPr>
          <w:sz w:val="22"/>
          <w:szCs w:val="22"/>
          <w:lang w:val="pl-PL"/>
        </w:rPr>
        <w:t xml:space="preserve"> </w:t>
      </w:r>
      <w:r w:rsidRPr="00BD22FE">
        <w:rPr>
          <w:sz w:val="22"/>
          <w:szCs w:val="22"/>
          <w:lang w:val="pl-PL" w:eastAsia="de-DE"/>
        </w:rPr>
        <w:t>Pacjenci z dziedziczną nietolerancją fruktozy nie mogą przyjmować tego produktu leczniczego.</w:t>
      </w:r>
    </w:p>
    <w:p w14:paraId="29B4E627" w14:textId="2D8DA634" w:rsidR="000016E2" w:rsidRPr="00BD22FE" w:rsidRDefault="000016E2" w:rsidP="00A610E1">
      <w:pPr>
        <w:pStyle w:val="BodyText"/>
        <w:spacing w:line="240" w:lineRule="auto"/>
        <w:jc w:val="left"/>
        <w:rPr>
          <w:sz w:val="22"/>
          <w:szCs w:val="22"/>
          <w:lang w:val="pl-PL"/>
        </w:rPr>
      </w:pPr>
    </w:p>
    <w:p w14:paraId="59B83277" w14:textId="085F43B1" w:rsidR="00CF4216" w:rsidRPr="00BD22FE" w:rsidRDefault="00CF4216" w:rsidP="00A610E1">
      <w:pPr>
        <w:pStyle w:val="BodyText"/>
        <w:keepNext/>
        <w:spacing w:line="240" w:lineRule="auto"/>
        <w:jc w:val="left"/>
        <w:rPr>
          <w:sz w:val="22"/>
          <w:szCs w:val="22"/>
          <w:u w:val="single"/>
          <w:lang w:val="pl-PL"/>
        </w:rPr>
      </w:pPr>
      <w:r w:rsidRPr="00BD22FE">
        <w:rPr>
          <w:sz w:val="22"/>
          <w:szCs w:val="22"/>
          <w:u w:val="single"/>
          <w:lang w:val="pl-PL"/>
        </w:rPr>
        <w:t>Sód</w:t>
      </w:r>
    </w:p>
    <w:p w14:paraId="1BEE4182" w14:textId="77777777" w:rsidR="000016E2" w:rsidRPr="00BD22FE" w:rsidRDefault="00104CA8" w:rsidP="00A610E1">
      <w:pPr>
        <w:pStyle w:val="BodyText"/>
        <w:spacing w:line="240" w:lineRule="auto"/>
        <w:jc w:val="left"/>
        <w:rPr>
          <w:sz w:val="22"/>
          <w:szCs w:val="22"/>
          <w:lang w:val="pl-PL"/>
        </w:rPr>
      </w:pPr>
      <w:r w:rsidRPr="00BD22FE">
        <w:rPr>
          <w:sz w:val="22"/>
          <w:szCs w:val="22"/>
          <w:lang w:val="pl-PL"/>
        </w:rPr>
        <w:t>Każda tabletka zawiera mniej niż 1 mmol (23 mg) sodu na tabletkę, to znaczy produkt leczniczy uznaje się za „wolny od sodu”.</w:t>
      </w:r>
    </w:p>
    <w:p w14:paraId="1E53DBD0" w14:textId="77777777" w:rsidR="000016E2" w:rsidRPr="00BD22FE" w:rsidRDefault="000016E2" w:rsidP="00A610E1">
      <w:pPr>
        <w:pStyle w:val="BodyText"/>
        <w:spacing w:line="240" w:lineRule="auto"/>
        <w:jc w:val="left"/>
        <w:rPr>
          <w:sz w:val="22"/>
          <w:szCs w:val="22"/>
          <w:lang w:val="pl-PL"/>
        </w:rPr>
      </w:pPr>
    </w:p>
    <w:p w14:paraId="12248E43" w14:textId="2D3A2314" w:rsidR="000016E2" w:rsidRPr="00BD22FE" w:rsidRDefault="00104CA8" w:rsidP="00A610E1">
      <w:pPr>
        <w:pStyle w:val="BodyText"/>
        <w:keepNext/>
        <w:spacing w:line="240" w:lineRule="auto"/>
        <w:ind w:left="567" w:hanging="567"/>
        <w:jc w:val="left"/>
        <w:rPr>
          <w:b/>
          <w:sz w:val="22"/>
          <w:szCs w:val="22"/>
          <w:lang w:val="pl-PL"/>
        </w:rPr>
      </w:pPr>
      <w:r w:rsidRPr="00BD22FE">
        <w:rPr>
          <w:b/>
          <w:sz w:val="22"/>
          <w:szCs w:val="22"/>
          <w:lang w:val="pl-PL"/>
        </w:rPr>
        <w:t>4.5</w:t>
      </w:r>
      <w:r w:rsidRPr="00BD22FE">
        <w:rPr>
          <w:b/>
          <w:sz w:val="22"/>
          <w:szCs w:val="22"/>
          <w:lang w:val="pl-PL"/>
        </w:rPr>
        <w:tab/>
        <w:t>Interakcje z</w:t>
      </w:r>
      <w:r w:rsidR="00717A7B" w:rsidRPr="00BD22FE">
        <w:rPr>
          <w:b/>
          <w:sz w:val="22"/>
          <w:szCs w:val="22"/>
          <w:lang w:val="pl-PL"/>
        </w:rPr>
        <w:t> </w:t>
      </w:r>
      <w:r w:rsidRPr="00BD22FE">
        <w:rPr>
          <w:b/>
          <w:sz w:val="22"/>
          <w:szCs w:val="22"/>
          <w:lang w:val="pl-PL"/>
        </w:rPr>
        <w:t>innymi produktami leczniczymi i</w:t>
      </w:r>
      <w:r w:rsidR="00717A7B" w:rsidRPr="00BD22FE">
        <w:rPr>
          <w:b/>
          <w:sz w:val="22"/>
          <w:szCs w:val="22"/>
          <w:lang w:val="pl-PL"/>
        </w:rPr>
        <w:t> </w:t>
      </w:r>
      <w:r w:rsidRPr="00BD22FE">
        <w:rPr>
          <w:b/>
          <w:sz w:val="22"/>
          <w:szCs w:val="22"/>
          <w:lang w:val="pl-PL"/>
        </w:rPr>
        <w:t>inne rodzaje interakcji</w:t>
      </w:r>
    </w:p>
    <w:p w14:paraId="1F724FB2" w14:textId="77777777" w:rsidR="000016E2" w:rsidRPr="00BD22FE" w:rsidRDefault="000016E2" w:rsidP="00A610E1">
      <w:pPr>
        <w:pStyle w:val="BodyText"/>
        <w:keepNext/>
        <w:spacing w:line="240" w:lineRule="auto"/>
        <w:jc w:val="left"/>
        <w:rPr>
          <w:sz w:val="22"/>
          <w:szCs w:val="22"/>
          <w:lang w:val="pl-PL"/>
        </w:rPr>
      </w:pPr>
    </w:p>
    <w:p w14:paraId="7F6831B5" w14:textId="77777777" w:rsidR="000016E2" w:rsidRPr="00BD22FE" w:rsidRDefault="00104CA8" w:rsidP="00A610E1">
      <w:pPr>
        <w:pStyle w:val="BodyText"/>
        <w:keepNext/>
        <w:spacing w:line="240" w:lineRule="auto"/>
        <w:jc w:val="left"/>
        <w:rPr>
          <w:sz w:val="22"/>
          <w:szCs w:val="22"/>
          <w:lang w:val="pl-PL"/>
        </w:rPr>
      </w:pPr>
      <w:r w:rsidRPr="00BD22FE">
        <w:rPr>
          <w:sz w:val="22"/>
          <w:szCs w:val="22"/>
          <w:u w:val="single"/>
          <w:lang w:val="pl-PL"/>
        </w:rPr>
        <w:t>Lit</w:t>
      </w:r>
    </w:p>
    <w:p w14:paraId="5B47E8FC" w14:textId="14995993" w:rsidR="000016E2" w:rsidRPr="00BD22FE" w:rsidRDefault="00104CA8" w:rsidP="00A610E1">
      <w:pPr>
        <w:pStyle w:val="BodyText"/>
        <w:spacing w:line="240" w:lineRule="auto"/>
        <w:jc w:val="left"/>
        <w:rPr>
          <w:sz w:val="22"/>
          <w:szCs w:val="22"/>
          <w:lang w:val="pl-PL"/>
        </w:rPr>
      </w:pPr>
      <w:r w:rsidRPr="00BD22FE">
        <w:rPr>
          <w:sz w:val="22"/>
          <w:szCs w:val="22"/>
          <w:lang w:val="pl-PL"/>
        </w:rPr>
        <w:t xml:space="preserve">Obserwowano </w:t>
      </w:r>
      <w:r w:rsidR="006C3FCC" w:rsidRPr="00BD22FE">
        <w:rPr>
          <w:sz w:val="22"/>
          <w:szCs w:val="22"/>
          <w:lang w:val="pl-PL"/>
        </w:rPr>
        <w:t xml:space="preserve">odwracalne </w:t>
      </w:r>
      <w:r w:rsidRPr="00BD22FE">
        <w:rPr>
          <w:sz w:val="22"/>
          <w:szCs w:val="22"/>
          <w:lang w:val="pl-PL"/>
        </w:rPr>
        <w:t>zwiększenie stężenia litu w</w:t>
      </w:r>
      <w:r w:rsidR="00717A7B" w:rsidRPr="00BD22FE">
        <w:rPr>
          <w:sz w:val="22"/>
          <w:szCs w:val="22"/>
          <w:lang w:val="pl-PL"/>
        </w:rPr>
        <w:t> </w:t>
      </w:r>
      <w:r w:rsidRPr="00BD22FE">
        <w:rPr>
          <w:sz w:val="22"/>
          <w:szCs w:val="22"/>
          <w:lang w:val="pl-PL"/>
        </w:rPr>
        <w:t>surowicy i</w:t>
      </w:r>
      <w:r w:rsidR="00717A7B" w:rsidRPr="00BD22FE">
        <w:rPr>
          <w:sz w:val="22"/>
          <w:szCs w:val="22"/>
          <w:lang w:val="pl-PL"/>
        </w:rPr>
        <w:t> </w:t>
      </w:r>
      <w:r w:rsidRPr="00BD22FE">
        <w:rPr>
          <w:sz w:val="22"/>
          <w:szCs w:val="22"/>
          <w:lang w:val="pl-PL"/>
        </w:rPr>
        <w:t>zwiększenie jego toksyczności w</w:t>
      </w:r>
      <w:r w:rsidR="00717A7B" w:rsidRPr="00BD22FE">
        <w:rPr>
          <w:sz w:val="22"/>
          <w:szCs w:val="22"/>
          <w:lang w:val="pl-PL"/>
        </w:rPr>
        <w:t> </w:t>
      </w:r>
      <w:r w:rsidRPr="00BD22FE">
        <w:rPr>
          <w:sz w:val="22"/>
          <w:szCs w:val="22"/>
          <w:lang w:val="pl-PL"/>
        </w:rPr>
        <w:t xml:space="preserve">przypadku jednoczesnego </w:t>
      </w:r>
      <w:r w:rsidR="00D55D53" w:rsidRPr="00BD22FE">
        <w:rPr>
          <w:sz w:val="22"/>
          <w:szCs w:val="22"/>
          <w:lang w:val="pl-PL"/>
        </w:rPr>
        <w:t xml:space="preserve">podawania litu </w:t>
      </w:r>
      <w:r w:rsidRPr="00BD22FE">
        <w:rPr>
          <w:sz w:val="22"/>
          <w:szCs w:val="22"/>
          <w:lang w:val="pl-PL"/>
        </w:rPr>
        <w:t>z</w:t>
      </w:r>
      <w:r w:rsidR="00717A7B" w:rsidRPr="00BD22FE">
        <w:rPr>
          <w:sz w:val="22"/>
          <w:szCs w:val="22"/>
          <w:lang w:val="pl-PL"/>
        </w:rPr>
        <w:t> </w:t>
      </w:r>
      <w:r w:rsidRPr="00BD22FE">
        <w:rPr>
          <w:sz w:val="22"/>
          <w:szCs w:val="22"/>
          <w:lang w:val="pl-PL"/>
        </w:rPr>
        <w:t xml:space="preserve">inhibitorami konwertazy angiotensyny. </w:t>
      </w:r>
      <w:r w:rsidR="00D55D53" w:rsidRPr="00BD22FE">
        <w:rPr>
          <w:sz w:val="22"/>
          <w:szCs w:val="22"/>
          <w:lang w:val="pl-PL"/>
        </w:rPr>
        <w:t>N</w:t>
      </w:r>
      <w:r w:rsidRPr="00BD22FE">
        <w:rPr>
          <w:sz w:val="22"/>
          <w:szCs w:val="22"/>
          <w:lang w:val="pl-PL"/>
        </w:rPr>
        <w:t xml:space="preserve">otowano </w:t>
      </w:r>
      <w:r w:rsidR="00D55D53" w:rsidRPr="00BD22FE">
        <w:rPr>
          <w:sz w:val="22"/>
          <w:szCs w:val="22"/>
          <w:lang w:val="pl-PL"/>
        </w:rPr>
        <w:t xml:space="preserve">rzadkie </w:t>
      </w:r>
      <w:r w:rsidRPr="00BD22FE">
        <w:rPr>
          <w:sz w:val="22"/>
          <w:szCs w:val="22"/>
          <w:lang w:val="pl-PL"/>
        </w:rPr>
        <w:t>przypadki z</w:t>
      </w:r>
      <w:r w:rsidR="00717A7B" w:rsidRPr="00BD22FE">
        <w:rPr>
          <w:sz w:val="22"/>
          <w:szCs w:val="22"/>
          <w:lang w:val="pl-PL"/>
        </w:rPr>
        <w:t> </w:t>
      </w:r>
      <w:r w:rsidRPr="00BD22FE">
        <w:rPr>
          <w:sz w:val="22"/>
          <w:szCs w:val="22"/>
          <w:lang w:val="pl-PL"/>
        </w:rPr>
        <w:t>blokerami receptora angiotensyny</w:t>
      </w:r>
      <w:r w:rsidR="001E0877" w:rsidRPr="00BD22FE">
        <w:rPr>
          <w:sz w:val="22"/>
          <w:szCs w:val="22"/>
          <w:lang w:val="pl-PL"/>
        </w:rPr>
        <w:t> </w:t>
      </w:r>
      <w:r w:rsidRPr="00BD22FE">
        <w:rPr>
          <w:sz w:val="22"/>
          <w:szCs w:val="22"/>
          <w:lang w:val="pl-PL"/>
        </w:rPr>
        <w:t>II (w</w:t>
      </w:r>
      <w:r w:rsidR="00717A7B" w:rsidRPr="00BD22FE">
        <w:rPr>
          <w:sz w:val="22"/>
          <w:szCs w:val="22"/>
          <w:lang w:val="pl-PL"/>
        </w:rPr>
        <w:t> </w:t>
      </w:r>
      <w:r w:rsidRPr="00BD22FE">
        <w:rPr>
          <w:sz w:val="22"/>
          <w:szCs w:val="22"/>
          <w:lang w:val="pl-PL"/>
        </w:rPr>
        <w:t xml:space="preserve">tym telmisartan/HCTZ). Nie jest zalecane </w:t>
      </w:r>
      <w:r w:rsidRPr="00BD22FE">
        <w:rPr>
          <w:sz w:val="22"/>
          <w:szCs w:val="22"/>
          <w:lang w:val="pl-PL"/>
        </w:rPr>
        <w:lastRenderedPageBreak/>
        <w:t xml:space="preserve">jednoczesne </w:t>
      </w:r>
      <w:r w:rsidR="00BF2375" w:rsidRPr="00BD22FE">
        <w:rPr>
          <w:sz w:val="22"/>
          <w:szCs w:val="22"/>
          <w:lang w:val="pl-PL"/>
        </w:rPr>
        <w:t>poda</w:t>
      </w:r>
      <w:r w:rsidRPr="00BD22FE">
        <w:rPr>
          <w:sz w:val="22"/>
          <w:szCs w:val="22"/>
          <w:lang w:val="pl-PL"/>
        </w:rPr>
        <w:t>wanie litu i</w:t>
      </w:r>
      <w:r w:rsidR="00717A7B" w:rsidRPr="00BD22FE">
        <w:rPr>
          <w:sz w:val="22"/>
          <w:szCs w:val="22"/>
          <w:lang w:val="pl-PL"/>
        </w:rPr>
        <w:t> </w:t>
      </w:r>
      <w:r w:rsidRPr="00BD22FE">
        <w:rPr>
          <w:sz w:val="22"/>
          <w:szCs w:val="22"/>
          <w:lang w:val="pl-PL"/>
        </w:rPr>
        <w:t xml:space="preserve">telmisartanu/HCTZ (patrz punkt 4.4). Jeśli </w:t>
      </w:r>
      <w:r w:rsidR="00BF2375" w:rsidRPr="00BD22FE">
        <w:rPr>
          <w:sz w:val="22"/>
          <w:szCs w:val="22"/>
          <w:lang w:val="pl-PL"/>
        </w:rPr>
        <w:t>konieczne</w:t>
      </w:r>
      <w:r w:rsidR="00BF2375" w:rsidRPr="00BD22FE" w:rsidDel="00BF2375">
        <w:rPr>
          <w:sz w:val="22"/>
          <w:szCs w:val="22"/>
          <w:lang w:val="pl-PL"/>
        </w:rPr>
        <w:t xml:space="preserve"> </w:t>
      </w:r>
      <w:r w:rsidR="00BF2375" w:rsidRPr="00BD22FE">
        <w:rPr>
          <w:sz w:val="22"/>
          <w:szCs w:val="22"/>
          <w:lang w:val="pl-PL"/>
        </w:rPr>
        <w:t xml:space="preserve">jest </w:t>
      </w:r>
      <w:r w:rsidRPr="00BD22FE">
        <w:rPr>
          <w:sz w:val="22"/>
          <w:szCs w:val="22"/>
          <w:lang w:val="pl-PL"/>
        </w:rPr>
        <w:t>stosowanie tych leków</w:t>
      </w:r>
      <w:r w:rsidR="00BF2375" w:rsidRPr="00BD22FE">
        <w:rPr>
          <w:sz w:val="22"/>
          <w:szCs w:val="22"/>
          <w:lang w:val="pl-PL"/>
        </w:rPr>
        <w:t xml:space="preserve"> w skojarzeniu</w:t>
      </w:r>
      <w:r w:rsidRPr="00BD22FE">
        <w:rPr>
          <w:sz w:val="22"/>
          <w:szCs w:val="22"/>
          <w:lang w:val="pl-PL"/>
        </w:rPr>
        <w:t xml:space="preserve">, </w:t>
      </w:r>
      <w:r w:rsidR="00BF2375" w:rsidRPr="00BD22FE">
        <w:rPr>
          <w:sz w:val="22"/>
          <w:szCs w:val="22"/>
          <w:lang w:val="pl-PL"/>
        </w:rPr>
        <w:t xml:space="preserve">zalecane jest ścisłe monitorowanie </w:t>
      </w:r>
      <w:r w:rsidRPr="00BD22FE">
        <w:rPr>
          <w:sz w:val="22"/>
          <w:szCs w:val="22"/>
          <w:lang w:val="pl-PL"/>
        </w:rPr>
        <w:t>stężeni</w:t>
      </w:r>
      <w:r w:rsidR="00BF2375" w:rsidRPr="00BD22FE">
        <w:rPr>
          <w:sz w:val="22"/>
          <w:szCs w:val="22"/>
          <w:lang w:val="pl-PL"/>
        </w:rPr>
        <w:t>a</w:t>
      </w:r>
      <w:r w:rsidRPr="00BD22FE">
        <w:rPr>
          <w:sz w:val="22"/>
          <w:szCs w:val="22"/>
          <w:lang w:val="pl-PL"/>
        </w:rPr>
        <w:t xml:space="preserve"> litu w</w:t>
      </w:r>
      <w:r w:rsidR="00717A7B" w:rsidRPr="00BD22FE">
        <w:rPr>
          <w:sz w:val="22"/>
          <w:szCs w:val="22"/>
          <w:lang w:val="pl-PL"/>
        </w:rPr>
        <w:t> </w:t>
      </w:r>
      <w:r w:rsidRPr="00BD22FE">
        <w:rPr>
          <w:sz w:val="22"/>
          <w:szCs w:val="22"/>
          <w:lang w:val="pl-PL"/>
        </w:rPr>
        <w:t>surowicy</w:t>
      </w:r>
      <w:r w:rsidR="00BF2375" w:rsidRPr="00BD22FE">
        <w:rPr>
          <w:sz w:val="22"/>
          <w:szCs w:val="22"/>
          <w:lang w:val="pl-PL"/>
        </w:rPr>
        <w:t xml:space="preserve"> podczas ich jednoczesnego stosowania</w:t>
      </w:r>
      <w:r w:rsidRPr="00BD22FE">
        <w:rPr>
          <w:sz w:val="22"/>
          <w:szCs w:val="22"/>
          <w:lang w:val="pl-PL"/>
        </w:rPr>
        <w:t>.</w:t>
      </w:r>
    </w:p>
    <w:p w14:paraId="70C1EBAD" w14:textId="77777777" w:rsidR="000016E2" w:rsidRPr="00BD22FE" w:rsidRDefault="000016E2" w:rsidP="00A610E1">
      <w:pPr>
        <w:pStyle w:val="BodyText"/>
        <w:spacing w:line="240" w:lineRule="auto"/>
        <w:jc w:val="left"/>
        <w:rPr>
          <w:sz w:val="22"/>
          <w:szCs w:val="22"/>
          <w:u w:val="single"/>
          <w:lang w:val="pl-PL"/>
        </w:rPr>
      </w:pPr>
    </w:p>
    <w:p w14:paraId="5A7B4DC6" w14:textId="6C778DC2" w:rsidR="000016E2" w:rsidRPr="00BD22FE" w:rsidRDefault="00104CA8" w:rsidP="00A610E1">
      <w:pPr>
        <w:pStyle w:val="BodyText"/>
        <w:keepNext/>
        <w:spacing w:line="240" w:lineRule="auto"/>
        <w:jc w:val="left"/>
        <w:rPr>
          <w:sz w:val="22"/>
          <w:szCs w:val="22"/>
          <w:lang w:val="pl-PL"/>
        </w:rPr>
      </w:pPr>
      <w:r w:rsidRPr="00BD22FE">
        <w:rPr>
          <w:sz w:val="22"/>
          <w:szCs w:val="22"/>
          <w:u w:val="single"/>
          <w:lang w:val="pl-PL"/>
        </w:rPr>
        <w:t>Produkty lecznicze związane z</w:t>
      </w:r>
      <w:r w:rsidR="00717A7B" w:rsidRPr="00BD22FE">
        <w:rPr>
          <w:sz w:val="22"/>
          <w:szCs w:val="22"/>
          <w:u w:val="single"/>
          <w:lang w:val="pl-PL"/>
        </w:rPr>
        <w:t> </w:t>
      </w:r>
      <w:r w:rsidRPr="00BD22FE">
        <w:rPr>
          <w:sz w:val="22"/>
          <w:szCs w:val="22"/>
          <w:u w:val="single"/>
          <w:lang w:val="pl-PL"/>
        </w:rPr>
        <w:t>utratą potasu i</w:t>
      </w:r>
      <w:r w:rsidR="00717A7B" w:rsidRPr="00BD22FE">
        <w:rPr>
          <w:sz w:val="22"/>
          <w:szCs w:val="22"/>
          <w:u w:val="single"/>
          <w:lang w:val="pl-PL"/>
        </w:rPr>
        <w:t> </w:t>
      </w:r>
      <w:r w:rsidRPr="00BD22FE">
        <w:rPr>
          <w:sz w:val="22"/>
          <w:szCs w:val="22"/>
          <w:u w:val="single"/>
          <w:lang w:val="pl-PL"/>
        </w:rPr>
        <w:t>hipokaliemią</w:t>
      </w:r>
      <w:r w:rsidRPr="00BD22FE">
        <w:rPr>
          <w:sz w:val="22"/>
          <w:szCs w:val="22"/>
          <w:lang w:val="pl-PL"/>
        </w:rPr>
        <w:t xml:space="preserve"> (np. inne diuretyki kaliuretyczne, środki przeczyszczające, kortykosteroidy, ACTH, amfoterycyna, karbenoksolon, sól sodowa penicyliny</w:t>
      </w:r>
      <w:r w:rsidR="000D1716" w:rsidRPr="00BD22FE">
        <w:rPr>
          <w:sz w:val="22"/>
          <w:szCs w:val="22"/>
          <w:lang w:val="pl-PL"/>
        </w:rPr>
        <w:t> </w:t>
      </w:r>
      <w:r w:rsidRPr="00BD22FE">
        <w:rPr>
          <w:sz w:val="22"/>
          <w:szCs w:val="22"/>
          <w:lang w:val="pl-PL"/>
        </w:rPr>
        <w:t>G, kwas salicylowy i</w:t>
      </w:r>
      <w:r w:rsidR="00717A7B" w:rsidRPr="00BD22FE">
        <w:rPr>
          <w:sz w:val="22"/>
          <w:szCs w:val="22"/>
          <w:lang w:val="pl-PL"/>
        </w:rPr>
        <w:t> </w:t>
      </w:r>
      <w:r w:rsidRPr="00BD22FE">
        <w:rPr>
          <w:sz w:val="22"/>
          <w:szCs w:val="22"/>
          <w:lang w:val="pl-PL"/>
        </w:rPr>
        <w:t>jego pochodne)</w:t>
      </w:r>
    </w:p>
    <w:p w14:paraId="47637D92" w14:textId="6B8EF95C" w:rsidR="000016E2" w:rsidRPr="00BD22FE" w:rsidRDefault="00104CA8" w:rsidP="00A610E1">
      <w:pPr>
        <w:pStyle w:val="BodyText"/>
        <w:spacing w:line="240" w:lineRule="auto"/>
        <w:jc w:val="left"/>
        <w:rPr>
          <w:sz w:val="22"/>
          <w:szCs w:val="22"/>
          <w:lang w:val="pl-PL"/>
        </w:rPr>
      </w:pPr>
      <w:r w:rsidRPr="00BD22FE">
        <w:rPr>
          <w:sz w:val="22"/>
          <w:szCs w:val="22"/>
          <w:lang w:val="pl-PL"/>
        </w:rPr>
        <w:t>Jeżeli istnieje konieczność stosowania tych substancji jednocześnie z</w:t>
      </w:r>
      <w:r w:rsidR="00717A7B" w:rsidRPr="00BD22FE">
        <w:rPr>
          <w:sz w:val="22"/>
          <w:szCs w:val="22"/>
          <w:lang w:val="pl-PL"/>
        </w:rPr>
        <w:t> </w:t>
      </w:r>
      <w:r w:rsidRPr="00BD22FE">
        <w:rPr>
          <w:sz w:val="22"/>
          <w:szCs w:val="22"/>
          <w:lang w:val="pl-PL"/>
        </w:rPr>
        <w:t>produktem zawierającym HCTZ i</w:t>
      </w:r>
      <w:r w:rsidR="00717A7B" w:rsidRPr="00BD22FE">
        <w:rPr>
          <w:sz w:val="22"/>
          <w:szCs w:val="22"/>
          <w:lang w:val="pl-PL"/>
        </w:rPr>
        <w:t> </w:t>
      </w:r>
      <w:r w:rsidRPr="00BD22FE">
        <w:rPr>
          <w:sz w:val="22"/>
          <w:szCs w:val="22"/>
          <w:lang w:val="pl-PL"/>
        </w:rPr>
        <w:t>telmisartan, zaleca się monitorowanie stężenia potasu w</w:t>
      </w:r>
      <w:r w:rsidR="00717A7B" w:rsidRPr="00BD22FE">
        <w:rPr>
          <w:sz w:val="22"/>
          <w:szCs w:val="22"/>
          <w:lang w:val="pl-PL"/>
        </w:rPr>
        <w:t> </w:t>
      </w:r>
      <w:r w:rsidRPr="00BD22FE">
        <w:rPr>
          <w:sz w:val="22"/>
          <w:szCs w:val="22"/>
          <w:lang w:val="pl-PL"/>
        </w:rPr>
        <w:t xml:space="preserve">osoczu. </w:t>
      </w:r>
      <w:r w:rsidR="00777C2D" w:rsidRPr="00BD22FE">
        <w:rPr>
          <w:sz w:val="22"/>
          <w:szCs w:val="22"/>
          <w:lang w:val="pl-PL"/>
        </w:rPr>
        <w:t xml:space="preserve">Te produkty lecznicze </w:t>
      </w:r>
      <w:r w:rsidR="00191699" w:rsidRPr="00BD22FE">
        <w:rPr>
          <w:sz w:val="22"/>
          <w:szCs w:val="22"/>
          <w:lang w:val="pl-PL"/>
        </w:rPr>
        <w:t xml:space="preserve">mogą </w:t>
      </w:r>
      <w:r w:rsidRPr="00BD22FE">
        <w:rPr>
          <w:sz w:val="22"/>
          <w:szCs w:val="22"/>
          <w:lang w:val="pl-PL"/>
        </w:rPr>
        <w:t>nasilić działanie HCTZ na stężenie potasu w</w:t>
      </w:r>
      <w:r w:rsidR="00717A7B" w:rsidRPr="00BD22FE">
        <w:rPr>
          <w:sz w:val="22"/>
          <w:szCs w:val="22"/>
          <w:lang w:val="pl-PL"/>
        </w:rPr>
        <w:t> </w:t>
      </w:r>
      <w:r w:rsidRPr="00BD22FE">
        <w:rPr>
          <w:sz w:val="22"/>
          <w:szCs w:val="22"/>
          <w:lang w:val="pl-PL"/>
        </w:rPr>
        <w:t>surowicy (patrz punkt 4.4).</w:t>
      </w:r>
    </w:p>
    <w:p w14:paraId="4ED51F4F" w14:textId="77777777" w:rsidR="000016E2" w:rsidRPr="00BD22FE" w:rsidRDefault="000016E2" w:rsidP="00A610E1">
      <w:pPr>
        <w:pStyle w:val="BodyText"/>
        <w:spacing w:line="240" w:lineRule="auto"/>
        <w:jc w:val="left"/>
        <w:rPr>
          <w:sz w:val="22"/>
          <w:szCs w:val="22"/>
          <w:lang w:val="pl-PL"/>
        </w:rPr>
      </w:pPr>
    </w:p>
    <w:p w14:paraId="611EE84C" w14:textId="77777777" w:rsidR="000016E2" w:rsidRPr="00BD22FE" w:rsidRDefault="00104CA8" w:rsidP="00A610E1">
      <w:pPr>
        <w:pStyle w:val="BodyText"/>
        <w:keepNext/>
        <w:spacing w:line="240" w:lineRule="auto"/>
        <w:jc w:val="left"/>
        <w:rPr>
          <w:sz w:val="22"/>
          <w:szCs w:val="22"/>
          <w:u w:val="single"/>
          <w:lang w:val="pl-PL"/>
        </w:rPr>
      </w:pPr>
      <w:r w:rsidRPr="00BD22FE">
        <w:rPr>
          <w:sz w:val="22"/>
          <w:szCs w:val="22"/>
          <w:u w:val="single"/>
          <w:lang w:val="pl-PL"/>
        </w:rPr>
        <w:t>Jodowe środki kontrastowe</w:t>
      </w:r>
    </w:p>
    <w:p w14:paraId="79C29A33" w14:textId="77777777" w:rsidR="000016E2" w:rsidRPr="00BD22FE" w:rsidRDefault="00104CA8" w:rsidP="00A610E1">
      <w:pPr>
        <w:pStyle w:val="BodyText"/>
        <w:spacing w:line="240" w:lineRule="auto"/>
        <w:jc w:val="left"/>
        <w:rPr>
          <w:sz w:val="22"/>
          <w:szCs w:val="22"/>
          <w:lang w:val="pl-PL"/>
        </w:rPr>
      </w:pPr>
      <w:r w:rsidRPr="00BD22FE">
        <w:rPr>
          <w:sz w:val="22"/>
          <w:szCs w:val="22"/>
          <w:lang w:val="pl-PL"/>
        </w:rPr>
        <w:t>W przypadku odwodnienia spowodowanego stosowaniem diuretyków istnieje zwiększone ryzyko ostrej czynnościowej niewydolności nerek, zwłaszcza w trakcie stosowania dużych dawek jodowych środków kontrastowych. Wymagane jest nawodnienie przed podaniem środka jodowego.</w:t>
      </w:r>
    </w:p>
    <w:p w14:paraId="39A29AA0" w14:textId="77777777" w:rsidR="000016E2" w:rsidRPr="00BD22FE" w:rsidRDefault="000016E2" w:rsidP="00A610E1">
      <w:pPr>
        <w:pStyle w:val="BodyText"/>
        <w:spacing w:line="240" w:lineRule="auto"/>
        <w:jc w:val="left"/>
        <w:rPr>
          <w:sz w:val="22"/>
          <w:szCs w:val="22"/>
          <w:lang w:val="pl-PL"/>
        </w:rPr>
      </w:pPr>
    </w:p>
    <w:p w14:paraId="2E12CEF5" w14:textId="5716C963" w:rsidR="000016E2" w:rsidRPr="00BD22FE" w:rsidRDefault="00104CA8" w:rsidP="00A610E1">
      <w:pPr>
        <w:pStyle w:val="BodyText"/>
        <w:keepNext/>
        <w:spacing w:line="240" w:lineRule="auto"/>
        <w:jc w:val="left"/>
        <w:rPr>
          <w:sz w:val="22"/>
          <w:szCs w:val="22"/>
          <w:lang w:val="pl-PL"/>
        </w:rPr>
      </w:pPr>
      <w:r w:rsidRPr="00BD22FE">
        <w:rPr>
          <w:sz w:val="22"/>
          <w:szCs w:val="22"/>
          <w:u w:val="single"/>
          <w:lang w:val="pl-PL"/>
        </w:rPr>
        <w:t>Produkty lecznicze, które mogą zwiększ</w:t>
      </w:r>
      <w:r w:rsidR="00084423" w:rsidRPr="00BD22FE">
        <w:rPr>
          <w:sz w:val="22"/>
          <w:szCs w:val="22"/>
          <w:u w:val="single"/>
          <w:lang w:val="pl-PL"/>
        </w:rPr>
        <w:t>ać</w:t>
      </w:r>
      <w:r w:rsidRPr="00BD22FE">
        <w:rPr>
          <w:sz w:val="22"/>
          <w:szCs w:val="22"/>
          <w:u w:val="single"/>
          <w:lang w:val="pl-PL"/>
        </w:rPr>
        <w:t xml:space="preserve"> stężeni</w:t>
      </w:r>
      <w:r w:rsidR="00084423" w:rsidRPr="00BD22FE">
        <w:rPr>
          <w:sz w:val="22"/>
          <w:szCs w:val="22"/>
          <w:u w:val="single"/>
          <w:lang w:val="pl-PL"/>
        </w:rPr>
        <w:t>e</w:t>
      </w:r>
      <w:r w:rsidRPr="00BD22FE">
        <w:rPr>
          <w:sz w:val="22"/>
          <w:szCs w:val="22"/>
          <w:u w:val="single"/>
          <w:lang w:val="pl-PL"/>
        </w:rPr>
        <w:t xml:space="preserve"> potasu lub wywołać hiperkaliemię</w:t>
      </w:r>
      <w:r w:rsidRPr="00BD22FE">
        <w:rPr>
          <w:sz w:val="22"/>
          <w:szCs w:val="22"/>
          <w:lang w:val="pl-PL"/>
        </w:rPr>
        <w:t xml:space="preserve"> (np. inhibitory ACE, diuretyki oszczędzające potas, suplementy potasu, sole zawierające potas, cyklosporyna lub inne produkty lecznicze takie jak sól sodowa heparyny)</w:t>
      </w:r>
    </w:p>
    <w:p w14:paraId="229A56E3" w14:textId="2038B7F4" w:rsidR="000016E2" w:rsidRPr="00BD22FE" w:rsidRDefault="00104CA8" w:rsidP="00A610E1">
      <w:pPr>
        <w:pStyle w:val="BodyText"/>
        <w:spacing w:line="240" w:lineRule="auto"/>
        <w:jc w:val="left"/>
        <w:rPr>
          <w:sz w:val="22"/>
          <w:szCs w:val="22"/>
          <w:lang w:val="pl-PL"/>
        </w:rPr>
      </w:pPr>
      <w:r w:rsidRPr="00BD22FE">
        <w:rPr>
          <w:sz w:val="22"/>
          <w:szCs w:val="22"/>
          <w:lang w:val="pl-PL"/>
        </w:rPr>
        <w:t xml:space="preserve">Jeżeli istnieje konieczność stosowania tych </w:t>
      </w:r>
      <w:r w:rsidR="00F9633A" w:rsidRPr="00BD22FE">
        <w:rPr>
          <w:sz w:val="22"/>
          <w:szCs w:val="22"/>
          <w:lang w:val="pl-PL"/>
        </w:rPr>
        <w:t xml:space="preserve">produktów leczniczych </w:t>
      </w:r>
      <w:r w:rsidRPr="00BD22FE">
        <w:rPr>
          <w:sz w:val="22"/>
          <w:szCs w:val="22"/>
          <w:lang w:val="pl-PL"/>
        </w:rPr>
        <w:t>jednocześnie z</w:t>
      </w:r>
      <w:r w:rsidR="00717A7B" w:rsidRPr="00BD22FE">
        <w:rPr>
          <w:sz w:val="22"/>
          <w:szCs w:val="22"/>
          <w:lang w:val="pl-PL"/>
        </w:rPr>
        <w:t> </w:t>
      </w:r>
      <w:r w:rsidRPr="00BD22FE">
        <w:rPr>
          <w:sz w:val="22"/>
          <w:szCs w:val="22"/>
          <w:lang w:val="pl-PL"/>
        </w:rPr>
        <w:t>produktem zawierającym HCTZ i</w:t>
      </w:r>
      <w:r w:rsidR="00717A7B" w:rsidRPr="00BD22FE">
        <w:rPr>
          <w:sz w:val="22"/>
          <w:szCs w:val="22"/>
          <w:lang w:val="pl-PL"/>
        </w:rPr>
        <w:t> </w:t>
      </w:r>
      <w:r w:rsidRPr="00BD22FE">
        <w:rPr>
          <w:sz w:val="22"/>
          <w:szCs w:val="22"/>
          <w:lang w:val="pl-PL"/>
        </w:rPr>
        <w:t>telmisartan, zaleca się monitorowanie stężenia potasu w</w:t>
      </w:r>
      <w:r w:rsidR="00717A7B" w:rsidRPr="00BD22FE">
        <w:rPr>
          <w:sz w:val="22"/>
          <w:szCs w:val="22"/>
          <w:lang w:val="pl-PL"/>
        </w:rPr>
        <w:t> </w:t>
      </w:r>
      <w:r w:rsidRPr="00BD22FE">
        <w:rPr>
          <w:sz w:val="22"/>
          <w:szCs w:val="22"/>
          <w:lang w:val="pl-PL"/>
        </w:rPr>
        <w:t>osoczu. Jak wynika z</w:t>
      </w:r>
      <w:r w:rsidR="00717A7B" w:rsidRPr="00BD22FE">
        <w:rPr>
          <w:sz w:val="22"/>
          <w:szCs w:val="22"/>
          <w:lang w:val="pl-PL"/>
        </w:rPr>
        <w:t> </w:t>
      </w:r>
      <w:r w:rsidRPr="00BD22FE">
        <w:rPr>
          <w:sz w:val="22"/>
          <w:szCs w:val="22"/>
          <w:lang w:val="pl-PL"/>
        </w:rPr>
        <w:t>doświadczenia w</w:t>
      </w:r>
      <w:r w:rsidR="00717A7B" w:rsidRPr="00BD22FE">
        <w:rPr>
          <w:sz w:val="22"/>
          <w:szCs w:val="22"/>
          <w:lang w:val="pl-PL"/>
        </w:rPr>
        <w:t> </w:t>
      </w:r>
      <w:r w:rsidRPr="00BD22FE">
        <w:rPr>
          <w:sz w:val="22"/>
          <w:szCs w:val="22"/>
          <w:lang w:val="pl-PL"/>
        </w:rPr>
        <w:t>stosowaniu innych produktów leczniczych, które wpływają na układ renina-angiotensyna, jednoczesne stosowanie powyższych produktów leczniczych może prowadzić do zwiększenia stężenia potasu w</w:t>
      </w:r>
      <w:r w:rsidR="00717A7B" w:rsidRPr="00BD22FE">
        <w:rPr>
          <w:sz w:val="22"/>
          <w:szCs w:val="22"/>
          <w:lang w:val="pl-PL"/>
        </w:rPr>
        <w:t> </w:t>
      </w:r>
      <w:r w:rsidRPr="00BD22FE">
        <w:rPr>
          <w:sz w:val="22"/>
          <w:szCs w:val="22"/>
          <w:lang w:val="pl-PL"/>
        </w:rPr>
        <w:t>surowicy i</w:t>
      </w:r>
      <w:r w:rsidR="00717A7B" w:rsidRPr="00BD22FE">
        <w:rPr>
          <w:sz w:val="22"/>
          <w:szCs w:val="22"/>
          <w:lang w:val="pl-PL"/>
        </w:rPr>
        <w:t> </w:t>
      </w:r>
      <w:r w:rsidRPr="00BD22FE">
        <w:rPr>
          <w:sz w:val="22"/>
          <w:szCs w:val="22"/>
          <w:lang w:val="pl-PL"/>
        </w:rPr>
        <w:t>w</w:t>
      </w:r>
      <w:r w:rsidR="00717A7B" w:rsidRPr="00BD22FE">
        <w:rPr>
          <w:sz w:val="22"/>
          <w:szCs w:val="22"/>
          <w:lang w:val="pl-PL"/>
        </w:rPr>
        <w:t> </w:t>
      </w:r>
      <w:r w:rsidRPr="00BD22FE">
        <w:rPr>
          <w:sz w:val="22"/>
          <w:szCs w:val="22"/>
          <w:lang w:val="pl-PL"/>
        </w:rPr>
        <w:t>związku z</w:t>
      </w:r>
      <w:r w:rsidR="00717A7B" w:rsidRPr="00BD22FE">
        <w:rPr>
          <w:sz w:val="22"/>
          <w:szCs w:val="22"/>
          <w:lang w:val="pl-PL"/>
        </w:rPr>
        <w:t> </w:t>
      </w:r>
      <w:r w:rsidRPr="00BD22FE">
        <w:rPr>
          <w:sz w:val="22"/>
          <w:szCs w:val="22"/>
          <w:lang w:val="pl-PL"/>
        </w:rPr>
        <w:t>tym nie jest zalecane (patrz punkt 4.4).</w:t>
      </w:r>
    </w:p>
    <w:p w14:paraId="1603F9B1" w14:textId="77777777" w:rsidR="000016E2" w:rsidRPr="00BD22FE" w:rsidRDefault="000016E2" w:rsidP="00A610E1">
      <w:pPr>
        <w:pStyle w:val="BodyText"/>
        <w:spacing w:line="240" w:lineRule="auto"/>
        <w:jc w:val="left"/>
        <w:rPr>
          <w:sz w:val="22"/>
          <w:szCs w:val="22"/>
          <w:lang w:val="pl-PL"/>
        </w:rPr>
      </w:pPr>
    </w:p>
    <w:p w14:paraId="318EA9C2" w14:textId="3AF5CF14" w:rsidR="000016E2" w:rsidRPr="00BD22FE" w:rsidRDefault="00104CA8" w:rsidP="00A610E1">
      <w:pPr>
        <w:pStyle w:val="BodyText"/>
        <w:keepNext/>
        <w:spacing w:line="240" w:lineRule="auto"/>
        <w:jc w:val="left"/>
        <w:rPr>
          <w:sz w:val="22"/>
          <w:szCs w:val="22"/>
          <w:lang w:val="pl-PL"/>
        </w:rPr>
      </w:pPr>
      <w:r w:rsidRPr="00BD22FE">
        <w:rPr>
          <w:sz w:val="22"/>
          <w:szCs w:val="22"/>
          <w:u w:val="single"/>
          <w:lang w:val="pl-PL"/>
        </w:rPr>
        <w:t>Produkty lecznicze, na któr</w:t>
      </w:r>
      <w:r w:rsidR="00A138B5" w:rsidRPr="00BD22FE">
        <w:rPr>
          <w:sz w:val="22"/>
          <w:szCs w:val="22"/>
          <w:u w:val="single"/>
          <w:lang w:val="pl-PL"/>
        </w:rPr>
        <w:t>ych działanie</w:t>
      </w:r>
      <w:r w:rsidRPr="00BD22FE">
        <w:rPr>
          <w:sz w:val="22"/>
          <w:szCs w:val="22"/>
          <w:u w:val="single"/>
          <w:lang w:val="pl-PL"/>
        </w:rPr>
        <w:t xml:space="preserve"> wpływają zaburzenia stężenia potasu w</w:t>
      </w:r>
      <w:r w:rsidR="00717A7B" w:rsidRPr="00BD22FE">
        <w:rPr>
          <w:sz w:val="22"/>
          <w:szCs w:val="22"/>
          <w:u w:val="single"/>
          <w:lang w:val="pl-PL"/>
        </w:rPr>
        <w:t> </w:t>
      </w:r>
      <w:r w:rsidRPr="00BD22FE">
        <w:rPr>
          <w:sz w:val="22"/>
          <w:szCs w:val="22"/>
          <w:u w:val="single"/>
          <w:lang w:val="pl-PL"/>
        </w:rPr>
        <w:t>surowicy</w:t>
      </w:r>
    </w:p>
    <w:p w14:paraId="02EFFB73" w14:textId="60085728" w:rsidR="000016E2" w:rsidRPr="00BD22FE" w:rsidRDefault="00A138B5" w:rsidP="00941FBF">
      <w:pPr>
        <w:pStyle w:val="BodyText"/>
        <w:spacing w:line="240" w:lineRule="auto"/>
        <w:jc w:val="left"/>
        <w:rPr>
          <w:sz w:val="22"/>
          <w:szCs w:val="22"/>
          <w:lang w:val="pl-PL"/>
        </w:rPr>
      </w:pPr>
      <w:r w:rsidRPr="00BD22FE">
        <w:rPr>
          <w:sz w:val="22"/>
          <w:szCs w:val="22"/>
          <w:lang w:val="pl-PL"/>
        </w:rPr>
        <w:t xml:space="preserve">Zaleca się </w:t>
      </w:r>
      <w:r w:rsidR="00104CA8" w:rsidRPr="00BD22FE">
        <w:rPr>
          <w:sz w:val="22"/>
          <w:szCs w:val="22"/>
          <w:lang w:val="pl-PL"/>
        </w:rPr>
        <w:t>okresow</w:t>
      </w:r>
      <w:r w:rsidRPr="00BD22FE">
        <w:rPr>
          <w:sz w:val="22"/>
          <w:szCs w:val="22"/>
          <w:lang w:val="pl-PL"/>
        </w:rPr>
        <w:t>e</w:t>
      </w:r>
      <w:r w:rsidR="00104CA8" w:rsidRPr="00BD22FE">
        <w:rPr>
          <w:sz w:val="22"/>
          <w:szCs w:val="22"/>
          <w:lang w:val="pl-PL"/>
        </w:rPr>
        <w:t xml:space="preserve"> monitorowa</w:t>
      </w:r>
      <w:r w:rsidRPr="00BD22FE">
        <w:rPr>
          <w:sz w:val="22"/>
          <w:szCs w:val="22"/>
          <w:lang w:val="pl-PL"/>
        </w:rPr>
        <w:t>nie</w:t>
      </w:r>
      <w:r w:rsidR="00104CA8" w:rsidRPr="00BD22FE">
        <w:rPr>
          <w:sz w:val="22"/>
          <w:szCs w:val="22"/>
          <w:lang w:val="pl-PL"/>
        </w:rPr>
        <w:t xml:space="preserve"> stężeni</w:t>
      </w:r>
      <w:r w:rsidRPr="00BD22FE">
        <w:rPr>
          <w:sz w:val="22"/>
          <w:szCs w:val="22"/>
          <w:lang w:val="pl-PL"/>
        </w:rPr>
        <w:t>a</w:t>
      </w:r>
      <w:r w:rsidR="00104CA8" w:rsidRPr="00BD22FE">
        <w:rPr>
          <w:sz w:val="22"/>
          <w:szCs w:val="22"/>
          <w:lang w:val="pl-PL"/>
        </w:rPr>
        <w:t xml:space="preserve"> potasu w</w:t>
      </w:r>
      <w:r w:rsidR="00717A7B" w:rsidRPr="00BD22FE">
        <w:rPr>
          <w:sz w:val="22"/>
          <w:szCs w:val="22"/>
          <w:lang w:val="pl-PL"/>
        </w:rPr>
        <w:t> </w:t>
      </w:r>
      <w:r w:rsidR="00104CA8" w:rsidRPr="00BD22FE">
        <w:rPr>
          <w:sz w:val="22"/>
          <w:szCs w:val="22"/>
          <w:lang w:val="pl-PL"/>
        </w:rPr>
        <w:t>surowicy oraz EKG w</w:t>
      </w:r>
      <w:r w:rsidR="00717A7B" w:rsidRPr="00BD22FE">
        <w:rPr>
          <w:sz w:val="22"/>
          <w:szCs w:val="22"/>
          <w:lang w:val="pl-PL"/>
        </w:rPr>
        <w:t> </w:t>
      </w:r>
      <w:r w:rsidR="00104CA8" w:rsidRPr="00BD22FE">
        <w:rPr>
          <w:sz w:val="22"/>
          <w:szCs w:val="22"/>
          <w:lang w:val="pl-PL"/>
        </w:rPr>
        <w:t xml:space="preserve">czasie </w:t>
      </w:r>
      <w:r w:rsidRPr="00BD22FE">
        <w:rPr>
          <w:sz w:val="22"/>
          <w:szCs w:val="22"/>
          <w:lang w:val="pl-PL"/>
        </w:rPr>
        <w:t xml:space="preserve">podawania </w:t>
      </w:r>
      <w:r w:rsidR="00104CA8" w:rsidRPr="00BD22FE">
        <w:rPr>
          <w:sz w:val="22"/>
          <w:szCs w:val="22"/>
          <w:lang w:val="pl-PL"/>
        </w:rPr>
        <w:t>telmisartanu/HCTZ jednocześnie z</w:t>
      </w:r>
      <w:r w:rsidR="00717A7B" w:rsidRPr="00BD22FE">
        <w:rPr>
          <w:sz w:val="22"/>
          <w:szCs w:val="22"/>
          <w:lang w:val="pl-PL"/>
        </w:rPr>
        <w:t> </w:t>
      </w:r>
      <w:r w:rsidR="00104CA8" w:rsidRPr="00BD22FE">
        <w:rPr>
          <w:sz w:val="22"/>
          <w:szCs w:val="22"/>
          <w:lang w:val="pl-PL"/>
        </w:rPr>
        <w:t xml:space="preserve">produktami leczniczymi, na których działanie wpływają </w:t>
      </w:r>
      <w:r w:rsidRPr="00BD22FE">
        <w:rPr>
          <w:sz w:val="22"/>
          <w:szCs w:val="22"/>
          <w:lang w:val="pl-PL"/>
        </w:rPr>
        <w:t xml:space="preserve">zaburzenia </w:t>
      </w:r>
      <w:r w:rsidR="00104CA8" w:rsidRPr="00BD22FE">
        <w:rPr>
          <w:sz w:val="22"/>
          <w:szCs w:val="22"/>
          <w:lang w:val="pl-PL"/>
        </w:rPr>
        <w:t xml:space="preserve">stężenia potasu </w:t>
      </w:r>
      <w:r w:rsidRPr="00BD22FE">
        <w:rPr>
          <w:sz w:val="22"/>
          <w:szCs w:val="22"/>
          <w:lang w:val="pl-PL"/>
        </w:rPr>
        <w:t xml:space="preserve">w surowicy </w:t>
      </w:r>
      <w:r w:rsidR="00104CA8" w:rsidRPr="00BD22FE">
        <w:rPr>
          <w:sz w:val="22"/>
          <w:szCs w:val="22"/>
          <w:lang w:val="pl-PL"/>
        </w:rPr>
        <w:t>(np. glikozydy naparstnicy, leki przeciwarytmiczne)</w:t>
      </w:r>
      <w:r w:rsidR="00C54A0B" w:rsidRPr="00BD22FE">
        <w:rPr>
          <w:sz w:val="22"/>
          <w:szCs w:val="22"/>
          <w:lang w:val="pl-PL"/>
        </w:rPr>
        <w:t xml:space="preserve">, oraz </w:t>
      </w:r>
      <w:r w:rsidR="00104CA8" w:rsidRPr="00BD22FE">
        <w:rPr>
          <w:sz w:val="22"/>
          <w:szCs w:val="22"/>
          <w:lang w:val="pl-PL"/>
        </w:rPr>
        <w:t>z</w:t>
      </w:r>
      <w:r w:rsidR="00717A7B" w:rsidRPr="00BD22FE">
        <w:rPr>
          <w:sz w:val="22"/>
          <w:szCs w:val="22"/>
          <w:lang w:val="pl-PL"/>
        </w:rPr>
        <w:t> </w:t>
      </w:r>
      <w:r w:rsidR="00C54A0B" w:rsidRPr="00BD22FE">
        <w:rPr>
          <w:sz w:val="22"/>
          <w:szCs w:val="22"/>
          <w:lang w:val="pl-PL"/>
        </w:rPr>
        <w:t>następującymi produkt</w:t>
      </w:r>
      <w:r w:rsidR="00104CA8" w:rsidRPr="00BD22FE">
        <w:rPr>
          <w:sz w:val="22"/>
          <w:szCs w:val="22"/>
          <w:lang w:val="pl-PL"/>
        </w:rPr>
        <w:t xml:space="preserve">ami </w:t>
      </w:r>
      <w:r w:rsidR="00C54A0B" w:rsidRPr="00BD22FE">
        <w:rPr>
          <w:sz w:val="22"/>
          <w:szCs w:val="22"/>
          <w:lang w:val="pl-PL"/>
        </w:rPr>
        <w:t xml:space="preserve">leczniczymi </w:t>
      </w:r>
      <w:r w:rsidR="00104CA8" w:rsidRPr="00BD22FE">
        <w:rPr>
          <w:sz w:val="22"/>
          <w:szCs w:val="22"/>
          <w:lang w:val="pl-PL"/>
        </w:rPr>
        <w:t>wywoł</w:t>
      </w:r>
      <w:r w:rsidR="00C54A0B" w:rsidRPr="00BD22FE">
        <w:rPr>
          <w:sz w:val="22"/>
          <w:szCs w:val="22"/>
          <w:lang w:val="pl-PL"/>
        </w:rPr>
        <w:t>ującymi</w:t>
      </w:r>
      <w:r w:rsidR="00104CA8" w:rsidRPr="00BD22FE">
        <w:rPr>
          <w:sz w:val="22"/>
          <w:szCs w:val="22"/>
          <w:lang w:val="pl-PL"/>
        </w:rPr>
        <w:t xml:space="preserve"> „torsades de pointes” (w</w:t>
      </w:r>
      <w:r w:rsidR="00717A7B" w:rsidRPr="00BD22FE">
        <w:rPr>
          <w:sz w:val="22"/>
          <w:szCs w:val="22"/>
          <w:lang w:val="pl-PL"/>
        </w:rPr>
        <w:t> </w:t>
      </w:r>
      <w:r w:rsidR="00104CA8" w:rsidRPr="00BD22FE">
        <w:rPr>
          <w:sz w:val="22"/>
          <w:szCs w:val="22"/>
          <w:lang w:val="pl-PL"/>
        </w:rPr>
        <w:t>tym niektóre leki przeciwarytmiczne), dla których hipokaliemia jest czynnikiem predysponującym:</w:t>
      </w:r>
    </w:p>
    <w:p w14:paraId="4B8E1FE7" w14:textId="2CDD809D" w:rsidR="000016E2" w:rsidRPr="00BD22FE" w:rsidRDefault="00104CA8" w:rsidP="006717CD">
      <w:pPr>
        <w:pStyle w:val="BodyText"/>
        <w:numPr>
          <w:ilvl w:val="0"/>
          <w:numId w:val="3"/>
        </w:numPr>
        <w:tabs>
          <w:tab w:val="clear" w:pos="2520"/>
        </w:tabs>
        <w:spacing w:line="240" w:lineRule="auto"/>
        <w:ind w:left="567" w:hanging="567"/>
        <w:jc w:val="left"/>
        <w:rPr>
          <w:sz w:val="22"/>
          <w:szCs w:val="22"/>
          <w:lang w:val="pl-PL"/>
        </w:rPr>
      </w:pPr>
      <w:r w:rsidRPr="00BD22FE">
        <w:rPr>
          <w:sz w:val="22"/>
          <w:szCs w:val="22"/>
          <w:lang w:val="pl-PL"/>
        </w:rPr>
        <w:t>leki przeciwarytmiczne klasy</w:t>
      </w:r>
      <w:r w:rsidR="00B06BF5" w:rsidRPr="00BD22FE">
        <w:rPr>
          <w:sz w:val="22"/>
          <w:szCs w:val="22"/>
          <w:lang w:val="pl-PL"/>
        </w:rPr>
        <w:t> </w:t>
      </w:r>
      <w:r w:rsidRPr="00BD22FE">
        <w:rPr>
          <w:sz w:val="22"/>
          <w:szCs w:val="22"/>
          <w:lang w:val="pl-PL"/>
        </w:rPr>
        <w:t>Ia (np. chinidyna, hydrochinidyna, dyzopiramid);</w:t>
      </w:r>
    </w:p>
    <w:p w14:paraId="266AB272" w14:textId="381ACF09" w:rsidR="000016E2" w:rsidRPr="00BD22FE" w:rsidRDefault="00104CA8" w:rsidP="006717CD">
      <w:pPr>
        <w:pStyle w:val="BodyText"/>
        <w:numPr>
          <w:ilvl w:val="0"/>
          <w:numId w:val="3"/>
        </w:numPr>
        <w:tabs>
          <w:tab w:val="clear" w:pos="2520"/>
        </w:tabs>
        <w:spacing w:line="240" w:lineRule="auto"/>
        <w:ind w:left="567" w:hanging="567"/>
        <w:jc w:val="left"/>
        <w:rPr>
          <w:sz w:val="22"/>
          <w:szCs w:val="22"/>
          <w:lang w:val="pl-PL"/>
        </w:rPr>
      </w:pPr>
      <w:r w:rsidRPr="00BD22FE">
        <w:rPr>
          <w:sz w:val="22"/>
          <w:szCs w:val="22"/>
          <w:lang w:val="pl-PL"/>
        </w:rPr>
        <w:t>leki przeciwarytmiczne klasy</w:t>
      </w:r>
      <w:r w:rsidR="001E0877" w:rsidRPr="00BD22FE">
        <w:rPr>
          <w:sz w:val="22"/>
          <w:szCs w:val="22"/>
          <w:lang w:val="pl-PL"/>
        </w:rPr>
        <w:t> </w:t>
      </w:r>
      <w:r w:rsidRPr="00BD22FE">
        <w:rPr>
          <w:sz w:val="22"/>
          <w:szCs w:val="22"/>
          <w:lang w:val="pl-PL"/>
        </w:rPr>
        <w:t>III (np. amiodaron, sotalol, dofet</w:t>
      </w:r>
      <w:r w:rsidR="00483232" w:rsidRPr="00BD22FE">
        <w:rPr>
          <w:sz w:val="22"/>
          <w:szCs w:val="22"/>
          <w:lang w:val="pl-PL"/>
        </w:rPr>
        <w:t>y</w:t>
      </w:r>
      <w:r w:rsidRPr="00BD22FE">
        <w:rPr>
          <w:sz w:val="22"/>
          <w:szCs w:val="22"/>
          <w:lang w:val="pl-PL"/>
        </w:rPr>
        <w:t>lid, ibut</w:t>
      </w:r>
      <w:r w:rsidR="00483232" w:rsidRPr="00BD22FE">
        <w:rPr>
          <w:sz w:val="22"/>
          <w:szCs w:val="22"/>
          <w:lang w:val="pl-PL"/>
        </w:rPr>
        <w:t>y</w:t>
      </w:r>
      <w:r w:rsidRPr="00BD22FE">
        <w:rPr>
          <w:sz w:val="22"/>
          <w:szCs w:val="22"/>
          <w:lang w:val="pl-PL"/>
        </w:rPr>
        <w:t>lid);</w:t>
      </w:r>
    </w:p>
    <w:p w14:paraId="664C7B81" w14:textId="55444939" w:rsidR="000016E2" w:rsidRPr="00BD22FE" w:rsidRDefault="00104CA8" w:rsidP="00A610E1">
      <w:pPr>
        <w:pStyle w:val="BodyText"/>
        <w:numPr>
          <w:ilvl w:val="0"/>
          <w:numId w:val="3"/>
        </w:numPr>
        <w:tabs>
          <w:tab w:val="clear" w:pos="2520"/>
        </w:tabs>
        <w:spacing w:line="240" w:lineRule="auto"/>
        <w:ind w:left="567" w:hanging="567"/>
        <w:jc w:val="left"/>
        <w:rPr>
          <w:sz w:val="22"/>
          <w:szCs w:val="22"/>
          <w:lang w:val="pl-PL"/>
        </w:rPr>
      </w:pPr>
      <w:r w:rsidRPr="00BD22FE">
        <w:rPr>
          <w:sz w:val="22"/>
          <w:szCs w:val="22"/>
          <w:lang w:val="pl-PL"/>
        </w:rPr>
        <w:t>niektóre leki przeciwpsychotyczne: (np. tiorydazyna, chloropromazyna, lewomepromazyna, triflu</w:t>
      </w:r>
      <w:r w:rsidR="000533FA" w:rsidRPr="00BD22FE">
        <w:rPr>
          <w:sz w:val="22"/>
          <w:szCs w:val="22"/>
          <w:lang w:val="pl-PL"/>
        </w:rPr>
        <w:t>o</w:t>
      </w:r>
      <w:r w:rsidRPr="00BD22FE">
        <w:rPr>
          <w:sz w:val="22"/>
          <w:szCs w:val="22"/>
          <w:lang w:val="pl-PL"/>
        </w:rPr>
        <w:t>perazyna, cyjamemazyna, sulpiryd, sultopryd, amisulpryd, tiapryd, pimozyd, haloperydol, droperydol);</w:t>
      </w:r>
    </w:p>
    <w:p w14:paraId="1F2AF7A1" w14:textId="77854B35" w:rsidR="000016E2" w:rsidRPr="00BD22FE" w:rsidRDefault="00104CA8" w:rsidP="00A610E1">
      <w:pPr>
        <w:pStyle w:val="BodyText"/>
        <w:numPr>
          <w:ilvl w:val="0"/>
          <w:numId w:val="3"/>
        </w:numPr>
        <w:tabs>
          <w:tab w:val="clear" w:pos="2520"/>
        </w:tabs>
        <w:spacing w:line="240" w:lineRule="auto"/>
        <w:ind w:left="567" w:hanging="567"/>
        <w:jc w:val="left"/>
        <w:rPr>
          <w:sz w:val="22"/>
          <w:szCs w:val="22"/>
          <w:lang w:val="pl-PL"/>
        </w:rPr>
      </w:pPr>
      <w:r w:rsidRPr="00BD22FE">
        <w:rPr>
          <w:sz w:val="22"/>
          <w:szCs w:val="22"/>
          <w:lang w:val="pl-PL"/>
        </w:rPr>
        <w:t>inne leki (np. beprydyl, cyzapryd, difemanil, erytromycyna</w:t>
      </w:r>
      <w:r w:rsidR="001C07CB" w:rsidRPr="00BD22FE">
        <w:rPr>
          <w:sz w:val="22"/>
          <w:szCs w:val="22"/>
          <w:lang w:val="pl-PL"/>
        </w:rPr>
        <w:t> </w:t>
      </w:r>
      <w:r w:rsidRPr="00BD22FE">
        <w:rPr>
          <w:sz w:val="22"/>
          <w:szCs w:val="22"/>
          <w:lang w:val="pl-PL"/>
        </w:rPr>
        <w:t>iv., halofantryna, mizolastyna, pentamidyna, sparfloksacyna, terfenadyna, winkamina</w:t>
      </w:r>
      <w:r w:rsidR="001C07CB" w:rsidRPr="00BD22FE">
        <w:rPr>
          <w:sz w:val="22"/>
          <w:szCs w:val="22"/>
          <w:lang w:val="pl-PL"/>
        </w:rPr>
        <w:t> </w:t>
      </w:r>
      <w:r w:rsidRPr="00BD22FE">
        <w:rPr>
          <w:sz w:val="22"/>
          <w:szCs w:val="22"/>
          <w:lang w:val="pl-PL"/>
        </w:rPr>
        <w:t>iv.).</w:t>
      </w:r>
    </w:p>
    <w:p w14:paraId="4E6AA751" w14:textId="77777777" w:rsidR="000016E2" w:rsidRPr="00BD22FE" w:rsidRDefault="000016E2" w:rsidP="00A610E1">
      <w:pPr>
        <w:pStyle w:val="BodyText"/>
        <w:spacing w:line="240" w:lineRule="auto"/>
        <w:jc w:val="left"/>
        <w:rPr>
          <w:sz w:val="22"/>
          <w:szCs w:val="22"/>
          <w:lang w:val="pl-PL"/>
        </w:rPr>
      </w:pPr>
    </w:p>
    <w:p w14:paraId="6CA1A15E" w14:textId="77777777" w:rsidR="000016E2" w:rsidRPr="00BD22FE" w:rsidRDefault="00104CA8" w:rsidP="00A610E1">
      <w:pPr>
        <w:pStyle w:val="BodyText"/>
        <w:keepNext/>
        <w:spacing w:line="240" w:lineRule="auto"/>
        <w:jc w:val="left"/>
        <w:rPr>
          <w:sz w:val="22"/>
          <w:szCs w:val="22"/>
          <w:lang w:val="pl-PL"/>
        </w:rPr>
      </w:pPr>
      <w:r w:rsidRPr="00BD22FE">
        <w:rPr>
          <w:sz w:val="22"/>
          <w:szCs w:val="22"/>
          <w:u w:val="single"/>
          <w:lang w:val="pl-PL"/>
        </w:rPr>
        <w:t>Glikozydy naparstnicy</w:t>
      </w:r>
    </w:p>
    <w:p w14:paraId="0FB89647" w14:textId="77777777" w:rsidR="000016E2" w:rsidRPr="00BD22FE" w:rsidRDefault="00104CA8" w:rsidP="00A610E1">
      <w:pPr>
        <w:pStyle w:val="BodyText"/>
        <w:spacing w:line="240" w:lineRule="auto"/>
        <w:jc w:val="left"/>
        <w:rPr>
          <w:sz w:val="22"/>
          <w:szCs w:val="22"/>
          <w:lang w:val="pl-PL"/>
        </w:rPr>
      </w:pPr>
      <w:r w:rsidRPr="00BD22FE">
        <w:rPr>
          <w:sz w:val="22"/>
          <w:szCs w:val="22"/>
          <w:lang w:val="pl-PL"/>
        </w:rPr>
        <w:t>Wywołana tiazydami hipokaliemia lub hipomagnezemia sprzyja powstawaniu arytmii wywołanej glikozydami naparstnicy (patrz punkt 4.4).</w:t>
      </w:r>
    </w:p>
    <w:p w14:paraId="3769D079" w14:textId="77777777" w:rsidR="000016E2" w:rsidRPr="00BD22FE" w:rsidRDefault="000016E2" w:rsidP="00A610E1">
      <w:pPr>
        <w:rPr>
          <w:rStyle w:val="hps"/>
          <w:sz w:val="22"/>
          <w:szCs w:val="22"/>
          <w:lang w:val="pl-PL"/>
        </w:rPr>
      </w:pPr>
    </w:p>
    <w:p w14:paraId="716F9203" w14:textId="77777777" w:rsidR="000016E2" w:rsidRPr="00BD22FE" w:rsidRDefault="00104CA8" w:rsidP="00A610E1">
      <w:pPr>
        <w:keepNext/>
        <w:rPr>
          <w:rStyle w:val="hps"/>
          <w:sz w:val="22"/>
          <w:szCs w:val="22"/>
          <w:u w:val="single"/>
          <w:lang w:val="pl-PL"/>
        </w:rPr>
      </w:pPr>
      <w:r w:rsidRPr="00BD22FE">
        <w:rPr>
          <w:rStyle w:val="hps"/>
          <w:sz w:val="22"/>
          <w:szCs w:val="22"/>
          <w:u w:val="single"/>
          <w:lang w:val="pl-PL"/>
        </w:rPr>
        <w:t>Digoksyna</w:t>
      </w:r>
    </w:p>
    <w:p w14:paraId="6041780C" w14:textId="4FA32045" w:rsidR="000016E2" w:rsidRPr="00BD22FE" w:rsidRDefault="00DB5E45" w:rsidP="00A610E1">
      <w:pPr>
        <w:rPr>
          <w:rStyle w:val="hps"/>
          <w:sz w:val="22"/>
          <w:szCs w:val="22"/>
          <w:lang w:val="pl-PL"/>
        </w:rPr>
      </w:pPr>
      <w:r w:rsidRPr="00BD22FE">
        <w:rPr>
          <w:rStyle w:val="hps"/>
          <w:sz w:val="22"/>
          <w:szCs w:val="22"/>
          <w:lang w:val="pl-PL"/>
        </w:rPr>
        <w:t>Zao</w:t>
      </w:r>
      <w:r w:rsidR="00104CA8" w:rsidRPr="00BD22FE">
        <w:rPr>
          <w:rStyle w:val="hps"/>
          <w:sz w:val="22"/>
          <w:szCs w:val="22"/>
          <w:lang w:val="pl-PL"/>
        </w:rPr>
        <w:t>bserwowano wzrost mediany maksymalnego stężenia digoksyny w</w:t>
      </w:r>
      <w:r w:rsidR="00717A7B" w:rsidRPr="00BD22FE">
        <w:rPr>
          <w:rStyle w:val="hps"/>
          <w:sz w:val="22"/>
          <w:szCs w:val="22"/>
          <w:lang w:val="pl-PL"/>
        </w:rPr>
        <w:t> </w:t>
      </w:r>
      <w:r w:rsidR="00104CA8" w:rsidRPr="00BD22FE">
        <w:rPr>
          <w:rStyle w:val="hps"/>
          <w:sz w:val="22"/>
          <w:szCs w:val="22"/>
          <w:lang w:val="pl-PL"/>
        </w:rPr>
        <w:t>osoczu (49%) i</w:t>
      </w:r>
      <w:r w:rsidR="00717A7B" w:rsidRPr="00BD22FE">
        <w:rPr>
          <w:rStyle w:val="hps"/>
          <w:sz w:val="22"/>
          <w:szCs w:val="22"/>
          <w:lang w:val="pl-PL"/>
        </w:rPr>
        <w:t> </w:t>
      </w:r>
      <w:r w:rsidR="00104CA8" w:rsidRPr="00BD22FE">
        <w:rPr>
          <w:rStyle w:val="hps"/>
          <w:sz w:val="22"/>
          <w:szCs w:val="22"/>
          <w:lang w:val="pl-PL"/>
        </w:rPr>
        <w:t>stężenia minimalnego (20%)</w:t>
      </w:r>
      <w:r w:rsidRPr="00BD22FE">
        <w:rPr>
          <w:rStyle w:val="hps"/>
          <w:sz w:val="22"/>
          <w:szCs w:val="22"/>
          <w:lang w:val="pl-PL"/>
        </w:rPr>
        <w:t>,</w:t>
      </w:r>
      <w:r w:rsidR="00104CA8" w:rsidRPr="00BD22FE">
        <w:rPr>
          <w:rStyle w:val="hps"/>
          <w:sz w:val="22"/>
          <w:szCs w:val="22"/>
          <w:lang w:val="pl-PL"/>
        </w:rPr>
        <w:t xml:space="preserve"> gdy podawano telmisartan jednocześnie z</w:t>
      </w:r>
      <w:r w:rsidR="00717A7B" w:rsidRPr="00BD22FE">
        <w:rPr>
          <w:rStyle w:val="hps"/>
          <w:sz w:val="22"/>
          <w:szCs w:val="22"/>
          <w:lang w:val="pl-PL"/>
        </w:rPr>
        <w:t> </w:t>
      </w:r>
      <w:r w:rsidR="00104CA8" w:rsidRPr="00BD22FE">
        <w:rPr>
          <w:rStyle w:val="hps"/>
          <w:sz w:val="22"/>
          <w:szCs w:val="22"/>
          <w:lang w:val="pl-PL"/>
        </w:rPr>
        <w:t>digoksyną, Podczas rozpoczynania, dostosowywania dawki i</w:t>
      </w:r>
      <w:r w:rsidR="00717A7B" w:rsidRPr="00BD22FE">
        <w:rPr>
          <w:rStyle w:val="hps"/>
          <w:sz w:val="22"/>
          <w:szCs w:val="22"/>
          <w:lang w:val="pl-PL"/>
        </w:rPr>
        <w:t> </w:t>
      </w:r>
      <w:r w:rsidR="00104CA8" w:rsidRPr="00BD22FE">
        <w:rPr>
          <w:rStyle w:val="hps"/>
          <w:sz w:val="22"/>
          <w:szCs w:val="22"/>
          <w:lang w:val="pl-PL"/>
        </w:rPr>
        <w:t>kończenia leczenia telmisartanem należy monitorować stężenie digoksyny w</w:t>
      </w:r>
      <w:r w:rsidR="00717A7B" w:rsidRPr="00BD22FE">
        <w:rPr>
          <w:rStyle w:val="hps"/>
          <w:sz w:val="22"/>
          <w:szCs w:val="22"/>
          <w:lang w:val="pl-PL"/>
        </w:rPr>
        <w:t> </w:t>
      </w:r>
      <w:r w:rsidR="00104CA8" w:rsidRPr="00BD22FE">
        <w:rPr>
          <w:rStyle w:val="hps"/>
          <w:sz w:val="22"/>
          <w:szCs w:val="22"/>
          <w:lang w:val="pl-PL"/>
        </w:rPr>
        <w:t xml:space="preserve">celu utrzymania </w:t>
      </w:r>
      <w:r w:rsidRPr="00BD22FE">
        <w:rPr>
          <w:rStyle w:val="hps"/>
          <w:sz w:val="22"/>
          <w:szCs w:val="22"/>
          <w:lang w:val="pl-PL"/>
        </w:rPr>
        <w:t>stężenia</w:t>
      </w:r>
      <w:r w:rsidRPr="00BD22FE">
        <w:rPr>
          <w:rStyle w:val="BodyTextIndent2Char"/>
          <w:sz w:val="22"/>
          <w:szCs w:val="22"/>
          <w:lang w:val="pl-PL"/>
        </w:rPr>
        <w:t xml:space="preserve"> </w:t>
      </w:r>
      <w:r w:rsidR="00104CA8" w:rsidRPr="00BD22FE">
        <w:rPr>
          <w:rStyle w:val="hps"/>
          <w:sz w:val="22"/>
          <w:szCs w:val="22"/>
          <w:lang w:val="pl-PL"/>
        </w:rPr>
        <w:t>w</w:t>
      </w:r>
      <w:r w:rsidR="00717A7B" w:rsidRPr="00BD22FE">
        <w:rPr>
          <w:rStyle w:val="hps"/>
          <w:sz w:val="22"/>
          <w:szCs w:val="22"/>
          <w:lang w:val="pl-PL"/>
        </w:rPr>
        <w:t> </w:t>
      </w:r>
      <w:r w:rsidR="00104CA8" w:rsidRPr="00BD22FE">
        <w:rPr>
          <w:rStyle w:val="hps"/>
          <w:sz w:val="22"/>
          <w:szCs w:val="22"/>
          <w:lang w:val="pl-PL"/>
        </w:rPr>
        <w:t>zakresie terapeutycznym.</w:t>
      </w:r>
    </w:p>
    <w:p w14:paraId="4AA7410C" w14:textId="77777777" w:rsidR="000016E2" w:rsidRPr="00BD22FE" w:rsidRDefault="000016E2" w:rsidP="00A610E1">
      <w:pPr>
        <w:rPr>
          <w:sz w:val="22"/>
          <w:szCs w:val="22"/>
          <w:lang w:val="pl-PL"/>
        </w:rPr>
      </w:pPr>
    </w:p>
    <w:p w14:paraId="0D77374A" w14:textId="4019E62F" w:rsidR="000016E2" w:rsidRPr="00BD22FE" w:rsidRDefault="00104CA8" w:rsidP="00A610E1">
      <w:pPr>
        <w:pStyle w:val="BodyText"/>
        <w:keepNext/>
        <w:spacing w:line="240" w:lineRule="auto"/>
        <w:jc w:val="left"/>
        <w:rPr>
          <w:sz w:val="22"/>
          <w:szCs w:val="22"/>
          <w:lang w:val="pl-PL"/>
        </w:rPr>
      </w:pPr>
      <w:r w:rsidRPr="00BD22FE">
        <w:rPr>
          <w:sz w:val="22"/>
          <w:szCs w:val="22"/>
          <w:u w:val="single"/>
          <w:lang w:val="pl-PL"/>
        </w:rPr>
        <w:t xml:space="preserve">Inne </w:t>
      </w:r>
      <w:r w:rsidR="00A041CD" w:rsidRPr="00BD22FE">
        <w:rPr>
          <w:sz w:val="22"/>
          <w:szCs w:val="22"/>
          <w:u w:val="single"/>
          <w:lang w:val="pl-PL"/>
        </w:rPr>
        <w:t xml:space="preserve">leki </w:t>
      </w:r>
      <w:r w:rsidRPr="00BD22FE">
        <w:rPr>
          <w:sz w:val="22"/>
          <w:szCs w:val="22"/>
          <w:u w:val="single"/>
          <w:lang w:val="pl-PL"/>
        </w:rPr>
        <w:t>przeciwnadciśnieniowe</w:t>
      </w:r>
    </w:p>
    <w:p w14:paraId="3190C1C3" w14:textId="77777777" w:rsidR="000016E2" w:rsidRPr="00BD22FE" w:rsidRDefault="00104CA8" w:rsidP="00A610E1">
      <w:pPr>
        <w:pStyle w:val="BodyText"/>
        <w:spacing w:line="240" w:lineRule="auto"/>
        <w:jc w:val="left"/>
        <w:rPr>
          <w:sz w:val="22"/>
          <w:szCs w:val="22"/>
          <w:lang w:val="pl-PL"/>
        </w:rPr>
      </w:pPr>
      <w:r w:rsidRPr="00BD22FE">
        <w:rPr>
          <w:sz w:val="22"/>
          <w:szCs w:val="22"/>
          <w:lang w:val="pl-PL"/>
        </w:rPr>
        <w:t>Telmisartan może nasilać działanie hipotensyjne innych leków przeciwnadciśnieniowych.</w:t>
      </w:r>
    </w:p>
    <w:p w14:paraId="1966324E" w14:textId="77777777" w:rsidR="000016E2" w:rsidRPr="00BD22FE" w:rsidRDefault="000016E2" w:rsidP="00A610E1">
      <w:pPr>
        <w:pStyle w:val="BodyText"/>
        <w:spacing w:line="240" w:lineRule="auto"/>
        <w:jc w:val="left"/>
        <w:rPr>
          <w:sz w:val="22"/>
          <w:szCs w:val="22"/>
          <w:lang w:val="pl-PL"/>
        </w:rPr>
      </w:pPr>
    </w:p>
    <w:p w14:paraId="00A4935C" w14:textId="3CA0813A" w:rsidR="000016E2" w:rsidRPr="00BD22FE" w:rsidRDefault="00104CA8" w:rsidP="00A610E1">
      <w:pPr>
        <w:rPr>
          <w:sz w:val="22"/>
          <w:szCs w:val="22"/>
          <w:lang w:val="pl-PL"/>
        </w:rPr>
      </w:pPr>
      <w:r w:rsidRPr="00BD22FE">
        <w:rPr>
          <w:sz w:val="22"/>
          <w:szCs w:val="22"/>
          <w:lang w:val="pl-PL"/>
        </w:rPr>
        <w:t>Dane badania klinicznego wykazały, że podwójna blokada układu renina-angiotensyna-aldosteron (RAA) w</w:t>
      </w:r>
      <w:r w:rsidR="00717A7B" w:rsidRPr="00BD22FE">
        <w:rPr>
          <w:sz w:val="22"/>
          <w:szCs w:val="22"/>
          <w:lang w:val="pl-PL"/>
        </w:rPr>
        <w:t> </w:t>
      </w:r>
      <w:r w:rsidRPr="00BD22FE">
        <w:rPr>
          <w:sz w:val="22"/>
          <w:szCs w:val="22"/>
          <w:lang w:val="pl-PL"/>
        </w:rPr>
        <w:t>wyniku jednoczesnego zastosowania inhibitorów ACE, blokerów receptora angiotensyny</w:t>
      </w:r>
      <w:r w:rsidR="001E0877" w:rsidRPr="00BD22FE">
        <w:rPr>
          <w:sz w:val="22"/>
          <w:szCs w:val="22"/>
          <w:lang w:val="pl-PL"/>
        </w:rPr>
        <w:t> </w:t>
      </w:r>
      <w:r w:rsidRPr="00BD22FE">
        <w:rPr>
          <w:sz w:val="22"/>
          <w:szCs w:val="22"/>
          <w:lang w:val="pl-PL"/>
        </w:rPr>
        <w:t>II lub aliskirenu jest związana z</w:t>
      </w:r>
      <w:r w:rsidR="00717A7B" w:rsidRPr="00BD22FE">
        <w:rPr>
          <w:sz w:val="22"/>
          <w:szCs w:val="22"/>
          <w:lang w:val="pl-PL"/>
        </w:rPr>
        <w:t> </w:t>
      </w:r>
      <w:r w:rsidRPr="00BD22FE">
        <w:rPr>
          <w:sz w:val="22"/>
          <w:szCs w:val="22"/>
          <w:lang w:val="pl-PL"/>
        </w:rPr>
        <w:t>większą częstością występowania zdarzeń niepożądanych, takich jak niedociśnienie</w:t>
      </w:r>
      <w:r w:rsidR="009B2846" w:rsidRPr="00BD22FE">
        <w:rPr>
          <w:sz w:val="22"/>
          <w:szCs w:val="22"/>
          <w:lang w:val="pl-PL"/>
        </w:rPr>
        <w:t xml:space="preserve"> tętnicze</w:t>
      </w:r>
      <w:r w:rsidRPr="00BD22FE">
        <w:rPr>
          <w:sz w:val="22"/>
          <w:szCs w:val="22"/>
          <w:lang w:val="pl-PL"/>
        </w:rPr>
        <w:t xml:space="preserve">, hiperkaliemia oraz zaburzenia czynności nerek (w tym ostra niewydolność </w:t>
      </w:r>
      <w:r w:rsidRPr="00BD22FE">
        <w:rPr>
          <w:sz w:val="22"/>
          <w:szCs w:val="22"/>
          <w:lang w:val="pl-PL"/>
        </w:rPr>
        <w:lastRenderedPageBreak/>
        <w:t>nerek) w</w:t>
      </w:r>
      <w:r w:rsidR="00717A7B" w:rsidRPr="00BD22FE">
        <w:rPr>
          <w:sz w:val="22"/>
          <w:szCs w:val="22"/>
          <w:lang w:val="pl-PL"/>
        </w:rPr>
        <w:t> </w:t>
      </w:r>
      <w:r w:rsidRPr="00BD22FE">
        <w:rPr>
          <w:sz w:val="22"/>
          <w:szCs w:val="22"/>
          <w:lang w:val="pl-PL"/>
        </w:rPr>
        <w:t>porównaniu z</w:t>
      </w:r>
      <w:r w:rsidR="00717A7B" w:rsidRPr="00BD22FE">
        <w:rPr>
          <w:sz w:val="22"/>
          <w:szCs w:val="22"/>
          <w:lang w:val="pl-PL"/>
        </w:rPr>
        <w:t> </w:t>
      </w:r>
      <w:r w:rsidRPr="00BD22FE">
        <w:rPr>
          <w:sz w:val="22"/>
          <w:szCs w:val="22"/>
          <w:lang w:val="pl-PL"/>
        </w:rPr>
        <w:t>zastosowaniem leku z</w:t>
      </w:r>
      <w:r w:rsidR="00717A7B" w:rsidRPr="00BD22FE">
        <w:rPr>
          <w:sz w:val="22"/>
          <w:szCs w:val="22"/>
          <w:lang w:val="pl-PL"/>
        </w:rPr>
        <w:t> </w:t>
      </w:r>
      <w:r w:rsidRPr="00BD22FE">
        <w:rPr>
          <w:sz w:val="22"/>
          <w:szCs w:val="22"/>
          <w:lang w:val="pl-PL"/>
        </w:rPr>
        <w:t>grupy blokerów układu RAA w monoterapii (patrz punkty 4.3, 4.4 i</w:t>
      </w:r>
      <w:r w:rsidR="00717A7B" w:rsidRPr="00BD22FE">
        <w:rPr>
          <w:sz w:val="22"/>
          <w:szCs w:val="22"/>
          <w:lang w:val="pl-PL"/>
        </w:rPr>
        <w:t> </w:t>
      </w:r>
      <w:r w:rsidRPr="00BD22FE">
        <w:rPr>
          <w:sz w:val="22"/>
          <w:szCs w:val="22"/>
          <w:lang w:val="pl-PL"/>
        </w:rPr>
        <w:t>5.1).</w:t>
      </w:r>
    </w:p>
    <w:p w14:paraId="44B5ECAA" w14:textId="77777777" w:rsidR="000016E2" w:rsidRPr="00BD22FE" w:rsidRDefault="000016E2" w:rsidP="00A610E1">
      <w:pPr>
        <w:pStyle w:val="BodyText"/>
        <w:spacing w:line="240" w:lineRule="auto"/>
        <w:jc w:val="left"/>
        <w:rPr>
          <w:sz w:val="22"/>
          <w:szCs w:val="22"/>
          <w:lang w:val="pl-PL"/>
        </w:rPr>
      </w:pPr>
    </w:p>
    <w:p w14:paraId="1245111A" w14:textId="748A53FA" w:rsidR="000016E2" w:rsidRPr="00BD22FE" w:rsidRDefault="00104CA8" w:rsidP="00A610E1">
      <w:pPr>
        <w:pStyle w:val="BodyText"/>
        <w:keepNext/>
        <w:spacing w:line="240" w:lineRule="auto"/>
        <w:jc w:val="left"/>
        <w:rPr>
          <w:sz w:val="22"/>
          <w:szCs w:val="22"/>
          <w:u w:val="single"/>
          <w:lang w:val="pl-PL"/>
        </w:rPr>
      </w:pPr>
      <w:r w:rsidRPr="00BD22FE">
        <w:rPr>
          <w:sz w:val="22"/>
          <w:szCs w:val="22"/>
          <w:u w:val="single"/>
          <w:lang w:val="pl-PL"/>
        </w:rPr>
        <w:t>P</w:t>
      </w:r>
      <w:r w:rsidR="00920370" w:rsidRPr="00BD22FE">
        <w:rPr>
          <w:sz w:val="22"/>
          <w:szCs w:val="22"/>
          <w:u w:val="single"/>
          <w:lang w:val="pl-PL"/>
        </w:rPr>
        <w:t>rzeciwcukrzycowe p</w:t>
      </w:r>
      <w:r w:rsidRPr="00BD22FE">
        <w:rPr>
          <w:sz w:val="22"/>
          <w:szCs w:val="22"/>
          <w:u w:val="single"/>
          <w:lang w:val="pl-PL"/>
        </w:rPr>
        <w:t>rodukty lecznicze (produkty doustne i</w:t>
      </w:r>
      <w:r w:rsidR="00717A7B" w:rsidRPr="00BD22FE">
        <w:rPr>
          <w:sz w:val="22"/>
          <w:szCs w:val="22"/>
          <w:u w:val="single"/>
          <w:lang w:val="pl-PL"/>
        </w:rPr>
        <w:t> </w:t>
      </w:r>
      <w:r w:rsidRPr="00BD22FE">
        <w:rPr>
          <w:sz w:val="22"/>
          <w:szCs w:val="22"/>
          <w:u w:val="single"/>
          <w:lang w:val="pl-PL"/>
        </w:rPr>
        <w:t>insulina)</w:t>
      </w:r>
    </w:p>
    <w:p w14:paraId="7EADBB21" w14:textId="77777777" w:rsidR="000016E2" w:rsidRPr="00BD22FE" w:rsidRDefault="00104CA8" w:rsidP="00A610E1">
      <w:pPr>
        <w:pStyle w:val="BodyText"/>
        <w:spacing w:line="240" w:lineRule="auto"/>
        <w:jc w:val="left"/>
        <w:rPr>
          <w:sz w:val="22"/>
          <w:szCs w:val="22"/>
          <w:lang w:val="pl-PL"/>
        </w:rPr>
      </w:pPr>
      <w:r w:rsidRPr="00BD22FE">
        <w:rPr>
          <w:sz w:val="22"/>
          <w:szCs w:val="22"/>
          <w:lang w:val="pl-PL"/>
        </w:rPr>
        <w:t>Może być konieczne dostosowanie dawki przeciwcukrzycowych produktów leczniczych (patrz punkt 4.4).</w:t>
      </w:r>
    </w:p>
    <w:p w14:paraId="69F0D307" w14:textId="77777777" w:rsidR="000016E2" w:rsidRPr="00BD22FE" w:rsidRDefault="000016E2" w:rsidP="00A610E1">
      <w:pPr>
        <w:pStyle w:val="BodyText"/>
        <w:spacing w:line="240" w:lineRule="auto"/>
        <w:jc w:val="left"/>
        <w:rPr>
          <w:sz w:val="22"/>
          <w:szCs w:val="22"/>
          <w:lang w:val="pl-PL"/>
        </w:rPr>
      </w:pPr>
    </w:p>
    <w:p w14:paraId="56DC9F10" w14:textId="77777777" w:rsidR="000016E2" w:rsidRPr="00BD22FE" w:rsidRDefault="00104CA8" w:rsidP="00A610E1">
      <w:pPr>
        <w:pStyle w:val="BodyText"/>
        <w:keepNext/>
        <w:spacing w:line="240" w:lineRule="auto"/>
        <w:jc w:val="left"/>
        <w:rPr>
          <w:sz w:val="22"/>
          <w:szCs w:val="22"/>
          <w:lang w:val="pl-PL"/>
        </w:rPr>
      </w:pPr>
      <w:r w:rsidRPr="00BD22FE">
        <w:rPr>
          <w:sz w:val="22"/>
          <w:szCs w:val="22"/>
          <w:u w:val="single"/>
          <w:lang w:val="pl-PL"/>
        </w:rPr>
        <w:t>Metformina</w:t>
      </w:r>
    </w:p>
    <w:p w14:paraId="68CF1BC0" w14:textId="61CEF54A" w:rsidR="000016E2" w:rsidRPr="00BD22FE" w:rsidRDefault="00104CA8" w:rsidP="00A610E1">
      <w:pPr>
        <w:pStyle w:val="BodyText"/>
        <w:spacing w:line="240" w:lineRule="auto"/>
        <w:jc w:val="left"/>
        <w:rPr>
          <w:sz w:val="22"/>
          <w:szCs w:val="22"/>
          <w:lang w:val="pl-PL"/>
        </w:rPr>
      </w:pPr>
      <w:r w:rsidRPr="00BD22FE">
        <w:rPr>
          <w:sz w:val="22"/>
          <w:szCs w:val="22"/>
          <w:lang w:val="pl-PL"/>
        </w:rPr>
        <w:t xml:space="preserve">Metformina powinna być ostrożnie stosowana: istnieje ryzyko kwasicy mleczanowej </w:t>
      </w:r>
      <w:r w:rsidR="00172DD6" w:rsidRPr="00BD22FE">
        <w:rPr>
          <w:sz w:val="22"/>
          <w:szCs w:val="22"/>
          <w:lang w:val="pl-PL"/>
        </w:rPr>
        <w:t>wywołanej</w:t>
      </w:r>
      <w:r w:rsidRPr="00BD22FE">
        <w:rPr>
          <w:sz w:val="22"/>
          <w:szCs w:val="22"/>
          <w:lang w:val="pl-PL"/>
        </w:rPr>
        <w:t xml:space="preserve"> potencjaln</w:t>
      </w:r>
      <w:r w:rsidR="00172DD6" w:rsidRPr="00BD22FE">
        <w:rPr>
          <w:sz w:val="22"/>
          <w:szCs w:val="22"/>
          <w:lang w:val="pl-PL"/>
        </w:rPr>
        <w:t>ą</w:t>
      </w:r>
      <w:r w:rsidRPr="00BD22FE">
        <w:rPr>
          <w:sz w:val="22"/>
          <w:szCs w:val="22"/>
          <w:lang w:val="pl-PL"/>
        </w:rPr>
        <w:t xml:space="preserve"> niewydolności</w:t>
      </w:r>
      <w:r w:rsidR="00172DD6" w:rsidRPr="00BD22FE">
        <w:rPr>
          <w:sz w:val="22"/>
          <w:szCs w:val="22"/>
          <w:lang w:val="pl-PL"/>
        </w:rPr>
        <w:t>ą</w:t>
      </w:r>
      <w:r w:rsidRPr="00BD22FE">
        <w:rPr>
          <w:sz w:val="22"/>
          <w:szCs w:val="22"/>
          <w:lang w:val="pl-PL"/>
        </w:rPr>
        <w:t xml:space="preserve"> nerek </w:t>
      </w:r>
      <w:r w:rsidR="00172DD6" w:rsidRPr="00BD22FE">
        <w:rPr>
          <w:sz w:val="22"/>
          <w:szCs w:val="22"/>
          <w:lang w:val="pl-PL"/>
        </w:rPr>
        <w:t>związaną ze stosowaniem</w:t>
      </w:r>
      <w:r w:rsidRPr="00BD22FE">
        <w:rPr>
          <w:sz w:val="22"/>
          <w:szCs w:val="22"/>
          <w:lang w:val="pl-PL"/>
        </w:rPr>
        <w:t xml:space="preserve"> HCTZ.</w:t>
      </w:r>
    </w:p>
    <w:p w14:paraId="6C688703" w14:textId="77777777" w:rsidR="000016E2" w:rsidRPr="00BD22FE" w:rsidRDefault="000016E2" w:rsidP="00A610E1">
      <w:pPr>
        <w:pStyle w:val="BodyText"/>
        <w:spacing w:line="240" w:lineRule="auto"/>
        <w:jc w:val="left"/>
        <w:rPr>
          <w:sz w:val="22"/>
          <w:szCs w:val="22"/>
          <w:lang w:val="pl-PL"/>
        </w:rPr>
      </w:pPr>
    </w:p>
    <w:p w14:paraId="01107E5F" w14:textId="39C09C6A" w:rsidR="000016E2" w:rsidRPr="00BD22FE" w:rsidRDefault="00104CA8" w:rsidP="00A610E1">
      <w:pPr>
        <w:pStyle w:val="BodyText"/>
        <w:keepNext/>
        <w:spacing w:line="240" w:lineRule="auto"/>
        <w:jc w:val="left"/>
        <w:rPr>
          <w:sz w:val="22"/>
          <w:szCs w:val="22"/>
          <w:lang w:val="pl-PL"/>
        </w:rPr>
      </w:pPr>
      <w:r w:rsidRPr="00BD22FE">
        <w:rPr>
          <w:sz w:val="22"/>
          <w:szCs w:val="22"/>
          <w:u w:val="single"/>
          <w:lang w:val="pl-PL"/>
        </w:rPr>
        <w:t>Kolestyramina i</w:t>
      </w:r>
      <w:r w:rsidR="00717A7B" w:rsidRPr="00BD22FE">
        <w:rPr>
          <w:sz w:val="22"/>
          <w:szCs w:val="22"/>
          <w:u w:val="single"/>
          <w:lang w:val="pl-PL"/>
        </w:rPr>
        <w:t> </w:t>
      </w:r>
      <w:r w:rsidRPr="00BD22FE">
        <w:rPr>
          <w:sz w:val="22"/>
          <w:szCs w:val="22"/>
          <w:u w:val="single"/>
          <w:lang w:val="pl-PL"/>
        </w:rPr>
        <w:t>kolestypol (żywice)</w:t>
      </w:r>
    </w:p>
    <w:p w14:paraId="70CCB4C9" w14:textId="28828860" w:rsidR="000016E2" w:rsidRPr="00BD22FE" w:rsidRDefault="00104CA8" w:rsidP="00A610E1">
      <w:pPr>
        <w:pStyle w:val="BodyText"/>
        <w:spacing w:line="240" w:lineRule="auto"/>
        <w:jc w:val="left"/>
        <w:rPr>
          <w:sz w:val="22"/>
          <w:szCs w:val="22"/>
          <w:lang w:val="pl-PL"/>
        </w:rPr>
      </w:pPr>
      <w:r w:rsidRPr="00BD22FE">
        <w:rPr>
          <w:sz w:val="22"/>
          <w:szCs w:val="22"/>
          <w:lang w:val="pl-PL"/>
        </w:rPr>
        <w:t>Wchłanianie HCTZ jest zaburzone w</w:t>
      </w:r>
      <w:r w:rsidR="00717A7B" w:rsidRPr="00BD22FE">
        <w:rPr>
          <w:sz w:val="22"/>
          <w:szCs w:val="22"/>
          <w:lang w:val="pl-PL"/>
        </w:rPr>
        <w:t> </w:t>
      </w:r>
      <w:r w:rsidRPr="00BD22FE">
        <w:rPr>
          <w:sz w:val="22"/>
          <w:szCs w:val="22"/>
          <w:lang w:val="pl-PL"/>
        </w:rPr>
        <w:t>obecności żywic wymieniających aniony.</w:t>
      </w:r>
    </w:p>
    <w:p w14:paraId="78407EA6" w14:textId="77777777" w:rsidR="000016E2" w:rsidRPr="00BD22FE" w:rsidRDefault="000016E2" w:rsidP="00A610E1">
      <w:pPr>
        <w:pStyle w:val="BodyText"/>
        <w:spacing w:line="240" w:lineRule="auto"/>
        <w:jc w:val="left"/>
        <w:rPr>
          <w:sz w:val="22"/>
          <w:szCs w:val="22"/>
          <w:lang w:val="pl-PL"/>
        </w:rPr>
      </w:pPr>
    </w:p>
    <w:p w14:paraId="5D47A6CE" w14:textId="77777777" w:rsidR="000016E2" w:rsidRPr="00BD22FE" w:rsidRDefault="00104CA8" w:rsidP="00A610E1">
      <w:pPr>
        <w:pStyle w:val="BodyText"/>
        <w:keepNext/>
        <w:spacing w:line="240" w:lineRule="auto"/>
        <w:jc w:val="left"/>
        <w:rPr>
          <w:sz w:val="22"/>
          <w:szCs w:val="22"/>
          <w:u w:val="single"/>
          <w:lang w:val="pl-PL"/>
        </w:rPr>
      </w:pPr>
      <w:r w:rsidRPr="00BD22FE">
        <w:rPr>
          <w:sz w:val="22"/>
          <w:szCs w:val="22"/>
          <w:u w:val="single"/>
          <w:lang w:val="pl-PL"/>
        </w:rPr>
        <w:t>Niesteroidowe leki przeciwzapalne</w:t>
      </w:r>
    </w:p>
    <w:p w14:paraId="168C39D2" w14:textId="6D32C457" w:rsidR="00AA74C7" w:rsidRPr="00BD22FE" w:rsidRDefault="00104CA8" w:rsidP="00A610E1">
      <w:pPr>
        <w:pStyle w:val="BodyText"/>
        <w:spacing w:line="240" w:lineRule="auto"/>
        <w:jc w:val="left"/>
        <w:rPr>
          <w:sz w:val="22"/>
          <w:szCs w:val="22"/>
          <w:lang w:val="pl-PL"/>
        </w:rPr>
      </w:pPr>
      <w:r w:rsidRPr="00BD22FE">
        <w:rPr>
          <w:sz w:val="22"/>
          <w:szCs w:val="22"/>
          <w:lang w:val="pl-PL"/>
        </w:rPr>
        <w:t>NLPZ (tj. kwas acetylosalicylowy w</w:t>
      </w:r>
      <w:r w:rsidR="00717A7B" w:rsidRPr="00BD22FE">
        <w:rPr>
          <w:sz w:val="22"/>
          <w:szCs w:val="22"/>
          <w:lang w:val="pl-PL"/>
        </w:rPr>
        <w:t> </w:t>
      </w:r>
      <w:r w:rsidRPr="00BD22FE">
        <w:rPr>
          <w:sz w:val="22"/>
          <w:szCs w:val="22"/>
          <w:lang w:val="pl-PL"/>
        </w:rPr>
        <w:t>dawce o</w:t>
      </w:r>
      <w:r w:rsidR="00717A7B" w:rsidRPr="00BD22FE">
        <w:rPr>
          <w:sz w:val="22"/>
          <w:szCs w:val="22"/>
          <w:lang w:val="pl-PL"/>
        </w:rPr>
        <w:t> </w:t>
      </w:r>
      <w:r w:rsidRPr="00BD22FE">
        <w:rPr>
          <w:sz w:val="22"/>
          <w:szCs w:val="22"/>
          <w:lang w:val="pl-PL"/>
        </w:rPr>
        <w:t>działaniu przeciwzapalnym, inhibitory COX</w:t>
      </w:r>
      <w:r w:rsidRPr="00BD22FE">
        <w:rPr>
          <w:sz w:val="22"/>
          <w:szCs w:val="22"/>
          <w:lang w:val="pl-PL"/>
        </w:rPr>
        <w:noBreakHyphen/>
        <w:t>2 i</w:t>
      </w:r>
      <w:r w:rsidR="00717A7B" w:rsidRPr="00BD22FE">
        <w:rPr>
          <w:sz w:val="22"/>
          <w:szCs w:val="22"/>
          <w:lang w:val="pl-PL"/>
        </w:rPr>
        <w:t> </w:t>
      </w:r>
      <w:r w:rsidRPr="00BD22FE">
        <w:rPr>
          <w:sz w:val="22"/>
          <w:szCs w:val="22"/>
          <w:lang w:val="pl-PL"/>
        </w:rPr>
        <w:t>nieselektywne NLPZ) mogą zmniejszać działanie diuretyczne, natriuretyczne i</w:t>
      </w:r>
      <w:r w:rsidR="00717A7B" w:rsidRPr="00BD22FE">
        <w:rPr>
          <w:sz w:val="22"/>
          <w:szCs w:val="22"/>
          <w:lang w:val="pl-PL"/>
        </w:rPr>
        <w:t> </w:t>
      </w:r>
      <w:r w:rsidRPr="00BD22FE">
        <w:rPr>
          <w:sz w:val="22"/>
          <w:szCs w:val="22"/>
          <w:lang w:val="pl-PL"/>
        </w:rPr>
        <w:t xml:space="preserve">przeciwnadciśnieniowe diuretyków tiazydowych </w:t>
      </w:r>
      <w:r w:rsidR="00AA74C7" w:rsidRPr="00BD22FE">
        <w:rPr>
          <w:sz w:val="22"/>
          <w:szCs w:val="22"/>
          <w:lang w:val="pl-PL"/>
        </w:rPr>
        <w:t>oraz </w:t>
      </w:r>
      <w:r w:rsidR="00924172" w:rsidRPr="00BD22FE">
        <w:rPr>
          <w:sz w:val="22"/>
          <w:szCs w:val="22"/>
          <w:lang w:val="pl-PL"/>
        </w:rPr>
        <w:t xml:space="preserve">działanie przeciwnadciśnieniowe antagonistów </w:t>
      </w:r>
      <w:r w:rsidRPr="00BD22FE">
        <w:rPr>
          <w:sz w:val="22"/>
          <w:szCs w:val="22"/>
          <w:lang w:val="pl-PL"/>
        </w:rPr>
        <w:t>receptora angiotensyny</w:t>
      </w:r>
      <w:r w:rsidR="001E0877" w:rsidRPr="00BD22FE">
        <w:rPr>
          <w:sz w:val="22"/>
          <w:szCs w:val="22"/>
          <w:lang w:val="pl-PL"/>
        </w:rPr>
        <w:t> </w:t>
      </w:r>
      <w:r w:rsidRPr="00BD22FE">
        <w:rPr>
          <w:sz w:val="22"/>
          <w:szCs w:val="22"/>
          <w:lang w:val="pl-PL"/>
        </w:rPr>
        <w:t>II.</w:t>
      </w:r>
    </w:p>
    <w:p w14:paraId="20D71A75" w14:textId="06D3541F" w:rsidR="000016E2" w:rsidRPr="00BD22FE" w:rsidRDefault="00104CA8" w:rsidP="00A610E1">
      <w:pPr>
        <w:pStyle w:val="BodyText"/>
        <w:spacing w:line="240" w:lineRule="auto"/>
        <w:jc w:val="left"/>
        <w:rPr>
          <w:sz w:val="22"/>
          <w:szCs w:val="22"/>
          <w:lang w:val="pl-PL"/>
        </w:rPr>
      </w:pPr>
      <w:r w:rsidRPr="00BD22FE">
        <w:rPr>
          <w:sz w:val="22"/>
          <w:szCs w:val="22"/>
          <w:lang w:val="pl-PL"/>
        </w:rPr>
        <w:t>U</w:t>
      </w:r>
      <w:r w:rsidR="00717A7B" w:rsidRPr="00BD22FE">
        <w:rPr>
          <w:sz w:val="22"/>
          <w:szCs w:val="22"/>
          <w:lang w:val="pl-PL"/>
        </w:rPr>
        <w:t> </w:t>
      </w:r>
      <w:r w:rsidRPr="00BD22FE">
        <w:rPr>
          <w:sz w:val="22"/>
          <w:szCs w:val="22"/>
          <w:lang w:val="pl-PL"/>
        </w:rPr>
        <w:t>niektórych pacjentów z</w:t>
      </w:r>
      <w:r w:rsidR="00717A7B" w:rsidRPr="00BD22FE">
        <w:rPr>
          <w:sz w:val="22"/>
          <w:szCs w:val="22"/>
          <w:lang w:val="pl-PL"/>
        </w:rPr>
        <w:t> </w:t>
      </w:r>
      <w:r w:rsidRPr="00BD22FE">
        <w:rPr>
          <w:sz w:val="22"/>
          <w:szCs w:val="22"/>
          <w:lang w:val="pl-PL"/>
        </w:rPr>
        <w:t>zaburzoną czynnością nerek (np. pacjenci odwodnieni lub pacjenci w</w:t>
      </w:r>
      <w:r w:rsidR="00717A7B" w:rsidRPr="00BD22FE">
        <w:rPr>
          <w:sz w:val="22"/>
          <w:szCs w:val="22"/>
          <w:lang w:val="pl-PL"/>
        </w:rPr>
        <w:t> </w:t>
      </w:r>
      <w:r w:rsidRPr="00BD22FE">
        <w:rPr>
          <w:sz w:val="22"/>
          <w:szCs w:val="22"/>
          <w:lang w:val="pl-PL"/>
        </w:rPr>
        <w:t>podeszłym wieku z</w:t>
      </w:r>
      <w:r w:rsidR="00717A7B" w:rsidRPr="00BD22FE">
        <w:rPr>
          <w:sz w:val="22"/>
          <w:szCs w:val="22"/>
          <w:lang w:val="pl-PL"/>
        </w:rPr>
        <w:t> </w:t>
      </w:r>
      <w:r w:rsidRPr="00BD22FE">
        <w:rPr>
          <w:sz w:val="22"/>
          <w:szCs w:val="22"/>
          <w:lang w:val="pl-PL"/>
        </w:rPr>
        <w:t>zaburzeniami czynności nerek) jednoczesne podanie blokerów receptora angiotensyny</w:t>
      </w:r>
      <w:r w:rsidR="001E0877" w:rsidRPr="00BD22FE">
        <w:rPr>
          <w:sz w:val="22"/>
          <w:szCs w:val="22"/>
          <w:lang w:val="pl-PL"/>
        </w:rPr>
        <w:t> </w:t>
      </w:r>
      <w:r w:rsidRPr="00BD22FE">
        <w:rPr>
          <w:sz w:val="22"/>
          <w:szCs w:val="22"/>
          <w:lang w:val="pl-PL"/>
        </w:rPr>
        <w:t>II i</w:t>
      </w:r>
      <w:r w:rsidR="00717A7B" w:rsidRPr="00BD22FE">
        <w:rPr>
          <w:sz w:val="22"/>
          <w:szCs w:val="22"/>
          <w:lang w:val="pl-PL"/>
        </w:rPr>
        <w:t> </w:t>
      </w:r>
      <w:r w:rsidRPr="00BD22FE">
        <w:rPr>
          <w:sz w:val="22"/>
          <w:szCs w:val="22"/>
          <w:lang w:val="pl-PL"/>
        </w:rPr>
        <w:t xml:space="preserve">środków hamujących cyklooksygenazę może </w:t>
      </w:r>
      <w:r w:rsidR="00467408" w:rsidRPr="00BD22FE">
        <w:rPr>
          <w:sz w:val="22"/>
          <w:szCs w:val="22"/>
          <w:lang w:val="pl-PL"/>
        </w:rPr>
        <w:t xml:space="preserve">skutkować </w:t>
      </w:r>
      <w:r w:rsidRPr="00BD22FE">
        <w:rPr>
          <w:sz w:val="22"/>
          <w:szCs w:val="22"/>
          <w:lang w:val="pl-PL"/>
        </w:rPr>
        <w:t>dalsz</w:t>
      </w:r>
      <w:r w:rsidR="00E66559" w:rsidRPr="00BD22FE">
        <w:rPr>
          <w:sz w:val="22"/>
          <w:szCs w:val="22"/>
          <w:lang w:val="pl-PL"/>
        </w:rPr>
        <w:t>ym</w:t>
      </w:r>
      <w:r w:rsidRPr="00BD22FE">
        <w:rPr>
          <w:sz w:val="22"/>
          <w:szCs w:val="22"/>
          <w:lang w:val="pl-PL"/>
        </w:rPr>
        <w:t xml:space="preserve"> </w:t>
      </w:r>
      <w:r w:rsidR="00E66559" w:rsidRPr="00BD22FE">
        <w:rPr>
          <w:sz w:val="22"/>
          <w:szCs w:val="22"/>
          <w:lang w:val="pl-PL"/>
        </w:rPr>
        <w:t xml:space="preserve">pogorszeniem </w:t>
      </w:r>
      <w:r w:rsidRPr="00BD22FE">
        <w:rPr>
          <w:sz w:val="22"/>
          <w:szCs w:val="22"/>
          <w:lang w:val="pl-PL"/>
        </w:rPr>
        <w:t>czynności nerek, w</w:t>
      </w:r>
      <w:r w:rsidR="00717A7B" w:rsidRPr="00BD22FE">
        <w:rPr>
          <w:sz w:val="22"/>
          <w:szCs w:val="22"/>
          <w:lang w:val="pl-PL"/>
        </w:rPr>
        <w:t> </w:t>
      </w:r>
      <w:r w:rsidRPr="00BD22FE">
        <w:rPr>
          <w:sz w:val="22"/>
          <w:szCs w:val="22"/>
          <w:lang w:val="pl-PL"/>
        </w:rPr>
        <w:t>tym ostrą niewydolnoś</w:t>
      </w:r>
      <w:r w:rsidR="00467408" w:rsidRPr="00BD22FE">
        <w:rPr>
          <w:sz w:val="22"/>
          <w:szCs w:val="22"/>
          <w:lang w:val="pl-PL"/>
        </w:rPr>
        <w:t>cią</w:t>
      </w:r>
      <w:r w:rsidRPr="00BD22FE">
        <w:rPr>
          <w:sz w:val="22"/>
          <w:szCs w:val="22"/>
          <w:lang w:val="pl-PL"/>
        </w:rPr>
        <w:t xml:space="preserve"> nerek, która jest zwykle stanem odwracalnym. Dlatego takie skojarzenie leków powinno być </w:t>
      </w:r>
      <w:r w:rsidR="00467408" w:rsidRPr="00BD22FE">
        <w:rPr>
          <w:sz w:val="22"/>
          <w:szCs w:val="22"/>
          <w:lang w:val="pl-PL"/>
        </w:rPr>
        <w:t xml:space="preserve">podawane </w:t>
      </w:r>
      <w:r w:rsidRPr="00BD22FE">
        <w:rPr>
          <w:sz w:val="22"/>
          <w:szCs w:val="22"/>
          <w:lang w:val="pl-PL"/>
        </w:rPr>
        <w:t>z</w:t>
      </w:r>
      <w:r w:rsidR="00717A7B" w:rsidRPr="00BD22FE">
        <w:rPr>
          <w:sz w:val="22"/>
          <w:szCs w:val="22"/>
          <w:lang w:val="pl-PL"/>
        </w:rPr>
        <w:t> </w:t>
      </w:r>
      <w:r w:rsidRPr="00BD22FE">
        <w:rPr>
          <w:sz w:val="22"/>
          <w:szCs w:val="22"/>
          <w:lang w:val="pl-PL"/>
        </w:rPr>
        <w:t>dużą ostrożnością, szczególnie u</w:t>
      </w:r>
      <w:r w:rsidR="00717A7B" w:rsidRPr="00BD22FE">
        <w:rPr>
          <w:sz w:val="22"/>
          <w:szCs w:val="22"/>
          <w:lang w:val="pl-PL"/>
        </w:rPr>
        <w:t> </w:t>
      </w:r>
      <w:r w:rsidRPr="00BD22FE">
        <w:rPr>
          <w:sz w:val="22"/>
          <w:szCs w:val="22"/>
          <w:lang w:val="pl-PL"/>
        </w:rPr>
        <w:t>osób w podeszłym wieku. Pacjenci powinni być odpowiednio nawodnieni, należy również rozważyć konieczność monitorowania czynności nerek po rozpoczęciu terapii towarzyszącej, a</w:t>
      </w:r>
      <w:r w:rsidR="00717A7B" w:rsidRPr="00BD22FE">
        <w:rPr>
          <w:sz w:val="22"/>
          <w:szCs w:val="22"/>
          <w:lang w:val="pl-PL"/>
        </w:rPr>
        <w:t> </w:t>
      </w:r>
      <w:r w:rsidRPr="00BD22FE">
        <w:rPr>
          <w:sz w:val="22"/>
          <w:szCs w:val="22"/>
          <w:lang w:val="pl-PL"/>
        </w:rPr>
        <w:t>później okresowo.</w:t>
      </w:r>
    </w:p>
    <w:p w14:paraId="771ECA60" w14:textId="77777777" w:rsidR="000016E2" w:rsidRPr="00BD22FE" w:rsidRDefault="000016E2" w:rsidP="00A610E1">
      <w:pPr>
        <w:rPr>
          <w:sz w:val="22"/>
          <w:szCs w:val="22"/>
          <w:lang w:val="pl-PL"/>
        </w:rPr>
      </w:pPr>
    </w:p>
    <w:p w14:paraId="7346B6D7" w14:textId="4E049A03" w:rsidR="000016E2" w:rsidRPr="00BD22FE" w:rsidRDefault="00104CA8" w:rsidP="00A610E1">
      <w:pPr>
        <w:rPr>
          <w:sz w:val="22"/>
          <w:szCs w:val="22"/>
          <w:lang w:val="pl-PL"/>
        </w:rPr>
      </w:pPr>
      <w:r w:rsidRPr="00BD22FE">
        <w:rPr>
          <w:sz w:val="22"/>
          <w:szCs w:val="22"/>
          <w:lang w:val="pl-PL"/>
        </w:rPr>
        <w:t>W</w:t>
      </w:r>
      <w:r w:rsidR="00717A7B" w:rsidRPr="00BD22FE">
        <w:rPr>
          <w:sz w:val="22"/>
          <w:szCs w:val="22"/>
          <w:lang w:val="pl-PL"/>
        </w:rPr>
        <w:t> </w:t>
      </w:r>
      <w:r w:rsidRPr="00BD22FE">
        <w:rPr>
          <w:sz w:val="22"/>
          <w:szCs w:val="22"/>
          <w:lang w:val="pl-PL"/>
        </w:rPr>
        <w:t>jednym badaniu jednoczesne podawanie telmisartanu i</w:t>
      </w:r>
      <w:r w:rsidR="00717A7B" w:rsidRPr="00BD22FE">
        <w:rPr>
          <w:sz w:val="22"/>
          <w:szCs w:val="22"/>
          <w:lang w:val="pl-PL"/>
        </w:rPr>
        <w:t> </w:t>
      </w:r>
      <w:r w:rsidRPr="00BD22FE">
        <w:rPr>
          <w:sz w:val="22"/>
          <w:szCs w:val="22"/>
          <w:lang w:val="pl-PL"/>
        </w:rPr>
        <w:t>ramiprylu spowodowało 2,5</w:t>
      </w:r>
      <w:r w:rsidR="00E41411" w:rsidRPr="00BD22FE">
        <w:rPr>
          <w:sz w:val="22"/>
          <w:szCs w:val="22"/>
          <w:lang w:val="pl-PL"/>
        </w:rPr>
        <w:noBreakHyphen/>
      </w:r>
      <w:r w:rsidRPr="00BD22FE">
        <w:rPr>
          <w:sz w:val="22"/>
          <w:szCs w:val="22"/>
          <w:lang w:val="pl-PL"/>
        </w:rPr>
        <w:t>krotne zwiększenie AUC</w:t>
      </w:r>
      <w:r w:rsidRPr="00BD22FE">
        <w:rPr>
          <w:sz w:val="22"/>
          <w:szCs w:val="22"/>
          <w:vertAlign w:val="subscript"/>
          <w:lang w:val="pl-PL"/>
        </w:rPr>
        <w:t>0</w:t>
      </w:r>
      <w:r w:rsidR="00CB4FE6" w:rsidRPr="00BD22FE">
        <w:rPr>
          <w:sz w:val="22"/>
          <w:szCs w:val="22"/>
          <w:vertAlign w:val="subscript"/>
          <w:lang w:val="pl-PL"/>
        </w:rPr>
        <w:noBreakHyphen/>
      </w:r>
      <w:r w:rsidRPr="00BD22FE">
        <w:rPr>
          <w:sz w:val="22"/>
          <w:szCs w:val="22"/>
          <w:vertAlign w:val="subscript"/>
          <w:lang w:val="pl-PL"/>
        </w:rPr>
        <w:t>24</w:t>
      </w:r>
      <w:r w:rsidRPr="00BD22FE">
        <w:rPr>
          <w:sz w:val="22"/>
          <w:szCs w:val="22"/>
          <w:lang w:val="pl-PL"/>
        </w:rPr>
        <w:t xml:space="preserve"> i</w:t>
      </w:r>
      <w:r w:rsidR="00717A7B" w:rsidRPr="00BD22FE">
        <w:rPr>
          <w:sz w:val="22"/>
          <w:szCs w:val="22"/>
          <w:lang w:val="pl-PL"/>
        </w:rPr>
        <w:t> </w:t>
      </w:r>
      <w:r w:rsidRPr="00BD22FE">
        <w:rPr>
          <w:sz w:val="22"/>
          <w:szCs w:val="22"/>
          <w:lang w:val="pl-PL"/>
        </w:rPr>
        <w:t>C</w:t>
      </w:r>
      <w:r w:rsidRPr="00BD22FE">
        <w:rPr>
          <w:sz w:val="22"/>
          <w:szCs w:val="22"/>
          <w:vertAlign w:val="subscript"/>
          <w:lang w:val="pl-PL"/>
        </w:rPr>
        <w:t>max</w:t>
      </w:r>
      <w:r w:rsidRPr="00BD22FE">
        <w:rPr>
          <w:sz w:val="22"/>
          <w:szCs w:val="22"/>
          <w:lang w:val="pl-PL"/>
        </w:rPr>
        <w:t xml:space="preserve"> ramiprylu i</w:t>
      </w:r>
      <w:r w:rsidR="00717A7B" w:rsidRPr="00BD22FE">
        <w:rPr>
          <w:sz w:val="22"/>
          <w:szCs w:val="22"/>
          <w:lang w:val="pl-PL"/>
        </w:rPr>
        <w:t> </w:t>
      </w:r>
      <w:r w:rsidRPr="00BD22FE">
        <w:rPr>
          <w:sz w:val="22"/>
          <w:szCs w:val="22"/>
          <w:lang w:val="pl-PL"/>
        </w:rPr>
        <w:t>ramiprylatu. Znaczenie kliniczne tej obserwacji jest nieznane.</w:t>
      </w:r>
    </w:p>
    <w:p w14:paraId="7AE13A95" w14:textId="77777777" w:rsidR="000016E2" w:rsidRPr="00BD22FE" w:rsidRDefault="000016E2" w:rsidP="00A610E1">
      <w:pPr>
        <w:pStyle w:val="BodyText"/>
        <w:spacing w:line="240" w:lineRule="auto"/>
        <w:jc w:val="left"/>
        <w:rPr>
          <w:sz w:val="22"/>
          <w:szCs w:val="22"/>
          <w:lang w:val="pl-PL"/>
        </w:rPr>
      </w:pPr>
    </w:p>
    <w:p w14:paraId="2D91564C" w14:textId="77777777" w:rsidR="000016E2" w:rsidRPr="00BD22FE" w:rsidRDefault="00104CA8" w:rsidP="00A610E1">
      <w:pPr>
        <w:pStyle w:val="BodyText"/>
        <w:keepNext/>
        <w:spacing w:line="240" w:lineRule="auto"/>
        <w:jc w:val="left"/>
        <w:rPr>
          <w:sz w:val="22"/>
          <w:szCs w:val="22"/>
          <w:lang w:val="pl-PL"/>
        </w:rPr>
      </w:pPr>
      <w:r w:rsidRPr="00BD22FE">
        <w:rPr>
          <w:sz w:val="22"/>
          <w:szCs w:val="22"/>
          <w:u w:val="single"/>
          <w:lang w:val="pl-PL"/>
        </w:rPr>
        <w:t>Aminy presyjne</w:t>
      </w:r>
      <w:r w:rsidRPr="00BD22FE">
        <w:rPr>
          <w:sz w:val="22"/>
          <w:szCs w:val="22"/>
          <w:lang w:val="pl-PL"/>
        </w:rPr>
        <w:t xml:space="preserve"> (np. noradrenalina)</w:t>
      </w:r>
    </w:p>
    <w:p w14:paraId="3BA8784D" w14:textId="744EEF51" w:rsidR="000016E2" w:rsidRPr="00BD22FE" w:rsidRDefault="00467408" w:rsidP="00A610E1">
      <w:pPr>
        <w:pStyle w:val="BodyText"/>
        <w:spacing w:line="240" w:lineRule="auto"/>
        <w:jc w:val="left"/>
        <w:rPr>
          <w:sz w:val="22"/>
          <w:szCs w:val="22"/>
          <w:lang w:val="pl-PL"/>
        </w:rPr>
      </w:pPr>
      <w:r w:rsidRPr="00BD22FE">
        <w:rPr>
          <w:sz w:val="22"/>
          <w:szCs w:val="22"/>
          <w:lang w:val="pl-PL"/>
        </w:rPr>
        <w:t>D</w:t>
      </w:r>
      <w:r w:rsidR="00104CA8" w:rsidRPr="00BD22FE">
        <w:rPr>
          <w:sz w:val="22"/>
          <w:szCs w:val="22"/>
          <w:lang w:val="pl-PL"/>
        </w:rPr>
        <w:t xml:space="preserve">ziałanie </w:t>
      </w:r>
      <w:r w:rsidRPr="00BD22FE">
        <w:rPr>
          <w:sz w:val="22"/>
          <w:szCs w:val="22"/>
          <w:lang w:val="pl-PL"/>
        </w:rPr>
        <w:t xml:space="preserve">amin presyjnych </w:t>
      </w:r>
      <w:r w:rsidR="00104CA8" w:rsidRPr="00BD22FE">
        <w:rPr>
          <w:sz w:val="22"/>
          <w:szCs w:val="22"/>
          <w:lang w:val="pl-PL"/>
        </w:rPr>
        <w:t>może być osłabione.</w:t>
      </w:r>
    </w:p>
    <w:p w14:paraId="491C01E1" w14:textId="77777777" w:rsidR="000016E2" w:rsidRPr="00BD22FE" w:rsidRDefault="000016E2" w:rsidP="00A610E1">
      <w:pPr>
        <w:pStyle w:val="BodyText"/>
        <w:spacing w:line="240" w:lineRule="auto"/>
        <w:jc w:val="left"/>
        <w:rPr>
          <w:sz w:val="22"/>
          <w:szCs w:val="22"/>
          <w:lang w:val="pl-PL"/>
        </w:rPr>
      </w:pPr>
    </w:p>
    <w:p w14:paraId="528101C2" w14:textId="77777777" w:rsidR="000016E2" w:rsidRPr="00BD22FE" w:rsidRDefault="00104CA8" w:rsidP="00A610E1">
      <w:pPr>
        <w:pStyle w:val="BodyText"/>
        <w:keepNext/>
        <w:spacing w:line="240" w:lineRule="auto"/>
        <w:jc w:val="left"/>
        <w:rPr>
          <w:sz w:val="22"/>
          <w:szCs w:val="22"/>
          <w:u w:val="single"/>
          <w:lang w:val="pl-PL"/>
        </w:rPr>
      </w:pPr>
      <w:r w:rsidRPr="00BD22FE">
        <w:rPr>
          <w:sz w:val="22"/>
          <w:szCs w:val="22"/>
          <w:u w:val="single"/>
          <w:lang w:val="pl-PL"/>
        </w:rPr>
        <w:t>Niedepolaryzujące środki zwiotczające mięśnie szkieletowe (np. tubokuraryna)</w:t>
      </w:r>
    </w:p>
    <w:p w14:paraId="3A2D5455" w14:textId="77777777" w:rsidR="000016E2" w:rsidRPr="00BD22FE" w:rsidRDefault="00104CA8" w:rsidP="00A610E1">
      <w:pPr>
        <w:pStyle w:val="BodyText"/>
        <w:spacing w:line="240" w:lineRule="auto"/>
        <w:jc w:val="left"/>
        <w:rPr>
          <w:sz w:val="22"/>
          <w:szCs w:val="22"/>
          <w:lang w:val="pl-PL"/>
        </w:rPr>
      </w:pPr>
      <w:r w:rsidRPr="00BD22FE">
        <w:rPr>
          <w:sz w:val="22"/>
          <w:szCs w:val="22"/>
          <w:lang w:val="pl-PL"/>
        </w:rPr>
        <w:t>Działanie niedepolaryzujących środków zwiotczających mięśnie szkieletowe może być nasilone przez HCTZ.</w:t>
      </w:r>
    </w:p>
    <w:p w14:paraId="78090715" w14:textId="77777777" w:rsidR="000016E2" w:rsidRPr="00BD22FE" w:rsidRDefault="000016E2" w:rsidP="00A610E1">
      <w:pPr>
        <w:pStyle w:val="BodyText"/>
        <w:spacing w:line="240" w:lineRule="auto"/>
        <w:jc w:val="left"/>
        <w:rPr>
          <w:sz w:val="22"/>
          <w:szCs w:val="22"/>
          <w:lang w:val="pl-PL"/>
        </w:rPr>
      </w:pPr>
    </w:p>
    <w:p w14:paraId="0D61B867" w14:textId="133FF043" w:rsidR="000016E2" w:rsidRPr="00BD22FE" w:rsidRDefault="00104CA8" w:rsidP="00A610E1">
      <w:pPr>
        <w:pStyle w:val="BodyText"/>
        <w:keepNext/>
        <w:spacing w:line="240" w:lineRule="auto"/>
        <w:jc w:val="left"/>
        <w:rPr>
          <w:sz w:val="22"/>
          <w:szCs w:val="22"/>
          <w:lang w:val="pl-PL"/>
        </w:rPr>
      </w:pPr>
      <w:r w:rsidRPr="00BD22FE">
        <w:rPr>
          <w:sz w:val="22"/>
          <w:szCs w:val="22"/>
          <w:u w:val="single"/>
          <w:lang w:val="pl-PL"/>
        </w:rPr>
        <w:t>Produkty lecznicze stosowane w</w:t>
      </w:r>
      <w:r w:rsidR="00717A7B" w:rsidRPr="00BD22FE">
        <w:rPr>
          <w:sz w:val="22"/>
          <w:szCs w:val="22"/>
          <w:u w:val="single"/>
          <w:lang w:val="pl-PL"/>
        </w:rPr>
        <w:t> </w:t>
      </w:r>
      <w:r w:rsidR="00E94653" w:rsidRPr="00BD22FE">
        <w:rPr>
          <w:sz w:val="22"/>
          <w:szCs w:val="22"/>
          <w:u w:val="single"/>
          <w:lang w:val="pl-PL"/>
        </w:rPr>
        <w:t xml:space="preserve">leczeniu </w:t>
      </w:r>
      <w:r w:rsidRPr="00BD22FE">
        <w:rPr>
          <w:sz w:val="22"/>
          <w:szCs w:val="22"/>
          <w:u w:val="single"/>
          <w:lang w:val="pl-PL"/>
        </w:rPr>
        <w:t>dn</w:t>
      </w:r>
      <w:r w:rsidR="00E94653" w:rsidRPr="00BD22FE">
        <w:rPr>
          <w:sz w:val="22"/>
          <w:szCs w:val="22"/>
          <w:u w:val="single"/>
          <w:lang w:val="pl-PL"/>
        </w:rPr>
        <w:t>y moczanowej</w:t>
      </w:r>
      <w:r w:rsidRPr="00BD22FE">
        <w:rPr>
          <w:sz w:val="22"/>
          <w:szCs w:val="22"/>
          <w:u w:val="single"/>
          <w:lang w:val="pl-PL"/>
        </w:rPr>
        <w:t xml:space="preserve"> (np. probenecyd, sulfinpyrazon i</w:t>
      </w:r>
      <w:r w:rsidR="00717A7B" w:rsidRPr="00BD22FE">
        <w:rPr>
          <w:sz w:val="22"/>
          <w:szCs w:val="22"/>
          <w:u w:val="single"/>
          <w:lang w:val="pl-PL"/>
        </w:rPr>
        <w:t> </w:t>
      </w:r>
      <w:r w:rsidRPr="00BD22FE">
        <w:rPr>
          <w:sz w:val="22"/>
          <w:szCs w:val="22"/>
          <w:u w:val="single"/>
          <w:lang w:val="pl-PL"/>
        </w:rPr>
        <w:t>allopurynol</w:t>
      </w:r>
      <w:r w:rsidRPr="00BD22FE">
        <w:rPr>
          <w:sz w:val="22"/>
          <w:szCs w:val="22"/>
          <w:lang w:val="pl-PL"/>
        </w:rPr>
        <w:t>)</w:t>
      </w:r>
    </w:p>
    <w:p w14:paraId="78EBFFFC" w14:textId="51F93651" w:rsidR="000016E2" w:rsidRPr="00BD22FE" w:rsidRDefault="00104CA8" w:rsidP="00A610E1">
      <w:pPr>
        <w:pStyle w:val="BodyText"/>
        <w:spacing w:line="240" w:lineRule="auto"/>
        <w:jc w:val="left"/>
        <w:rPr>
          <w:sz w:val="22"/>
          <w:szCs w:val="22"/>
          <w:lang w:val="pl-PL"/>
        </w:rPr>
      </w:pPr>
      <w:r w:rsidRPr="00BD22FE">
        <w:rPr>
          <w:sz w:val="22"/>
          <w:szCs w:val="22"/>
          <w:lang w:val="pl-PL"/>
        </w:rPr>
        <w:t>Może okazać się konieczne dostosowanie dawki leków zwiększających wydalanie kwasu moczowego z</w:t>
      </w:r>
      <w:r w:rsidR="00717A7B" w:rsidRPr="00BD22FE">
        <w:rPr>
          <w:sz w:val="22"/>
          <w:szCs w:val="22"/>
          <w:lang w:val="pl-PL"/>
        </w:rPr>
        <w:t> </w:t>
      </w:r>
      <w:r w:rsidRPr="00BD22FE">
        <w:rPr>
          <w:sz w:val="22"/>
          <w:szCs w:val="22"/>
          <w:lang w:val="pl-PL"/>
        </w:rPr>
        <w:t>moczem, ponieważ HCTZ może zwiększyć stężenie kwasu moczowego w</w:t>
      </w:r>
      <w:r w:rsidR="00717A7B" w:rsidRPr="00BD22FE">
        <w:rPr>
          <w:sz w:val="22"/>
          <w:szCs w:val="22"/>
          <w:lang w:val="pl-PL"/>
        </w:rPr>
        <w:t> </w:t>
      </w:r>
      <w:r w:rsidRPr="00BD22FE">
        <w:rPr>
          <w:sz w:val="22"/>
          <w:szCs w:val="22"/>
          <w:lang w:val="pl-PL"/>
        </w:rPr>
        <w:t>surowicy. Może okazać się konieczne zwiększenie dawki probenecydu lub sulfinpyrazonu. Jednoczesne podawanie tiazydu może zwiększyć częstość występowania reakcji nadwrażliwości na allopurynol.</w:t>
      </w:r>
    </w:p>
    <w:p w14:paraId="10C86C13" w14:textId="77777777" w:rsidR="000016E2" w:rsidRPr="00BD22FE" w:rsidRDefault="000016E2" w:rsidP="00A610E1">
      <w:pPr>
        <w:pStyle w:val="BodyText"/>
        <w:spacing w:line="240" w:lineRule="auto"/>
        <w:jc w:val="left"/>
        <w:rPr>
          <w:sz w:val="22"/>
          <w:szCs w:val="22"/>
          <w:lang w:val="pl-PL"/>
        </w:rPr>
      </w:pPr>
    </w:p>
    <w:p w14:paraId="73E6BC63" w14:textId="77777777" w:rsidR="000016E2" w:rsidRPr="00BD22FE" w:rsidRDefault="00104CA8" w:rsidP="00A610E1">
      <w:pPr>
        <w:pStyle w:val="BodyText"/>
        <w:keepNext/>
        <w:spacing w:line="240" w:lineRule="auto"/>
        <w:jc w:val="left"/>
        <w:rPr>
          <w:sz w:val="22"/>
          <w:szCs w:val="22"/>
          <w:lang w:val="pl-PL"/>
        </w:rPr>
      </w:pPr>
      <w:r w:rsidRPr="00BD22FE">
        <w:rPr>
          <w:sz w:val="22"/>
          <w:szCs w:val="22"/>
          <w:u w:val="single"/>
          <w:lang w:val="pl-PL"/>
        </w:rPr>
        <w:t>Sole wapnia</w:t>
      </w:r>
    </w:p>
    <w:p w14:paraId="75D61799" w14:textId="42E430E6" w:rsidR="000016E2" w:rsidRPr="00BD22FE" w:rsidRDefault="00104CA8" w:rsidP="00A610E1">
      <w:pPr>
        <w:pStyle w:val="BodyText"/>
        <w:spacing w:line="240" w:lineRule="auto"/>
        <w:jc w:val="left"/>
        <w:rPr>
          <w:sz w:val="22"/>
          <w:szCs w:val="22"/>
          <w:lang w:val="pl-PL"/>
        </w:rPr>
      </w:pPr>
      <w:r w:rsidRPr="00BD22FE">
        <w:rPr>
          <w:sz w:val="22"/>
          <w:szCs w:val="22"/>
          <w:lang w:val="pl-PL"/>
        </w:rPr>
        <w:t>Diuretyki tiazydowe mogą zwiększyć stężenie wapnia w</w:t>
      </w:r>
      <w:r w:rsidR="00717A7B" w:rsidRPr="00BD22FE">
        <w:rPr>
          <w:sz w:val="22"/>
          <w:szCs w:val="22"/>
          <w:lang w:val="pl-PL"/>
        </w:rPr>
        <w:t> </w:t>
      </w:r>
      <w:r w:rsidRPr="00BD22FE">
        <w:rPr>
          <w:sz w:val="22"/>
          <w:szCs w:val="22"/>
          <w:lang w:val="pl-PL"/>
        </w:rPr>
        <w:t>surowicy w</w:t>
      </w:r>
      <w:r w:rsidR="00717A7B" w:rsidRPr="00BD22FE">
        <w:rPr>
          <w:sz w:val="22"/>
          <w:szCs w:val="22"/>
          <w:lang w:val="pl-PL"/>
        </w:rPr>
        <w:t> </w:t>
      </w:r>
      <w:r w:rsidRPr="00BD22FE">
        <w:rPr>
          <w:sz w:val="22"/>
          <w:szCs w:val="22"/>
          <w:lang w:val="pl-PL"/>
        </w:rPr>
        <w:t>związku z</w:t>
      </w:r>
      <w:r w:rsidR="00717A7B" w:rsidRPr="00BD22FE">
        <w:rPr>
          <w:sz w:val="22"/>
          <w:szCs w:val="22"/>
          <w:lang w:val="pl-PL"/>
        </w:rPr>
        <w:t> </w:t>
      </w:r>
      <w:r w:rsidRPr="00BD22FE">
        <w:rPr>
          <w:sz w:val="22"/>
          <w:szCs w:val="22"/>
          <w:lang w:val="pl-PL"/>
        </w:rPr>
        <w:t>jego zmniejszonym wydalaniem. Jeśli zajdzie potrzeba stosowania suplementów wapnia lub produktów leczniczych oszczędzających wapń (np. leczenie witaminą D), należy monitorować stężenie wapnia w</w:t>
      </w:r>
      <w:r w:rsidR="00717A7B" w:rsidRPr="00BD22FE">
        <w:rPr>
          <w:sz w:val="22"/>
          <w:szCs w:val="22"/>
          <w:lang w:val="pl-PL"/>
        </w:rPr>
        <w:t> </w:t>
      </w:r>
      <w:r w:rsidRPr="00BD22FE">
        <w:rPr>
          <w:sz w:val="22"/>
          <w:szCs w:val="22"/>
          <w:lang w:val="pl-PL"/>
        </w:rPr>
        <w:t>surowicy i</w:t>
      </w:r>
      <w:r w:rsidR="00717A7B" w:rsidRPr="00BD22FE">
        <w:rPr>
          <w:sz w:val="22"/>
          <w:szCs w:val="22"/>
          <w:lang w:val="pl-PL"/>
        </w:rPr>
        <w:t> </w:t>
      </w:r>
      <w:r w:rsidRPr="00BD22FE">
        <w:rPr>
          <w:sz w:val="22"/>
          <w:szCs w:val="22"/>
          <w:lang w:val="pl-PL"/>
        </w:rPr>
        <w:t>odpowiednio dostosować dawkę wapnia.</w:t>
      </w:r>
    </w:p>
    <w:p w14:paraId="31544FAE" w14:textId="77777777" w:rsidR="000016E2" w:rsidRPr="00BD22FE" w:rsidRDefault="000016E2" w:rsidP="00A610E1">
      <w:pPr>
        <w:pStyle w:val="BodyText"/>
        <w:spacing w:line="240" w:lineRule="auto"/>
        <w:jc w:val="left"/>
        <w:rPr>
          <w:sz w:val="22"/>
          <w:szCs w:val="22"/>
          <w:lang w:val="pl-PL"/>
        </w:rPr>
      </w:pPr>
    </w:p>
    <w:p w14:paraId="0A818CDF" w14:textId="4D4838BC" w:rsidR="000016E2" w:rsidRPr="00BD22FE" w:rsidRDefault="00104CA8" w:rsidP="00A610E1">
      <w:pPr>
        <w:pStyle w:val="BodyText"/>
        <w:keepNext/>
        <w:spacing w:line="240" w:lineRule="auto"/>
        <w:jc w:val="left"/>
        <w:rPr>
          <w:sz w:val="22"/>
          <w:szCs w:val="22"/>
          <w:u w:val="single"/>
          <w:lang w:val="pl-PL"/>
        </w:rPr>
      </w:pPr>
      <w:r w:rsidRPr="00BD22FE">
        <w:rPr>
          <w:sz w:val="22"/>
          <w:szCs w:val="22"/>
          <w:u w:val="single"/>
          <w:lang w:val="pl-PL"/>
        </w:rPr>
        <w:t>Beta</w:t>
      </w:r>
      <w:r w:rsidR="00C15D43" w:rsidRPr="00BD22FE">
        <w:rPr>
          <w:sz w:val="22"/>
          <w:szCs w:val="22"/>
          <w:u w:val="single"/>
          <w:lang w:val="pl-PL"/>
        </w:rPr>
        <w:noBreakHyphen/>
      </w:r>
      <w:r w:rsidRPr="00BD22FE">
        <w:rPr>
          <w:sz w:val="22"/>
          <w:szCs w:val="22"/>
          <w:u w:val="single"/>
          <w:lang w:val="pl-PL"/>
        </w:rPr>
        <w:t>adrenolityki i</w:t>
      </w:r>
      <w:r w:rsidR="00717A7B" w:rsidRPr="00BD22FE">
        <w:rPr>
          <w:sz w:val="22"/>
          <w:szCs w:val="22"/>
          <w:u w:val="single"/>
          <w:lang w:val="pl-PL"/>
        </w:rPr>
        <w:t> </w:t>
      </w:r>
      <w:r w:rsidRPr="00BD22FE">
        <w:rPr>
          <w:sz w:val="22"/>
          <w:szCs w:val="22"/>
          <w:u w:val="single"/>
          <w:lang w:val="pl-PL"/>
        </w:rPr>
        <w:t>diazoksyd</w:t>
      </w:r>
    </w:p>
    <w:p w14:paraId="27060581" w14:textId="578D0F04" w:rsidR="000016E2" w:rsidRPr="00BD22FE" w:rsidRDefault="00104CA8" w:rsidP="00A610E1">
      <w:pPr>
        <w:pStyle w:val="BodyText"/>
        <w:spacing w:line="240" w:lineRule="auto"/>
        <w:jc w:val="left"/>
        <w:rPr>
          <w:sz w:val="22"/>
          <w:szCs w:val="22"/>
          <w:lang w:val="pl-PL"/>
        </w:rPr>
      </w:pPr>
      <w:r w:rsidRPr="00BD22FE">
        <w:rPr>
          <w:sz w:val="22"/>
          <w:szCs w:val="22"/>
          <w:lang w:val="pl-PL"/>
        </w:rPr>
        <w:t>Tiazydy mogą zwiększyć działanie hiperglikemizujące beta</w:t>
      </w:r>
      <w:r w:rsidR="00C15D43" w:rsidRPr="00BD22FE">
        <w:rPr>
          <w:sz w:val="22"/>
          <w:szCs w:val="22"/>
          <w:lang w:val="pl-PL"/>
        </w:rPr>
        <w:noBreakHyphen/>
      </w:r>
      <w:r w:rsidRPr="00BD22FE">
        <w:rPr>
          <w:sz w:val="22"/>
          <w:szCs w:val="22"/>
          <w:lang w:val="pl-PL"/>
        </w:rPr>
        <w:t>adrenolityków i</w:t>
      </w:r>
      <w:r w:rsidR="00717A7B" w:rsidRPr="00BD22FE">
        <w:rPr>
          <w:sz w:val="22"/>
          <w:szCs w:val="22"/>
          <w:lang w:val="pl-PL"/>
        </w:rPr>
        <w:t> </w:t>
      </w:r>
      <w:r w:rsidRPr="00BD22FE">
        <w:rPr>
          <w:sz w:val="22"/>
          <w:szCs w:val="22"/>
          <w:lang w:val="pl-PL"/>
        </w:rPr>
        <w:t>diazoksydu.</w:t>
      </w:r>
    </w:p>
    <w:p w14:paraId="2D0DEC13" w14:textId="77777777" w:rsidR="000016E2" w:rsidRPr="00BD22FE" w:rsidRDefault="000016E2" w:rsidP="00A610E1">
      <w:pPr>
        <w:pStyle w:val="BodyText"/>
        <w:spacing w:line="240" w:lineRule="auto"/>
        <w:jc w:val="left"/>
        <w:rPr>
          <w:sz w:val="22"/>
          <w:szCs w:val="22"/>
          <w:lang w:val="pl-PL"/>
        </w:rPr>
      </w:pPr>
    </w:p>
    <w:p w14:paraId="40039C53" w14:textId="77777777" w:rsidR="003A7E3D" w:rsidRPr="00BD22FE" w:rsidRDefault="00104CA8" w:rsidP="00A610E1">
      <w:pPr>
        <w:pStyle w:val="BodyText"/>
        <w:keepNext/>
        <w:spacing w:line="240" w:lineRule="auto"/>
        <w:jc w:val="left"/>
        <w:rPr>
          <w:sz w:val="22"/>
          <w:szCs w:val="22"/>
          <w:u w:val="single"/>
          <w:lang w:val="pl-PL"/>
        </w:rPr>
      </w:pPr>
      <w:r w:rsidRPr="00BD22FE">
        <w:rPr>
          <w:sz w:val="22"/>
          <w:szCs w:val="22"/>
          <w:u w:val="single"/>
          <w:lang w:val="pl-PL"/>
        </w:rPr>
        <w:t>Środki antycholinergiczne</w:t>
      </w:r>
      <w:r w:rsidRPr="009D16CE">
        <w:rPr>
          <w:sz w:val="22"/>
          <w:szCs w:val="22"/>
          <w:lang w:val="pl-PL"/>
        </w:rPr>
        <w:t xml:space="preserve"> (np. atropina, biperyden)</w:t>
      </w:r>
    </w:p>
    <w:p w14:paraId="7879C4FD" w14:textId="4604074A" w:rsidR="000016E2" w:rsidRPr="00BD22FE" w:rsidRDefault="00104CA8" w:rsidP="00A610E1">
      <w:pPr>
        <w:pStyle w:val="BodyText"/>
        <w:spacing w:line="240" w:lineRule="auto"/>
        <w:jc w:val="left"/>
        <w:rPr>
          <w:sz w:val="22"/>
          <w:szCs w:val="22"/>
          <w:lang w:val="pl-PL"/>
        </w:rPr>
      </w:pPr>
      <w:r w:rsidRPr="00BD22FE">
        <w:rPr>
          <w:sz w:val="22"/>
          <w:szCs w:val="22"/>
          <w:lang w:val="pl-PL"/>
        </w:rPr>
        <w:t>Mogą zwiększyć biodostępność diuretyków tiazydowych poprzez zmniejszenie perystaltyki jelit i</w:t>
      </w:r>
      <w:r w:rsidR="00717A7B" w:rsidRPr="00BD22FE">
        <w:rPr>
          <w:sz w:val="22"/>
          <w:szCs w:val="22"/>
          <w:lang w:val="pl-PL"/>
        </w:rPr>
        <w:t> </w:t>
      </w:r>
      <w:r w:rsidRPr="00BD22FE">
        <w:rPr>
          <w:sz w:val="22"/>
          <w:szCs w:val="22"/>
          <w:lang w:val="pl-PL"/>
        </w:rPr>
        <w:t xml:space="preserve">zmniejszenie </w:t>
      </w:r>
      <w:r w:rsidR="00D87B7D" w:rsidRPr="00BD22FE">
        <w:rPr>
          <w:sz w:val="22"/>
          <w:szCs w:val="22"/>
          <w:lang w:val="pl-PL"/>
        </w:rPr>
        <w:t xml:space="preserve">szybkości </w:t>
      </w:r>
      <w:r w:rsidRPr="00BD22FE">
        <w:rPr>
          <w:sz w:val="22"/>
          <w:szCs w:val="22"/>
          <w:lang w:val="pl-PL"/>
        </w:rPr>
        <w:t>opróżniania żołądka.</w:t>
      </w:r>
    </w:p>
    <w:p w14:paraId="7287121F" w14:textId="77777777" w:rsidR="000016E2" w:rsidRPr="00BD22FE" w:rsidRDefault="000016E2" w:rsidP="00A610E1">
      <w:pPr>
        <w:pStyle w:val="BodyText"/>
        <w:spacing w:line="240" w:lineRule="auto"/>
        <w:jc w:val="left"/>
        <w:rPr>
          <w:sz w:val="22"/>
          <w:szCs w:val="22"/>
          <w:lang w:val="pl-PL"/>
        </w:rPr>
      </w:pPr>
    </w:p>
    <w:p w14:paraId="42CF24F9" w14:textId="77777777" w:rsidR="000016E2" w:rsidRPr="00BD22FE" w:rsidRDefault="00104CA8" w:rsidP="00A610E1">
      <w:pPr>
        <w:pStyle w:val="BodyText"/>
        <w:keepNext/>
        <w:spacing w:line="240" w:lineRule="auto"/>
        <w:jc w:val="left"/>
        <w:rPr>
          <w:sz w:val="22"/>
          <w:szCs w:val="22"/>
          <w:u w:val="single"/>
          <w:lang w:val="pl-PL"/>
        </w:rPr>
      </w:pPr>
      <w:r w:rsidRPr="00BD22FE">
        <w:rPr>
          <w:sz w:val="22"/>
          <w:szCs w:val="22"/>
          <w:u w:val="single"/>
          <w:lang w:val="pl-PL"/>
        </w:rPr>
        <w:lastRenderedPageBreak/>
        <w:t>Amantadyna</w:t>
      </w:r>
    </w:p>
    <w:p w14:paraId="1FCA4C16" w14:textId="23988D2F" w:rsidR="000016E2" w:rsidRPr="00BD22FE" w:rsidRDefault="00104CA8" w:rsidP="00A610E1">
      <w:pPr>
        <w:pStyle w:val="BodyText"/>
        <w:spacing w:line="240" w:lineRule="auto"/>
        <w:jc w:val="left"/>
        <w:rPr>
          <w:sz w:val="22"/>
          <w:szCs w:val="22"/>
          <w:lang w:val="pl-PL"/>
        </w:rPr>
      </w:pPr>
      <w:r w:rsidRPr="00BD22FE">
        <w:rPr>
          <w:sz w:val="22"/>
          <w:szCs w:val="22"/>
          <w:lang w:val="pl-PL"/>
        </w:rPr>
        <w:t xml:space="preserve">Tiazydy </w:t>
      </w:r>
      <w:r w:rsidR="00D87B7D" w:rsidRPr="00BD22FE">
        <w:rPr>
          <w:sz w:val="22"/>
          <w:szCs w:val="22"/>
          <w:lang w:val="pl-PL"/>
        </w:rPr>
        <w:t xml:space="preserve">mogą </w:t>
      </w:r>
      <w:r w:rsidRPr="00BD22FE">
        <w:rPr>
          <w:sz w:val="22"/>
          <w:szCs w:val="22"/>
          <w:lang w:val="pl-PL"/>
        </w:rPr>
        <w:t>zwiększa</w:t>
      </w:r>
      <w:r w:rsidR="00D87B7D" w:rsidRPr="00BD22FE">
        <w:rPr>
          <w:sz w:val="22"/>
          <w:szCs w:val="22"/>
          <w:lang w:val="pl-PL"/>
        </w:rPr>
        <w:t>ć</w:t>
      </w:r>
      <w:r w:rsidRPr="00BD22FE">
        <w:rPr>
          <w:sz w:val="22"/>
          <w:szCs w:val="22"/>
          <w:lang w:val="pl-PL"/>
        </w:rPr>
        <w:t xml:space="preserve"> ryzyko wystąpienia objawów niepożądanych wywoływanych przez amantadynę.</w:t>
      </w:r>
    </w:p>
    <w:p w14:paraId="2ED5A37D" w14:textId="77777777" w:rsidR="000016E2" w:rsidRPr="00BD22FE" w:rsidRDefault="000016E2" w:rsidP="00A610E1">
      <w:pPr>
        <w:pStyle w:val="BodyText"/>
        <w:spacing w:line="240" w:lineRule="auto"/>
        <w:jc w:val="left"/>
        <w:rPr>
          <w:sz w:val="22"/>
          <w:szCs w:val="22"/>
          <w:lang w:val="pl-PL"/>
        </w:rPr>
      </w:pPr>
    </w:p>
    <w:p w14:paraId="54EDAE6D" w14:textId="2E6CFBBF" w:rsidR="000016E2" w:rsidRPr="00BD22FE" w:rsidRDefault="00104CA8" w:rsidP="00A610E1">
      <w:pPr>
        <w:pStyle w:val="BodyText"/>
        <w:keepNext/>
        <w:spacing w:line="240" w:lineRule="auto"/>
        <w:jc w:val="left"/>
        <w:rPr>
          <w:sz w:val="22"/>
          <w:szCs w:val="22"/>
          <w:lang w:val="pl-PL"/>
        </w:rPr>
      </w:pPr>
      <w:r w:rsidRPr="00BD22FE">
        <w:rPr>
          <w:sz w:val="22"/>
          <w:szCs w:val="22"/>
          <w:u w:val="single"/>
          <w:lang w:val="pl-PL"/>
        </w:rPr>
        <w:t>Środki cytotoksyczne</w:t>
      </w:r>
      <w:r w:rsidRPr="009D16CE">
        <w:rPr>
          <w:sz w:val="22"/>
          <w:szCs w:val="22"/>
          <w:lang w:val="pl-PL"/>
        </w:rPr>
        <w:t xml:space="preserve"> (</w:t>
      </w:r>
      <w:r w:rsidRPr="00BD22FE">
        <w:rPr>
          <w:sz w:val="22"/>
          <w:szCs w:val="22"/>
          <w:lang w:val="pl-PL"/>
        </w:rPr>
        <w:t>np. cyklofosfamid, metotreksat)</w:t>
      </w:r>
    </w:p>
    <w:p w14:paraId="3D497865" w14:textId="21F4B514" w:rsidR="000016E2" w:rsidRPr="00BD22FE" w:rsidRDefault="00104CA8" w:rsidP="00A610E1">
      <w:pPr>
        <w:pStyle w:val="BodyText"/>
        <w:spacing w:line="240" w:lineRule="auto"/>
        <w:jc w:val="left"/>
        <w:rPr>
          <w:sz w:val="22"/>
          <w:szCs w:val="22"/>
          <w:lang w:val="pl-PL"/>
        </w:rPr>
      </w:pPr>
      <w:r w:rsidRPr="00BD22FE">
        <w:rPr>
          <w:sz w:val="22"/>
          <w:szCs w:val="22"/>
          <w:lang w:val="pl-PL"/>
        </w:rPr>
        <w:t>Tiazydy mogą zmniejszyć wydalanie nerkowe cytotoksycznych produktów leczniczych i</w:t>
      </w:r>
      <w:r w:rsidR="00717A7B" w:rsidRPr="00BD22FE">
        <w:rPr>
          <w:sz w:val="22"/>
          <w:szCs w:val="22"/>
          <w:lang w:val="pl-PL"/>
        </w:rPr>
        <w:t> </w:t>
      </w:r>
      <w:r w:rsidRPr="00BD22FE">
        <w:rPr>
          <w:sz w:val="22"/>
          <w:szCs w:val="22"/>
          <w:lang w:val="pl-PL"/>
        </w:rPr>
        <w:t>nasilić ich hamujące działanie na czynność szpiku.</w:t>
      </w:r>
    </w:p>
    <w:p w14:paraId="469C8AA4" w14:textId="77777777" w:rsidR="000016E2" w:rsidRPr="00BD22FE" w:rsidRDefault="000016E2" w:rsidP="00A610E1">
      <w:pPr>
        <w:pStyle w:val="BodyText"/>
        <w:spacing w:line="240" w:lineRule="auto"/>
        <w:jc w:val="left"/>
        <w:rPr>
          <w:sz w:val="22"/>
          <w:szCs w:val="22"/>
          <w:lang w:val="pl-PL"/>
        </w:rPr>
      </w:pPr>
    </w:p>
    <w:p w14:paraId="7E7F8825" w14:textId="4EC02D75" w:rsidR="000016E2" w:rsidRPr="00BD22FE" w:rsidRDefault="00104CA8" w:rsidP="00A610E1">
      <w:pPr>
        <w:pStyle w:val="BodyText"/>
        <w:spacing w:line="240" w:lineRule="auto"/>
        <w:jc w:val="left"/>
        <w:rPr>
          <w:sz w:val="22"/>
          <w:szCs w:val="22"/>
          <w:lang w:val="pl-PL"/>
        </w:rPr>
      </w:pPr>
      <w:r w:rsidRPr="00BD22FE">
        <w:rPr>
          <w:sz w:val="22"/>
          <w:szCs w:val="22"/>
          <w:lang w:val="pl-PL"/>
        </w:rPr>
        <w:t xml:space="preserve">Można oczekiwać, że ze względu na farmakologiczne właściwości następujące produkty lecznicze mogą nasilać działanie </w:t>
      </w:r>
      <w:r w:rsidR="003B0FD5" w:rsidRPr="00BD22FE">
        <w:rPr>
          <w:sz w:val="22"/>
          <w:szCs w:val="22"/>
          <w:lang w:val="pl-PL"/>
        </w:rPr>
        <w:t xml:space="preserve">hipotensyjne </w:t>
      </w:r>
      <w:r w:rsidRPr="00BD22FE">
        <w:rPr>
          <w:sz w:val="22"/>
          <w:szCs w:val="22"/>
          <w:lang w:val="pl-PL"/>
        </w:rPr>
        <w:t>wszystkich leków przeciwnadciśnieniowych, w</w:t>
      </w:r>
      <w:r w:rsidR="00717A7B" w:rsidRPr="00BD22FE">
        <w:rPr>
          <w:sz w:val="22"/>
          <w:szCs w:val="22"/>
          <w:lang w:val="pl-PL"/>
        </w:rPr>
        <w:t> </w:t>
      </w:r>
      <w:r w:rsidRPr="00BD22FE">
        <w:rPr>
          <w:sz w:val="22"/>
          <w:szCs w:val="22"/>
          <w:lang w:val="pl-PL"/>
        </w:rPr>
        <w:t>tym telmisartanu: baklofen, amifostyna.</w:t>
      </w:r>
    </w:p>
    <w:p w14:paraId="7D96FA16" w14:textId="3D9CC4B6" w:rsidR="000016E2" w:rsidRPr="00BD22FE" w:rsidRDefault="00104CA8" w:rsidP="00A610E1">
      <w:pPr>
        <w:pStyle w:val="BodyText"/>
        <w:spacing w:line="240" w:lineRule="auto"/>
        <w:jc w:val="left"/>
        <w:rPr>
          <w:sz w:val="22"/>
          <w:szCs w:val="22"/>
          <w:lang w:val="pl-PL"/>
        </w:rPr>
      </w:pPr>
      <w:r w:rsidRPr="00BD22FE">
        <w:rPr>
          <w:sz w:val="22"/>
          <w:szCs w:val="22"/>
          <w:lang w:val="pl-PL"/>
        </w:rPr>
        <w:t xml:space="preserve">Ponadto, niedociśnienie ortostatyczne może być spotęgowane przez alkohol, barbiturany, </w:t>
      </w:r>
      <w:r w:rsidR="003B0FD5" w:rsidRPr="00BD22FE">
        <w:rPr>
          <w:sz w:val="22"/>
          <w:szCs w:val="22"/>
          <w:lang w:val="pl-PL"/>
        </w:rPr>
        <w:t>leki narkotyczne bądź</w:t>
      </w:r>
      <w:r w:rsidRPr="00BD22FE">
        <w:rPr>
          <w:sz w:val="22"/>
          <w:szCs w:val="22"/>
          <w:lang w:val="pl-PL"/>
        </w:rPr>
        <w:t xml:space="preserve"> leki przeciwdepresyjne.</w:t>
      </w:r>
    </w:p>
    <w:p w14:paraId="24050791" w14:textId="77777777" w:rsidR="000016E2" w:rsidRPr="00BD22FE" w:rsidRDefault="000016E2" w:rsidP="00A610E1">
      <w:pPr>
        <w:pStyle w:val="BodyText"/>
        <w:spacing w:line="240" w:lineRule="auto"/>
        <w:jc w:val="left"/>
        <w:rPr>
          <w:spacing w:val="-3"/>
          <w:sz w:val="22"/>
          <w:szCs w:val="22"/>
          <w:lang w:val="pl-PL"/>
        </w:rPr>
      </w:pPr>
    </w:p>
    <w:p w14:paraId="70001CF7" w14:textId="27DD9513" w:rsidR="000016E2" w:rsidRPr="00BD22FE" w:rsidRDefault="00104CA8" w:rsidP="00A610E1">
      <w:pPr>
        <w:pStyle w:val="BodyText"/>
        <w:keepNext/>
        <w:spacing w:line="240" w:lineRule="auto"/>
        <w:ind w:left="567" w:hanging="567"/>
        <w:jc w:val="left"/>
        <w:rPr>
          <w:b/>
          <w:sz w:val="22"/>
          <w:szCs w:val="22"/>
          <w:lang w:val="pl-PL"/>
        </w:rPr>
      </w:pPr>
      <w:r w:rsidRPr="00BD22FE">
        <w:rPr>
          <w:b/>
          <w:sz w:val="22"/>
          <w:szCs w:val="22"/>
          <w:lang w:val="pl-PL"/>
        </w:rPr>
        <w:t>4.6</w:t>
      </w:r>
      <w:r w:rsidRPr="00BD22FE">
        <w:rPr>
          <w:b/>
          <w:sz w:val="22"/>
          <w:szCs w:val="22"/>
          <w:lang w:val="pl-PL"/>
        </w:rPr>
        <w:tab/>
        <w:t>Wpływ na płodność, ciążę i</w:t>
      </w:r>
      <w:r w:rsidR="00717A7B" w:rsidRPr="00BD22FE">
        <w:rPr>
          <w:b/>
          <w:sz w:val="22"/>
          <w:szCs w:val="22"/>
          <w:lang w:val="pl-PL"/>
        </w:rPr>
        <w:t> </w:t>
      </w:r>
      <w:r w:rsidRPr="00BD22FE">
        <w:rPr>
          <w:b/>
          <w:sz w:val="22"/>
          <w:szCs w:val="22"/>
          <w:lang w:val="pl-PL"/>
        </w:rPr>
        <w:t>laktację</w:t>
      </w:r>
    </w:p>
    <w:p w14:paraId="4F642105" w14:textId="77777777" w:rsidR="000016E2" w:rsidRPr="00BD22FE" w:rsidRDefault="000016E2" w:rsidP="00A610E1">
      <w:pPr>
        <w:pStyle w:val="BodyText"/>
        <w:keepNext/>
        <w:spacing w:line="240" w:lineRule="auto"/>
        <w:jc w:val="left"/>
        <w:rPr>
          <w:sz w:val="22"/>
          <w:szCs w:val="22"/>
          <w:lang w:val="pl-PL"/>
        </w:rPr>
      </w:pPr>
    </w:p>
    <w:p w14:paraId="4F53AF3B" w14:textId="77777777" w:rsidR="000016E2" w:rsidRPr="00BD22FE" w:rsidRDefault="00104CA8" w:rsidP="00A610E1">
      <w:pPr>
        <w:pStyle w:val="BodyText"/>
        <w:keepNext/>
        <w:spacing w:line="240" w:lineRule="auto"/>
        <w:jc w:val="left"/>
        <w:rPr>
          <w:sz w:val="22"/>
          <w:szCs w:val="22"/>
          <w:lang w:val="pl-PL"/>
        </w:rPr>
      </w:pPr>
      <w:r w:rsidRPr="00BD22FE">
        <w:rPr>
          <w:sz w:val="22"/>
          <w:szCs w:val="22"/>
          <w:u w:val="single"/>
          <w:lang w:val="pl-PL"/>
        </w:rPr>
        <w:t>Ciąża</w:t>
      </w:r>
    </w:p>
    <w:p w14:paraId="58765248" w14:textId="77777777" w:rsidR="000016E2" w:rsidRPr="00BD22FE" w:rsidRDefault="000016E2" w:rsidP="00A610E1">
      <w:pPr>
        <w:pStyle w:val="BodyText"/>
        <w:keepNext/>
        <w:spacing w:line="240" w:lineRule="auto"/>
        <w:jc w:val="left"/>
        <w:rPr>
          <w:sz w:val="22"/>
          <w:szCs w:val="22"/>
          <w:u w:val="single"/>
          <w:lang w:val="pl-PL"/>
        </w:rPr>
      </w:pPr>
    </w:p>
    <w:p w14:paraId="4E3F8AEB" w14:textId="7BFCE611" w:rsidR="000016E2" w:rsidRPr="00BD22FE" w:rsidRDefault="00104CA8" w:rsidP="00A610E1">
      <w:pPr>
        <w:pStyle w:val="BodyText"/>
        <w:pBdr>
          <w:top w:val="single" w:sz="4" w:space="1" w:color="auto"/>
          <w:left w:val="single" w:sz="4" w:space="4" w:color="auto"/>
          <w:bottom w:val="single" w:sz="4" w:space="1" w:color="auto"/>
          <w:right w:val="single" w:sz="4" w:space="4" w:color="auto"/>
        </w:pBdr>
        <w:spacing w:line="240" w:lineRule="auto"/>
        <w:jc w:val="left"/>
        <w:rPr>
          <w:sz w:val="22"/>
          <w:szCs w:val="22"/>
          <w:lang w:val="pl-PL"/>
        </w:rPr>
      </w:pPr>
      <w:r w:rsidRPr="00BD22FE">
        <w:rPr>
          <w:sz w:val="22"/>
          <w:szCs w:val="22"/>
          <w:lang w:val="pl-PL"/>
        </w:rPr>
        <w:t>Nie zaleca się stosowania blokerów receptora angiotensyny</w:t>
      </w:r>
      <w:r w:rsidR="001E0877" w:rsidRPr="00BD22FE">
        <w:rPr>
          <w:sz w:val="22"/>
          <w:szCs w:val="22"/>
          <w:lang w:val="pl-PL"/>
        </w:rPr>
        <w:t> </w:t>
      </w:r>
      <w:r w:rsidRPr="00BD22FE">
        <w:rPr>
          <w:sz w:val="22"/>
          <w:szCs w:val="22"/>
          <w:lang w:val="pl-PL"/>
        </w:rPr>
        <w:t xml:space="preserve">II </w:t>
      </w:r>
      <w:r w:rsidR="008634B1" w:rsidRPr="00BD22FE">
        <w:rPr>
          <w:sz w:val="22"/>
          <w:szCs w:val="22"/>
          <w:lang w:val="pl-PL"/>
        </w:rPr>
        <w:t>podczas </w:t>
      </w:r>
      <w:r w:rsidRPr="00BD22FE">
        <w:rPr>
          <w:sz w:val="22"/>
          <w:szCs w:val="22"/>
          <w:lang w:val="pl-PL"/>
        </w:rPr>
        <w:t>pierwsz</w:t>
      </w:r>
      <w:r w:rsidR="008634B1" w:rsidRPr="00BD22FE">
        <w:rPr>
          <w:sz w:val="22"/>
          <w:szCs w:val="22"/>
          <w:lang w:val="pl-PL"/>
        </w:rPr>
        <w:t>ego</w:t>
      </w:r>
      <w:r w:rsidRPr="00BD22FE">
        <w:rPr>
          <w:sz w:val="22"/>
          <w:szCs w:val="22"/>
          <w:lang w:val="pl-PL"/>
        </w:rPr>
        <w:t xml:space="preserve"> trymestr</w:t>
      </w:r>
      <w:r w:rsidR="008634B1" w:rsidRPr="00BD22FE">
        <w:rPr>
          <w:sz w:val="22"/>
          <w:szCs w:val="22"/>
          <w:lang w:val="pl-PL"/>
        </w:rPr>
        <w:t>u</w:t>
      </w:r>
      <w:r w:rsidRPr="00BD22FE">
        <w:rPr>
          <w:sz w:val="22"/>
          <w:szCs w:val="22"/>
          <w:lang w:val="pl-PL"/>
        </w:rPr>
        <w:t xml:space="preserve"> ciąży (patrz punkt 4.4). </w:t>
      </w:r>
      <w:r w:rsidRPr="00BD22FE">
        <w:rPr>
          <w:iCs/>
          <w:sz w:val="22"/>
          <w:szCs w:val="22"/>
          <w:lang w:val="pl-PL"/>
        </w:rPr>
        <w:t>S</w:t>
      </w:r>
      <w:r w:rsidRPr="00BD22FE">
        <w:rPr>
          <w:sz w:val="22"/>
          <w:szCs w:val="22"/>
          <w:lang w:val="pl-PL"/>
        </w:rPr>
        <w:t>tosowanie blokerów receptora angiotensyny</w:t>
      </w:r>
      <w:r w:rsidR="001E0877" w:rsidRPr="00BD22FE">
        <w:rPr>
          <w:sz w:val="22"/>
          <w:szCs w:val="22"/>
          <w:lang w:val="pl-PL"/>
        </w:rPr>
        <w:t> </w:t>
      </w:r>
      <w:r w:rsidRPr="00BD22FE">
        <w:rPr>
          <w:sz w:val="22"/>
          <w:szCs w:val="22"/>
          <w:lang w:val="pl-PL"/>
        </w:rPr>
        <w:t>II jest przeciwwskazane</w:t>
      </w:r>
      <w:r w:rsidRPr="00BD22FE">
        <w:rPr>
          <w:i/>
          <w:sz w:val="22"/>
          <w:szCs w:val="22"/>
          <w:lang w:val="pl-PL"/>
        </w:rPr>
        <w:t xml:space="preserve"> </w:t>
      </w:r>
      <w:r w:rsidR="008634B1" w:rsidRPr="00BD22FE">
        <w:rPr>
          <w:sz w:val="22"/>
          <w:szCs w:val="22"/>
          <w:lang w:val="pl-PL"/>
        </w:rPr>
        <w:t xml:space="preserve">podczas </w:t>
      </w:r>
      <w:r w:rsidRPr="00BD22FE">
        <w:rPr>
          <w:sz w:val="22"/>
          <w:szCs w:val="22"/>
          <w:lang w:val="pl-PL"/>
        </w:rPr>
        <w:t>drugi</w:t>
      </w:r>
      <w:r w:rsidR="008634B1" w:rsidRPr="00BD22FE">
        <w:rPr>
          <w:sz w:val="22"/>
          <w:szCs w:val="22"/>
          <w:lang w:val="pl-PL"/>
        </w:rPr>
        <w:t>ego</w:t>
      </w:r>
      <w:r w:rsidRPr="00BD22FE">
        <w:rPr>
          <w:sz w:val="22"/>
          <w:szCs w:val="22"/>
          <w:lang w:val="pl-PL"/>
        </w:rPr>
        <w:t xml:space="preserve"> i</w:t>
      </w:r>
      <w:r w:rsidR="00717A7B" w:rsidRPr="00BD22FE">
        <w:rPr>
          <w:sz w:val="22"/>
          <w:szCs w:val="22"/>
          <w:lang w:val="pl-PL"/>
        </w:rPr>
        <w:t> </w:t>
      </w:r>
      <w:r w:rsidRPr="00BD22FE">
        <w:rPr>
          <w:sz w:val="22"/>
          <w:szCs w:val="22"/>
          <w:lang w:val="pl-PL"/>
        </w:rPr>
        <w:t>trzeci</w:t>
      </w:r>
      <w:r w:rsidR="008634B1" w:rsidRPr="00BD22FE">
        <w:rPr>
          <w:sz w:val="22"/>
          <w:szCs w:val="22"/>
          <w:lang w:val="pl-PL"/>
        </w:rPr>
        <w:t>ego</w:t>
      </w:r>
      <w:r w:rsidRPr="00BD22FE">
        <w:rPr>
          <w:sz w:val="22"/>
          <w:szCs w:val="22"/>
          <w:lang w:val="pl-PL"/>
        </w:rPr>
        <w:t xml:space="preserve"> trymestr</w:t>
      </w:r>
      <w:r w:rsidR="008634B1" w:rsidRPr="00BD22FE">
        <w:rPr>
          <w:sz w:val="22"/>
          <w:szCs w:val="22"/>
          <w:lang w:val="pl-PL"/>
        </w:rPr>
        <w:t>u</w:t>
      </w:r>
      <w:r w:rsidRPr="00BD22FE">
        <w:rPr>
          <w:sz w:val="22"/>
          <w:szCs w:val="22"/>
          <w:lang w:val="pl-PL"/>
        </w:rPr>
        <w:t xml:space="preserve"> ciąży (patrz punkty 4.3 i</w:t>
      </w:r>
      <w:r w:rsidR="00717A7B" w:rsidRPr="00BD22FE">
        <w:rPr>
          <w:sz w:val="22"/>
          <w:szCs w:val="22"/>
          <w:lang w:val="pl-PL"/>
        </w:rPr>
        <w:t> </w:t>
      </w:r>
      <w:r w:rsidRPr="00BD22FE">
        <w:rPr>
          <w:sz w:val="22"/>
          <w:szCs w:val="22"/>
          <w:lang w:val="pl-PL"/>
        </w:rPr>
        <w:t>4.4).</w:t>
      </w:r>
    </w:p>
    <w:p w14:paraId="76C12F63" w14:textId="77777777" w:rsidR="000016E2" w:rsidRPr="00BD22FE" w:rsidRDefault="000016E2" w:rsidP="00A610E1">
      <w:pPr>
        <w:pStyle w:val="BodyText"/>
        <w:spacing w:line="240" w:lineRule="auto"/>
        <w:jc w:val="left"/>
        <w:rPr>
          <w:sz w:val="22"/>
          <w:szCs w:val="22"/>
          <w:lang w:val="pl-PL"/>
        </w:rPr>
      </w:pPr>
    </w:p>
    <w:p w14:paraId="07508AE5" w14:textId="5839FE03" w:rsidR="003A7E3D" w:rsidRPr="00BD22FE" w:rsidRDefault="00104CA8" w:rsidP="00A610E1">
      <w:pPr>
        <w:pStyle w:val="BodyText"/>
        <w:spacing w:line="240" w:lineRule="auto"/>
        <w:jc w:val="left"/>
        <w:rPr>
          <w:sz w:val="22"/>
          <w:szCs w:val="22"/>
          <w:lang w:val="pl-PL"/>
        </w:rPr>
      </w:pPr>
      <w:r w:rsidRPr="00BD22FE">
        <w:rPr>
          <w:sz w:val="22"/>
          <w:szCs w:val="22"/>
          <w:lang w:val="pl-PL"/>
        </w:rPr>
        <w:t>Brak odpowiednich danych dotyczących stosowania telmisartanu/HCTZ u</w:t>
      </w:r>
      <w:r w:rsidR="00717A7B" w:rsidRPr="00BD22FE">
        <w:rPr>
          <w:sz w:val="22"/>
          <w:szCs w:val="22"/>
          <w:lang w:val="pl-PL"/>
        </w:rPr>
        <w:t> </w:t>
      </w:r>
      <w:r w:rsidRPr="00BD22FE">
        <w:rPr>
          <w:sz w:val="22"/>
          <w:szCs w:val="22"/>
          <w:lang w:val="pl-PL"/>
        </w:rPr>
        <w:t>kobiet w</w:t>
      </w:r>
      <w:r w:rsidR="00717A7B" w:rsidRPr="00BD22FE">
        <w:rPr>
          <w:sz w:val="22"/>
          <w:szCs w:val="22"/>
          <w:lang w:val="pl-PL"/>
        </w:rPr>
        <w:t> </w:t>
      </w:r>
      <w:r w:rsidRPr="00BD22FE">
        <w:rPr>
          <w:sz w:val="22"/>
          <w:szCs w:val="22"/>
          <w:lang w:val="pl-PL"/>
        </w:rPr>
        <w:t xml:space="preserve">ciąży. Badania na zwierzętach wykazały </w:t>
      </w:r>
      <w:r w:rsidR="000531A2" w:rsidRPr="00BD22FE">
        <w:rPr>
          <w:sz w:val="22"/>
          <w:szCs w:val="22"/>
          <w:lang w:val="pl-PL"/>
        </w:rPr>
        <w:t>szkodliwy</w:t>
      </w:r>
      <w:r w:rsidRPr="00BD22FE">
        <w:rPr>
          <w:sz w:val="22"/>
          <w:szCs w:val="22"/>
          <w:lang w:val="pl-PL"/>
        </w:rPr>
        <w:t xml:space="preserve"> wpływ na </w:t>
      </w:r>
      <w:r w:rsidR="001F7A6C" w:rsidRPr="00BD22FE">
        <w:rPr>
          <w:sz w:val="22"/>
          <w:szCs w:val="22"/>
          <w:lang w:val="pl-PL"/>
        </w:rPr>
        <w:t>reprodukcję</w:t>
      </w:r>
      <w:r w:rsidR="001F7A6C" w:rsidRPr="00BD22FE" w:rsidDel="001F7A6C">
        <w:rPr>
          <w:sz w:val="22"/>
          <w:szCs w:val="22"/>
          <w:lang w:val="pl-PL"/>
        </w:rPr>
        <w:t xml:space="preserve"> </w:t>
      </w:r>
      <w:r w:rsidRPr="00BD22FE">
        <w:rPr>
          <w:sz w:val="22"/>
          <w:szCs w:val="22"/>
          <w:lang w:val="pl-PL"/>
        </w:rPr>
        <w:t>(patrz punkt 5.3).</w:t>
      </w:r>
    </w:p>
    <w:p w14:paraId="019787ED" w14:textId="4CA4C5C5" w:rsidR="000016E2" w:rsidRPr="00BD22FE" w:rsidRDefault="00104CA8" w:rsidP="00A610E1">
      <w:pPr>
        <w:pStyle w:val="BodyText"/>
        <w:spacing w:line="240" w:lineRule="auto"/>
        <w:jc w:val="left"/>
        <w:rPr>
          <w:sz w:val="22"/>
          <w:szCs w:val="22"/>
          <w:lang w:val="pl-PL"/>
        </w:rPr>
      </w:pPr>
      <w:r w:rsidRPr="00BD22FE">
        <w:rPr>
          <w:sz w:val="22"/>
          <w:szCs w:val="22"/>
          <w:lang w:val="pl-PL"/>
        </w:rPr>
        <w:t>Dane epidemiologiczne dotyczące ryzyka działania teratogennego w</w:t>
      </w:r>
      <w:r w:rsidR="00717A7B" w:rsidRPr="00BD22FE">
        <w:rPr>
          <w:sz w:val="22"/>
          <w:szCs w:val="22"/>
          <w:lang w:val="pl-PL"/>
        </w:rPr>
        <w:t> </w:t>
      </w:r>
      <w:r w:rsidRPr="00BD22FE">
        <w:rPr>
          <w:sz w:val="22"/>
          <w:szCs w:val="22"/>
          <w:lang w:val="pl-PL"/>
        </w:rPr>
        <w:t xml:space="preserve">przypadku narażenia na inhibitory ACE </w:t>
      </w:r>
      <w:r w:rsidR="0019280C" w:rsidRPr="00BD22FE">
        <w:rPr>
          <w:sz w:val="22"/>
          <w:szCs w:val="22"/>
          <w:lang w:val="pl-PL"/>
        </w:rPr>
        <w:t xml:space="preserve">podczas </w:t>
      </w:r>
      <w:r w:rsidRPr="00BD22FE">
        <w:rPr>
          <w:sz w:val="22"/>
          <w:szCs w:val="22"/>
          <w:lang w:val="pl-PL"/>
        </w:rPr>
        <w:t>pierwsz</w:t>
      </w:r>
      <w:r w:rsidR="0019280C" w:rsidRPr="00BD22FE">
        <w:rPr>
          <w:sz w:val="22"/>
          <w:szCs w:val="22"/>
          <w:lang w:val="pl-PL"/>
        </w:rPr>
        <w:t>ego</w:t>
      </w:r>
      <w:r w:rsidRPr="00BD22FE">
        <w:rPr>
          <w:sz w:val="22"/>
          <w:szCs w:val="22"/>
          <w:lang w:val="pl-PL"/>
        </w:rPr>
        <w:t xml:space="preserve"> trymestr</w:t>
      </w:r>
      <w:r w:rsidR="0019280C" w:rsidRPr="00BD22FE">
        <w:rPr>
          <w:sz w:val="22"/>
          <w:szCs w:val="22"/>
          <w:lang w:val="pl-PL"/>
        </w:rPr>
        <w:t>u</w:t>
      </w:r>
      <w:r w:rsidRPr="00BD22FE">
        <w:rPr>
          <w:sz w:val="22"/>
          <w:szCs w:val="22"/>
          <w:lang w:val="pl-PL"/>
        </w:rPr>
        <w:t xml:space="preserve"> ciąży nie są </w:t>
      </w:r>
      <w:r w:rsidR="0019280C" w:rsidRPr="00BD22FE">
        <w:rPr>
          <w:sz w:val="22"/>
          <w:szCs w:val="22"/>
          <w:lang w:val="pl-PL"/>
        </w:rPr>
        <w:t>jednoznaczne</w:t>
      </w:r>
      <w:r w:rsidRPr="00BD22FE">
        <w:rPr>
          <w:sz w:val="22"/>
          <w:szCs w:val="22"/>
          <w:lang w:val="pl-PL"/>
        </w:rPr>
        <w:t xml:space="preserve">; nie można jednak wykluczyć niewielkiego zwiększenia ryzyka. </w:t>
      </w:r>
      <w:r w:rsidR="008B37C6" w:rsidRPr="00BD22FE">
        <w:rPr>
          <w:sz w:val="22"/>
          <w:szCs w:val="22"/>
          <w:lang w:val="pl-PL"/>
        </w:rPr>
        <w:t xml:space="preserve">Pomimo braku </w:t>
      </w:r>
      <w:r w:rsidRPr="00BD22FE">
        <w:rPr>
          <w:sz w:val="22"/>
          <w:szCs w:val="22"/>
          <w:lang w:val="pl-PL"/>
        </w:rPr>
        <w:t>danych z</w:t>
      </w:r>
      <w:r w:rsidR="00717A7B" w:rsidRPr="00BD22FE">
        <w:rPr>
          <w:sz w:val="22"/>
          <w:szCs w:val="22"/>
          <w:lang w:val="pl-PL"/>
        </w:rPr>
        <w:t> </w:t>
      </w:r>
      <w:r w:rsidRPr="00BD22FE">
        <w:rPr>
          <w:sz w:val="22"/>
          <w:szCs w:val="22"/>
          <w:lang w:val="pl-PL"/>
        </w:rPr>
        <w:t>kontrolowanych badań epidemiologicznych dotyczących ryzyka związanego z</w:t>
      </w:r>
      <w:r w:rsidR="00717A7B" w:rsidRPr="00BD22FE">
        <w:rPr>
          <w:sz w:val="22"/>
          <w:szCs w:val="22"/>
          <w:lang w:val="pl-PL"/>
        </w:rPr>
        <w:t> </w:t>
      </w:r>
      <w:r w:rsidRPr="00BD22FE">
        <w:rPr>
          <w:sz w:val="22"/>
          <w:szCs w:val="22"/>
          <w:lang w:val="pl-PL"/>
        </w:rPr>
        <w:t>blokerami receptora angiotensyny</w:t>
      </w:r>
      <w:r w:rsidR="001E0877" w:rsidRPr="00BD22FE">
        <w:rPr>
          <w:sz w:val="22"/>
          <w:szCs w:val="22"/>
          <w:lang w:val="pl-PL"/>
        </w:rPr>
        <w:t> </w:t>
      </w:r>
      <w:r w:rsidRPr="00BD22FE">
        <w:rPr>
          <w:sz w:val="22"/>
          <w:szCs w:val="22"/>
          <w:lang w:val="pl-PL"/>
        </w:rPr>
        <w:t>II, z</w:t>
      </w:r>
      <w:r w:rsidR="00717A7B" w:rsidRPr="00BD22FE">
        <w:rPr>
          <w:sz w:val="22"/>
          <w:szCs w:val="22"/>
          <w:lang w:val="pl-PL"/>
        </w:rPr>
        <w:t> </w:t>
      </w:r>
      <w:r w:rsidRPr="00BD22FE">
        <w:rPr>
          <w:sz w:val="22"/>
          <w:szCs w:val="22"/>
          <w:lang w:val="pl-PL"/>
        </w:rPr>
        <w:t>tą grupą leków mogą wiązać się podobne zagrożenia. O</w:t>
      </w:r>
      <w:r w:rsidR="00717A7B" w:rsidRPr="00BD22FE">
        <w:rPr>
          <w:sz w:val="22"/>
          <w:szCs w:val="22"/>
          <w:lang w:val="pl-PL"/>
        </w:rPr>
        <w:t> </w:t>
      </w:r>
      <w:r w:rsidRPr="00BD22FE">
        <w:rPr>
          <w:sz w:val="22"/>
          <w:szCs w:val="22"/>
          <w:lang w:val="pl-PL"/>
        </w:rPr>
        <w:t>ile kontynuacj</w:t>
      </w:r>
      <w:r w:rsidR="0046619D" w:rsidRPr="00BD22FE">
        <w:rPr>
          <w:sz w:val="22"/>
          <w:szCs w:val="22"/>
          <w:lang w:val="pl-PL"/>
        </w:rPr>
        <w:t>ę</w:t>
      </w:r>
      <w:r w:rsidRPr="00BD22FE">
        <w:rPr>
          <w:sz w:val="22"/>
          <w:szCs w:val="22"/>
          <w:lang w:val="pl-PL"/>
        </w:rPr>
        <w:t xml:space="preserve"> leczenia za pomocą blokera receptora angiotensyny</w:t>
      </w:r>
      <w:r w:rsidR="001E0877" w:rsidRPr="00BD22FE">
        <w:rPr>
          <w:sz w:val="22"/>
          <w:szCs w:val="22"/>
          <w:lang w:val="pl-PL"/>
        </w:rPr>
        <w:t> </w:t>
      </w:r>
      <w:r w:rsidRPr="00BD22FE">
        <w:rPr>
          <w:sz w:val="22"/>
          <w:szCs w:val="22"/>
          <w:lang w:val="pl-PL"/>
        </w:rPr>
        <w:t xml:space="preserve">II nie </w:t>
      </w:r>
      <w:r w:rsidR="00A30172" w:rsidRPr="00BD22FE">
        <w:rPr>
          <w:sz w:val="22"/>
          <w:szCs w:val="22"/>
          <w:lang w:val="pl-PL"/>
        </w:rPr>
        <w:t>uważa się za</w:t>
      </w:r>
      <w:r w:rsidRPr="00BD22FE">
        <w:rPr>
          <w:sz w:val="22"/>
          <w:szCs w:val="22"/>
          <w:lang w:val="pl-PL"/>
        </w:rPr>
        <w:t xml:space="preserve"> niezbędn</w:t>
      </w:r>
      <w:r w:rsidR="00A30172" w:rsidRPr="00BD22FE">
        <w:rPr>
          <w:sz w:val="22"/>
          <w:szCs w:val="22"/>
          <w:lang w:val="pl-PL"/>
        </w:rPr>
        <w:t>ą</w:t>
      </w:r>
      <w:r w:rsidRPr="00BD22FE">
        <w:rPr>
          <w:sz w:val="22"/>
          <w:szCs w:val="22"/>
          <w:lang w:val="pl-PL"/>
        </w:rPr>
        <w:t>, u</w:t>
      </w:r>
      <w:r w:rsidR="00717A7B" w:rsidRPr="00BD22FE">
        <w:rPr>
          <w:sz w:val="22"/>
          <w:szCs w:val="22"/>
          <w:lang w:val="pl-PL"/>
        </w:rPr>
        <w:t> </w:t>
      </w:r>
      <w:r w:rsidRPr="00BD22FE">
        <w:rPr>
          <w:sz w:val="22"/>
          <w:szCs w:val="22"/>
          <w:lang w:val="pl-PL"/>
        </w:rPr>
        <w:t>pacjentek planujących ciążę należy zastosować</w:t>
      </w:r>
      <w:r w:rsidR="000E71E4" w:rsidRPr="00BD22FE">
        <w:rPr>
          <w:sz w:val="22"/>
          <w:szCs w:val="22"/>
          <w:lang w:val="pl-PL"/>
        </w:rPr>
        <w:t xml:space="preserve"> inne</w:t>
      </w:r>
      <w:r w:rsidRPr="00BD22FE">
        <w:rPr>
          <w:sz w:val="22"/>
          <w:szCs w:val="22"/>
          <w:lang w:val="pl-PL"/>
        </w:rPr>
        <w:t xml:space="preserve"> leki przeciwnadciśnieniowe, </w:t>
      </w:r>
      <w:r w:rsidR="000E71E4" w:rsidRPr="00BD22FE">
        <w:rPr>
          <w:sz w:val="22"/>
          <w:szCs w:val="22"/>
          <w:lang w:val="pl-PL"/>
        </w:rPr>
        <w:t>o </w:t>
      </w:r>
      <w:r w:rsidRPr="00BD22FE">
        <w:rPr>
          <w:sz w:val="22"/>
          <w:szCs w:val="22"/>
          <w:lang w:val="pl-PL"/>
        </w:rPr>
        <w:t>ustalony</w:t>
      </w:r>
      <w:r w:rsidR="000E71E4" w:rsidRPr="00BD22FE">
        <w:rPr>
          <w:sz w:val="22"/>
          <w:szCs w:val="22"/>
          <w:lang w:val="pl-PL"/>
        </w:rPr>
        <w:t>m</w:t>
      </w:r>
      <w:r w:rsidRPr="00BD22FE">
        <w:rPr>
          <w:sz w:val="22"/>
          <w:szCs w:val="22"/>
          <w:lang w:val="pl-PL"/>
        </w:rPr>
        <w:t xml:space="preserve"> profil</w:t>
      </w:r>
      <w:r w:rsidR="000E71E4" w:rsidRPr="00BD22FE">
        <w:rPr>
          <w:sz w:val="22"/>
          <w:szCs w:val="22"/>
          <w:lang w:val="pl-PL"/>
        </w:rPr>
        <w:t>u</w:t>
      </w:r>
      <w:r w:rsidRPr="00BD22FE">
        <w:rPr>
          <w:sz w:val="22"/>
          <w:szCs w:val="22"/>
          <w:lang w:val="pl-PL"/>
        </w:rPr>
        <w:t xml:space="preserve"> bezpieczeństwa stosowania w</w:t>
      </w:r>
      <w:r w:rsidR="00717A7B" w:rsidRPr="00BD22FE">
        <w:rPr>
          <w:sz w:val="22"/>
          <w:szCs w:val="22"/>
          <w:lang w:val="pl-PL"/>
        </w:rPr>
        <w:t> </w:t>
      </w:r>
      <w:r w:rsidR="000E71E4" w:rsidRPr="00BD22FE">
        <w:rPr>
          <w:sz w:val="22"/>
          <w:szCs w:val="22"/>
          <w:lang w:val="pl-PL"/>
        </w:rPr>
        <w:t xml:space="preserve">okresie </w:t>
      </w:r>
      <w:r w:rsidRPr="00BD22FE">
        <w:rPr>
          <w:sz w:val="22"/>
          <w:szCs w:val="22"/>
          <w:lang w:val="pl-PL"/>
        </w:rPr>
        <w:t>ciąży. Po stwierdzeniu ciąży leczenie blokerami receptora angiotensyny</w:t>
      </w:r>
      <w:r w:rsidR="001E0877" w:rsidRPr="00BD22FE">
        <w:rPr>
          <w:sz w:val="22"/>
          <w:szCs w:val="22"/>
          <w:lang w:val="pl-PL"/>
        </w:rPr>
        <w:t> </w:t>
      </w:r>
      <w:r w:rsidRPr="00BD22FE">
        <w:rPr>
          <w:sz w:val="22"/>
          <w:szCs w:val="22"/>
          <w:lang w:val="pl-PL"/>
        </w:rPr>
        <w:t>II należy natychmiast przerwać i</w:t>
      </w:r>
      <w:r w:rsidR="00717A7B" w:rsidRPr="00BD22FE">
        <w:rPr>
          <w:sz w:val="22"/>
          <w:szCs w:val="22"/>
          <w:lang w:val="pl-PL"/>
        </w:rPr>
        <w:t> </w:t>
      </w:r>
      <w:r w:rsidRPr="00BD22FE">
        <w:rPr>
          <w:sz w:val="22"/>
          <w:szCs w:val="22"/>
          <w:lang w:val="pl-PL"/>
        </w:rPr>
        <w:t>w</w:t>
      </w:r>
      <w:r w:rsidR="00717A7B" w:rsidRPr="00BD22FE">
        <w:rPr>
          <w:sz w:val="22"/>
          <w:szCs w:val="22"/>
          <w:lang w:val="pl-PL"/>
        </w:rPr>
        <w:t> </w:t>
      </w:r>
      <w:r w:rsidRPr="00BD22FE">
        <w:rPr>
          <w:sz w:val="22"/>
          <w:szCs w:val="22"/>
          <w:lang w:val="pl-PL"/>
        </w:rPr>
        <w:t xml:space="preserve">razie potrzeby rozpocząć </w:t>
      </w:r>
      <w:r w:rsidR="00CC42BB" w:rsidRPr="00BD22FE">
        <w:rPr>
          <w:sz w:val="22"/>
          <w:szCs w:val="22"/>
          <w:lang w:val="pl-PL"/>
        </w:rPr>
        <w:t>alternatywne</w:t>
      </w:r>
      <w:r w:rsidRPr="00BD22FE">
        <w:rPr>
          <w:sz w:val="22"/>
          <w:szCs w:val="22"/>
          <w:lang w:val="pl-PL"/>
        </w:rPr>
        <w:t xml:space="preserve"> leczenie.</w:t>
      </w:r>
    </w:p>
    <w:p w14:paraId="2D465143" w14:textId="77777777" w:rsidR="000016E2" w:rsidRPr="00BD22FE" w:rsidRDefault="000016E2" w:rsidP="00A610E1">
      <w:pPr>
        <w:pStyle w:val="BodyText"/>
        <w:spacing w:line="240" w:lineRule="auto"/>
        <w:jc w:val="left"/>
        <w:rPr>
          <w:sz w:val="22"/>
          <w:szCs w:val="22"/>
          <w:lang w:val="pl-PL"/>
        </w:rPr>
      </w:pPr>
    </w:p>
    <w:p w14:paraId="7DA839B9" w14:textId="2D598C81" w:rsidR="000016E2" w:rsidRPr="00BD22FE" w:rsidRDefault="00104CA8" w:rsidP="00A610E1">
      <w:pPr>
        <w:pStyle w:val="BodyText"/>
        <w:spacing w:line="240" w:lineRule="auto"/>
        <w:jc w:val="left"/>
        <w:rPr>
          <w:sz w:val="22"/>
          <w:szCs w:val="22"/>
          <w:lang w:val="pl-PL"/>
        </w:rPr>
      </w:pPr>
      <w:r w:rsidRPr="00BD22FE">
        <w:rPr>
          <w:sz w:val="22"/>
          <w:szCs w:val="22"/>
          <w:lang w:val="pl-PL"/>
        </w:rPr>
        <w:t>Narażenie na działanie blokerów receptora angiotensyny</w:t>
      </w:r>
      <w:r w:rsidR="001E0877" w:rsidRPr="00BD22FE">
        <w:rPr>
          <w:sz w:val="22"/>
          <w:szCs w:val="22"/>
          <w:lang w:val="pl-PL"/>
        </w:rPr>
        <w:t> </w:t>
      </w:r>
      <w:r w:rsidRPr="00BD22FE">
        <w:rPr>
          <w:sz w:val="22"/>
          <w:szCs w:val="22"/>
          <w:lang w:val="pl-PL"/>
        </w:rPr>
        <w:t xml:space="preserve">II </w:t>
      </w:r>
      <w:r w:rsidR="007F4AB4" w:rsidRPr="00BD22FE">
        <w:rPr>
          <w:sz w:val="22"/>
          <w:szCs w:val="22"/>
          <w:lang w:val="pl-PL"/>
        </w:rPr>
        <w:t xml:space="preserve">podczas </w:t>
      </w:r>
      <w:r w:rsidRPr="00BD22FE">
        <w:rPr>
          <w:sz w:val="22"/>
          <w:szCs w:val="22"/>
          <w:lang w:val="pl-PL"/>
        </w:rPr>
        <w:t>drugi</w:t>
      </w:r>
      <w:r w:rsidR="007F4AB4" w:rsidRPr="00BD22FE">
        <w:rPr>
          <w:sz w:val="22"/>
          <w:szCs w:val="22"/>
          <w:lang w:val="pl-PL"/>
        </w:rPr>
        <w:t>ego</w:t>
      </w:r>
      <w:r w:rsidRPr="00BD22FE">
        <w:rPr>
          <w:sz w:val="22"/>
          <w:szCs w:val="22"/>
          <w:lang w:val="pl-PL"/>
        </w:rPr>
        <w:t xml:space="preserve"> i</w:t>
      </w:r>
      <w:r w:rsidR="00717A7B" w:rsidRPr="00BD22FE">
        <w:rPr>
          <w:sz w:val="22"/>
          <w:szCs w:val="22"/>
          <w:lang w:val="pl-PL"/>
        </w:rPr>
        <w:t> </w:t>
      </w:r>
      <w:r w:rsidRPr="00BD22FE">
        <w:rPr>
          <w:sz w:val="22"/>
          <w:szCs w:val="22"/>
          <w:lang w:val="pl-PL"/>
        </w:rPr>
        <w:t>trzeci</w:t>
      </w:r>
      <w:r w:rsidR="007F4AB4" w:rsidRPr="00BD22FE">
        <w:rPr>
          <w:sz w:val="22"/>
          <w:szCs w:val="22"/>
          <w:lang w:val="pl-PL"/>
        </w:rPr>
        <w:t>ego</w:t>
      </w:r>
      <w:r w:rsidRPr="00BD22FE">
        <w:rPr>
          <w:sz w:val="22"/>
          <w:szCs w:val="22"/>
          <w:lang w:val="pl-PL"/>
        </w:rPr>
        <w:t xml:space="preserve"> trymestr</w:t>
      </w:r>
      <w:r w:rsidR="007F4AB4" w:rsidRPr="00BD22FE">
        <w:rPr>
          <w:sz w:val="22"/>
          <w:szCs w:val="22"/>
          <w:lang w:val="pl-PL"/>
        </w:rPr>
        <w:t>u</w:t>
      </w:r>
      <w:r w:rsidRPr="00BD22FE">
        <w:rPr>
          <w:sz w:val="22"/>
          <w:szCs w:val="22"/>
          <w:lang w:val="pl-PL"/>
        </w:rPr>
        <w:t xml:space="preserve"> ciąży powoduje działanie toksyczne dla płodu (pogorszenie czynności nerek, małowodzie, opóźnienie kostnienia czaszki) i</w:t>
      </w:r>
      <w:r w:rsidR="00717A7B" w:rsidRPr="00BD22FE">
        <w:rPr>
          <w:sz w:val="22"/>
          <w:szCs w:val="22"/>
          <w:lang w:val="pl-PL"/>
        </w:rPr>
        <w:t> </w:t>
      </w:r>
      <w:r w:rsidRPr="00BD22FE">
        <w:rPr>
          <w:sz w:val="22"/>
          <w:szCs w:val="22"/>
          <w:lang w:val="pl-PL"/>
        </w:rPr>
        <w:t>noworodka (niewydolność nerek, niedociśnienie tętnicze, hiperkaliemia) (patrz punkt 5.3).</w:t>
      </w:r>
    </w:p>
    <w:p w14:paraId="39BB775D" w14:textId="6E3F5EA6" w:rsidR="000016E2" w:rsidRPr="00BD22FE" w:rsidRDefault="00104CA8" w:rsidP="00A610E1">
      <w:pPr>
        <w:pStyle w:val="BodyText"/>
        <w:spacing w:line="240" w:lineRule="auto"/>
        <w:jc w:val="left"/>
        <w:rPr>
          <w:sz w:val="22"/>
          <w:szCs w:val="22"/>
          <w:lang w:val="pl-PL"/>
        </w:rPr>
      </w:pPr>
      <w:r w:rsidRPr="00BD22FE">
        <w:rPr>
          <w:sz w:val="22"/>
          <w:szCs w:val="22"/>
          <w:lang w:val="pl-PL"/>
        </w:rPr>
        <w:t>Jeżeli do narażenia na działanie blokerów receptora angiotensyny</w:t>
      </w:r>
      <w:r w:rsidR="001E0877" w:rsidRPr="00BD22FE">
        <w:rPr>
          <w:sz w:val="22"/>
          <w:szCs w:val="22"/>
          <w:lang w:val="pl-PL"/>
        </w:rPr>
        <w:t> </w:t>
      </w:r>
      <w:r w:rsidRPr="00BD22FE">
        <w:rPr>
          <w:sz w:val="22"/>
          <w:szCs w:val="22"/>
          <w:lang w:val="pl-PL"/>
        </w:rPr>
        <w:t>II doszło od drugiego trymestru ciąży, zaleca się badanie ultrasonograficzne nerek i</w:t>
      </w:r>
      <w:r w:rsidR="00717A7B" w:rsidRPr="00BD22FE">
        <w:rPr>
          <w:sz w:val="22"/>
          <w:szCs w:val="22"/>
          <w:lang w:val="pl-PL"/>
        </w:rPr>
        <w:t> </w:t>
      </w:r>
      <w:r w:rsidRPr="00BD22FE">
        <w:rPr>
          <w:sz w:val="22"/>
          <w:szCs w:val="22"/>
          <w:lang w:val="pl-PL"/>
        </w:rPr>
        <w:t>czaszki.</w:t>
      </w:r>
    </w:p>
    <w:p w14:paraId="67DF0479" w14:textId="5F7007EE" w:rsidR="000016E2" w:rsidRPr="00BD22FE" w:rsidRDefault="00104CA8" w:rsidP="00A610E1">
      <w:pPr>
        <w:pStyle w:val="BodyText"/>
        <w:spacing w:line="240" w:lineRule="auto"/>
        <w:jc w:val="left"/>
        <w:rPr>
          <w:sz w:val="22"/>
          <w:szCs w:val="22"/>
          <w:lang w:val="pl-PL"/>
        </w:rPr>
      </w:pPr>
      <w:r w:rsidRPr="00BD22FE">
        <w:rPr>
          <w:sz w:val="22"/>
          <w:szCs w:val="22"/>
          <w:lang w:val="pl-PL"/>
        </w:rPr>
        <w:t>Noworodki, których matki przyjmowały blokery receptora angiotensyny</w:t>
      </w:r>
      <w:r w:rsidR="001E0877" w:rsidRPr="00BD22FE">
        <w:rPr>
          <w:sz w:val="22"/>
          <w:szCs w:val="22"/>
          <w:lang w:val="pl-PL"/>
        </w:rPr>
        <w:t> </w:t>
      </w:r>
      <w:r w:rsidRPr="00BD22FE">
        <w:rPr>
          <w:sz w:val="22"/>
          <w:szCs w:val="22"/>
          <w:lang w:val="pl-PL"/>
        </w:rPr>
        <w:t>II, należy ściśle obserwować z</w:t>
      </w:r>
      <w:r w:rsidR="00C856CF" w:rsidRPr="00BD22FE">
        <w:rPr>
          <w:sz w:val="22"/>
          <w:szCs w:val="22"/>
          <w:lang w:val="pl-PL"/>
        </w:rPr>
        <w:t>e</w:t>
      </w:r>
      <w:r w:rsidRPr="00BD22FE">
        <w:rPr>
          <w:sz w:val="22"/>
          <w:szCs w:val="22"/>
          <w:lang w:val="pl-PL"/>
        </w:rPr>
        <w:t xml:space="preserve"> względu na możliwość wystąpienia niedociśnienia tętniczego (patrz punkty 4.3 i 4.4).</w:t>
      </w:r>
    </w:p>
    <w:p w14:paraId="71BB800E" w14:textId="77777777" w:rsidR="000016E2" w:rsidRPr="00BD22FE" w:rsidRDefault="000016E2" w:rsidP="00A610E1">
      <w:pPr>
        <w:pStyle w:val="PlainText"/>
        <w:rPr>
          <w:rFonts w:ascii="Times New Roman" w:hAnsi="Times New Roman"/>
          <w:sz w:val="22"/>
          <w:szCs w:val="22"/>
          <w:lang w:val="pl-PL"/>
        </w:rPr>
      </w:pPr>
    </w:p>
    <w:p w14:paraId="412C7AB8" w14:textId="3025E0FA" w:rsidR="000016E2" w:rsidRPr="00BD22FE" w:rsidRDefault="00104CA8" w:rsidP="00A610E1">
      <w:pPr>
        <w:pStyle w:val="PlainText"/>
        <w:rPr>
          <w:rFonts w:ascii="Times New Roman" w:hAnsi="Times New Roman"/>
          <w:sz w:val="22"/>
          <w:szCs w:val="22"/>
          <w:lang w:val="pl-PL"/>
        </w:rPr>
      </w:pPr>
      <w:r w:rsidRPr="00BD22FE">
        <w:rPr>
          <w:rFonts w:ascii="Times New Roman" w:hAnsi="Times New Roman"/>
          <w:sz w:val="22"/>
          <w:szCs w:val="22"/>
          <w:lang w:val="pl-PL"/>
        </w:rPr>
        <w:t>Doświadczenia ze stosowaniem HCTZ w okresie ciąży, a</w:t>
      </w:r>
      <w:r w:rsidR="00717A7B" w:rsidRPr="00BD22FE">
        <w:rPr>
          <w:rFonts w:ascii="Times New Roman" w:hAnsi="Times New Roman"/>
          <w:sz w:val="22"/>
          <w:szCs w:val="22"/>
          <w:lang w:val="pl-PL"/>
        </w:rPr>
        <w:t> </w:t>
      </w:r>
      <w:r w:rsidRPr="00BD22FE">
        <w:rPr>
          <w:rFonts w:ascii="Times New Roman" w:hAnsi="Times New Roman"/>
          <w:sz w:val="22"/>
          <w:szCs w:val="22"/>
          <w:lang w:val="pl-PL"/>
        </w:rPr>
        <w:t xml:space="preserve">zwłaszcza </w:t>
      </w:r>
      <w:r w:rsidR="00630273" w:rsidRPr="00BD22FE">
        <w:rPr>
          <w:rFonts w:ascii="Times New Roman" w:hAnsi="Times New Roman"/>
          <w:sz w:val="22"/>
          <w:szCs w:val="22"/>
          <w:lang w:val="pl-PL"/>
        </w:rPr>
        <w:t>podczas </w:t>
      </w:r>
      <w:r w:rsidRPr="00BD22FE">
        <w:rPr>
          <w:rFonts w:ascii="Times New Roman" w:hAnsi="Times New Roman"/>
          <w:sz w:val="22"/>
          <w:szCs w:val="22"/>
          <w:lang w:val="pl-PL"/>
        </w:rPr>
        <w:t>pierwsz</w:t>
      </w:r>
      <w:r w:rsidR="00630273" w:rsidRPr="00BD22FE">
        <w:rPr>
          <w:rFonts w:ascii="Times New Roman" w:hAnsi="Times New Roman"/>
          <w:sz w:val="22"/>
          <w:szCs w:val="22"/>
          <w:lang w:val="pl-PL"/>
        </w:rPr>
        <w:t>ego</w:t>
      </w:r>
      <w:r w:rsidRPr="00BD22FE">
        <w:rPr>
          <w:rFonts w:ascii="Times New Roman" w:hAnsi="Times New Roman"/>
          <w:sz w:val="22"/>
          <w:szCs w:val="22"/>
          <w:lang w:val="pl-PL"/>
        </w:rPr>
        <w:t xml:space="preserve"> trymestr</w:t>
      </w:r>
      <w:r w:rsidR="00630273" w:rsidRPr="00BD22FE">
        <w:rPr>
          <w:rFonts w:ascii="Times New Roman" w:hAnsi="Times New Roman"/>
          <w:sz w:val="22"/>
          <w:szCs w:val="22"/>
          <w:lang w:val="pl-PL"/>
        </w:rPr>
        <w:t>u</w:t>
      </w:r>
      <w:r w:rsidRPr="00BD22FE">
        <w:rPr>
          <w:rFonts w:ascii="Times New Roman" w:hAnsi="Times New Roman"/>
          <w:sz w:val="22"/>
          <w:szCs w:val="22"/>
          <w:lang w:val="pl-PL"/>
        </w:rPr>
        <w:t xml:space="preserve">, są ograniczone. Badania na zwierzętach są niewystarczające. Hydrochlorotiazyd przenika przez łożysko. Ze względu na farmakologiczny mechanizm działania HCTZ stosowanie tego leku </w:t>
      </w:r>
      <w:r w:rsidR="00630273" w:rsidRPr="00BD22FE">
        <w:rPr>
          <w:rFonts w:ascii="Times New Roman" w:hAnsi="Times New Roman"/>
          <w:sz w:val="22"/>
          <w:szCs w:val="22"/>
          <w:lang w:val="pl-PL"/>
        </w:rPr>
        <w:t xml:space="preserve">podczas </w:t>
      </w:r>
      <w:r w:rsidRPr="00BD22FE">
        <w:rPr>
          <w:rFonts w:ascii="Times New Roman" w:hAnsi="Times New Roman"/>
          <w:sz w:val="22"/>
          <w:szCs w:val="22"/>
          <w:lang w:val="pl-PL"/>
        </w:rPr>
        <w:t>drugi</w:t>
      </w:r>
      <w:r w:rsidR="00630273" w:rsidRPr="00BD22FE">
        <w:rPr>
          <w:rFonts w:ascii="Times New Roman" w:hAnsi="Times New Roman"/>
          <w:sz w:val="22"/>
          <w:szCs w:val="22"/>
          <w:lang w:val="pl-PL"/>
        </w:rPr>
        <w:t>ego</w:t>
      </w:r>
      <w:r w:rsidRPr="00BD22FE">
        <w:rPr>
          <w:rFonts w:ascii="Times New Roman" w:hAnsi="Times New Roman"/>
          <w:sz w:val="22"/>
          <w:szCs w:val="22"/>
          <w:lang w:val="pl-PL"/>
        </w:rPr>
        <w:t xml:space="preserve"> i</w:t>
      </w:r>
      <w:r w:rsidR="00717A7B" w:rsidRPr="00BD22FE">
        <w:rPr>
          <w:rFonts w:ascii="Times New Roman" w:hAnsi="Times New Roman"/>
          <w:sz w:val="22"/>
          <w:szCs w:val="22"/>
          <w:lang w:val="pl-PL"/>
        </w:rPr>
        <w:t> </w:t>
      </w:r>
      <w:r w:rsidRPr="00BD22FE">
        <w:rPr>
          <w:rFonts w:ascii="Times New Roman" w:hAnsi="Times New Roman"/>
          <w:sz w:val="22"/>
          <w:szCs w:val="22"/>
          <w:lang w:val="pl-PL"/>
        </w:rPr>
        <w:t>trzeci</w:t>
      </w:r>
      <w:r w:rsidR="00630273" w:rsidRPr="00BD22FE">
        <w:rPr>
          <w:rFonts w:ascii="Times New Roman" w:hAnsi="Times New Roman"/>
          <w:sz w:val="22"/>
          <w:szCs w:val="22"/>
          <w:lang w:val="pl-PL"/>
        </w:rPr>
        <w:t>ego</w:t>
      </w:r>
      <w:r w:rsidRPr="00BD22FE">
        <w:rPr>
          <w:rFonts w:ascii="Times New Roman" w:hAnsi="Times New Roman"/>
          <w:sz w:val="22"/>
          <w:szCs w:val="22"/>
          <w:lang w:val="pl-PL"/>
        </w:rPr>
        <w:t xml:space="preserve"> trymestr</w:t>
      </w:r>
      <w:r w:rsidR="00630273" w:rsidRPr="00BD22FE">
        <w:rPr>
          <w:rFonts w:ascii="Times New Roman" w:hAnsi="Times New Roman"/>
          <w:sz w:val="22"/>
          <w:szCs w:val="22"/>
          <w:lang w:val="pl-PL"/>
        </w:rPr>
        <w:t>u</w:t>
      </w:r>
      <w:r w:rsidRPr="00BD22FE">
        <w:rPr>
          <w:rFonts w:ascii="Times New Roman" w:hAnsi="Times New Roman"/>
          <w:sz w:val="22"/>
          <w:szCs w:val="22"/>
          <w:lang w:val="pl-PL"/>
        </w:rPr>
        <w:t xml:space="preserve"> może prowadzić do zmniejszenia perfuzji płodowo-łożyskowej oraz wywoływać zaburzenia u</w:t>
      </w:r>
      <w:r w:rsidR="00717A7B" w:rsidRPr="00BD22FE">
        <w:rPr>
          <w:rFonts w:ascii="Times New Roman" w:hAnsi="Times New Roman"/>
          <w:sz w:val="22"/>
          <w:szCs w:val="22"/>
          <w:lang w:val="pl-PL"/>
        </w:rPr>
        <w:t> </w:t>
      </w:r>
      <w:r w:rsidRPr="00BD22FE">
        <w:rPr>
          <w:rFonts w:ascii="Times New Roman" w:hAnsi="Times New Roman"/>
          <w:sz w:val="22"/>
          <w:szCs w:val="22"/>
          <w:lang w:val="pl-PL"/>
        </w:rPr>
        <w:t>płodu i</w:t>
      </w:r>
      <w:r w:rsidR="00717A7B" w:rsidRPr="00BD22FE">
        <w:rPr>
          <w:rFonts w:ascii="Times New Roman" w:hAnsi="Times New Roman"/>
          <w:sz w:val="22"/>
          <w:szCs w:val="22"/>
          <w:lang w:val="pl-PL"/>
        </w:rPr>
        <w:t> </w:t>
      </w:r>
      <w:r w:rsidRPr="00BD22FE">
        <w:rPr>
          <w:rFonts w:ascii="Times New Roman" w:hAnsi="Times New Roman"/>
          <w:sz w:val="22"/>
          <w:szCs w:val="22"/>
          <w:lang w:val="pl-PL"/>
        </w:rPr>
        <w:t>noworodka, takie jak żółtaczka, zaburzenia równowagi elektrolitowej i</w:t>
      </w:r>
      <w:r w:rsidR="00717A7B" w:rsidRPr="00BD22FE">
        <w:rPr>
          <w:rFonts w:ascii="Times New Roman" w:hAnsi="Times New Roman"/>
          <w:sz w:val="22"/>
          <w:szCs w:val="22"/>
          <w:lang w:val="pl-PL"/>
        </w:rPr>
        <w:t> </w:t>
      </w:r>
      <w:r w:rsidRPr="00BD22FE">
        <w:rPr>
          <w:rFonts w:ascii="Times New Roman" w:hAnsi="Times New Roman"/>
          <w:sz w:val="22"/>
          <w:szCs w:val="22"/>
          <w:lang w:val="pl-PL"/>
        </w:rPr>
        <w:t>trombocytopenia.</w:t>
      </w:r>
    </w:p>
    <w:p w14:paraId="17E1C489" w14:textId="77777777" w:rsidR="00025200" w:rsidRPr="00BD22FE" w:rsidRDefault="00025200" w:rsidP="00A610E1">
      <w:pPr>
        <w:pStyle w:val="PlainText"/>
        <w:rPr>
          <w:rFonts w:ascii="Times New Roman" w:hAnsi="Times New Roman"/>
          <w:sz w:val="22"/>
          <w:szCs w:val="22"/>
          <w:lang w:val="pl-PL"/>
        </w:rPr>
      </w:pPr>
    </w:p>
    <w:p w14:paraId="626CB265" w14:textId="57F15A7F" w:rsidR="000016E2" w:rsidRPr="00BD22FE" w:rsidRDefault="00104CA8" w:rsidP="00A610E1">
      <w:pPr>
        <w:pStyle w:val="PlainText"/>
        <w:rPr>
          <w:rFonts w:ascii="Times New Roman" w:hAnsi="Times New Roman"/>
          <w:sz w:val="22"/>
          <w:szCs w:val="22"/>
          <w:lang w:val="pl-PL"/>
        </w:rPr>
      </w:pPr>
      <w:r w:rsidRPr="00BD22FE">
        <w:rPr>
          <w:rFonts w:ascii="Times New Roman" w:hAnsi="Times New Roman"/>
          <w:sz w:val="22"/>
          <w:szCs w:val="22"/>
          <w:lang w:val="pl-PL"/>
        </w:rPr>
        <w:t>Hydrochlorotiazydu nie należy stosować w</w:t>
      </w:r>
      <w:r w:rsidR="00717A7B" w:rsidRPr="00BD22FE">
        <w:rPr>
          <w:rFonts w:ascii="Times New Roman" w:hAnsi="Times New Roman"/>
          <w:sz w:val="22"/>
          <w:szCs w:val="22"/>
          <w:lang w:val="pl-PL"/>
        </w:rPr>
        <w:t> </w:t>
      </w:r>
      <w:r w:rsidRPr="00BD22FE">
        <w:rPr>
          <w:rFonts w:ascii="Times New Roman" w:hAnsi="Times New Roman"/>
          <w:sz w:val="22"/>
          <w:szCs w:val="22"/>
          <w:lang w:val="pl-PL"/>
        </w:rPr>
        <w:t xml:space="preserve">obrzękach ciążowych, nadciśnieniu ciążowym </w:t>
      </w:r>
      <w:r w:rsidR="00025200" w:rsidRPr="00BD22FE">
        <w:rPr>
          <w:rFonts w:ascii="Times New Roman" w:hAnsi="Times New Roman"/>
          <w:sz w:val="22"/>
          <w:szCs w:val="22"/>
          <w:lang w:val="pl-PL"/>
        </w:rPr>
        <w:t>lub </w:t>
      </w:r>
      <w:r w:rsidRPr="00BD22FE">
        <w:rPr>
          <w:rFonts w:ascii="Times New Roman" w:hAnsi="Times New Roman"/>
          <w:sz w:val="22"/>
          <w:szCs w:val="22"/>
          <w:lang w:val="pl-PL"/>
        </w:rPr>
        <w:t>stanie przedrzucawkowym z</w:t>
      </w:r>
      <w:r w:rsidR="00717A7B" w:rsidRPr="00BD22FE">
        <w:rPr>
          <w:rFonts w:ascii="Times New Roman" w:hAnsi="Times New Roman"/>
          <w:sz w:val="22"/>
          <w:szCs w:val="22"/>
          <w:lang w:val="pl-PL"/>
        </w:rPr>
        <w:t> </w:t>
      </w:r>
      <w:r w:rsidRPr="00BD22FE">
        <w:rPr>
          <w:rFonts w:ascii="Times New Roman" w:hAnsi="Times New Roman"/>
          <w:sz w:val="22"/>
          <w:szCs w:val="22"/>
          <w:lang w:val="pl-PL"/>
        </w:rPr>
        <w:t>powodu ryzyka zmniejszenia objętości osocza oraz niedokrwienia łożyska, bez korzystnego wpływu na przebieg choroby.</w:t>
      </w:r>
    </w:p>
    <w:p w14:paraId="7F04A674" w14:textId="77777777" w:rsidR="000016E2" w:rsidRPr="00BD22FE" w:rsidRDefault="000016E2" w:rsidP="00A610E1">
      <w:pPr>
        <w:pStyle w:val="PlainText"/>
        <w:rPr>
          <w:rFonts w:ascii="Times New Roman" w:hAnsi="Times New Roman"/>
          <w:sz w:val="22"/>
          <w:szCs w:val="22"/>
          <w:lang w:val="pl-PL"/>
        </w:rPr>
      </w:pPr>
    </w:p>
    <w:p w14:paraId="7072A134" w14:textId="24AC8E07" w:rsidR="000016E2" w:rsidRPr="00BD22FE" w:rsidRDefault="00104CA8" w:rsidP="00A610E1">
      <w:pPr>
        <w:pStyle w:val="PlainText"/>
        <w:rPr>
          <w:rFonts w:ascii="Times New Roman" w:hAnsi="Times New Roman"/>
          <w:sz w:val="22"/>
          <w:szCs w:val="22"/>
          <w:lang w:val="pl-PL"/>
        </w:rPr>
      </w:pPr>
      <w:r w:rsidRPr="00BD22FE">
        <w:rPr>
          <w:rFonts w:ascii="Times New Roman" w:hAnsi="Times New Roman"/>
          <w:sz w:val="22"/>
          <w:szCs w:val="22"/>
          <w:lang w:val="pl-PL"/>
        </w:rPr>
        <w:t>Nie należy stosować hydrochlorotiazydu w</w:t>
      </w:r>
      <w:r w:rsidR="00717A7B" w:rsidRPr="00BD22FE">
        <w:rPr>
          <w:rFonts w:ascii="Times New Roman" w:hAnsi="Times New Roman"/>
          <w:sz w:val="22"/>
          <w:szCs w:val="22"/>
          <w:lang w:val="pl-PL"/>
        </w:rPr>
        <w:t> </w:t>
      </w:r>
      <w:r w:rsidRPr="00BD22FE">
        <w:rPr>
          <w:rFonts w:ascii="Times New Roman" w:hAnsi="Times New Roman"/>
          <w:sz w:val="22"/>
          <w:szCs w:val="22"/>
          <w:lang w:val="pl-PL"/>
        </w:rPr>
        <w:t>samoistnym nadciśnieniu tętniczym u</w:t>
      </w:r>
      <w:r w:rsidR="00717A7B" w:rsidRPr="00BD22FE">
        <w:rPr>
          <w:rFonts w:ascii="Times New Roman" w:hAnsi="Times New Roman"/>
          <w:sz w:val="22"/>
          <w:szCs w:val="22"/>
          <w:lang w:val="pl-PL"/>
        </w:rPr>
        <w:t> </w:t>
      </w:r>
      <w:r w:rsidRPr="00BD22FE">
        <w:rPr>
          <w:rFonts w:ascii="Times New Roman" w:hAnsi="Times New Roman"/>
          <w:sz w:val="22"/>
          <w:szCs w:val="22"/>
          <w:lang w:val="pl-PL"/>
        </w:rPr>
        <w:t>kobiet w</w:t>
      </w:r>
      <w:r w:rsidR="00717A7B" w:rsidRPr="00BD22FE">
        <w:rPr>
          <w:rFonts w:ascii="Times New Roman" w:hAnsi="Times New Roman"/>
          <w:sz w:val="22"/>
          <w:szCs w:val="22"/>
          <w:lang w:val="pl-PL"/>
        </w:rPr>
        <w:t> </w:t>
      </w:r>
      <w:r w:rsidR="00025200" w:rsidRPr="00BD22FE">
        <w:rPr>
          <w:rFonts w:ascii="Times New Roman" w:hAnsi="Times New Roman"/>
          <w:sz w:val="22"/>
          <w:szCs w:val="22"/>
          <w:lang w:val="pl-PL"/>
        </w:rPr>
        <w:t xml:space="preserve">okresie </w:t>
      </w:r>
      <w:r w:rsidRPr="00BD22FE">
        <w:rPr>
          <w:rFonts w:ascii="Times New Roman" w:hAnsi="Times New Roman"/>
          <w:sz w:val="22"/>
          <w:szCs w:val="22"/>
          <w:lang w:val="pl-PL"/>
        </w:rPr>
        <w:t>ciąży z</w:t>
      </w:r>
      <w:r w:rsidR="00717A7B" w:rsidRPr="00BD22FE">
        <w:rPr>
          <w:rFonts w:ascii="Times New Roman" w:hAnsi="Times New Roman"/>
          <w:sz w:val="22"/>
          <w:szCs w:val="22"/>
          <w:lang w:val="pl-PL"/>
        </w:rPr>
        <w:t> </w:t>
      </w:r>
      <w:r w:rsidRPr="00BD22FE">
        <w:rPr>
          <w:rFonts w:ascii="Times New Roman" w:hAnsi="Times New Roman"/>
          <w:sz w:val="22"/>
          <w:szCs w:val="22"/>
          <w:lang w:val="pl-PL"/>
        </w:rPr>
        <w:t>wyjątkiem rzadkich sytuacji, kiedy niemożliwe jest zastosowanie alternatywnego leczenia.</w:t>
      </w:r>
    </w:p>
    <w:p w14:paraId="789F4BD6" w14:textId="77777777" w:rsidR="000016E2" w:rsidRPr="00BD22FE" w:rsidRDefault="000016E2" w:rsidP="00A610E1">
      <w:pPr>
        <w:pStyle w:val="BodyText"/>
        <w:spacing w:line="240" w:lineRule="auto"/>
        <w:jc w:val="left"/>
        <w:rPr>
          <w:sz w:val="22"/>
          <w:szCs w:val="22"/>
          <w:u w:val="single"/>
          <w:lang w:val="pl-PL"/>
        </w:rPr>
      </w:pPr>
    </w:p>
    <w:p w14:paraId="1FFCBF47" w14:textId="77777777" w:rsidR="003A7E3D" w:rsidRPr="00BD22FE" w:rsidRDefault="00104CA8" w:rsidP="00A610E1">
      <w:pPr>
        <w:pStyle w:val="BodyText"/>
        <w:keepNext/>
        <w:spacing w:line="240" w:lineRule="auto"/>
        <w:jc w:val="left"/>
        <w:rPr>
          <w:sz w:val="22"/>
          <w:szCs w:val="22"/>
          <w:lang w:val="pl-PL"/>
        </w:rPr>
      </w:pPr>
      <w:r w:rsidRPr="00BD22FE">
        <w:rPr>
          <w:sz w:val="22"/>
          <w:szCs w:val="22"/>
          <w:u w:val="single"/>
          <w:lang w:val="pl-PL"/>
        </w:rPr>
        <w:lastRenderedPageBreak/>
        <w:t>Karmienie piersią</w:t>
      </w:r>
    </w:p>
    <w:p w14:paraId="2426D5C1" w14:textId="32DB90E5" w:rsidR="003A7E3D" w:rsidRPr="00BD22FE" w:rsidRDefault="00104CA8" w:rsidP="00A610E1">
      <w:pPr>
        <w:rPr>
          <w:sz w:val="22"/>
          <w:szCs w:val="22"/>
          <w:lang w:val="pl-PL"/>
        </w:rPr>
      </w:pPr>
      <w:r w:rsidRPr="00BD22FE">
        <w:rPr>
          <w:sz w:val="22"/>
          <w:szCs w:val="22"/>
          <w:lang w:val="pl-PL"/>
        </w:rPr>
        <w:t>Z</w:t>
      </w:r>
      <w:r w:rsidR="00717A7B" w:rsidRPr="00BD22FE">
        <w:rPr>
          <w:sz w:val="22"/>
          <w:szCs w:val="22"/>
          <w:lang w:val="pl-PL"/>
        </w:rPr>
        <w:t> </w:t>
      </w:r>
      <w:r w:rsidRPr="00BD22FE">
        <w:rPr>
          <w:sz w:val="22"/>
          <w:szCs w:val="22"/>
          <w:lang w:val="pl-PL"/>
        </w:rPr>
        <w:t xml:space="preserve">powodu braku informacji dotyczących stosowania telmisartanu/HCTZ </w:t>
      </w:r>
      <w:r w:rsidR="00590367" w:rsidRPr="00BD22FE">
        <w:rPr>
          <w:sz w:val="22"/>
          <w:szCs w:val="22"/>
          <w:lang w:val="pl-PL"/>
        </w:rPr>
        <w:t>podczas</w:t>
      </w:r>
      <w:r w:rsidRPr="00BD22FE">
        <w:rPr>
          <w:sz w:val="22"/>
          <w:szCs w:val="22"/>
          <w:lang w:val="pl-PL"/>
        </w:rPr>
        <w:t xml:space="preserve"> karmienia piersią, nie </w:t>
      </w:r>
      <w:r w:rsidR="00590367" w:rsidRPr="00BD22FE">
        <w:rPr>
          <w:sz w:val="22"/>
          <w:szCs w:val="22"/>
          <w:lang w:val="pl-PL"/>
        </w:rPr>
        <w:t>jest on zalecany do </w:t>
      </w:r>
      <w:r w:rsidRPr="00BD22FE">
        <w:rPr>
          <w:sz w:val="22"/>
          <w:szCs w:val="22"/>
          <w:lang w:val="pl-PL"/>
        </w:rPr>
        <w:t>stosowania w</w:t>
      </w:r>
      <w:r w:rsidR="00717A7B" w:rsidRPr="00BD22FE">
        <w:rPr>
          <w:sz w:val="22"/>
          <w:szCs w:val="22"/>
          <w:lang w:val="pl-PL"/>
        </w:rPr>
        <w:t> </w:t>
      </w:r>
      <w:r w:rsidRPr="00BD22FE">
        <w:rPr>
          <w:sz w:val="22"/>
          <w:szCs w:val="22"/>
          <w:lang w:val="pl-PL"/>
        </w:rPr>
        <w:t xml:space="preserve">tym okresie. </w:t>
      </w:r>
      <w:r w:rsidR="00590367" w:rsidRPr="00BD22FE">
        <w:rPr>
          <w:sz w:val="22"/>
          <w:szCs w:val="22"/>
          <w:lang w:val="pl-PL"/>
        </w:rPr>
        <w:t>Podczas</w:t>
      </w:r>
      <w:r w:rsidR="00590367" w:rsidRPr="00BD22FE" w:rsidDel="00590367">
        <w:rPr>
          <w:sz w:val="22"/>
          <w:szCs w:val="22"/>
          <w:lang w:val="pl-PL"/>
        </w:rPr>
        <w:t xml:space="preserve"> </w:t>
      </w:r>
      <w:r w:rsidRPr="00BD22FE">
        <w:rPr>
          <w:sz w:val="22"/>
          <w:szCs w:val="22"/>
          <w:lang w:val="pl-PL"/>
        </w:rPr>
        <w:t>karmienia piersią, w</w:t>
      </w:r>
      <w:r w:rsidR="00717A7B" w:rsidRPr="00BD22FE">
        <w:rPr>
          <w:sz w:val="22"/>
          <w:szCs w:val="22"/>
          <w:lang w:val="pl-PL"/>
        </w:rPr>
        <w:t> </w:t>
      </w:r>
      <w:r w:rsidRPr="00BD22FE">
        <w:rPr>
          <w:sz w:val="22"/>
          <w:szCs w:val="22"/>
          <w:lang w:val="pl-PL"/>
        </w:rPr>
        <w:t>szczególności noworodków i</w:t>
      </w:r>
      <w:r w:rsidR="00717A7B" w:rsidRPr="00BD22FE">
        <w:rPr>
          <w:sz w:val="22"/>
          <w:szCs w:val="22"/>
          <w:lang w:val="pl-PL"/>
        </w:rPr>
        <w:t> </w:t>
      </w:r>
      <w:r w:rsidRPr="00BD22FE">
        <w:rPr>
          <w:sz w:val="22"/>
          <w:szCs w:val="22"/>
          <w:lang w:val="pl-PL"/>
        </w:rPr>
        <w:t xml:space="preserve">dzieci urodzonych przedwcześnie, zaleca się stosowanie innych produktów </w:t>
      </w:r>
      <w:r w:rsidR="00F64A4D" w:rsidRPr="00BD22FE">
        <w:rPr>
          <w:sz w:val="22"/>
          <w:szCs w:val="22"/>
          <w:lang w:val="pl-PL"/>
        </w:rPr>
        <w:t xml:space="preserve">leczniczych </w:t>
      </w:r>
      <w:r w:rsidRPr="00BD22FE">
        <w:rPr>
          <w:sz w:val="22"/>
          <w:szCs w:val="22"/>
          <w:lang w:val="pl-PL"/>
        </w:rPr>
        <w:t xml:space="preserve">posiadających </w:t>
      </w:r>
      <w:r w:rsidR="00590367" w:rsidRPr="00BD22FE">
        <w:rPr>
          <w:sz w:val="22"/>
          <w:szCs w:val="22"/>
          <w:lang w:val="pl-PL"/>
        </w:rPr>
        <w:t xml:space="preserve">lepiej ustalony </w:t>
      </w:r>
      <w:r w:rsidRPr="00BD22FE">
        <w:rPr>
          <w:sz w:val="22"/>
          <w:szCs w:val="22"/>
          <w:lang w:val="pl-PL"/>
        </w:rPr>
        <w:t>profil bezpieczeństwa</w:t>
      </w:r>
      <w:r w:rsidR="00590367" w:rsidRPr="00BD22FE">
        <w:rPr>
          <w:sz w:val="22"/>
          <w:szCs w:val="22"/>
          <w:lang w:val="pl-PL"/>
        </w:rPr>
        <w:t xml:space="preserve"> stosowania</w:t>
      </w:r>
      <w:r w:rsidRPr="00BD22FE">
        <w:rPr>
          <w:sz w:val="22"/>
          <w:szCs w:val="22"/>
          <w:lang w:val="pl-PL"/>
        </w:rPr>
        <w:t>.</w:t>
      </w:r>
    </w:p>
    <w:p w14:paraId="409557F8" w14:textId="3E42CFB3" w:rsidR="000016E2" w:rsidRPr="00BD22FE" w:rsidRDefault="000016E2" w:rsidP="00A610E1">
      <w:pPr>
        <w:pStyle w:val="PlainText"/>
        <w:rPr>
          <w:rFonts w:ascii="Times New Roman" w:hAnsi="Times New Roman"/>
          <w:sz w:val="22"/>
          <w:szCs w:val="22"/>
          <w:u w:val="single"/>
          <w:lang w:val="pl-PL"/>
        </w:rPr>
      </w:pPr>
    </w:p>
    <w:p w14:paraId="3C5C9CD6" w14:textId="2E165EB9" w:rsidR="000016E2" w:rsidRPr="00BD22FE" w:rsidRDefault="00E93F66" w:rsidP="00A610E1">
      <w:pPr>
        <w:pStyle w:val="PlainText"/>
        <w:rPr>
          <w:rFonts w:ascii="Times New Roman" w:hAnsi="Times New Roman"/>
          <w:sz w:val="22"/>
          <w:szCs w:val="22"/>
          <w:lang w:val="pl-PL"/>
        </w:rPr>
      </w:pPr>
      <w:r w:rsidRPr="00BD22FE">
        <w:rPr>
          <w:rFonts w:ascii="Times New Roman" w:hAnsi="Times New Roman"/>
          <w:sz w:val="22"/>
          <w:szCs w:val="22"/>
          <w:lang w:val="pl-PL"/>
        </w:rPr>
        <w:t>H</w:t>
      </w:r>
      <w:r w:rsidR="00104CA8" w:rsidRPr="00BD22FE">
        <w:rPr>
          <w:rFonts w:ascii="Times New Roman" w:hAnsi="Times New Roman"/>
          <w:sz w:val="22"/>
          <w:szCs w:val="22"/>
          <w:lang w:val="pl-PL"/>
        </w:rPr>
        <w:t xml:space="preserve">ydrochlorotiazyd przenika do mleka </w:t>
      </w:r>
      <w:r w:rsidRPr="00BD22FE">
        <w:rPr>
          <w:rFonts w:ascii="Times New Roman" w:hAnsi="Times New Roman"/>
          <w:sz w:val="22"/>
          <w:szCs w:val="22"/>
          <w:lang w:val="pl-PL"/>
        </w:rPr>
        <w:t>ludzkiego w małych ilościach</w:t>
      </w:r>
      <w:r w:rsidR="00104CA8" w:rsidRPr="00BD22FE">
        <w:rPr>
          <w:rFonts w:ascii="Times New Roman" w:hAnsi="Times New Roman"/>
          <w:sz w:val="22"/>
          <w:szCs w:val="22"/>
          <w:lang w:val="pl-PL"/>
        </w:rPr>
        <w:t>. Wysokie dawki tiazydów wywołujące silną diurezę mogą hamować laktację. Nie zaleca się stosowania telmisartanu/HCTZ podczas karmienia piersią. W</w:t>
      </w:r>
      <w:r w:rsidR="00717A7B" w:rsidRPr="00BD22FE">
        <w:rPr>
          <w:rFonts w:ascii="Times New Roman" w:hAnsi="Times New Roman"/>
          <w:sz w:val="22"/>
          <w:szCs w:val="22"/>
          <w:lang w:val="pl-PL"/>
        </w:rPr>
        <w:t> </w:t>
      </w:r>
      <w:r w:rsidR="00104CA8" w:rsidRPr="00BD22FE">
        <w:rPr>
          <w:rFonts w:ascii="Times New Roman" w:hAnsi="Times New Roman"/>
          <w:sz w:val="22"/>
          <w:szCs w:val="22"/>
          <w:lang w:val="pl-PL"/>
        </w:rPr>
        <w:t>przypadku stosowania telmisartanu/HCTZ podczas karmienia piersią należy stosować możliwie najmniejsze dawki.</w:t>
      </w:r>
    </w:p>
    <w:p w14:paraId="47F98C1E" w14:textId="77777777" w:rsidR="000016E2" w:rsidRPr="00BD22FE" w:rsidRDefault="000016E2" w:rsidP="00A610E1">
      <w:pPr>
        <w:pStyle w:val="PlainText"/>
        <w:rPr>
          <w:rFonts w:ascii="Times New Roman" w:hAnsi="Times New Roman"/>
          <w:sz w:val="22"/>
          <w:szCs w:val="22"/>
          <w:u w:val="single"/>
          <w:lang w:val="pl-PL"/>
        </w:rPr>
      </w:pPr>
    </w:p>
    <w:p w14:paraId="4B813496" w14:textId="77777777" w:rsidR="000016E2" w:rsidRPr="00BD22FE" w:rsidRDefault="00104CA8" w:rsidP="00A610E1">
      <w:pPr>
        <w:keepNext/>
        <w:rPr>
          <w:sz w:val="22"/>
          <w:szCs w:val="22"/>
          <w:u w:val="single"/>
          <w:lang w:val="pl-PL"/>
        </w:rPr>
      </w:pPr>
      <w:r w:rsidRPr="00BD22FE">
        <w:rPr>
          <w:sz w:val="22"/>
          <w:szCs w:val="22"/>
          <w:u w:val="single"/>
          <w:lang w:val="pl-PL"/>
        </w:rPr>
        <w:t>Płodność</w:t>
      </w:r>
    </w:p>
    <w:p w14:paraId="36CB4897" w14:textId="25CFF74A" w:rsidR="000016E2" w:rsidRPr="00BD22FE" w:rsidRDefault="00104CA8" w:rsidP="00A610E1">
      <w:pPr>
        <w:pStyle w:val="ListBullet"/>
        <w:numPr>
          <w:ilvl w:val="0"/>
          <w:numId w:val="0"/>
        </w:numPr>
        <w:rPr>
          <w:sz w:val="22"/>
          <w:szCs w:val="22"/>
          <w:lang w:val="pl-PL"/>
        </w:rPr>
      </w:pPr>
      <w:r w:rsidRPr="00BD22FE">
        <w:rPr>
          <w:sz w:val="22"/>
          <w:szCs w:val="22"/>
          <w:lang w:val="pl-PL"/>
        </w:rPr>
        <w:t>Nie przeprowadzono badań dotyczących płodności u ludzi przyjmujących złożony produkt leczniczy o ustalonej dawce lub</w:t>
      </w:r>
      <w:r w:rsidR="00E41411" w:rsidRPr="00BD22FE">
        <w:rPr>
          <w:sz w:val="22"/>
          <w:szCs w:val="22"/>
          <w:lang w:val="pl-PL"/>
        </w:rPr>
        <w:t xml:space="preserve"> </w:t>
      </w:r>
      <w:r w:rsidR="00B02412" w:rsidRPr="00BD22FE">
        <w:rPr>
          <w:sz w:val="22"/>
          <w:szCs w:val="22"/>
          <w:lang w:val="pl-PL"/>
        </w:rPr>
        <w:t xml:space="preserve">badań </w:t>
      </w:r>
      <w:r w:rsidRPr="00BD22FE">
        <w:rPr>
          <w:sz w:val="22"/>
          <w:szCs w:val="22"/>
          <w:lang w:val="pl-PL"/>
        </w:rPr>
        <w:t>poszczególn</w:t>
      </w:r>
      <w:r w:rsidR="00B02412" w:rsidRPr="00BD22FE">
        <w:rPr>
          <w:sz w:val="22"/>
          <w:szCs w:val="22"/>
          <w:lang w:val="pl-PL"/>
        </w:rPr>
        <w:t>ych jego</w:t>
      </w:r>
      <w:r w:rsidRPr="00BD22FE">
        <w:rPr>
          <w:sz w:val="22"/>
          <w:szCs w:val="22"/>
          <w:lang w:val="pl-PL"/>
        </w:rPr>
        <w:t xml:space="preserve"> składnik</w:t>
      </w:r>
      <w:r w:rsidR="00B02412" w:rsidRPr="00BD22FE">
        <w:rPr>
          <w:sz w:val="22"/>
          <w:szCs w:val="22"/>
          <w:lang w:val="pl-PL"/>
        </w:rPr>
        <w:t>ów</w:t>
      </w:r>
      <w:r w:rsidRPr="00BD22FE">
        <w:rPr>
          <w:sz w:val="22"/>
          <w:szCs w:val="22"/>
          <w:lang w:val="pl-PL"/>
        </w:rPr>
        <w:t>.</w:t>
      </w:r>
    </w:p>
    <w:p w14:paraId="2FACAA7D" w14:textId="09489787" w:rsidR="000016E2" w:rsidRPr="00BD22FE" w:rsidRDefault="00104CA8" w:rsidP="00A610E1">
      <w:pPr>
        <w:rPr>
          <w:sz w:val="22"/>
          <w:szCs w:val="22"/>
          <w:lang w:val="pl-PL"/>
        </w:rPr>
      </w:pPr>
      <w:r w:rsidRPr="00BD22FE">
        <w:rPr>
          <w:sz w:val="22"/>
          <w:szCs w:val="22"/>
          <w:lang w:val="pl-PL"/>
        </w:rPr>
        <w:t>W</w:t>
      </w:r>
      <w:r w:rsidR="00717A7B" w:rsidRPr="00BD22FE">
        <w:rPr>
          <w:sz w:val="22"/>
          <w:szCs w:val="22"/>
          <w:lang w:val="pl-PL"/>
        </w:rPr>
        <w:t> </w:t>
      </w:r>
      <w:r w:rsidRPr="00BD22FE">
        <w:rPr>
          <w:sz w:val="22"/>
          <w:szCs w:val="22"/>
          <w:lang w:val="pl-PL"/>
        </w:rPr>
        <w:t xml:space="preserve">badaniach </w:t>
      </w:r>
      <w:r w:rsidR="005A302E" w:rsidRPr="00BD22FE">
        <w:rPr>
          <w:sz w:val="22"/>
          <w:szCs w:val="22"/>
          <w:lang w:val="pl-PL"/>
        </w:rPr>
        <w:t xml:space="preserve">nieklinicznych </w:t>
      </w:r>
      <w:r w:rsidRPr="00BD22FE">
        <w:rPr>
          <w:sz w:val="22"/>
          <w:szCs w:val="22"/>
          <w:lang w:val="pl-PL"/>
        </w:rPr>
        <w:t>nie obserwowano wpływu telmisartanu i</w:t>
      </w:r>
      <w:r w:rsidR="00717A7B" w:rsidRPr="00BD22FE">
        <w:rPr>
          <w:sz w:val="22"/>
          <w:szCs w:val="22"/>
          <w:lang w:val="pl-PL"/>
        </w:rPr>
        <w:t> </w:t>
      </w:r>
      <w:r w:rsidRPr="00BD22FE">
        <w:rPr>
          <w:sz w:val="22"/>
          <w:szCs w:val="22"/>
          <w:lang w:val="pl-PL"/>
        </w:rPr>
        <w:t>HCTZ na płodność u</w:t>
      </w:r>
      <w:r w:rsidR="00717A7B" w:rsidRPr="00BD22FE">
        <w:rPr>
          <w:sz w:val="22"/>
          <w:szCs w:val="22"/>
          <w:lang w:val="pl-PL"/>
        </w:rPr>
        <w:t> </w:t>
      </w:r>
      <w:r w:rsidR="00E55963" w:rsidRPr="00BD22FE">
        <w:rPr>
          <w:sz w:val="22"/>
          <w:szCs w:val="22"/>
          <w:lang w:val="pl-PL"/>
        </w:rPr>
        <w:t>mężczyzn i </w:t>
      </w:r>
      <w:r w:rsidRPr="00BD22FE">
        <w:rPr>
          <w:sz w:val="22"/>
          <w:szCs w:val="22"/>
          <w:lang w:val="pl-PL"/>
        </w:rPr>
        <w:t>kobiet.</w:t>
      </w:r>
    </w:p>
    <w:p w14:paraId="0E154AE4" w14:textId="77777777" w:rsidR="000016E2" w:rsidRPr="00BD22FE" w:rsidRDefault="000016E2" w:rsidP="00A610E1">
      <w:pPr>
        <w:pStyle w:val="BodyText"/>
        <w:spacing w:line="240" w:lineRule="auto"/>
        <w:jc w:val="left"/>
        <w:rPr>
          <w:sz w:val="22"/>
          <w:szCs w:val="22"/>
          <w:lang w:val="pl-PL"/>
        </w:rPr>
      </w:pPr>
    </w:p>
    <w:p w14:paraId="61E6B942" w14:textId="0365CD2C" w:rsidR="000016E2" w:rsidRPr="00BD22FE" w:rsidRDefault="00104CA8" w:rsidP="00A610E1">
      <w:pPr>
        <w:pStyle w:val="BodyText"/>
        <w:keepNext/>
        <w:spacing w:line="240" w:lineRule="auto"/>
        <w:ind w:left="567" w:hanging="567"/>
        <w:jc w:val="left"/>
        <w:rPr>
          <w:b/>
          <w:sz w:val="22"/>
          <w:szCs w:val="22"/>
          <w:lang w:val="pl-PL"/>
        </w:rPr>
      </w:pPr>
      <w:r w:rsidRPr="00BD22FE">
        <w:rPr>
          <w:b/>
          <w:sz w:val="22"/>
          <w:szCs w:val="22"/>
          <w:lang w:val="pl-PL"/>
        </w:rPr>
        <w:t>4.7</w:t>
      </w:r>
      <w:r w:rsidRPr="00BD22FE">
        <w:rPr>
          <w:b/>
          <w:sz w:val="22"/>
          <w:szCs w:val="22"/>
          <w:lang w:val="pl-PL"/>
        </w:rPr>
        <w:tab/>
        <w:t>Wpływ na zdolność prowadzenia pojazdów i</w:t>
      </w:r>
      <w:r w:rsidR="00717A7B" w:rsidRPr="00BD22FE">
        <w:rPr>
          <w:b/>
          <w:sz w:val="22"/>
          <w:szCs w:val="22"/>
          <w:lang w:val="pl-PL"/>
        </w:rPr>
        <w:t> </w:t>
      </w:r>
      <w:r w:rsidRPr="00BD22FE">
        <w:rPr>
          <w:b/>
          <w:sz w:val="22"/>
          <w:szCs w:val="22"/>
          <w:lang w:val="pl-PL"/>
        </w:rPr>
        <w:t>obsługiwania maszyn</w:t>
      </w:r>
    </w:p>
    <w:p w14:paraId="6B5E0E29" w14:textId="77777777" w:rsidR="000016E2" w:rsidRPr="00BD22FE" w:rsidRDefault="000016E2" w:rsidP="00A610E1">
      <w:pPr>
        <w:pStyle w:val="BodyText"/>
        <w:keepNext/>
        <w:spacing w:line="240" w:lineRule="auto"/>
        <w:jc w:val="left"/>
        <w:rPr>
          <w:sz w:val="22"/>
          <w:szCs w:val="22"/>
          <w:lang w:val="pl-PL"/>
        </w:rPr>
      </w:pPr>
    </w:p>
    <w:p w14:paraId="12523E66" w14:textId="0A143A89" w:rsidR="000016E2" w:rsidRPr="00BD22FE" w:rsidRDefault="00104CA8" w:rsidP="00A610E1">
      <w:pPr>
        <w:pStyle w:val="BodyText"/>
        <w:spacing w:line="240" w:lineRule="auto"/>
        <w:jc w:val="left"/>
        <w:rPr>
          <w:sz w:val="22"/>
          <w:szCs w:val="22"/>
          <w:lang w:val="pl-PL"/>
        </w:rPr>
      </w:pPr>
      <w:r w:rsidRPr="00BD22FE">
        <w:rPr>
          <w:sz w:val="22"/>
          <w:szCs w:val="22"/>
          <w:lang w:val="pl-PL"/>
        </w:rPr>
        <w:t>Produkt leczniczy MicardisPlus może wywierać wpływ na zdolność prowadzenia pojazdów i</w:t>
      </w:r>
      <w:r w:rsidR="00717A7B" w:rsidRPr="00BD22FE">
        <w:rPr>
          <w:sz w:val="22"/>
          <w:szCs w:val="22"/>
          <w:lang w:val="pl-PL"/>
        </w:rPr>
        <w:t> </w:t>
      </w:r>
      <w:r w:rsidRPr="00BD22FE">
        <w:rPr>
          <w:sz w:val="22"/>
          <w:szCs w:val="22"/>
          <w:lang w:val="pl-PL"/>
        </w:rPr>
        <w:t>obsługiwania maszyn. W</w:t>
      </w:r>
      <w:r w:rsidR="00717A7B" w:rsidRPr="00BD22FE">
        <w:rPr>
          <w:sz w:val="22"/>
          <w:szCs w:val="22"/>
          <w:lang w:val="pl-PL"/>
        </w:rPr>
        <w:t> </w:t>
      </w:r>
      <w:r w:rsidRPr="00BD22FE">
        <w:rPr>
          <w:sz w:val="22"/>
          <w:szCs w:val="22"/>
          <w:lang w:val="pl-PL"/>
        </w:rPr>
        <w:t>przypadku stosowania leków przeciwnadciśnieniowych, takich jak telmisartan/HCTZ, mogą czasami wystąpić zawroty głowy pochodzenia ośrodkowego, omdlenie lub zawroty głowy pochodzenia błędnikowego.</w:t>
      </w:r>
    </w:p>
    <w:p w14:paraId="78307A23" w14:textId="77777777" w:rsidR="000016E2" w:rsidRPr="00BD22FE" w:rsidRDefault="000016E2" w:rsidP="00A610E1">
      <w:pPr>
        <w:pStyle w:val="BodyText"/>
        <w:spacing w:line="240" w:lineRule="auto"/>
        <w:jc w:val="left"/>
        <w:rPr>
          <w:sz w:val="22"/>
          <w:szCs w:val="22"/>
          <w:lang w:val="pl-PL"/>
        </w:rPr>
      </w:pPr>
    </w:p>
    <w:p w14:paraId="76CA7B8F" w14:textId="77777777" w:rsidR="000016E2" w:rsidRPr="00BD22FE" w:rsidRDefault="00104CA8" w:rsidP="00A610E1">
      <w:pPr>
        <w:pStyle w:val="BodyText"/>
        <w:spacing w:line="240" w:lineRule="auto"/>
        <w:jc w:val="left"/>
        <w:rPr>
          <w:sz w:val="22"/>
          <w:szCs w:val="22"/>
          <w:lang w:val="pl-PL"/>
        </w:rPr>
      </w:pPr>
      <w:r w:rsidRPr="00BD22FE">
        <w:rPr>
          <w:sz w:val="22"/>
          <w:szCs w:val="22"/>
          <w:lang w:val="pl-PL"/>
        </w:rPr>
        <w:t>Jeśli u pacjenta wystąpią takie działania niepożądane, należy unikać wykonywania potencjalnie niebezpiecznych czynności, takich jak prowadzenie pojazdów lub obsługiwanie maszyn.</w:t>
      </w:r>
    </w:p>
    <w:p w14:paraId="50F31E0D" w14:textId="77777777" w:rsidR="000016E2" w:rsidRPr="00BD22FE" w:rsidRDefault="000016E2" w:rsidP="00A610E1">
      <w:pPr>
        <w:pStyle w:val="BodyText"/>
        <w:spacing w:line="240" w:lineRule="auto"/>
        <w:jc w:val="left"/>
        <w:rPr>
          <w:sz w:val="22"/>
          <w:szCs w:val="22"/>
          <w:lang w:val="pl-PL"/>
        </w:rPr>
      </w:pPr>
    </w:p>
    <w:p w14:paraId="19D4B15E" w14:textId="77777777" w:rsidR="000016E2" w:rsidRPr="00BD22FE" w:rsidRDefault="00104CA8" w:rsidP="00A610E1">
      <w:pPr>
        <w:pStyle w:val="BodyText"/>
        <w:keepNext/>
        <w:spacing w:line="240" w:lineRule="auto"/>
        <w:ind w:left="567" w:hanging="567"/>
        <w:jc w:val="left"/>
        <w:rPr>
          <w:b/>
          <w:sz w:val="22"/>
          <w:szCs w:val="22"/>
          <w:lang w:val="pl-PL"/>
        </w:rPr>
      </w:pPr>
      <w:r w:rsidRPr="00BD22FE">
        <w:rPr>
          <w:b/>
          <w:sz w:val="22"/>
          <w:szCs w:val="22"/>
          <w:lang w:val="pl-PL"/>
        </w:rPr>
        <w:t>4.8</w:t>
      </w:r>
      <w:r w:rsidRPr="00BD22FE">
        <w:rPr>
          <w:b/>
          <w:sz w:val="22"/>
          <w:szCs w:val="22"/>
          <w:lang w:val="pl-PL"/>
        </w:rPr>
        <w:tab/>
        <w:t>Działania niepożądane</w:t>
      </w:r>
    </w:p>
    <w:p w14:paraId="0FA5120F" w14:textId="77777777" w:rsidR="000016E2" w:rsidRPr="00BD22FE" w:rsidRDefault="000016E2" w:rsidP="00A610E1">
      <w:pPr>
        <w:pStyle w:val="BodyText"/>
        <w:keepNext/>
        <w:spacing w:line="240" w:lineRule="auto"/>
        <w:jc w:val="left"/>
        <w:rPr>
          <w:sz w:val="22"/>
          <w:szCs w:val="22"/>
          <w:lang w:val="pl-PL"/>
        </w:rPr>
      </w:pPr>
    </w:p>
    <w:p w14:paraId="4AB271AF" w14:textId="1720B9D3" w:rsidR="000016E2" w:rsidRPr="00BD22FE" w:rsidRDefault="00104CA8" w:rsidP="00A610E1">
      <w:pPr>
        <w:keepNext/>
        <w:rPr>
          <w:sz w:val="22"/>
          <w:szCs w:val="22"/>
          <w:u w:val="single"/>
          <w:lang w:val="pl-PL"/>
        </w:rPr>
      </w:pPr>
      <w:r w:rsidRPr="00BD22FE">
        <w:rPr>
          <w:sz w:val="22"/>
          <w:szCs w:val="22"/>
          <w:u w:val="single"/>
          <w:lang w:val="pl-PL"/>
        </w:rPr>
        <w:t>Podsumowanie profilu bezpieczeństwa</w:t>
      </w:r>
      <w:r w:rsidR="009809EB" w:rsidRPr="00BD22FE">
        <w:rPr>
          <w:sz w:val="22"/>
          <w:szCs w:val="22"/>
          <w:u w:val="single"/>
          <w:lang w:val="pl-PL"/>
        </w:rPr>
        <w:t xml:space="preserve"> stosowania</w:t>
      </w:r>
    </w:p>
    <w:p w14:paraId="7AC4905A" w14:textId="3F4384A5" w:rsidR="000016E2" w:rsidRPr="00BD22FE" w:rsidRDefault="00104CA8" w:rsidP="00A610E1">
      <w:pPr>
        <w:rPr>
          <w:sz w:val="22"/>
          <w:szCs w:val="22"/>
          <w:lang w:val="pl-PL"/>
        </w:rPr>
      </w:pPr>
      <w:r w:rsidRPr="00BD22FE">
        <w:rPr>
          <w:sz w:val="22"/>
          <w:szCs w:val="22"/>
          <w:lang w:val="pl-PL"/>
        </w:rPr>
        <w:t>Najczęściej zgłaszanym działaniem niepożądanym są zawroty głowy. W</w:t>
      </w:r>
      <w:r w:rsidR="00717A7B" w:rsidRPr="00BD22FE">
        <w:rPr>
          <w:sz w:val="22"/>
          <w:szCs w:val="22"/>
          <w:lang w:val="pl-PL"/>
        </w:rPr>
        <w:t> </w:t>
      </w:r>
      <w:r w:rsidRPr="00BD22FE">
        <w:rPr>
          <w:sz w:val="22"/>
          <w:szCs w:val="22"/>
          <w:lang w:val="pl-PL"/>
        </w:rPr>
        <w:t>rzadkich przypadkach (≥</w:t>
      </w:r>
      <w:r w:rsidR="008C51AC" w:rsidRPr="00BD22FE">
        <w:rPr>
          <w:sz w:val="22"/>
          <w:szCs w:val="22"/>
          <w:lang w:val="pl-PL"/>
        </w:rPr>
        <w:t> </w:t>
      </w:r>
      <w:r w:rsidRPr="00BD22FE">
        <w:rPr>
          <w:sz w:val="22"/>
          <w:szCs w:val="22"/>
          <w:lang w:val="pl-PL"/>
        </w:rPr>
        <w:t>1/10 000 do &lt;</w:t>
      </w:r>
      <w:r w:rsidR="008C51AC" w:rsidRPr="00BD22FE">
        <w:rPr>
          <w:sz w:val="22"/>
          <w:szCs w:val="22"/>
          <w:lang w:val="pl-PL"/>
        </w:rPr>
        <w:t> </w:t>
      </w:r>
      <w:r w:rsidRPr="00BD22FE">
        <w:rPr>
          <w:sz w:val="22"/>
          <w:szCs w:val="22"/>
          <w:lang w:val="pl-PL"/>
        </w:rPr>
        <w:t>1/1 000) może wystąpić ciężki obrzęk naczynioruchowy.</w:t>
      </w:r>
    </w:p>
    <w:p w14:paraId="61E2D5D0" w14:textId="77777777" w:rsidR="000016E2" w:rsidRPr="00BD22FE" w:rsidRDefault="000016E2" w:rsidP="00A610E1">
      <w:pPr>
        <w:pStyle w:val="BodyText"/>
        <w:spacing w:line="240" w:lineRule="auto"/>
        <w:jc w:val="left"/>
        <w:rPr>
          <w:sz w:val="22"/>
          <w:szCs w:val="22"/>
          <w:u w:val="single"/>
          <w:lang w:val="pl-PL"/>
        </w:rPr>
      </w:pPr>
    </w:p>
    <w:p w14:paraId="563175FC" w14:textId="647E920A" w:rsidR="000016E2" w:rsidRPr="00BD22FE" w:rsidRDefault="00104CA8" w:rsidP="00A610E1">
      <w:pPr>
        <w:pStyle w:val="BodyText"/>
        <w:spacing w:line="240" w:lineRule="auto"/>
        <w:jc w:val="left"/>
        <w:rPr>
          <w:sz w:val="22"/>
          <w:szCs w:val="22"/>
          <w:lang w:val="pl-PL"/>
        </w:rPr>
      </w:pPr>
      <w:r w:rsidRPr="00BD22FE">
        <w:rPr>
          <w:sz w:val="22"/>
          <w:szCs w:val="22"/>
          <w:lang w:val="pl-PL"/>
        </w:rPr>
        <w:t>W</w:t>
      </w:r>
      <w:r w:rsidR="00717A7B" w:rsidRPr="00BD22FE">
        <w:rPr>
          <w:sz w:val="22"/>
          <w:szCs w:val="22"/>
          <w:lang w:val="pl-PL"/>
        </w:rPr>
        <w:t> </w:t>
      </w:r>
      <w:r w:rsidRPr="00BD22FE">
        <w:rPr>
          <w:sz w:val="22"/>
          <w:szCs w:val="22"/>
          <w:lang w:val="pl-PL"/>
        </w:rPr>
        <w:t>kontrolowany</w:t>
      </w:r>
      <w:r w:rsidR="009A1A5A" w:rsidRPr="00BD22FE">
        <w:rPr>
          <w:sz w:val="22"/>
          <w:szCs w:val="22"/>
          <w:lang w:val="pl-PL"/>
        </w:rPr>
        <w:t>ch</w:t>
      </w:r>
      <w:r w:rsidRPr="00BD22FE">
        <w:rPr>
          <w:sz w:val="22"/>
          <w:szCs w:val="22"/>
          <w:lang w:val="pl-PL"/>
        </w:rPr>
        <w:t>, randomizowany</w:t>
      </w:r>
      <w:r w:rsidR="009A1A5A" w:rsidRPr="00BD22FE">
        <w:rPr>
          <w:sz w:val="22"/>
          <w:szCs w:val="22"/>
          <w:lang w:val="pl-PL"/>
        </w:rPr>
        <w:t>ch</w:t>
      </w:r>
      <w:r w:rsidRPr="00BD22FE">
        <w:rPr>
          <w:sz w:val="22"/>
          <w:szCs w:val="22"/>
          <w:lang w:val="pl-PL"/>
        </w:rPr>
        <w:t xml:space="preserve"> badani</w:t>
      </w:r>
      <w:r w:rsidR="009A1A5A" w:rsidRPr="00BD22FE">
        <w:rPr>
          <w:sz w:val="22"/>
          <w:szCs w:val="22"/>
          <w:lang w:val="pl-PL"/>
        </w:rPr>
        <w:t>ach</w:t>
      </w:r>
      <w:r w:rsidRPr="00BD22FE">
        <w:rPr>
          <w:sz w:val="22"/>
          <w:szCs w:val="22"/>
          <w:lang w:val="pl-PL"/>
        </w:rPr>
        <w:t xml:space="preserve"> z</w:t>
      </w:r>
      <w:r w:rsidR="00717A7B" w:rsidRPr="00BD22FE">
        <w:rPr>
          <w:sz w:val="22"/>
          <w:szCs w:val="22"/>
          <w:lang w:val="pl-PL"/>
        </w:rPr>
        <w:t> </w:t>
      </w:r>
      <w:r w:rsidRPr="00BD22FE">
        <w:rPr>
          <w:sz w:val="22"/>
          <w:szCs w:val="22"/>
          <w:lang w:val="pl-PL"/>
        </w:rPr>
        <w:t xml:space="preserve">udziałem 1 471 pacjentów, </w:t>
      </w:r>
      <w:r w:rsidR="009A1A5A" w:rsidRPr="00BD22FE">
        <w:rPr>
          <w:sz w:val="22"/>
          <w:szCs w:val="22"/>
          <w:lang w:val="pl-PL"/>
        </w:rPr>
        <w:t xml:space="preserve">którzy zostali zrandomizowani do otrzymywania </w:t>
      </w:r>
      <w:r w:rsidRPr="00BD22FE">
        <w:rPr>
          <w:sz w:val="22"/>
          <w:szCs w:val="22"/>
          <w:lang w:val="pl-PL"/>
        </w:rPr>
        <w:t>telmisartan</w:t>
      </w:r>
      <w:r w:rsidR="009A1A5A" w:rsidRPr="00BD22FE">
        <w:rPr>
          <w:sz w:val="22"/>
          <w:szCs w:val="22"/>
          <w:lang w:val="pl-PL"/>
        </w:rPr>
        <w:t>u</w:t>
      </w:r>
      <w:r w:rsidRPr="00BD22FE">
        <w:rPr>
          <w:sz w:val="22"/>
          <w:szCs w:val="22"/>
          <w:lang w:val="pl-PL"/>
        </w:rPr>
        <w:t xml:space="preserve"> i</w:t>
      </w:r>
      <w:r w:rsidR="00717A7B" w:rsidRPr="00BD22FE">
        <w:rPr>
          <w:sz w:val="22"/>
          <w:szCs w:val="22"/>
          <w:lang w:val="pl-PL"/>
        </w:rPr>
        <w:t> </w:t>
      </w:r>
      <w:r w:rsidRPr="00BD22FE">
        <w:rPr>
          <w:sz w:val="22"/>
          <w:szCs w:val="22"/>
          <w:lang w:val="pl-PL"/>
        </w:rPr>
        <w:t>HCTZ</w:t>
      </w:r>
      <w:r w:rsidR="009A1A5A" w:rsidRPr="00BD22FE">
        <w:rPr>
          <w:sz w:val="22"/>
          <w:szCs w:val="22"/>
          <w:lang w:val="pl-PL"/>
        </w:rPr>
        <w:t xml:space="preserve"> (835) lub</w:t>
      </w:r>
      <w:r w:rsidRPr="00BD22FE">
        <w:rPr>
          <w:sz w:val="22"/>
          <w:szCs w:val="22"/>
          <w:lang w:val="pl-PL"/>
        </w:rPr>
        <w:t xml:space="preserve"> sam</w:t>
      </w:r>
      <w:r w:rsidR="009A1A5A" w:rsidRPr="00BD22FE">
        <w:rPr>
          <w:sz w:val="22"/>
          <w:szCs w:val="22"/>
          <w:lang w:val="pl-PL"/>
        </w:rPr>
        <w:t>ego</w:t>
      </w:r>
      <w:r w:rsidRPr="00BD22FE">
        <w:rPr>
          <w:sz w:val="22"/>
          <w:szCs w:val="22"/>
          <w:lang w:val="pl-PL"/>
        </w:rPr>
        <w:t xml:space="preserve"> telmisartan</w:t>
      </w:r>
      <w:r w:rsidR="009A1A5A" w:rsidRPr="00BD22FE">
        <w:rPr>
          <w:sz w:val="22"/>
          <w:szCs w:val="22"/>
          <w:lang w:val="pl-PL"/>
        </w:rPr>
        <w:t>u (636)</w:t>
      </w:r>
      <w:r w:rsidRPr="00BD22FE">
        <w:rPr>
          <w:sz w:val="22"/>
          <w:szCs w:val="22"/>
          <w:lang w:val="pl-PL"/>
        </w:rPr>
        <w:t>, całkowita częstość występowania działań niepożądanych w</w:t>
      </w:r>
      <w:r w:rsidR="00717A7B" w:rsidRPr="00BD22FE">
        <w:rPr>
          <w:sz w:val="22"/>
          <w:szCs w:val="22"/>
          <w:lang w:val="pl-PL"/>
        </w:rPr>
        <w:t> </w:t>
      </w:r>
      <w:r w:rsidRPr="00BD22FE">
        <w:rPr>
          <w:sz w:val="22"/>
          <w:szCs w:val="22"/>
          <w:lang w:val="pl-PL"/>
        </w:rPr>
        <w:t>trakcie stosowania telmisartanu z</w:t>
      </w:r>
      <w:r w:rsidR="00717A7B" w:rsidRPr="00BD22FE">
        <w:rPr>
          <w:sz w:val="22"/>
          <w:szCs w:val="22"/>
          <w:lang w:val="pl-PL"/>
        </w:rPr>
        <w:t> </w:t>
      </w:r>
      <w:r w:rsidRPr="00BD22FE">
        <w:rPr>
          <w:sz w:val="22"/>
          <w:szCs w:val="22"/>
          <w:lang w:val="pl-PL"/>
        </w:rPr>
        <w:t>HCTZ była porównywalna z</w:t>
      </w:r>
      <w:r w:rsidR="00717A7B" w:rsidRPr="00BD22FE">
        <w:rPr>
          <w:sz w:val="22"/>
          <w:szCs w:val="22"/>
          <w:lang w:val="pl-PL"/>
        </w:rPr>
        <w:t> </w:t>
      </w:r>
      <w:r w:rsidRPr="00BD22FE">
        <w:rPr>
          <w:sz w:val="22"/>
          <w:szCs w:val="22"/>
          <w:lang w:val="pl-PL"/>
        </w:rPr>
        <w:t>częstością ich występowania w</w:t>
      </w:r>
      <w:r w:rsidR="00717A7B" w:rsidRPr="00BD22FE">
        <w:rPr>
          <w:sz w:val="22"/>
          <w:szCs w:val="22"/>
          <w:lang w:val="pl-PL"/>
        </w:rPr>
        <w:t> </w:t>
      </w:r>
      <w:r w:rsidRPr="00BD22FE">
        <w:rPr>
          <w:sz w:val="22"/>
          <w:szCs w:val="22"/>
          <w:lang w:val="pl-PL"/>
        </w:rPr>
        <w:t xml:space="preserve">trakcie stosowania samego telmisartanu. Zależna od dawki częstość występowania działań niepożądanych nie została ustalona </w:t>
      </w:r>
      <w:r w:rsidR="002A3168" w:rsidRPr="00BD22FE">
        <w:rPr>
          <w:sz w:val="22"/>
          <w:szCs w:val="22"/>
          <w:lang w:val="pl-PL"/>
        </w:rPr>
        <w:t>i </w:t>
      </w:r>
      <w:r w:rsidRPr="00BD22FE">
        <w:rPr>
          <w:sz w:val="22"/>
          <w:szCs w:val="22"/>
          <w:lang w:val="pl-PL"/>
        </w:rPr>
        <w:t>nie zaobserwowano korelacji z</w:t>
      </w:r>
      <w:r w:rsidR="00717A7B" w:rsidRPr="00BD22FE">
        <w:rPr>
          <w:sz w:val="22"/>
          <w:szCs w:val="22"/>
          <w:lang w:val="pl-PL"/>
        </w:rPr>
        <w:t> </w:t>
      </w:r>
      <w:r w:rsidRPr="00BD22FE">
        <w:rPr>
          <w:sz w:val="22"/>
          <w:szCs w:val="22"/>
          <w:lang w:val="pl-PL"/>
        </w:rPr>
        <w:t>płcią, wiekiem i</w:t>
      </w:r>
      <w:r w:rsidR="00717A7B" w:rsidRPr="00BD22FE">
        <w:rPr>
          <w:sz w:val="22"/>
          <w:szCs w:val="22"/>
          <w:lang w:val="pl-PL"/>
        </w:rPr>
        <w:t> </w:t>
      </w:r>
      <w:r w:rsidRPr="00BD22FE">
        <w:rPr>
          <w:sz w:val="22"/>
          <w:szCs w:val="22"/>
          <w:lang w:val="pl-PL"/>
        </w:rPr>
        <w:t>rasą pacjentów.</w:t>
      </w:r>
    </w:p>
    <w:p w14:paraId="42883431" w14:textId="77777777" w:rsidR="000016E2" w:rsidRPr="00BD22FE" w:rsidRDefault="000016E2" w:rsidP="00A610E1">
      <w:pPr>
        <w:pStyle w:val="BodyText"/>
        <w:spacing w:line="240" w:lineRule="auto"/>
        <w:jc w:val="left"/>
        <w:rPr>
          <w:sz w:val="22"/>
          <w:szCs w:val="22"/>
          <w:lang w:val="pl-PL"/>
        </w:rPr>
      </w:pPr>
    </w:p>
    <w:p w14:paraId="7E470800" w14:textId="77777777" w:rsidR="000016E2" w:rsidRPr="00BD22FE" w:rsidRDefault="00104CA8" w:rsidP="00A610E1">
      <w:pPr>
        <w:keepNext/>
        <w:rPr>
          <w:sz w:val="22"/>
          <w:szCs w:val="22"/>
          <w:u w:val="single"/>
          <w:lang w:val="pl-PL"/>
        </w:rPr>
      </w:pPr>
      <w:r w:rsidRPr="00BD22FE">
        <w:rPr>
          <w:sz w:val="22"/>
          <w:szCs w:val="22"/>
          <w:u w:val="single"/>
          <w:lang w:val="pl-PL"/>
        </w:rPr>
        <w:t>Tabelaryczne zestawienie działań niepożądanych</w:t>
      </w:r>
    </w:p>
    <w:p w14:paraId="060ADDCB" w14:textId="47EDE883" w:rsidR="000016E2" w:rsidRPr="00BD22FE" w:rsidRDefault="00104CA8" w:rsidP="00941FBF">
      <w:pPr>
        <w:pStyle w:val="BodyText"/>
        <w:spacing w:line="240" w:lineRule="auto"/>
        <w:jc w:val="left"/>
        <w:rPr>
          <w:sz w:val="22"/>
          <w:szCs w:val="22"/>
          <w:lang w:val="pl-PL"/>
        </w:rPr>
      </w:pPr>
      <w:r w:rsidRPr="00BD22FE">
        <w:rPr>
          <w:sz w:val="22"/>
          <w:szCs w:val="22"/>
          <w:lang w:val="pl-PL"/>
        </w:rPr>
        <w:t>Działania niepożądane odnotowane we wszystkich badaniach klinicznych, występujące częściej (p ≤ 0,05) w</w:t>
      </w:r>
      <w:r w:rsidR="00717A7B" w:rsidRPr="00BD22FE">
        <w:rPr>
          <w:sz w:val="22"/>
          <w:szCs w:val="22"/>
          <w:lang w:val="pl-PL"/>
        </w:rPr>
        <w:t> </w:t>
      </w:r>
      <w:r w:rsidRPr="00BD22FE">
        <w:rPr>
          <w:sz w:val="22"/>
          <w:szCs w:val="22"/>
          <w:lang w:val="pl-PL"/>
        </w:rPr>
        <w:t>przypadku połączenia telmisartanu i</w:t>
      </w:r>
      <w:r w:rsidR="00717A7B" w:rsidRPr="00BD22FE">
        <w:rPr>
          <w:sz w:val="22"/>
          <w:szCs w:val="22"/>
          <w:lang w:val="pl-PL"/>
        </w:rPr>
        <w:t> </w:t>
      </w:r>
      <w:r w:rsidRPr="00BD22FE">
        <w:rPr>
          <w:sz w:val="22"/>
          <w:szCs w:val="22"/>
          <w:lang w:val="pl-PL"/>
        </w:rPr>
        <w:t>HCTZ niż w</w:t>
      </w:r>
      <w:r w:rsidR="00717A7B" w:rsidRPr="00BD22FE">
        <w:rPr>
          <w:sz w:val="22"/>
          <w:szCs w:val="22"/>
          <w:lang w:val="pl-PL"/>
        </w:rPr>
        <w:t> </w:t>
      </w:r>
      <w:r w:rsidRPr="00BD22FE">
        <w:rPr>
          <w:sz w:val="22"/>
          <w:szCs w:val="22"/>
          <w:lang w:val="pl-PL"/>
        </w:rPr>
        <w:t>przypadku stosowania placebo, zostały przedstawione poniżej zgodnie z</w:t>
      </w:r>
      <w:r w:rsidR="00717A7B" w:rsidRPr="00BD22FE">
        <w:rPr>
          <w:sz w:val="22"/>
          <w:szCs w:val="22"/>
          <w:lang w:val="pl-PL"/>
        </w:rPr>
        <w:t> </w:t>
      </w:r>
      <w:r w:rsidRPr="00BD22FE">
        <w:rPr>
          <w:sz w:val="22"/>
          <w:szCs w:val="22"/>
          <w:lang w:val="pl-PL"/>
        </w:rPr>
        <w:t xml:space="preserve">klasyfikacją układów </w:t>
      </w:r>
      <w:r w:rsidR="002E1ECB" w:rsidRPr="00BD22FE">
        <w:rPr>
          <w:sz w:val="22"/>
          <w:szCs w:val="22"/>
          <w:lang w:val="pl-PL"/>
        </w:rPr>
        <w:t>i </w:t>
      </w:r>
      <w:r w:rsidRPr="00BD22FE">
        <w:rPr>
          <w:sz w:val="22"/>
          <w:szCs w:val="22"/>
          <w:lang w:val="pl-PL"/>
        </w:rPr>
        <w:t>narząd</w:t>
      </w:r>
      <w:r w:rsidR="002E1ECB" w:rsidRPr="00BD22FE">
        <w:rPr>
          <w:sz w:val="22"/>
          <w:szCs w:val="22"/>
          <w:lang w:val="pl-PL"/>
        </w:rPr>
        <w:t>ów</w:t>
      </w:r>
      <w:r w:rsidRPr="00BD22FE">
        <w:rPr>
          <w:sz w:val="22"/>
          <w:szCs w:val="22"/>
          <w:lang w:val="pl-PL"/>
        </w:rPr>
        <w:t xml:space="preserve">. Podczas </w:t>
      </w:r>
      <w:r w:rsidR="0079679A" w:rsidRPr="00BD22FE">
        <w:rPr>
          <w:sz w:val="22"/>
          <w:szCs w:val="22"/>
          <w:lang w:val="pl-PL"/>
        </w:rPr>
        <w:t xml:space="preserve">leczenia </w:t>
      </w:r>
      <w:r w:rsidRPr="00BD22FE">
        <w:rPr>
          <w:sz w:val="22"/>
          <w:szCs w:val="22"/>
          <w:lang w:val="pl-PL"/>
        </w:rPr>
        <w:t>telmisartan</w:t>
      </w:r>
      <w:r w:rsidR="0079679A" w:rsidRPr="00BD22FE">
        <w:rPr>
          <w:sz w:val="22"/>
          <w:szCs w:val="22"/>
          <w:lang w:val="pl-PL"/>
        </w:rPr>
        <w:t>em</w:t>
      </w:r>
      <w:r w:rsidRPr="00BD22FE">
        <w:rPr>
          <w:sz w:val="22"/>
          <w:szCs w:val="22"/>
          <w:lang w:val="pl-PL"/>
        </w:rPr>
        <w:t xml:space="preserve">/HCTZ mogą wystąpić działania niepożądane, </w:t>
      </w:r>
      <w:r w:rsidR="007D4B48" w:rsidRPr="00BD22FE">
        <w:rPr>
          <w:sz w:val="22"/>
          <w:szCs w:val="22"/>
          <w:lang w:val="pl-PL"/>
        </w:rPr>
        <w:t>o </w:t>
      </w:r>
      <w:r w:rsidRPr="00BD22FE">
        <w:rPr>
          <w:sz w:val="22"/>
          <w:szCs w:val="22"/>
          <w:lang w:val="pl-PL"/>
        </w:rPr>
        <w:t>któr</w:t>
      </w:r>
      <w:r w:rsidR="007D4B48" w:rsidRPr="00BD22FE">
        <w:rPr>
          <w:sz w:val="22"/>
          <w:szCs w:val="22"/>
          <w:lang w:val="pl-PL"/>
        </w:rPr>
        <w:t>ych</w:t>
      </w:r>
      <w:r w:rsidRPr="00BD22FE">
        <w:rPr>
          <w:sz w:val="22"/>
          <w:szCs w:val="22"/>
          <w:lang w:val="pl-PL"/>
        </w:rPr>
        <w:t xml:space="preserve"> </w:t>
      </w:r>
      <w:r w:rsidR="007D4B48" w:rsidRPr="00BD22FE">
        <w:rPr>
          <w:sz w:val="22"/>
          <w:szCs w:val="22"/>
          <w:lang w:val="pl-PL"/>
        </w:rPr>
        <w:t xml:space="preserve">wiadomo, że występują podczas stosowania </w:t>
      </w:r>
      <w:r w:rsidRPr="00BD22FE">
        <w:rPr>
          <w:sz w:val="22"/>
          <w:szCs w:val="22"/>
          <w:lang w:val="pl-PL"/>
        </w:rPr>
        <w:t>każd</w:t>
      </w:r>
      <w:r w:rsidR="007D4B48" w:rsidRPr="00BD22FE">
        <w:rPr>
          <w:sz w:val="22"/>
          <w:szCs w:val="22"/>
          <w:lang w:val="pl-PL"/>
        </w:rPr>
        <w:t>ego</w:t>
      </w:r>
      <w:r w:rsidRPr="00BD22FE">
        <w:rPr>
          <w:sz w:val="22"/>
          <w:szCs w:val="22"/>
          <w:lang w:val="pl-PL"/>
        </w:rPr>
        <w:t xml:space="preserve"> ze składników podan</w:t>
      </w:r>
      <w:r w:rsidR="007D4B48" w:rsidRPr="00BD22FE">
        <w:rPr>
          <w:sz w:val="22"/>
          <w:szCs w:val="22"/>
          <w:lang w:val="pl-PL"/>
        </w:rPr>
        <w:t>ego</w:t>
      </w:r>
      <w:r w:rsidRPr="00BD22FE">
        <w:rPr>
          <w:sz w:val="22"/>
          <w:szCs w:val="22"/>
          <w:lang w:val="pl-PL"/>
        </w:rPr>
        <w:t xml:space="preserve"> jako lek pojedynczy, a</w:t>
      </w:r>
      <w:r w:rsidR="00717A7B" w:rsidRPr="00BD22FE">
        <w:rPr>
          <w:sz w:val="22"/>
          <w:szCs w:val="22"/>
          <w:lang w:val="pl-PL"/>
        </w:rPr>
        <w:t> </w:t>
      </w:r>
      <w:r w:rsidRPr="00BD22FE">
        <w:rPr>
          <w:sz w:val="22"/>
          <w:szCs w:val="22"/>
          <w:lang w:val="pl-PL"/>
        </w:rPr>
        <w:t>które nie zostały zaobserwowane w</w:t>
      </w:r>
      <w:r w:rsidR="00717A7B" w:rsidRPr="00BD22FE">
        <w:rPr>
          <w:sz w:val="22"/>
          <w:szCs w:val="22"/>
          <w:lang w:val="pl-PL"/>
        </w:rPr>
        <w:t> </w:t>
      </w:r>
      <w:r w:rsidRPr="00BD22FE">
        <w:rPr>
          <w:sz w:val="22"/>
          <w:szCs w:val="22"/>
          <w:lang w:val="pl-PL"/>
        </w:rPr>
        <w:t>badaniach klinicznych.</w:t>
      </w:r>
    </w:p>
    <w:p w14:paraId="69EB5689" w14:textId="42977273" w:rsidR="000016E2" w:rsidRPr="00BD22FE" w:rsidRDefault="00104CA8" w:rsidP="00941FBF">
      <w:pPr>
        <w:pStyle w:val="BodyText"/>
        <w:spacing w:line="240" w:lineRule="auto"/>
        <w:jc w:val="left"/>
        <w:rPr>
          <w:sz w:val="22"/>
          <w:szCs w:val="22"/>
          <w:lang w:val="pl-PL"/>
        </w:rPr>
      </w:pPr>
      <w:r w:rsidRPr="00BD22FE">
        <w:rPr>
          <w:sz w:val="22"/>
          <w:szCs w:val="22"/>
          <w:lang w:val="pl-PL"/>
        </w:rPr>
        <w:t>Działania niepożądane zgłaszane wcześniej dla jednego ze składników mogą być potencjalnymi działaniami niepożądanymi produktu leczniczego MicardisPlus, nawet jeśli nie były obserwowane w badaniach klinicznych z</w:t>
      </w:r>
      <w:r w:rsidR="00717A7B" w:rsidRPr="00BD22FE">
        <w:rPr>
          <w:sz w:val="22"/>
          <w:szCs w:val="22"/>
          <w:lang w:val="pl-PL"/>
        </w:rPr>
        <w:t> </w:t>
      </w:r>
      <w:r w:rsidRPr="00BD22FE">
        <w:rPr>
          <w:sz w:val="22"/>
          <w:szCs w:val="22"/>
          <w:lang w:val="pl-PL"/>
        </w:rPr>
        <w:t>zastosowaniem tego produktu.</w:t>
      </w:r>
    </w:p>
    <w:p w14:paraId="0463C2E7" w14:textId="77777777" w:rsidR="000016E2" w:rsidRPr="00BD22FE" w:rsidRDefault="000016E2" w:rsidP="00941FBF">
      <w:pPr>
        <w:pStyle w:val="BodyText"/>
        <w:spacing w:line="240" w:lineRule="auto"/>
        <w:jc w:val="left"/>
        <w:rPr>
          <w:sz w:val="22"/>
          <w:szCs w:val="22"/>
          <w:lang w:val="pl-PL"/>
        </w:rPr>
      </w:pPr>
    </w:p>
    <w:p w14:paraId="0238D86F" w14:textId="2852756D" w:rsidR="000016E2" w:rsidRPr="00BD22FE" w:rsidRDefault="00104CA8" w:rsidP="00941FBF">
      <w:pPr>
        <w:pStyle w:val="BodyText"/>
        <w:spacing w:line="240" w:lineRule="auto"/>
        <w:jc w:val="left"/>
        <w:rPr>
          <w:sz w:val="22"/>
          <w:szCs w:val="22"/>
          <w:lang w:val="pl-PL"/>
        </w:rPr>
      </w:pPr>
      <w:r w:rsidRPr="00BD22FE">
        <w:rPr>
          <w:sz w:val="22"/>
          <w:szCs w:val="22"/>
          <w:lang w:val="pl-PL"/>
        </w:rPr>
        <w:t xml:space="preserve">Działania niepożądane zostały </w:t>
      </w:r>
      <w:r w:rsidR="001E4FB6" w:rsidRPr="00BD22FE">
        <w:rPr>
          <w:sz w:val="22"/>
          <w:szCs w:val="22"/>
          <w:lang w:val="pl-PL"/>
        </w:rPr>
        <w:t>przedstawione</w:t>
      </w:r>
      <w:r w:rsidRPr="00BD22FE">
        <w:rPr>
          <w:sz w:val="22"/>
          <w:szCs w:val="22"/>
          <w:lang w:val="pl-PL"/>
        </w:rPr>
        <w:t xml:space="preserve"> zgodnie z</w:t>
      </w:r>
      <w:r w:rsidR="00717A7B" w:rsidRPr="00BD22FE">
        <w:rPr>
          <w:sz w:val="22"/>
          <w:szCs w:val="22"/>
          <w:lang w:val="pl-PL"/>
        </w:rPr>
        <w:t> </w:t>
      </w:r>
      <w:r w:rsidRPr="00BD22FE">
        <w:rPr>
          <w:sz w:val="22"/>
          <w:szCs w:val="22"/>
          <w:lang w:val="pl-PL"/>
        </w:rPr>
        <w:t>częstością występowania</w:t>
      </w:r>
      <w:r w:rsidR="001E4FB6" w:rsidRPr="00BD22FE">
        <w:rPr>
          <w:sz w:val="22"/>
          <w:szCs w:val="22"/>
          <w:lang w:val="pl-PL"/>
        </w:rPr>
        <w:t>, z zastosowaniem następującej klasyfikacji</w:t>
      </w:r>
      <w:r w:rsidRPr="00BD22FE">
        <w:rPr>
          <w:sz w:val="22"/>
          <w:szCs w:val="22"/>
          <w:lang w:val="pl-PL"/>
        </w:rPr>
        <w:t>:</w:t>
      </w:r>
    </w:p>
    <w:p w14:paraId="59D3DCDC" w14:textId="7007C137" w:rsidR="000016E2" w:rsidRPr="00BD22FE" w:rsidRDefault="00104CA8" w:rsidP="00941FBF">
      <w:pPr>
        <w:pStyle w:val="BodyText"/>
        <w:spacing w:line="240" w:lineRule="auto"/>
        <w:jc w:val="left"/>
        <w:rPr>
          <w:sz w:val="22"/>
          <w:szCs w:val="22"/>
          <w:lang w:val="pl-PL"/>
        </w:rPr>
      </w:pPr>
      <w:r w:rsidRPr="00BD22FE">
        <w:rPr>
          <w:sz w:val="22"/>
          <w:szCs w:val="22"/>
          <w:lang w:val="pl-PL"/>
        </w:rPr>
        <w:t>bardzo często (</w:t>
      </w:r>
      <w:r w:rsidR="008C51AC" w:rsidRPr="00BD22FE">
        <w:rPr>
          <w:sz w:val="22"/>
          <w:lang w:val="pl-PL"/>
        </w:rPr>
        <w:t>≥</w:t>
      </w:r>
      <w:r w:rsidR="00717A7B" w:rsidRPr="00BD22FE">
        <w:rPr>
          <w:sz w:val="22"/>
          <w:lang w:val="pl-PL"/>
        </w:rPr>
        <w:t> </w:t>
      </w:r>
      <w:r w:rsidRPr="00BD22FE">
        <w:rPr>
          <w:sz w:val="22"/>
          <w:szCs w:val="22"/>
          <w:lang w:val="pl-PL"/>
        </w:rPr>
        <w:t>1/10); często (</w:t>
      </w:r>
      <w:r w:rsidR="008C51AC" w:rsidRPr="00BD22FE">
        <w:rPr>
          <w:sz w:val="22"/>
          <w:lang w:val="pl-PL"/>
        </w:rPr>
        <w:t>≥</w:t>
      </w:r>
      <w:r w:rsidR="00717A7B" w:rsidRPr="00BD22FE">
        <w:rPr>
          <w:sz w:val="22"/>
          <w:lang w:val="pl-PL"/>
        </w:rPr>
        <w:t> </w:t>
      </w:r>
      <w:r w:rsidRPr="00BD22FE">
        <w:rPr>
          <w:sz w:val="22"/>
          <w:szCs w:val="22"/>
          <w:lang w:val="pl-PL"/>
        </w:rPr>
        <w:t>1/100 do &lt;</w:t>
      </w:r>
      <w:r w:rsidR="008C51AC" w:rsidRPr="00BD22FE">
        <w:rPr>
          <w:sz w:val="22"/>
          <w:szCs w:val="22"/>
          <w:lang w:val="pl-PL"/>
        </w:rPr>
        <w:t> </w:t>
      </w:r>
      <w:r w:rsidRPr="00BD22FE">
        <w:rPr>
          <w:sz w:val="22"/>
          <w:szCs w:val="22"/>
          <w:lang w:val="pl-PL"/>
        </w:rPr>
        <w:t>1/10); niezbyt często (</w:t>
      </w:r>
      <w:r w:rsidR="008C51AC" w:rsidRPr="00BD22FE">
        <w:rPr>
          <w:sz w:val="22"/>
          <w:lang w:val="pl-PL"/>
        </w:rPr>
        <w:t>≥</w:t>
      </w:r>
      <w:r w:rsidR="00717A7B" w:rsidRPr="00BD22FE">
        <w:rPr>
          <w:sz w:val="22"/>
          <w:lang w:val="pl-PL"/>
        </w:rPr>
        <w:t> </w:t>
      </w:r>
      <w:r w:rsidRPr="00BD22FE">
        <w:rPr>
          <w:sz w:val="22"/>
          <w:szCs w:val="22"/>
          <w:lang w:val="pl-PL"/>
        </w:rPr>
        <w:t>1/1 000 do &lt;</w:t>
      </w:r>
      <w:r w:rsidR="008C51AC" w:rsidRPr="00BD22FE">
        <w:rPr>
          <w:sz w:val="22"/>
          <w:szCs w:val="22"/>
          <w:lang w:val="pl-PL"/>
        </w:rPr>
        <w:t> </w:t>
      </w:r>
      <w:r w:rsidRPr="00BD22FE">
        <w:rPr>
          <w:sz w:val="22"/>
          <w:szCs w:val="22"/>
          <w:lang w:val="pl-PL"/>
        </w:rPr>
        <w:t>1/100), rzadko (</w:t>
      </w:r>
      <w:r w:rsidR="008C51AC" w:rsidRPr="00BD22FE">
        <w:rPr>
          <w:sz w:val="22"/>
          <w:lang w:val="pl-PL"/>
        </w:rPr>
        <w:t>≥</w:t>
      </w:r>
      <w:r w:rsidR="00717A7B" w:rsidRPr="00BD22FE">
        <w:rPr>
          <w:sz w:val="22"/>
          <w:lang w:val="pl-PL"/>
        </w:rPr>
        <w:t> </w:t>
      </w:r>
      <w:r w:rsidRPr="00BD22FE">
        <w:rPr>
          <w:sz w:val="22"/>
          <w:szCs w:val="22"/>
          <w:lang w:val="pl-PL"/>
        </w:rPr>
        <w:t>1/10 000 do &lt;</w:t>
      </w:r>
      <w:r w:rsidR="008C51AC" w:rsidRPr="00BD22FE">
        <w:rPr>
          <w:sz w:val="22"/>
          <w:szCs w:val="22"/>
          <w:lang w:val="pl-PL"/>
        </w:rPr>
        <w:t> </w:t>
      </w:r>
      <w:r w:rsidRPr="00BD22FE">
        <w:rPr>
          <w:sz w:val="22"/>
          <w:szCs w:val="22"/>
          <w:lang w:val="pl-PL"/>
        </w:rPr>
        <w:t>1/1 000), bardzo rzadko (&lt;</w:t>
      </w:r>
      <w:r w:rsidR="008C51AC" w:rsidRPr="00BD22FE">
        <w:rPr>
          <w:sz w:val="22"/>
          <w:szCs w:val="22"/>
          <w:lang w:val="pl-PL"/>
        </w:rPr>
        <w:t> </w:t>
      </w:r>
      <w:r w:rsidRPr="00BD22FE">
        <w:rPr>
          <w:sz w:val="22"/>
          <w:szCs w:val="22"/>
          <w:lang w:val="pl-PL"/>
        </w:rPr>
        <w:t>1/10 000), częstość nieznana (częstość nie może być określona na podstawie dostępnych danych).</w:t>
      </w:r>
    </w:p>
    <w:p w14:paraId="2FCCC927" w14:textId="77777777" w:rsidR="000016E2" w:rsidRPr="00BD22FE" w:rsidRDefault="000016E2" w:rsidP="00941FBF">
      <w:pPr>
        <w:pStyle w:val="BodyText"/>
        <w:spacing w:line="240" w:lineRule="auto"/>
        <w:jc w:val="left"/>
        <w:rPr>
          <w:sz w:val="22"/>
          <w:szCs w:val="22"/>
          <w:lang w:val="pl-PL"/>
        </w:rPr>
      </w:pPr>
    </w:p>
    <w:p w14:paraId="5E4DB6DB" w14:textId="2C601042" w:rsidR="000016E2" w:rsidRPr="00BD22FE" w:rsidRDefault="00104CA8" w:rsidP="00273550">
      <w:pPr>
        <w:rPr>
          <w:sz w:val="22"/>
          <w:szCs w:val="22"/>
          <w:lang w:val="pl-PL"/>
        </w:rPr>
      </w:pPr>
      <w:r w:rsidRPr="00BD22FE">
        <w:rPr>
          <w:sz w:val="22"/>
          <w:szCs w:val="22"/>
          <w:lang w:val="pl-PL"/>
        </w:rPr>
        <w:lastRenderedPageBreak/>
        <w:t>W</w:t>
      </w:r>
      <w:r w:rsidR="00717A7B" w:rsidRPr="00BD22FE">
        <w:rPr>
          <w:sz w:val="22"/>
          <w:szCs w:val="22"/>
          <w:lang w:val="pl-PL"/>
        </w:rPr>
        <w:t> </w:t>
      </w:r>
      <w:r w:rsidRPr="00BD22FE">
        <w:rPr>
          <w:sz w:val="22"/>
          <w:szCs w:val="22"/>
          <w:lang w:val="pl-PL"/>
        </w:rPr>
        <w:t>każdej grupie częstości działania niepożądane zostały przedstawione zgodnie z</w:t>
      </w:r>
      <w:r w:rsidR="00717A7B" w:rsidRPr="00BD22FE">
        <w:rPr>
          <w:sz w:val="22"/>
          <w:szCs w:val="22"/>
          <w:lang w:val="pl-PL"/>
        </w:rPr>
        <w:t> </w:t>
      </w:r>
      <w:r w:rsidRPr="00BD22FE">
        <w:rPr>
          <w:sz w:val="22"/>
          <w:szCs w:val="22"/>
          <w:lang w:val="pl-PL"/>
        </w:rPr>
        <w:t>malejącym nasileniem.</w:t>
      </w:r>
    </w:p>
    <w:p w14:paraId="666CD9A8" w14:textId="77777777" w:rsidR="000016E2" w:rsidRPr="00BD22FE" w:rsidRDefault="000016E2" w:rsidP="00273550">
      <w:pPr>
        <w:pStyle w:val="BodyText"/>
        <w:spacing w:line="240" w:lineRule="auto"/>
        <w:jc w:val="left"/>
        <w:rPr>
          <w:sz w:val="22"/>
          <w:szCs w:val="22"/>
          <w:lang w:val="pl-PL"/>
        </w:rPr>
      </w:pPr>
      <w:bookmarkStart w:id="5" w:name="_Hlk45537439"/>
    </w:p>
    <w:p w14:paraId="78E6E3A9" w14:textId="30D07B92" w:rsidR="000016E2" w:rsidRPr="00BD22FE" w:rsidRDefault="00104CA8" w:rsidP="00273550">
      <w:pPr>
        <w:keepNext/>
        <w:ind w:left="907" w:hanging="907"/>
        <w:rPr>
          <w:sz w:val="22"/>
          <w:szCs w:val="22"/>
          <w:lang w:val="pl-PL"/>
        </w:rPr>
      </w:pPr>
      <w:bookmarkStart w:id="6" w:name="_Hlk44683263"/>
      <w:bookmarkEnd w:id="5"/>
      <w:r w:rsidRPr="00BD22FE">
        <w:rPr>
          <w:sz w:val="22"/>
          <w:szCs w:val="22"/>
          <w:lang w:val="pl-PL"/>
        </w:rPr>
        <w:t>Tabela 1:</w:t>
      </w:r>
      <w:r w:rsidR="00273550" w:rsidRPr="00BD22FE">
        <w:rPr>
          <w:sz w:val="22"/>
          <w:szCs w:val="22"/>
          <w:lang w:val="pl-PL"/>
        </w:rPr>
        <w:tab/>
      </w:r>
      <w:r w:rsidRPr="00BD22FE">
        <w:rPr>
          <w:sz w:val="22"/>
          <w:szCs w:val="22"/>
          <w:lang w:val="pl-PL"/>
        </w:rPr>
        <w:t>Tabelaryczne zestawienie działań niepożądanych (MedDRA) zgłaszanych w badaniach kontrolowanych placebo i z okresu po wprowadzeniu do obrotu</w:t>
      </w:r>
    </w:p>
    <w:p w14:paraId="4CB8BE3C" w14:textId="77777777" w:rsidR="000016E2" w:rsidRPr="00BD22FE" w:rsidRDefault="000016E2" w:rsidP="00941FBF">
      <w:pPr>
        <w:keepNext/>
        <w:rPr>
          <w:sz w:val="22"/>
          <w:szCs w:val="22"/>
          <w:lang w:val="pl-PL"/>
        </w:rPr>
      </w:pPr>
      <w:bookmarkStart w:id="7" w:name="_Hlk151621881"/>
    </w:p>
    <w:tbl>
      <w:tblPr>
        <w:tblW w:w="5000" w:type="pct"/>
        <w:tblLook w:val="04A0" w:firstRow="1" w:lastRow="0" w:firstColumn="1" w:lastColumn="0" w:noHBand="0" w:noVBand="1"/>
      </w:tblPr>
      <w:tblGrid>
        <w:gridCol w:w="1965"/>
        <w:gridCol w:w="2221"/>
        <w:gridCol w:w="1456"/>
        <w:gridCol w:w="1428"/>
        <w:gridCol w:w="1990"/>
      </w:tblGrid>
      <w:tr w:rsidR="0013513D" w:rsidRPr="00BD22FE" w14:paraId="276E99DA" w14:textId="77777777" w:rsidTr="0090751B">
        <w:tc>
          <w:tcPr>
            <w:tcW w:w="1084" w:type="pct"/>
            <w:vMerge w:val="restart"/>
            <w:tcBorders>
              <w:top w:val="single" w:sz="4" w:space="0" w:color="auto"/>
              <w:left w:val="single" w:sz="4" w:space="0" w:color="auto"/>
              <w:bottom w:val="single" w:sz="4" w:space="0" w:color="auto"/>
              <w:right w:val="single" w:sz="4" w:space="0" w:color="auto"/>
            </w:tcBorders>
            <w:hideMark/>
          </w:tcPr>
          <w:p w14:paraId="6666D6BE" w14:textId="77777777" w:rsidR="000016E2" w:rsidRPr="00BD22FE" w:rsidRDefault="00104CA8" w:rsidP="00941FBF">
            <w:pPr>
              <w:keepNext/>
              <w:rPr>
                <w:b/>
                <w:bCs/>
                <w:color w:val="000000"/>
                <w:sz w:val="22"/>
                <w:szCs w:val="22"/>
                <w:lang w:val="pl-PL" w:eastAsia="en-GB"/>
              </w:rPr>
            </w:pPr>
            <w:r w:rsidRPr="00BD22FE">
              <w:rPr>
                <w:b/>
                <w:bCs/>
                <w:color w:val="000000"/>
                <w:sz w:val="22"/>
                <w:szCs w:val="22"/>
                <w:lang w:val="pl-PL" w:eastAsia="en-GB"/>
              </w:rPr>
              <w:t>Klasyfikacja układów i narządów MedDRA</w:t>
            </w:r>
          </w:p>
        </w:tc>
        <w:tc>
          <w:tcPr>
            <w:tcW w:w="1226" w:type="pct"/>
            <w:vMerge w:val="restart"/>
            <w:tcBorders>
              <w:top w:val="single" w:sz="4" w:space="0" w:color="auto"/>
              <w:left w:val="single" w:sz="4" w:space="0" w:color="auto"/>
              <w:bottom w:val="single" w:sz="4" w:space="0" w:color="auto"/>
              <w:right w:val="single" w:sz="4" w:space="0" w:color="auto"/>
            </w:tcBorders>
            <w:hideMark/>
          </w:tcPr>
          <w:p w14:paraId="124913CA" w14:textId="77777777" w:rsidR="000016E2" w:rsidRPr="00BD22FE" w:rsidRDefault="00104CA8" w:rsidP="00941FBF">
            <w:pPr>
              <w:keepNext/>
              <w:rPr>
                <w:b/>
                <w:bCs/>
                <w:color w:val="000000"/>
                <w:sz w:val="22"/>
                <w:szCs w:val="22"/>
                <w:lang w:val="pl-PL" w:eastAsia="en-GB"/>
              </w:rPr>
            </w:pPr>
            <w:r w:rsidRPr="00BD22FE">
              <w:rPr>
                <w:b/>
                <w:bCs/>
                <w:color w:val="000000"/>
                <w:sz w:val="22"/>
                <w:szCs w:val="22"/>
                <w:lang w:val="pl-PL" w:eastAsia="en-GB"/>
              </w:rPr>
              <w:t>Działania niepożądane</w:t>
            </w:r>
          </w:p>
        </w:tc>
        <w:tc>
          <w:tcPr>
            <w:tcW w:w="2690" w:type="pct"/>
            <w:gridSpan w:val="3"/>
            <w:tcBorders>
              <w:top w:val="single" w:sz="4" w:space="0" w:color="auto"/>
              <w:left w:val="single" w:sz="4" w:space="0" w:color="auto"/>
              <w:bottom w:val="single" w:sz="4" w:space="0" w:color="auto"/>
              <w:right w:val="single" w:sz="4" w:space="0" w:color="auto"/>
            </w:tcBorders>
            <w:vAlign w:val="bottom"/>
            <w:hideMark/>
          </w:tcPr>
          <w:p w14:paraId="1888DAEB" w14:textId="77777777" w:rsidR="000016E2" w:rsidRPr="00BD22FE" w:rsidRDefault="00104CA8" w:rsidP="00941FBF">
            <w:pPr>
              <w:keepNext/>
              <w:jc w:val="center"/>
              <w:rPr>
                <w:b/>
                <w:bCs/>
                <w:color w:val="000000"/>
                <w:sz w:val="22"/>
                <w:szCs w:val="22"/>
                <w:lang w:val="pl-PL" w:eastAsia="en-GB"/>
              </w:rPr>
            </w:pPr>
            <w:r w:rsidRPr="00BD22FE">
              <w:rPr>
                <w:b/>
                <w:bCs/>
                <w:color w:val="000000"/>
                <w:sz w:val="22"/>
                <w:szCs w:val="22"/>
                <w:lang w:val="pl-PL" w:eastAsia="en-GB"/>
              </w:rPr>
              <w:t>Częstość występowania</w:t>
            </w:r>
          </w:p>
        </w:tc>
      </w:tr>
      <w:tr w:rsidR="0013513D" w:rsidRPr="00BD22FE" w14:paraId="15D39177" w14:textId="77777777" w:rsidTr="0090751B">
        <w:tc>
          <w:tcPr>
            <w:tcW w:w="1084" w:type="pct"/>
            <w:vMerge/>
            <w:tcBorders>
              <w:top w:val="single" w:sz="4" w:space="0" w:color="auto"/>
              <w:left w:val="single" w:sz="4" w:space="0" w:color="auto"/>
              <w:bottom w:val="single" w:sz="4" w:space="0" w:color="auto"/>
              <w:right w:val="single" w:sz="4" w:space="0" w:color="auto"/>
            </w:tcBorders>
            <w:hideMark/>
          </w:tcPr>
          <w:p w14:paraId="098E6FD4" w14:textId="77777777" w:rsidR="000016E2" w:rsidRPr="00BD22FE" w:rsidRDefault="000016E2" w:rsidP="00941FBF">
            <w:pPr>
              <w:keepNext/>
              <w:rPr>
                <w:b/>
                <w:bCs/>
                <w:color w:val="000000"/>
                <w:sz w:val="22"/>
                <w:szCs w:val="22"/>
                <w:lang w:val="pl-PL" w:eastAsia="en-GB"/>
              </w:rPr>
            </w:pPr>
          </w:p>
        </w:tc>
        <w:tc>
          <w:tcPr>
            <w:tcW w:w="1226" w:type="pct"/>
            <w:vMerge/>
            <w:tcBorders>
              <w:top w:val="single" w:sz="4" w:space="0" w:color="auto"/>
              <w:left w:val="single" w:sz="4" w:space="0" w:color="auto"/>
              <w:bottom w:val="single" w:sz="4" w:space="0" w:color="auto"/>
              <w:right w:val="single" w:sz="4" w:space="0" w:color="auto"/>
            </w:tcBorders>
            <w:vAlign w:val="center"/>
            <w:hideMark/>
          </w:tcPr>
          <w:p w14:paraId="3864CD84" w14:textId="77777777" w:rsidR="000016E2" w:rsidRPr="00BD22FE" w:rsidRDefault="000016E2" w:rsidP="00941FBF">
            <w:pPr>
              <w:keepNext/>
              <w:rPr>
                <w:b/>
                <w:bCs/>
                <w:color w:val="000000"/>
                <w:sz w:val="22"/>
                <w:szCs w:val="22"/>
                <w:lang w:val="pl-PL" w:eastAsia="en-GB"/>
              </w:rPr>
            </w:pPr>
          </w:p>
        </w:tc>
        <w:tc>
          <w:tcPr>
            <w:tcW w:w="804" w:type="pct"/>
            <w:tcBorders>
              <w:top w:val="single" w:sz="4" w:space="0" w:color="auto"/>
              <w:left w:val="single" w:sz="4" w:space="0" w:color="auto"/>
              <w:bottom w:val="single" w:sz="4" w:space="0" w:color="auto"/>
              <w:right w:val="single" w:sz="4" w:space="0" w:color="auto"/>
            </w:tcBorders>
            <w:vAlign w:val="bottom"/>
            <w:hideMark/>
          </w:tcPr>
          <w:p w14:paraId="0E2D0EF5" w14:textId="77777777" w:rsidR="000016E2" w:rsidRPr="00BD22FE" w:rsidRDefault="00104CA8" w:rsidP="00941FBF">
            <w:pPr>
              <w:keepNext/>
              <w:rPr>
                <w:b/>
                <w:bCs/>
                <w:color w:val="000000"/>
                <w:sz w:val="22"/>
                <w:szCs w:val="22"/>
                <w:lang w:val="pl-PL" w:eastAsia="en-GB"/>
              </w:rPr>
            </w:pPr>
            <w:r w:rsidRPr="00BD22FE">
              <w:rPr>
                <w:b/>
                <w:bCs/>
                <w:color w:val="000000"/>
                <w:sz w:val="22"/>
                <w:szCs w:val="22"/>
                <w:lang w:val="pl-PL" w:eastAsia="en-GB"/>
              </w:rPr>
              <w:t>Produkt leczniczy MicardisPlus</w:t>
            </w:r>
          </w:p>
        </w:tc>
        <w:tc>
          <w:tcPr>
            <w:tcW w:w="788" w:type="pct"/>
            <w:tcBorders>
              <w:top w:val="single" w:sz="4" w:space="0" w:color="auto"/>
              <w:left w:val="single" w:sz="4" w:space="0" w:color="auto"/>
              <w:bottom w:val="single" w:sz="4" w:space="0" w:color="auto"/>
              <w:right w:val="single" w:sz="4" w:space="0" w:color="auto"/>
            </w:tcBorders>
            <w:vAlign w:val="bottom"/>
            <w:hideMark/>
          </w:tcPr>
          <w:p w14:paraId="71A383D9" w14:textId="77777777" w:rsidR="000016E2" w:rsidRPr="00BD22FE" w:rsidRDefault="00104CA8" w:rsidP="00941FBF">
            <w:pPr>
              <w:keepNext/>
              <w:rPr>
                <w:b/>
                <w:bCs/>
                <w:color w:val="000000"/>
                <w:sz w:val="22"/>
                <w:szCs w:val="22"/>
                <w:lang w:val="pl-PL" w:eastAsia="en-GB"/>
              </w:rPr>
            </w:pPr>
            <w:r w:rsidRPr="00BD22FE">
              <w:rPr>
                <w:b/>
                <w:bCs/>
                <w:color w:val="000000"/>
                <w:sz w:val="22"/>
                <w:szCs w:val="22"/>
                <w:lang w:val="pl-PL" w:eastAsia="en-GB"/>
              </w:rPr>
              <w:t>Telmisartan</w:t>
            </w:r>
            <w:r w:rsidRPr="00BD22FE">
              <w:rPr>
                <w:b/>
                <w:bCs/>
                <w:color w:val="000000"/>
                <w:sz w:val="22"/>
                <w:szCs w:val="22"/>
                <w:vertAlign w:val="superscript"/>
                <w:lang w:val="pl-PL" w:eastAsia="en-GB"/>
              </w:rPr>
              <w:t>a</w:t>
            </w:r>
          </w:p>
        </w:tc>
        <w:tc>
          <w:tcPr>
            <w:tcW w:w="1098" w:type="pct"/>
            <w:tcBorders>
              <w:top w:val="single" w:sz="4" w:space="0" w:color="auto"/>
              <w:left w:val="single" w:sz="4" w:space="0" w:color="auto"/>
              <w:bottom w:val="single" w:sz="4" w:space="0" w:color="auto"/>
              <w:right w:val="single" w:sz="4" w:space="0" w:color="auto"/>
            </w:tcBorders>
            <w:vAlign w:val="bottom"/>
            <w:hideMark/>
          </w:tcPr>
          <w:p w14:paraId="29061A8A" w14:textId="77777777" w:rsidR="000016E2" w:rsidRPr="00BD22FE" w:rsidRDefault="00104CA8" w:rsidP="00941FBF">
            <w:pPr>
              <w:keepNext/>
              <w:rPr>
                <w:b/>
                <w:bCs/>
                <w:color w:val="000000"/>
                <w:sz w:val="22"/>
                <w:szCs w:val="22"/>
                <w:lang w:val="pl-PL" w:eastAsia="en-GB"/>
              </w:rPr>
            </w:pPr>
            <w:r w:rsidRPr="00BD22FE">
              <w:rPr>
                <w:b/>
                <w:bCs/>
                <w:color w:val="000000"/>
                <w:sz w:val="22"/>
                <w:szCs w:val="22"/>
                <w:lang w:val="pl-PL" w:eastAsia="en-GB"/>
              </w:rPr>
              <w:t>Hydrochlorotiazyd</w:t>
            </w:r>
          </w:p>
        </w:tc>
      </w:tr>
      <w:tr w:rsidR="0013513D" w:rsidRPr="00BD22FE" w14:paraId="7FD4E79F" w14:textId="77777777" w:rsidTr="0090751B">
        <w:tc>
          <w:tcPr>
            <w:tcW w:w="1084" w:type="pct"/>
            <w:vMerge w:val="restart"/>
            <w:tcBorders>
              <w:top w:val="single" w:sz="4" w:space="0" w:color="auto"/>
              <w:left w:val="single" w:sz="4" w:space="0" w:color="auto"/>
              <w:right w:val="single" w:sz="4" w:space="0" w:color="auto"/>
            </w:tcBorders>
            <w:hideMark/>
          </w:tcPr>
          <w:p w14:paraId="088CCF00" w14:textId="77777777" w:rsidR="000016E2" w:rsidRPr="00BD22FE" w:rsidRDefault="00104CA8" w:rsidP="00941FBF">
            <w:pPr>
              <w:keepNext/>
              <w:rPr>
                <w:b/>
                <w:bCs/>
                <w:color w:val="000000"/>
                <w:sz w:val="22"/>
                <w:szCs w:val="22"/>
                <w:highlight w:val="yellow"/>
                <w:lang w:val="pl-PL" w:eastAsia="en-GB"/>
              </w:rPr>
            </w:pPr>
            <w:r w:rsidRPr="00BD22FE">
              <w:rPr>
                <w:b/>
                <w:bCs/>
                <w:sz w:val="22"/>
                <w:szCs w:val="22"/>
                <w:lang w:val="pl-PL"/>
              </w:rPr>
              <w:t>Zakażenia i zarażenia pasożytnicze</w:t>
            </w:r>
          </w:p>
        </w:tc>
        <w:tc>
          <w:tcPr>
            <w:tcW w:w="1226" w:type="pct"/>
            <w:tcBorders>
              <w:top w:val="single" w:sz="4" w:space="0" w:color="auto"/>
              <w:left w:val="single" w:sz="4" w:space="0" w:color="auto"/>
              <w:bottom w:val="single" w:sz="4" w:space="0" w:color="auto"/>
              <w:right w:val="single" w:sz="4" w:space="0" w:color="auto"/>
            </w:tcBorders>
            <w:vAlign w:val="bottom"/>
            <w:hideMark/>
          </w:tcPr>
          <w:p w14:paraId="1CEDF59D" w14:textId="77777777" w:rsidR="000016E2" w:rsidRPr="00BD22FE" w:rsidRDefault="00104CA8" w:rsidP="00941FBF">
            <w:pPr>
              <w:keepNext/>
              <w:rPr>
                <w:color w:val="000000"/>
                <w:sz w:val="22"/>
                <w:szCs w:val="22"/>
                <w:lang w:val="pl-PL" w:eastAsia="en-GB"/>
              </w:rPr>
            </w:pPr>
            <w:r w:rsidRPr="00BD22FE">
              <w:rPr>
                <w:color w:val="000000"/>
                <w:sz w:val="22"/>
                <w:szCs w:val="22"/>
                <w:lang w:val="pl-PL" w:eastAsia="en-GB"/>
              </w:rPr>
              <w:t>Posocznica, w tym zakończona zgonem</w:t>
            </w:r>
          </w:p>
        </w:tc>
        <w:tc>
          <w:tcPr>
            <w:tcW w:w="804" w:type="pct"/>
            <w:tcBorders>
              <w:top w:val="single" w:sz="4" w:space="0" w:color="auto"/>
              <w:left w:val="single" w:sz="4" w:space="0" w:color="auto"/>
              <w:bottom w:val="single" w:sz="4" w:space="0" w:color="auto"/>
              <w:right w:val="single" w:sz="4" w:space="0" w:color="auto"/>
            </w:tcBorders>
            <w:vAlign w:val="bottom"/>
            <w:hideMark/>
          </w:tcPr>
          <w:p w14:paraId="6FF44DDE" w14:textId="77777777" w:rsidR="000016E2" w:rsidRPr="00BD22FE" w:rsidRDefault="000016E2" w:rsidP="00941FBF">
            <w:pPr>
              <w:keepNext/>
              <w:rPr>
                <w:color w:val="000000"/>
                <w:sz w:val="22"/>
                <w:szCs w:val="22"/>
                <w:lang w:val="pl-PL" w:eastAsia="en-GB"/>
              </w:rPr>
            </w:pPr>
          </w:p>
        </w:tc>
        <w:tc>
          <w:tcPr>
            <w:tcW w:w="788" w:type="pct"/>
            <w:tcBorders>
              <w:top w:val="single" w:sz="4" w:space="0" w:color="auto"/>
              <w:left w:val="single" w:sz="4" w:space="0" w:color="auto"/>
              <w:bottom w:val="single" w:sz="4" w:space="0" w:color="auto"/>
              <w:right w:val="single" w:sz="4" w:space="0" w:color="auto"/>
            </w:tcBorders>
            <w:vAlign w:val="bottom"/>
            <w:hideMark/>
          </w:tcPr>
          <w:p w14:paraId="0A5C2295" w14:textId="77777777" w:rsidR="000016E2" w:rsidRPr="00BD22FE" w:rsidRDefault="00104CA8" w:rsidP="00941FBF">
            <w:pPr>
              <w:keepNext/>
              <w:rPr>
                <w:color w:val="000000"/>
                <w:sz w:val="22"/>
                <w:szCs w:val="22"/>
                <w:lang w:val="pl-PL" w:eastAsia="en-GB"/>
              </w:rPr>
            </w:pPr>
            <w:r w:rsidRPr="00BD22FE">
              <w:rPr>
                <w:color w:val="000000"/>
                <w:sz w:val="22"/>
                <w:szCs w:val="22"/>
                <w:lang w:val="pl-PL" w:eastAsia="en-GB"/>
              </w:rPr>
              <w:t>rzadko</w:t>
            </w:r>
            <w:r w:rsidRPr="00BD22FE">
              <w:rPr>
                <w:color w:val="000000"/>
                <w:sz w:val="22"/>
                <w:szCs w:val="22"/>
                <w:vertAlign w:val="superscript"/>
                <w:lang w:val="pl-PL" w:eastAsia="en-GB"/>
              </w:rPr>
              <w:t>2</w:t>
            </w:r>
          </w:p>
        </w:tc>
        <w:tc>
          <w:tcPr>
            <w:tcW w:w="1098" w:type="pct"/>
            <w:tcBorders>
              <w:top w:val="single" w:sz="4" w:space="0" w:color="auto"/>
              <w:left w:val="single" w:sz="4" w:space="0" w:color="auto"/>
              <w:bottom w:val="single" w:sz="4" w:space="0" w:color="auto"/>
              <w:right w:val="single" w:sz="4" w:space="0" w:color="auto"/>
            </w:tcBorders>
            <w:vAlign w:val="bottom"/>
            <w:hideMark/>
          </w:tcPr>
          <w:p w14:paraId="0BA75505" w14:textId="77777777" w:rsidR="000016E2" w:rsidRPr="00BD22FE" w:rsidRDefault="000016E2" w:rsidP="00941FBF">
            <w:pPr>
              <w:keepNext/>
              <w:rPr>
                <w:color w:val="000000"/>
                <w:sz w:val="22"/>
                <w:szCs w:val="22"/>
                <w:lang w:val="pl-PL" w:eastAsia="en-GB"/>
              </w:rPr>
            </w:pPr>
          </w:p>
        </w:tc>
      </w:tr>
      <w:tr w:rsidR="0013513D" w:rsidRPr="00BD22FE" w14:paraId="49F2ACD6" w14:textId="77777777" w:rsidTr="0090751B">
        <w:tc>
          <w:tcPr>
            <w:tcW w:w="1084" w:type="pct"/>
            <w:vMerge/>
            <w:tcBorders>
              <w:left w:val="single" w:sz="4" w:space="0" w:color="auto"/>
              <w:right w:val="single" w:sz="4" w:space="0" w:color="auto"/>
            </w:tcBorders>
            <w:hideMark/>
          </w:tcPr>
          <w:p w14:paraId="0ABF20F2" w14:textId="77777777" w:rsidR="000016E2" w:rsidRPr="00BD22FE" w:rsidRDefault="000016E2" w:rsidP="00941FBF">
            <w:pPr>
              <w:keepNext/>
              <w:rPr>
                <w:sz w:val="22"/>
                <w:szCs w:val="22"/>
                <w:highlight w:val="yellow"/>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615F9990" w14:textId="77777777" w:rsidR="000016E2" w:rsidRPr="00BD22FE" w:rsidRDefault="00104CA8" w:rsidP="00941FBF">
            <w:pPr>
              <w:keepNext/>
              <w:rPr>
                <w:color w:val="000000"/>
                <w:sz w:val="22"/>
                <w:szCs w:val="22"/>
                <w:lang w:val="pl-PL" w:eastAsia="en-GB"/>
              </w:rPr>
            </w:pPr>
            <w:r w:rsidRPr="00BD22FE">
              <w:rPr>
                <w:sz w:val="22"/>
                <w:szCs w:val="22"/>
                <w:lang w:val="pl-PL"/>
              </w:rPr>
              <w:t>Zapalenie oskrzeli</w:t>
            </w:r>
          </w:p>
        </w:tc>
        <w:tc>
          <w:tcPr>
            <w:tcW w:w="804" w:type="pct"/>
            <w:tcBorders>
              <w:top w:val="single" w:sz="4" w:space="0" w:color="auto"/>
              <w:left w:val="single" w:sz="4" w:space="0" w:color="auto"/>
              <w:bottom w:val="single" w:sz="4" w:space="0" w:color="auto"/>
              <w:right w:val="single" w:sz="4" w:space="0" w:color="auto"/>
            </w:tcBorders>
            <w:hideMark/>
          </w:tcPr>
          <w:p w14:paraId="2B930540" w14:textId="77777777" w:rsidR="000016E2" w:rsidRPr="00BD22FE" w:rsidRDefault="00104CA8" w:rsidP="00941FBF">
            <w:pPr>
              <w:keepNext/>
              <w:rPr>
                <w:color w:val="000000"/>
                <w:sz w:val="22"/>
                <w:szCs w:val="22"/>
                <w:lang w:val="pl-PL" w:eastAsia="en-GB"/>
              </w:rPr>
            </w:pPr>
            <w:r w:rsidRPr="00BD22FE">
              <w:rPr>
                <w:color w:val="000000"/>
                <w:sz w:val="22"/>
                <w:szCs w:val="22"/>
                <w:lang w:val="pl-PL" w:eastAsia="en-GB"/>
              </w:rPr>
              <w:t>rzadko</w:t>
            </w:r>
          </w:p>
        </w:tc>
        <w:tc>
          <w:tcPr>
            <w:tcW w:w="788" w:type="pct"/>
            <w:tcBorders>
              <w:top w:val="single" w:sz="4" w:space="0" w:color="auto"/>
              <w:left w:val="single" w:sz="4" w:space="0" w:color="auto"/>
              <w:bottom w:val="single" w:sz="4" w:space="0" w:color="auto"/>
              <w:right w:val="single" w:sz="4" w:space="0" w:color="auto"/>
            </w:tcBorders>
            <w:vAlign w:val="bottom"/>
            <w:hideMark/>
          </w:tcPr>
          <w:p w14:paraId="423D3D38" w14:textId="77777777" w:rsidR="000016E2" w:rsidRPr="00BD22FE" w:rsidRDefault="000016E2" w:rsidP="00941FBF">
            <w:pPr>
              <w:keepNext/>
              <w:rPr>
                <w:color w:val="000000"/>
                <w:sz w:val="22"/>
                <w:szCs w:val="22"/>
                <w:lang w:val="pl-PL" w:eastAsia="en-GB"/>
              </w:rPr>
            </w:pPr>
          </w:p>
        </w:tc>
        <w:tc>
          <w:tcPr>
            <w:tcW w:w="1098" w:type="pct"/>
            <w:tcBorders>
              <w:top w:val="single" w:sz="4" w:space="0" w:color="auto"/>
              <w:left w:val="single" w:sz="4" w:space="0" w:color="auto"/>
              <w:bottom w:val="single" w:sz="4" w:space="0" w:color="auto"/>
              <w:right w:val="single" w:sz="4" w:space="0" w:color="auto"/>
            </w:tcBorders>
            <w:vAlign w:val="bottom"/>
            <w:hideMark/>
          </w:tcPr>
          <w:p w14:paraId="4262666F" w14:textId="77777777" w:rsidR="000016E2" w:rsidRPr="00BD22FE" w:rsidRDefault="000016E2" w:rsidP="00941FBF">
            <w:pPr>
              <w:keepNext/>
              <w:rPr>
                <w:sz w:val="22"/>
                <w:szCs w:val="22"/>
                <w:lang w:val="pl-PL" w:eastAsia="en-GB"/>
              </w:rPr>
            </w:pPr>
          </w:p>
        </w:tc>
      </w:tr>
      <w:tr w:rsidR="0013513D" w:rsidRPr="00BD22FE" w14:paraId="04BF43D4" w14:textId="77777777" w:rsidTr="0090751B">
        <w:tc>
          <w:tcPr>
            <w:tcW w:w="1084" w:type="pct"/>
            <w:vMerge/>
            <w:tcBorders>
              <w:left w:val="single" w:sz="4" w:space="0" w:color="auto"/>
              <w:right w:val="single" w:sz="4" w:space="0" w:color="auto"/>
            </w:tcBorders>
            <w:hideMark/>
          </w:tcPr>
          <w:p w14:paraId="339620DF" w14:textId="77777777" w:rsidR="000016E2" w:rsidRPr="00BD22FE" w:rsidRDefault="000016E2" w:rsidP="00941FBF">
            <w:pPr>
              <w:keepNext/>
              <w:rPr>
                <w:sz w:val="22"/>
                <w:szCs w:val="22"/>
                <w:highlight w:val="yellow"/>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2177D57E" w14:textId="77777777" w:rsidR="000016E2" w:rsidRPr="00BD22FE" w:rsidRDefault="00104CA8" w:rsidP="00941FBF">
            <w:pPr>
              <w:keepNext/>
              <w:rPr>
                <w:color w:val="000000"/>
                <w:sz w:val="22"/>
                <w:szCs w:val="22"/>
                <w:lang w:val="pl-PL" w:eastAsia="en-GB"/>
              </w:rPr>
            </w:pPr>
            <w:r w:rsidRPr="00BD22FE">
              <w:rPr>
                <w:sz w:val="22"/>
                <w:szCs w:val="22"/>
                <w:lang w:val="pl-PL"/>
              </w:rPr>
              <w:t>Zapalenie gardła</w:t>
            </w:r>
          </w:p>
        </w:tc>
        <w:tc>
          <w:tcPr>
            <w:tcW w:w="804" w:type="pct"/>
            <w:tcBorders>
              <w:top w:val="single" w:sz="4" w:space="0" w:color="auto"/>
              <w:left w:val="single" w:sz="4" w:space="0" w:color="auto"/>
              <w:bottom w:val="single" w:sz="4" w:space="0" w:color="auto"/>
              <w:right w:val="single" w:sz="4" w:space="0" w:color="auto"/>
            </w:tcBorders>
            <w:hideMark/>
          </w:tcPr>
          <w:p w14:paraId="0D460B62" w14:textId="77777777" w:rsidR="000016E2" w:rsidRPr="00BD22FE" w:rsidRDefault="00104CA8" w:rsidP="00941FBF">
            <w:pPr>
              <w:keepNext/>
              <w:rPr>
                <w:color w:val="000000"/>
                <w:sz w:val="22"/>
                <w:szCs w:val="22"/>
                <w:lang w:val="pl-PL" w:eastAsia="en-GB"/>
              </w:rPr>
            </w:pPr>
            <w:r w:rsidRPr="00BD22FE">
              <w:rPr>
                <w:color w:val="000000"/>
                <w:sz w:val="22"/>
                <w:szCs w:val="22"/>
                <w:lang w:val="pl-PL" w:eastAsia="en-GB"/>
              </w:rPr>
              <w:t>rzadko</w:t>
            </w:r>
          </w:p>
        </w:tc>
        <w:tc>
          <w:tcPr>
            <w:tcW w:w="788" w:type="pct"/>
            <w:tcBorders>
              <w:top w:val="single" w:sz="4" w:space="0" w:color="auto"/>
              <w:left w:val="single" w:sz="4" w:space="0" w:color="auto"/>
              <w:bottom w:val="single" w:sz="4" w:space="0" w:color="auto"/>
              <w:right w:val="single" w:sz="4" w:space="0" w:color="auto"/>
            </w:tcBorders>
            <w:vAlign w:val="bottom"/>
            <w:hideMark/>
          </w:tcPr>
          <w:p w14:paraId="532F6273" w14:textId="77777777" w:rsidR="000016E2" w:rsidRPr="00BD22FE" w:rsidRDefault="000016E2" w:rsidP="00941FBF">
            <w:pPr>
              <w:keepNext/>
              <w:rPr>
                <w:color w:val="000000"/>
                <w:sz w:val="22"/>
                <w:szCs w:val="22"/>
                <w:lang w:val="pl-PL" w:eastAsia="en-GB"/>
              </w:rPr>
            </w:pPr>
          </w:p>
        </w:tc>
        <w:tc>
          <w:tcPr>
            <w:tcW w:w="1098" w:type="pct"/>
            <w:tcBorders>
              <w:top w:val="single" w:sz="4" w:space="0" w:color="auto"/>
              <w:left w:val="single" w:sz="4" w:space="0" w:color="auto"/>
              <w:bottom w:val="single" w:sz="4" w:space="0" w:color="auto"/>
              <w:right w:val="single" w:sz="4" w:space="0" w:color="auto"/>
            </w:tcBorders>
            <w:vAlign w:val="bottom"/>
            <w:hideMark/>
          </w:tcPr>
          <w:p w14:paraId="5BE0CA4A" w14:textId="77777777" w:rsidR="000016E2" w:rsidRPr="00BD22FE" w:rsidRDefault="000016E2" w:rsidP="00941FBF">
            <w:pPr>
              <w:keepNext/>
              <w:rPr>
                <w:sz w:val="22"/>
                <w:szCs w:val="22"/>
                <w:lang w:val="pl-PL" w:eastAsia="en-GB"/>
              </w:rPr>
            </w:pPr>
          </w:p>
        </w:tc>
      </w:tr>
      <w:tr w:rsidR="0013513D" w:rsidRPr="00BD22FE" w14:paraId="25A7D00B" w14:textId="77777777" w:rsidTr="0090751B">
        <w:tc>
          <w:tcPr>
            <w:tcW w:w="1084" w:type="pct"/>
            <w:vMerge/>
            <w:tcBorders>
              <w:left w:val="single" w:sz="4" w:space="0" w:color="auto"/>
              <w:right w:val="single" w:sz="4" w:space="0" w:color="auto"/>
            </w:tcBorders>
            <w:hideMark/>
          </w:tcPr>
          <w:p w14:paraId="51B35701" w14:textId="77777777" w:rsidR="000016E2" w:rsidRPr="00BD22FE" w:rsidRDefault="000016E2" w:rsidP="00941FBF">
            <w:pPr>
              <w:keepNext/>
              <w:rPr>
                <w:sz w:val="22"/>
                <w:szCs w:val="22"/>
                <w:highlight w:val="yellow"/>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681DA1DE" w14:textId="77777777" w:rsidR="000016E2" w:rsidRPr="00BD22FE" w:rsidRDefault="00104CA8" w:rsidP="00941FBF">
            <w:pPr>
              <w:keepNext/>
              <w:rPr>
                <w:color w:val="000000"/>
                <w:sz w:val="22"/>
                <w:szCs w:val="22"/>
                <w:lang w:val="pl-PL" w:eastAsia="en-GB"/>
              </w:rPr>
            </w:pPr>
            <w:r w:rsidRPr="00BD22FE">
              <w:rPr>
                <w:sz w:val="22"/>
                <w:szCs w:val="22"/>
                <w:lang w:val="pl-PL"/>
              </w:rPr>
              <w:t>Zapalenie zatok</w:t>
            </w:r>
          </w:p>
        </w:tc>
        <w:tc>
          <w:tcPr>
            <w:tcW w:w="804" w:type="pct"/>
            <w:tcBorders>
              <w:top w:val="single" w:sz="4" w:space="0" w:color="auto"/>
              <w:left w:val="single" w:sz="4" w:space="0" w:color="auto"/>
              <w:bottom w:val="single" w:sz="4" w:space="0" w:color="auto"/>
              <w:right w:val="single" w:sz="4" w:space="0" w:color="auto"/>
            </w:tcBorders>
            <w:hideMark/>
          </w:tcPr>
          <w:p w14:paraId="53D7C00D" w14:textId="77777777" w:rsidR="000016E2" w:rsidRPr="00BD22FE" w:rsidRDefault="00104CA8" w:rsidP="00941FBF">
            <w:pPr>
              <w:keepNext/>
              <w:rPr>
                <w:color w:val="000000"/>
                <w:sz w:val="22"/>
                <w:szCs w:val="22"/>
                <w:lang w:val="pl-PL" w:eastAsia="en-GB"/>
              </w:rPr>
            </w:pPr>
            <w:r w:rsidRPr="00BD22FE">
              <w:rPr>
                <w:color w:val="000000"/>
                <w:sz w:val="22"/>
                <w:szCs w:val="22"/>
                <w:lang w:val="pl-PL" w:eastAsia="en-GB"/>
              </w:rPr>
              <w:t>rzadko</w:t>
            </w:r>
          </w:p>
        </w:tc>
        <w:tc>
          <w:tcPr>
            <w:tcW w:w="788" w:type="pct"/>
            <w:tcBorders>
              <w:top w:val="single" w:sz="4" w:space="0" w:color="auto"/>
              <w:left w:val="single" w:sz="4" w:space="0" w:color="auto"/>
              <w:bottom w:val="single" w:sz="4" w:space="0" w:color="auto"/>
              <w:right w:val="single" w:sz="4" w:space="0" w:color="auto"/>
            </w:tcBorders>
            <w:vAlign w:val="bottom"/>
            <w:hideMark/>
          </w:tcPr>
          <w:p w14:paraId="16EF9CF9" w14:textId="77777777" w:rsidR="000016E2" w:rsidRPr="00BD22FE" w:rsidRDefault="000016E2" w:rsidP="00941FBF">
            <w:pPr>
              <w:keepNext/>
              <w:rPr>
                <w:color w:val="000000"/>
                <w:sz w:val="22"/>
                <w:szCs w:val="22"/>
                <w:lang w:val="pl-PL" w:eastAsia="en-GB"/>
              </w:rPr>
            </w:pPr>
          </w:p>
        </w:tc>
        <w:tc>
          <w:tcPr>
            <w:tcW w:w="1098" w:type="pct"/>
            <w:tcBorders>
              <w:top w:val="single" w:sz="4" w:space="0" w:color="auto"/>
              <w:left w:val="single" w:sz="4" w:space="0" w:color="auto"/>
              <w:bottom w:val="single" w:sz="4" w:space="0" w:color="auto"/>
              <w:right w:val="single" w:sz="4" w:space="0" w:color="auto"/>
            </w:tcBorders>
            <w:vAlign w:val="bottom"/>
            <w:hideMark/>
          </w:tcPr>
          <w:p w14:paraId="0165C5AB" w14:textId="77777777" w:rsidR="000016E2" w:rsidRPr="00BD22FE" w:rsidRDefault="000016E2" w:rsidP="00941FBF">
            <w:pPr>
              <w:keepNext/>
              <w:rPr>
                <w:sz w:val="22"/>
                <w:szCs w:val="22"/>
                <w:lang w:val="pl-PL" w:eastAsia="en-GB"/>
              </w:rPr>
            </w:pPr>
          </w:p>
        </w:tc>
      </w:tr>
      <w:tr w:rsidR="0013513D" w:rsidRPr="00BD22FE" w14:paraId="6178D35F" w14:textId="77777777" w:rsidTr="0090751B">
        <w:tc>
          <w:tcPr>
            <w:tcW w:w="1084" w:type="pct"/>
            <w:vMerge/>
            <w:tcBorders>
              <w:left w:val="single" w:sz="4" w:space="0" w:color="auto"/>
              <w:right w:val="single" w:sz="4" w:space="0" w:color="auto"/>
            </w:tcBorders>
            <w:hideMark/>
          </w:tcPr>
          <w:p w14:paraId="5BA416D1" w14:textId="77777777" w:rsidR="000016E2" w:rsidRPr="00BD22FE" w:rsidRDefault="000016E2" w:rsidP="00941FBF">
            <w:pPr>
              <w:keepNext/>
              <w:rPr>
                <w:sz w:val="22"/>
                <w:szCs w:val="22"/>
                <w:highlight w:val="yellow"/>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410C4989" w14:textId="77777777" w:rsidR="000016E2" w:rsidRPr="00BD22FE" w:rsidRDefault="00104CA8" w:rsidP="00941FBF">
            <w:pPr>
              <w:keepNext/>
              <w:rPr>
                <w:color w:val="000000"/>
                <w:sz w:val="22"/>
                <w:szCs w:val="22"/>
                <w:lang w:val="pl-PL" w:eastAsia="en-GB"/>
              </w:rPr>
            </w:pPr>
            <w:r w:rsidRPr="00BD22FE">
              <w:rPr>
                <w:color w:val="000000"/>
                <w:sz w:val="22"/>
                <w:szCs w:val="22"/>
                <w:lang w:val="pl-PL" w:eastAsia="en-GB"/>
              </w:rPr>
              <w:t>Zakażenie górnych dróg oddechowych</w:t>
            </w:r>
          </w:p>
        </w:tc>
        <w:tc>
          <w:tcPr>
            <w:tcW w:w="804" w:type="pct"/>
            <w:tcBorders>
              <w:top w:val="single" w:sz="4" w:space="0" w:color="auto"/>
              <w:left w:val="single" w:sz="4" w:space="0" w:color="auto"/>
              <w:bottom w:val="single" w:sz="4" w:space="0" w:color="auto"/>
              <w:right w:val="single" w:sz="4" w:space="0" w:color="auto"/>
            </w:tcBorders>
            <w:vAlign w:val="bottom"/>
            <w:hideMark/>
          </w:tcPr>
          <w:p w14:paraId="0F6DDF0B" w14:textId="77777777" w:rsidR="000016E2" w:rsidRPr="00BD22FE" w:rsidRDefault="000016E2" w:rsidP="00941FBF">
            <w:pPr>
              <w:keepNext/>
              <w:rPr>
                <w:color w:val="000000"/>
                <w:sz w:val="22"/>
                <w:szCs w:val="22"/>
                <w:lang w:val="pl-PL" w:eastAsia="en-GB"/>
              </w:rPr>
            </w:pPr>
          </w:p>
        </w:tc>
        <w:tc>
          <w:tcPr>
            <w:tcW w:w="788" w:type="pct"/>
            <w:tcBorders>
              <w:top w:val="single" w:sz="4" w:space="0" w:color="auto"/>
              <w:left w:val="single" w:sz="4" w:space="0" w:color="auto"/>
              <w:bottom w:val="single" w:sz="4" w:space="0" w:color="auto"/>
              <w:right w:val="single" w:sz="4" w:space="0" w:color="auto"/>
            </w:tcBorders>
            <w:vAlign w:val="bottom"/>
            <w:hideMark/>
          </w:tcPr>
          <w:p w14:paraId="05126D69" w14:textId="77777777" w:rsidR="000016E2" w:rsidRPr="00BD22FE" w:rsidRDefault="00104CA8" w:rsidP="00941FBF">
            <w:pPr>
              <w:keepNext/>
              <w:rPr>
                <w:color w:val="000000"/>
                <w:sz w:val="22"/>
                <w:szCs w:val="22"/>
                <w:lang w:val="pl-PL" w:eastAsia="en-GB"/>
              </w:rPr>
            </w:pPr>
            <w:r w:rsidRPr="00BD22FE">
              <w:rPr>
                <w:color w:val="000000"/>
                <w:sz w:val="22"/>
                <w:szCs w:val="22"/>
                <w:lang w:val="pl-PL" w:eastAsia="en-GB"/>
              </w:rPr>
              <w:t>niezbyt często</w:t>
            </w:r>
          </w:p>
        </w:tc>
        <w:tc>
          <w:tcPr>
            <w:tcW w:w="1098" w:type="pct"/>
            <w:tcBorders>
              <w:top w:val="single" w:sz="4" w:space="0" w:color="auto"/>
              <w:left w:val="single" w:sz="4" w:space="0" w:color="auto"/>
              <w:bottom w:val="single" w:sz="4" w:space="0" w:color="auto"/>
              <w:right w:val="single" w:sz="4" w:space="0" w:color="auto"/>
            </w:tcBorders>
            <w:vAlign w:val="bottom"/>
            <w:hideMark/>
          </w:tcPr>
          <w:p w14:paraId="2EFC0267" w14:textId="77777777" w:rsidR="000016E2" w:rsidRPr="00BD22FE" w:rsidRDefault="000016E2" w:rsidP="00941FBF">
            <w:pPr>
              <w:keepNext/>
              <w:rPr>
                <w:color w:val="000000"/>
                <w:sz w:val="22"/>
                <w:szCs w:val="22"/>
                <w:lang w:val="pl-PL" w:eastAsia="en-GB"/>
              </w:rPr>
            </w:pPr>
          </w:p>
        </w:tc>
      </w:tr>
      <w:tr w:rsidR="0013513D" w:rsidRPr="00BD22FE" w14:paraId="3C45C41E" w14:textId="77777777" w:rsidTr="0090751B">
        <w:tc>
          <w:tcPr>
            <w:tcW w:w="1084" w:type="pct"/>
            <w:vMerge/>
            <w:tcBorders>
              <w:left w:val="single" w:sz="4" w:space="0" w:color="auto"/>
              <w:right w:val="single" w:sz="4" w:space="0" w:color="auto"/>
            </w:tcBorders>
          </w:tcPr>
          <w:p w14:paraId="14E15FCB" w14:textId="77777777" w:rsidR="000016E2" w:rsidRPr="00BD22FE" w:rsidRDefault="000016E2" w:rsidP="00941FBF">
            <w:pPr>
              <w:keepNext/>
              <w:rPr>
                <w:sz w:val="22"/>
                <w:szCs w:val="22"/>
                <w:highlight w:val="yellow"/>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tcPr>
          <w:p w14:paraId="25249DE1" w14:textId="77777777" w:rsidR="000016E2" w:rsidRPr="00BD22FE" w:rsidRDefault="00104CA8" w:rsidP="00941FBF">
            <w:pPr>
              <w:keepNext/>
              <w:rPr>
                <w:color w:val="000000"/>
                <w:sz w:val="22"/>
                <w:szCs w:val="22"/>
                <w:lang w:val="pl-PL" w:eastAsia="en-GB"/>
              </w:rPr>
            </w:pPr>
            <w:r w:rsidRPr="00BD22FE">
              <w:rPr>
                <w:color w:val="000000"/>
                <w:sz w:val="22"/>
                <w:szCs w:val="22"/>
                <w:lang w:val="pl-PL" w:eastAsia="en-GB"/>
              </w:rPr>
              <w:t>Zakażenie dróg moczowych</w:t>
            </w:r>
          </w:p>
        </w:tc>
        <w:tc>
          <w:tcPr>
            <w:tcW w:w="804" w:type="pct"/>
            <w:tcBorders>
              <w:top w:val="single" w:sz="4" w:space="0" w:color="auto"/>
              <w:left w:val="single" w:sz="4" w:space="0" w:color="auto"/>
              <w:bottom w:val="single" w:sz="4" w:space="0" w:color="auto"/>
              <w:right w:val="single" w:sz="4" w:space="0" w:color="auto"/>
            </w:tcBorders>
            <w:vAlign w:val="bottom"/>
          </w:tcPr>
          <w:p w14:paraId="08C97DE2" w14:textId="77777777" w:rsidR="000016E2" w:rsidRPr="00BD22FE" w:rsidRDefault="000016E2" w:rsidP="00941FBF">
            <w:pPr>
              <w:keepNext/>
              <w:rPr>
                <w:color w:val="000000"/>
                <w:sz w:val="22"/>
                <w:szCs w:val="22"/>
                <w:lang w:val="pl-PL" w:eastAsia="en-GB"/>
              </w:rPr>
            </w:pPr>
          </w:p>
        </w:tc>
        <w:tc>
          <w:tcPr>
            <w:tcW w:w="788" w:type="pct"/>
            <w:tcBorders>
              <w:top w:val="single" w:sz="4" w:space="0" w:color="auto"/>
              <w:left w:val="single" w:sz="4" w:space="0" w:color="auto"/>
              <w:bottom w:val="single" w:sz="4" w:space="0" w:color="auto"/>
              <w:right w:val="single" w:sz="4" w:space="0" w:color="auto"/>
            </w:tcBorders>
          </w:tcPr>
          <w:p w14:paraId="34EF02F8" w14:textId="77777777" w:rsidR="000016E2" w:rsidRPr="00BD22FE" w:rsidRDefault="00104CA8" w:rsidP="00941FBF">
            <w:pPr>
              <w:keepNext/>
              <w:rPr>
                <w:color w:val="000000"/>
                <w:sz w:val="22"/>
                <w:szCs w:val="22"/>
                <w:lang w:val="pl-PL" w:eastAsia="en-GB"/>
              </w:rPr>
            </w:pPr>
            <w:r w:rsidRPr="00BD22FE">
              <w:rPr>
                <w:color w:val="000000"/>
                <w:sz w:val="22"/>
                <w:szCs w:val="22"/>
                <w:lang w:val="pl-PL" w:eastAsia="en-GB"/>
              </w:rPr>
              <w:t>niezbyt często</w:t>
            </w:r>
          </w:p>
        </w:tc>
        <w:tc>
          <w:tcPr>
            <w:tcW w:w="1098" w:type="pct"/>
            <w:tcBorders>
              <w:top w:val="single" w:sz="4" w:space="0" w:color="auto"/>
              <w:left w:val="single" w:sz="4" w:space="0" w:color="auto"/>
              <w:bottom w:val="single" w:sz="4" w:space="0" w:color="auto"/>
              <w:right w:val="single" w:sz="4" w:space="0" w:color="auto"/>
            </w:tcBorders>
            <w:vAlign w:val="bottom"/>
          </w:tcPr>
          <w:p w14:paraId="5051C2F4" w14:textId="77777777" w:rsidR="000016E2" w:rsidRPr="00BD22FE" w:rsidRDefault="000016E2" w:rsidP="00941FBF">
            <w:pPr>
              <w:keepNext/>
              <w:rPr>
                <w:color w:val="000000"/>
                <w:sz w:val="22"/>
                <w:szCs w:val="22"/>
                <w:lang w:val="pl-PL" w:eastAsia="en-GB"/>
              </w:rPr>
            </w:pPr>
          </w:p>
        </w:tc>
      </w:tr>
      <w:tr w:rsidR="0013513D" w:rsidRPr="00BD22FE" w14:paraId="6C36169F" w14:textId="77777777" w:rsidTr="0090751B">
        <w:tc>
          <w:tcPr>
            <w:tcW w:w="1084" w:type="pct"/>
            <w:vMerge/>
            <w:tcBorders>
              <w:left w:val="single" w:sz="4" w:space="0" w:color="auto"/>
              <w:bottom w:val="single" w:sz="4" w:space="0" w:color="auto"/>
              <w:right w:val="single" w:sz="4" w:space="0" w:color="auto"/>
            </w:tcBorders>
            <w:hideMark/>
          </w:tcPr>
          <w:p w14:paraId="7BFAD733" w14:textId="77777777" w:rsidR="000016E2" w:rsidRPr="00BD22FE" w:rsidRDefault="000016E2" w:rsidP="00941FBF">
            <w:pPr>
              <w:keepNext/>
              <w:rPr>
                <w:sz w:val="22"/>
                <w:szCs w:val="22"/>
                <w:highlight w:val="yellow"/>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611EA6DA" w14:textId="77777777" w:rsidR="000016E2" w:rsidRPr="00BD22FE" w:rsidRDefault="00104CA8" w:rsidP="00941FBF">
            <w:pPr>
              <w:keepNext/>
              <w:rPr>
                <w:color w:val="000000"/>
                <w:sz w:val="22"/>
                <w:szCs w:val="22"/>
                <w:lang w:val="pl-PL" w:eastAsia="en-GB"/>
              </w:rPr>
            </w:pPr>
            <w:r w:rsidRPr="00BD22FE">
              <w:rPr>
                <w:color w:val="000000"/>
                <w:sz w:val="22"/>
                <w:szCs w:val="22"/>
                <w:lang w:val="pl-PL" w:eastAsia="en-GB"/>
              </w:rPr>
              <w:t>Zapalenie pęcherza moczowego</w:t>
            </w:r>
          </w:p>
        </w:tc>
        <w:tc>
          <w:tcPr>
            <w:tcW w:w="804" w:type="pct"/>
            <w:tcBorders>
              <w:top w:val="single" w:sz="4" w:space="0" w:color="auto"/>
              <w:left w:val="single" w:sz="4" w:space="0" w:color="auto"/>
              <w:bottom w:val="single" w:sz="4" w:space="0" w:color="auto"/>
              <w:right w:val="single" w:sz="4" w:space="0" w:color="auto"/>
            </w:tcBorders>
            <w:vAlign w:val="bottom"/>
            <w:hideMark/>
          </w:tcPr>
          <w:p w14:paraId="6FF3E59D" w14:textId="77777777" w:rsidR="000016E2" w:rsidRPr="00BD22FE" w:rsidRDefault="000016E2" w:rsidP="00941FBF">
            <w:pPr>
              <w:keepNext/>
              <w:rPr>
                <w:color w:val="000000"/>
                <w:sz w:val="22"/>
                <w:szCs w:val="22"/>
                <w:lang w:val="pl-PL" w:eastAsia="en-GB"/>
              </w:rPr>
            </w:pPr>
          </w:p>
        </w:tc>
        <w:tc>
          <w:tcPr>
            <w:tcW w:w="788" w:type="pct"/>
            <w:tcBorders>
              <w:top w:val="single" w:sz="4" w:space="0" w:color="auto"/>
              <w:left w:val="single" w:sz="4" w:space="0" w:color="auto"/>
              <w:bottom w:val="single" w:sz="4" w:space="0" w:color="auto"/>
              <w:right w:val="single" w:sz="4" w:space="0" w:color="auto"/>
            </w:tcBorders>
            <w:hideMark/>
          </w:tcPr>
          <w:p w14:paraId="7ABCB1DE" w14:textId="77777777" w:rsidR="000016E2" w:rsidRPr="00BD22FE" w:rsidRDefault="00104CA8" w:rsidP="00941FBF">
            <w:pPr>
              <w:keepNext/>
              <w:rPr>
                <w:color w:val="000000"/>
                <w:sz w:val="22"/>
                <w:szCs w:val="22"/>
                <w:lang w:val="pl-PL" w:eastAsia="en-GB"/>
              </w:rPr>
            </w:pPr>
            <w:r w:rsidRPr="00BD22FE">
              <w:rPr>
                <w:color w:val="000000"/>
                <w:sz w:val="22"/>
                <w:szCs w:val="22"/>
                <w:lang w:val="pl-PL" w:eastAsia="en-GB"/>
              </w:rPr>
              <w:t>niezbyt często</w:t>
            </w:r>
          </w:p>
        </w:tc>
        <w:tc>
          <w:tcPr>
            <w:tcW w:w="1098" w:type="pct"/>
            <w:tcBorders>
              <w:top w:val="single" w:sz="4" w:space="0" w:color="auto"/>
              <w:left w:val="single" w:sz="4" w:space="0" w:color="auto"/>
              <w:bottom w:val="single" w:sz="4" w:space="0" w:color="auto"/>
              <w:right w:val="single" w:sz="4" w:space="0" w:color="auto"/>
            </w:tcBorders>
            <w:vAlign w:val="bottom"/>
            <w:hideMark/>
          </w:tcPr>
          <w:p w14:paraId="340078FA" w14:textId="77777777" w:rsidR="000016E2" w:rsidRPr="00BD22FE" w:rsidRDefault="000016E2" w:rsidP="00941FBF">
            <w:pPr>
              <w:keepNext/>
              <w:rPr>
                <w:color w:val="000000"/>
                <w:sz w:val="22"/>
                <w:szCs w:val="22"/>
                <w:lang w:val="pl-PL" w:eastAsia="en-GB"/>
              </w:rPr>
            </w:pPr>
          </w:p>
        </w:tc>
      </w:tr>
      <w:tr w:rsidR="0013513D" w:rsidRPr="00BD22FE" w14:paraId="07E3006C" w14:textId="77777777" w:rsidTr="0090751B">
        <w:tc>
          <w:tcPr>
            <w:tcW w:w="1084" w:type="pct"/>
            <w:tcBorders>
              <w:top w:val="single" w:sz="4" w:space="0" w:color="auto"/>
              <w:left w:val="single" w:sz="4" w:space="0" w:color="auto"/>
              <w:bottom w:val="single" w:sz="4" w:space="0" w:color="auto"/>
              <w:right w:val="single" w:sz="4" w:space="0" w:color="auto"/>
            </w:tcBorders>
            <w:hideMark/>
          </w:tcPr>
          <w:p w14:paraId="264C8F36" w14:textId="47BE397D" w:rsidR="000016E2" w:rsidRPr="00BD22FE" w:rsidRDefault="00104CA8" w:rsidP="00941FBF">
            <w:pPr>
              <w:keepNext/>
              <w:rPr>
                <w:b/>
                <w:bCs/>
                <w:color w:val="000000"/>
                <w:sz w:val="22"/>
                <w:szCs w:val="22"/>
                <w:highlight w:val="yellow"/>
                <w:lang w:val="pl-PL" w:eastAsia="en-GB"/>
              </w:rPr>
            </w:pPr>
            <w:r w:rsidRPr="00BD22FE">
              <w:rPr>
                <w:b/>
                <w:sz w:val="22"/>
                <w:szCs w:val="22"/>
                <w:lang w:val="pl-PL"/>
              </w:rPr>
              <w:t>Nowotwory łagodne, złośliwe i</w:t>
            </w:r>
            <w:r w:rsidR="00717A7B" w:rsidRPr="00BD22FE">
              <w:rPr>
                <w:b/>
                <w:sz w:val="22"/>
                <w:szCs w:val="22"/>
                <w:lang w:val="pl-PL"/>
              </w:rPr>
              <w:t> </w:t>
            </w:r>
            <w:r w:rsidRPr="00BD22FE">
              <w:rPr>
                <w:b/>
                <w:sz w:val="22"/>
                <w:szCs w:val="22"/>
                <w:lang w:val="pl-PL"/>
              </w:rPr>
              <w:t>nieokreślone (w</w:t>
            </w:r>
            <w:r w:rsidR="00717A7B" w:rsidRPr="00BD22FE">
              <w:rPr>
                <w:b/>
                <w:sz w:val="22"/>
                <w:szCs w:val="22"/>
                <w:lang w:val="pl-PL"/>
              </w:rPr>
              <w:t> </w:t>
            </w:r>
            <w:r w:rsidRPr="00BD22FE">
              <w:rPr>
                <w:b/>
                <w:sz w:val="22"/>
                <w:szCs w:val="22"/>
                <w:lang w:val="pl-PL"/>
              </w:rPr>
              <w:t>tym torbiele i</w:t>
            </w:r>
            <w:r w:rsidR="00717A7B" w:rsidRPr="00BD22FE">
              <w:rPr>
                <w:b/>
                <w:sz w:val="22"/>
                <w:szCs w:val="22"/>
                <w:lang w:val="pl-PL"/>
              </w:rPr>
              <w:t> </w:t>
            </w:r>
            <w:r w:rsidRPr="00BD22FE">
              <w:rPr>
                <w:b/>
                <w:sz w:val="22"/>
                <w:szCs w:val="22"/>
                <w:lang w:val="pl-PL"/>
              </w:rPr>
              <w:t>polipy)</w:t>
            </w:r>
          </w:p>
        </w:tc>
        <w:tc>
          <w:tcPr>
            <w:tcW w:w="1226" w:type="pct"/>
            <w:tcBorders>
              <w:top w:val="single" w:sz="4" w:space="0" w:color="auto"/>
              <w:left w:val="single" w:sz="4" w:space="0" w:color="auto"/>
              <w:bottom w:val="single" w:sz="4" w:space="0" w:color="auto"/>
              <w:right w:val="single" w:sz="4" w:space="0" w:color="auto"/>
            </w:tcBorders>
            <w:vAlign w:val="bottom"/>
            <w:hideMark/>
          </w:tcPr>
          <w:p w14:paraId="621ECB6E" w14:textId="77777777" w:rsidR="000016E2" w:rsidRPr="00BD22FE" w:rsidRDefault="00104CA8" w:rsidP="00941FBF">
            <w:pPr>
              <w:keepNext/>
              <w:rPr>
                <w:color w:val="000000"/>
                <w:sz w:val="22"/>
                <w:szCs w:val="22"/>
                <w:lang w:val="pl-PL" w:eastAsia="en-GB"/>
              </w:rPr>
            </w:pPr>
            <w:r w:rsidRPr="00BD22FE">
              <w:rPr>
                <w:color w:val="000000"/>
                <w:sz w:val="22"/>
                <w:szCs w:val="22"/>
                <w:lang w:val="pl-PL" w:eastAsia="en-GB"/>
              </w:rPr>
              <w:t>Nieczerniakowe nowotwory złośliwe skóry (rak podstawnokomórkowy i rak kolczystokomórkowy)</w:t>
            </w:r>
          </w:p>
        </w:tc>
        <w:tc>
          <w:tcPr>
            <w:tcW w:w="804" w:type="pct"/>
            <w:tcBorders>
              <w:top w:val="single" w:sz="4" w:space="0" w:color="auto"/>
              <w:left w:val="single" w:sz="4" w:space="0" w:color="auto"/>
              <w:bottom w:val="single" w:sz="4" w:space="0" w:color="auto"/>
              <w:right w:val="single" w:sz="4" w:space="0" w:color="auto"/>
            </w:tcBorders>
            <w:vAlign w:val="bottom"/>
            <w:hideMark/>
          </w:tcPr>
          <w:p w14:paraId="526F195F" w14:textId="77777777" w:rsidR="000016E2" w:rsidRPr="00BD22FE" w:rsidRDefault="000016E2" w:rsidP="00941FBF">
            <w:pPr>
              <w:keepNext/>
              <w:rPr>
                <w:color w:val="000000"/>
                <w:sz w:val="22"/>
                <w:szCs w:val="22"/>
                <w:lang w:val="pl-PL" w:eastAsia="en-GB"/>
              </w:rPr>
            </w:pPr>
          </w:p>
        </w:tc>
        <w:tc>
          <w:tcPr>
            <w:tcW w:w="788" w:type="pct"/>
            <w:tcBorders>
              <w:top w:val="single" w:sz="4" w:space="0" w:color="auto"/>
              <w:left w:val="single" w:sz="4" w:space="0" w:color="auto"/>
              <w:bottom w:val="single" w:sz="4" w:space="0" w:color="auto"/>
              <w:right w:val="single" w:sz="4" w:space="0" w:color="auto"/>
            </w:tcBorders>
            <w:vAlign w:val="bottom"/>
            <w:hideMark/>
          </w:tcPr>
          <w:p w14:paraId="0B2D2642" w14:textId="77777777" w:rsidR="000016E2" w:rsidRPr="00BD22FE" w:rsidRDefault="000016E2" w:rsidP="00941FBF">
            <w:pPr>
              <w:keepNext/>
              <w:rPr>
                <w:sz w:val="22"/>
                <w:szCs w:val="22"/>
                <w:lang w:val="pl-PL" w:eastAsia="en-GB"/>
              </w:rPr>
            </w:pPr>
          </w:p>
        </w:tc>
        <w:tc>
          <w:tcPr>
            <w:tcW w:w="1098" w:type="pct"/>
            <w:tcBorders>
              <w:top w:val="single" w:sz="4" w:space="0" w:color="auto"/>
              <w:left w:val="single" w:sz="4" w:space="0" w:color="auto"/>
              <w:bottom w:val="single" w:sz="4" w:space="0" w:color="auto"/>
              <w:right w:val="single" w:sz="4" w:space="0" w:color="auto"/>
            </w:tcBorders>
            <w:vAlign w:val="bottom"/>
            <w:hideMark/>
          </w:tcPr>
          <w:p w14:paraId="5E217629" w14:textId="77777777" w:rsidR="000016E2" w:rsidRPr="00BD22FE" w:rsidRDefault="00104CA8" w:rsidP="00941FBF">
            <w:pPr>
              <w:keepNext/>
              <w:rPr>
                <w:color w:val="000000"/>
                <w:sz w:val="22"/>
                <w:szCs w:val="22"/>
                <w:lang w:val="pl-PL" w:eastAsia="en-GB"/>
              </w:rPr>
            </w:pPr>
            <w:r w:rsidRPr="00BD22FE">
              <w:rPr>
                <w:sz w:val="22"/>
                <w:szCs w:val="22"/>
                <w:lang w:val="pl-PL"/>
              </w:rPr>
              <w:t>częstość nieznana</w:t>
            </w:r>
            <w:r w:rsidRPr="00BD22FE">
              <w:rPr>
                <w:color w:val="000000"/>
                <w:sz w:val="22"/>
                <w:szCs w:val="22"/>
                <w:vertAlign w:val="superscript"/>
                <w:lang w:val="pl-PL" w:eastAsia="en-GB"/>
              </w:rPr>
              <w:t>2</w:t>
            </w:r>
          </w:p>
        </w:tc>
      </w:tr>
      <w:tr w:rsidR="0013513D" w:rsidRPr="00BD22FE" w14:paraId="6CD047FB" w14:textId="77777777" w:rsidTr="0090751B">
        <w:tc>
          <w:tcPr>
            <w:tcW w:w="1084" w:type="pct"/>
            <w:vMerge w:val="restart"/>
            <w:tcBorders>
              <w:top w:val="single" w:sz="4" w:space="0" w:color="auto"/>
              <w:left w:val="single" w:sz="4" w:space="0" w:color="auto"/>
              <w:right w:val="single" w:sz="4" w:space="0" w:color="auto"/>
            </w:tcBorders>
            <w:hideMark/>
          </w:tcPr>
          <w:p w14:paraId="6AD61691" w14:textId="7014D6D1" w:rsidR="000016E2" w:rsidRPr="00BD22FE" w:rsidRDefault="00104CA8" w:rsidP="00941FBF">
            <w:pPr>
              <w:rPr>
                <w:b/>
                <w:bCs/>
                <w:color w:val="000000"/>
                <w:sz w:val="22"/>
                <w:szCs w:val="22"/>
                <w:highlight w:val="yellow"/>
                <w:lang w:val="pl-PL" w:eastAsia="en-GB"/>
              </w:rPr>
            </w:pPr>
            <w:r w:rsidRPr="00BD22FE">
              <w:rPr>
                <w:b/>
                <w:sz w:val="22"/>
                <w:szCs w:val="22"/>
                <w:lang w:val="pl-PL"/>
              </w:rPr>
              <w:t>Zaburzenia krwi i</w:t>
            </w:r>
            <w:r w:rsidR="00717A7B" w:rsidRPr="00BD22FE">
              <w:rPr>
                <w:b/>
                <w:sz w:val="22"/>
                <w:szCs w:val="22"/>
                <w:lang w:val="pl-PL"/>
              </w:rPr>
              <w:t> </w:t>
            </w:r>
            <w:r w:rsidRPr="00BD22FE">
              <w:rPr>
                <w:b/>
                <w:sz w:val="22"/>
                <w:szCs w:val="22"/>
                <w:lang w:val="pl-PL"/>
              </w:rPr>
              <w:t>układu chłonnego</w:t>
            </w:r>
          </w:p>
        </w:tc>
        <w:tc>
          <w:tcPr>
            <w:tcW w:w="1226" w:type="pct"/>
            <w:tcBorders>
              <w:top w:val="single" w:sz="4" w:space="0" w:color="auto"/>
              <w:left w:val="single" w:sz="4" w:space="0" w:color="auto"/>
              <w:bottom w:val="single" w:sz="4" w:space="0" w:color="auto"/>
              <w:right w:val="single" w:sz="4" w:space="0" w:color="auto"/>
            </w:tcBorders>
            <w:vAlign w:val="bottom"/>
            <w:hideMark/>
          </w:tcPr>
          <w:p w14:paraId="322CB415"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Niedokrwistość</w:t>
            </w:r>
          </w:p>
        </w:tc>
        <w:tc>
          <w:tcPr>
            <w:tcW w:w="804" w:type="pct"/>
            <w:tcBorders>
              <w:top w:val="single" w:sz="4" w:space="0" w:color="auto"/>
              <w:left w:val="single" w:sz="4" w:space="0" w:color="auto"/>
              <w:bottom w:val="single" w:sz="4" w:space="0" w:color="auto"/>
              <w:right w:val="single" w:sz="4" w:space="0" w:color="auto"/>
            </w:tcBorders>
            <w:vAlign w:val="bottom"/>
            <w:hideMark/>
          </w:tcPr>
          <w:p w14:paraId="780569C2" w14:textId="77777777" w:rsidR="000016E2" w:rsidRPr="00BD22FE" w:rsidRDefault="000016E2" w:rsidP="00941FBF">
            <w:pPr>
              <w:rPr>
                <w:color w:val="000000"/>
                <w:sz w:val="22"/>
                <w:szCs w:val="22"/>
                <w:lang w:val="pl-PL" w:eastAsia="en-GB"/>
              </w:rPr>
            </w:pPr>
          </w:p>
        </w:tc>
        <w:tc>
          <w:tcPr>
            <w:tcW w:w="788" w:type="pct"/>
            <w:tcBorders>
              <w:top w:val="single" w:sz="4" w:space="0" w:color="auto"/>
              <w:left w:val="single" w:sz="4" w:space="0" w:color="auto"/>
              <w:bottom w:val="single" w:sz="4" w:space="0" w:color="auto"/>
              <w:right w:val="single" w:sz="4" w:space="0" w:color="auto"/>
            </w:tcBorders>
            <w:vAlign w:val="bottom"/>
            <w:hideMark/>
          </w:tcPr>
          <w:p w14:paraId="02B73968"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niezbyt często</w:t>
            </w:r>
          </w:p>
        </w:tc>
        <w:tc>
          <w:tcPr>
            <w:tcW w:w="1098" w:type="pct"/>
            <w:tcBorders>
              <w:top w:val="single" w:sz="4" w:space="0" w:color="auto"/>
              <w:left w:val="single" w:sz="4" w:space="0" w:color="auto"/>
              <w:bottom w:val="single" w:sz="4" w:space="0" w:color="auto"/>
              <w:right w:val="single" w:sz="4" w:space="0" w:color="auto"/>
            </w:tcBorders>
            <w:vAlign w:val="bottom"/>
            <w:hideMark/>
          </w:tcPr>
          <w:p w14:paraId="4A21FD0F" w14:textId="77777777" w:rsidR="000016E2" w:rsidRPr="00BD22FE" w:rsidRDefault="000016E2" w:rsidP="00941FBF">
            <w:pPr>
              <w:rPr>
                <w:color w:val="000000"/>
                <w:sz w:val="22"/>
                <w:szCs w:val="22"/>
                <w:lang w:val="pl-PL" w:eastAsia="en-GB"/>
              </w:rPr>
            </w:pPr>
          </w:p>
        </w:tc>
      </w:tr>
      <w:tr w:rsidR="0013513D" w:rsidRPr="00BD22FE" w14:paraId="5DB13C3E" w14:textId="77777777" w:rsidTr="0090751B">
        <w:tc>
          <w:tcPr>
            <w:tcW w:w="1084" w:type="pct"/>
            <w:vMerge/>
            <w:tcBorders>
              <w:left w:val="single" w:sz="4" w:space="0" w:color="auto"/>
              <w:right w:val="single" w:sz="4" w:space="0" w:color="auto"/>
            </w:tcBorders>
            <w:hideMark/>
          </w:tcPr>
          <w:p w14:paraId="3C136172" w14:textId="77777777" w:rsidR="000016E2" w:rsidRPr="00BD22FE" w:rsidRDefault="000016E2" w:rsidP="00941FBF">
            <w:pPr>
              <w:rPr>
                <w:sz w:val="22"/>
                <w:szCs w:val="22"/>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4E8E37F1"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Eozynofilia</w:t>
            </w:r>
          </w:p>
        </w:tc>
        <w:tc>
          <w:tcPr>
            <w:tcW w:w="804" w:type="pct"/>
            <w:tcBorders>
              <w:top w:val="single" w:sz="4" w:space="0" w:color="auto"/>
              <w:left w:val="single" w:sz="4" w:space="0" w:color="auto"/>
              <w:bottom w:val="single" w:sz="4" w:space="0" w:color="auto"/>
              <w:right w:val="single" w:sz="4" w:space="0" w:color="auto"/>
            </w:tcBorders>
            <w:vAlign w:val="bottom"/>
            <w:hideMark/>
          </w:tcPr>
          <w:p w14:paraId="4104F71C" w14:textId="77777777" w:rsidR="000016E2" w:rsidRPr="00BD22FE" w:rsidRDefault="000016E2" w:rsidP="00941FBF">
            <w:pPr>
              <w:rPr>
                <w:color w:val="000000"/>
                <w:sz w:val="22"/>
                <w:szCs w:val="22"/>
                <w:lang w:val="pl-PL" w:eastAsia="en-GB"/>
              </w:rPr>
            </w:pPr>
          </w:p>
        </w:tc>
        <w:tc>
          <w:tcPr>
            <w:tcW w:w="788" w:type="pct"/>
            <w:tcBorders>
              <w:top w:val="single" w:sz="4" w:space="0" w:color="auto"/>
              <w:left w:val="single" w:sz="4" w:space="0" w:color="auto"/>
              <w:bottom w:val="single" w:sz="4" w:space="0" w:color="auto"/>
              <w:right w:val="single" w:sz="4" w:space="0" w:color="auto"/>
            </w:tcBorders>
            <w:hideMark/>
          </w:tcPr>
          <w:p w14:paraId="7688CFD9"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rzadko</w:t>
            </w:r>
          </w:p>
        </w:tc>
        <w:tc>
          <w:tcPr>
            <w:tcW w:w="1098" w:type="pct"/>
            <w:tcBorders>
              <w:top w:val="single" w:sz="4" w:space="0" w:color="auto"/>
              <w:left w:val="single" w:sz="4" w:space="0" w:color="auto"/>
              <w:bottom w:val="single" w:sz="4" w:space="0" w:color="auto"/>
              <w:right w:val="single" w:sz="4" w:space="0" w:color="auto"/>
            </w:tcBorders>
            <w:vAlign w:val="bottom"/>
            <w:hideMark/>
          </w:tcPr>
          <w:p w14:paraId="799AC07F" w14:textId="77777777" w:rsidR="000016E2" w:rsidRPr="00BD22FE" w:rsidRDefault="000016E2" w:rsidP="00941FBF">
            <w:pPr>
              <w:rPr>
                <w:color w:val="000000"/>
                <w:sz w:val="22"/>
                <w:szCs w:val="22"/>
                <w:lang w:val="pl-PL" w:eastAsia="en-GB"/>
              </w:rPr>
            </w:pPr>
          </w:p>
        </w:tc>
      </w:tr>
      <w:tr w:rsidR="0013513D" w:rsidRPr="00BD22FE" w14:paraId="552C7B2F" w14:textId="77777777" w:rsidTr="0090751B">
        <w:tc>
          <w:tcPr>
            <w:tcW w:w="1084" w:type="pct"/>
            <w:vMerge/>
            <w:tcBorders>
              <w:left w:val="single" w:sz="4" w:space="0" w:color="auto"/>
              <w:right w:val="single" w:sz="4" w:space="0" w:color="auto"/>
            </w:tcBorders>
            <w:hideMark/>
          </w:tcPr>
          <w:p w14:paraId="32F96EA9" w14:textId="77777777" w:rsidR="000016E2" w:rsidRPr="00BD22FE" w:rsidRDefault="000016E2" w:rsidP="00941FBF">
            <w:pPr>
              <w:rPr>
                <w:sz w:val="22"/>
                <w:szCs w:val="22"/>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26172290"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Małopłytkowość</w:t>
            </w:r>
          </w:p>
        </w:tc>
        <w:tc>
          <w:tcPr>
            <w:tcW w:w="804" w:type="pct"/>
            <w:tcBorders>
              <w:top w:val="single" w:sz="4" w:space="0" w:color="auto"/>
              <w:left w:val="single" w:sz="4" w:space="0" w:color="auto"/>
              <w:bottom w:val="single" w:sz="4" w:space="0" w:color="auto"/>
              <w:right w:val="single" w:sz="4" w:space="0" w:color="auto"/>
            </w:tcBorders>
            <w:vAlign w:val="bottom"/>
            <w:hideMark/>
          </w:tcPr>
          <w:p w14:paraId="6095A7A2" w14:textId="77777777" w:rsidR="000016E2" w:rsidRPr="00BD22FE" w:rsidRDefault="000016E2" w:rsidP="00941FBF">
            <w:pPr>
              <w:rPr>
                <w:color w:val="000000"/>
                <w:sz w:val="22"/>
                <w:szCs w:val="22"/>
                <w:lang w:val="pl-PL" w:eastAsia="en-GB"/>
              </w:rPr>
            </w:pPr>
          </w:p>
        </w:tc>
        <w:tc>
          <w:tcPr>
            <w:tcW w:w="788" w:type="pct"/>
            <w:tcBorders>
              <w:top w:val="single" w:sz="4" w:space="0" w:color="auto"/>
              <w:left w:val="single" w:sz="4" w:space="0" w:color="auto"/>
              <w:bottom w:val="single" w:sz="4" w:space="0" w:color="auto"/>
              <w:right w:val="single" w:sz="4" w:space="0" w:color="auto"/>
            </w:tcBorders>
            <w:hideMark/>
          </w:tcPr>
          <w:p w14:paraId="684CC9F7"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rzadko</w:t>
            </w:r>
          </w:p>
        </w:tc>
        <w:tc>
          <w:tcPr>
            <w:tcW w:w="1098" w:type="pct"/>
            <w:tcBorders>
              <w:top w:val="single" w:sz="4" w:space="0" w:color="auto"/>
              <w:left w:val="single" w:sz="4" w:space="0" w:color="auto"/>
              <w:bottom w:val="single" w:sz="4" w:space="0" w:color="auto"/>
              <w:right w:val="single" w:sz="4" w:space="0" w:color="auto"/>
            </w:tcBorders>
            <w:vAlign w:val="bottom"/>
            <w:hideMark/>
          </w:tcPr>
          <w:p w14:paraId="64ECF9F2"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rzadko</w:t>
            </w:r>
          </w:p>
        </w:tc>
      </w:tr>
      <w:tr w:rsidR="0013513D" w:rsidRPr="00BD22FE" w14:paraId="5641D7E2" w14:textId="77777777" w:rsidTr="0090751B">
        <w:tc>
          <w:tcPr>
            <w:tcW w:w="1084" w:type="pct"/>
            <w:vMerge/>
            <w:tcBorders>
              <w:left w:val="single" w:sz="4" w:space="0" w:color="auto"/>
              <w:right w:val="single" w:sz="4" w:space="0" w:color="auto"/>
            </w:tcBorders>
            <w:hideMark/>
          </w:tcPr>
          <w:p w14:paraId="41D74965" w14:textId="77777777" w:rsidR="000016E2" w:rsidRPr="00BD22FE" w:rsidRDefault="000016E2" w:rsidP="00941FBF">
            <w:pPr>
              <w:rPr>
                <w:sz w:val="22"/>
                <w:szCs w:val="22"/>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7B2777C9"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Skaza krwotoczna małopłytkowa</w:t>
            </w:r>
          </w:p>
        </w:tc>
        <w:tc>
          <w:tcPr>
            <w:tcW w:w="804" w:type="pct"/>
            <w:tcBorders>
              <w:top w:val="single" w:sz="4" w:space="0" w:color="auto"/>
              <w:left w:val="single" w:sz="4" w:space="0" w:color="auto"/>
              <w:bottom w:val="single" w:sz="4" w:space="0" w:color="auto"/>
              <w:right w:val="single" w:sz="4" w:space="0" w:color="auto"/>
            </w:tcBorders>
            <w:vAlign w:val="bottom"/>
            <w:hideMark/>
          </w:tcPr>
          <w:p w14:paraId="342B60E4" w14:textId="77777777" w:rsidR="000016E2" w:rsidRPr="00BD22FE" w:rsidRDefault="000016E2" w:rsidP="00941FBF">
            <w:pPr>
              <w:rPr>
                <w:color w:val="000000"/>
                <w:sz w:val="22"/>
                <w:szCs w:val="22"/>
                <w:lang w:val="pl-PL" w:eastAsia="en-GB"/>
              </w:rPr>
            </w:pPr>
          </w:p>
        </w:tc>
        <w:tc>
          <w:tcPr>
            <w:tcW w:w="788" w:type="pct"/>
            <w:tcBorders>
              <w:top w:val="single" w:sz="4" w:space="0" w:color="auto"/>
              <w:left w:val="single" w:sz="4" w:space="0" w:color="auto"/>
              <w:bottom w:val="single" w:sz="4" w:space="0" w:color="auto"/>
              <w:right w:val="single" w:sz="4" w:space="0" w:color="auto"/>
            </w:tcBorders>
            <w:vAlign w:val="bottom"/>
            <w:hideMark/>
          </w:tcPr>
          <w:p w14:paraId="7F30E2DE" w14:textId="77777777" w:rsidR="000016E2" w:rsidRPr="00BD22FE" w:rsidRDefault="000016E2" w:rsidP="00941FBF">
            <w:pPr>
              <w:rPr>
                <w:sz w:val="22"/>
                <w:szCs w:val="22"/>
                <w:lang w:val="pl-PL" w:eastAsia="en-GB"/>
              </w:rPr>
            </w:pPr>
          </w:p>
        </w:tc>
        <w:tc>
          <w:tcPr>
            <w:tcW w:w="1098" w:type="pct"/>
            <w:tcBorders>
              <w:top w:val="single" w:sz="4" w:space="0" w:color="auto"/>
              <w:left w:val="single" w:sz="4" w:space="0" w:color="auto"/>
              <w:bottom w:val="single" w:sz="4" w:space="0" w:color="auto"/>
              <w:right w:val="single" w:sz="4" w:space="0" w:color="auto"/>
            </w:tcBorders>
            <w:vAlign w:val="bottom"/>
            <w:hideMark/>
          </w:tcPr>
          <w:p w14:paraId="117C48E6"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rzadko</w:t>
            </w:r>
          </w:p>
        </w:tc>
      </w:tr>
      <w:tr w:rsidR="0013513D" w:rsidRPr="00BD22FE" w14:paraId="14E0A611" w14:textId="77777777" w:rsidTr="0090751B">
        <w:tc>
          <w:tcPr>
            <w:tcW w:w="1084" w:type="pct"/>
            <w:vMerge/>
            <w:tcBorders>
              <w:left w:val="single" w:sz="4" w:space="0" w:color="auto"/>
              <w:right w:val="single" w:sz="4" w:space="0" w:color="auto"/>
            </w:tcBorders>
            <w:hideMark/>
          </w:tcPr>
          <w:p w14:paraId="329685D1" w14:textId="77777777" w:rsidR="000016E2" w:rsidRPr="00BD22FE" w:rsidRDefault="000016E2" w:rsidP="00941FBF">
            <w:pPr>
              <w:rPr>
                <w:color w:val="000000"/>
                <w:sz w:val="22"/>
                <w:szCs w:val="22"/>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53986E3A"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Niedokrwistość aplastyczna</w:t>
            </w:r>
          </w:p>
        </w:tc>
        <w:tc>
          <w:tcPr>
            <w:tcW w:w="804" w:type="pct"/>
            <w:tcBorders>
              <w:top w:val="single" w:sz="4" w:space="0" w:color="auto"/>
              <w:left w:val="single" w:sz="4" w:space="0" w:color="auto"/>
              <w:bottom w:val="single" w:sz="4" w:space="0" w:color="auto"/>
              <w:right w:val="single" w:sz="4" w:space="0" w:color="auto"/>
            </w:tcBorders>
            <w:vAlign w:val="bottom"/>
            <w:hideMark/>
          </w:tcPr>
          <w:p w14:paraId="19C995F8" w14:textId="77777777" w:rsidR="000016E2" w:rsidRPr="00BD22FE" w:rsidRDefault="000016E2" w:rsidP="00941FBF">
            <w:pPr>
              <w:rPr>
                <w:color w:val="000000"/>
                <w:sz w:val="22"/>
                <w:szCs w:val="22"/>
                <w:lang w:val="pl-PL" w:eastAsia="en-GB"/>
              </w:rPr>
            </w:pPr>
          </w:p>
        </w:tc>
        <w:tc>
          <w:tcPr>
            <w:tcW w:w="788" w:type="pct"/>
            <w:tcBorders>
              <w:top w:val="single" w:sz="4" w:space="0" w:color="auto"/>
              <w:left w:val="single" w:sz="4" w:space="0" w:color="auto"/>
              <w:bottom w:val="single" w:sz="4" w:space="0" w:color="auto"/>
              <w:right w:val="single" w:sz="4" w:space="0" w:color="auto"/>
            </w:tcBorders>
            <w:vAlign w:val="bottom"/>
            <w:hideMark/>
          </w:tcPr>
          <w:p w14:paraId="658AF7F9" w14:textId="77777777" w:rsidR="000016E2" w:rsidRPr="00BD22FE" w:rsidRDefault="000016E2" w:rsidP="00941FBF">
            <w:pPr>
              <w:rPr>
                <w:sz w:val="22"/>
                <w:szCs w:val="22"/>
                <w:lang w:val="pl-PL" w:eastAsia="en-GB"/>
              </w:rPr>
            </w:pPr>
          </w:p>
        </w:tc>
        <w:tc>
          <w:tcPr>
            <w:tcW w:w="1098" w:type="pct"/>
            <w:tcBorders>
              <w:top w:val="single" w:sz="4" w:space="0" w:color="auto"/>
              <w:left w:val="single" w:sz="4" w:space="0" w:color="auto"/>
              <w:bottom w:val="single" w:sz="4" w:space="0" w:color="auto"/>
              <w:right w:val="single" w:sz="4" w:space="0" w:color="auto"/>
            </w:tcBorders>
            <w:vAlign w:val="bottom"/>
            <w:hideMark/>
          </w:tcPr>
          <w:p w14:paraId="1F580418" w14:textId="77777777" w:rsidR="000016E2" w:rsidRPr="00BD22FE" w:rsidRDefault="00104CA8" w:rsidP="00941FBF">
            <w:pPr>
              <w:rPr>
                <w:color w:val="000000"/>
                <w:sz w:val="22"/>
                <w:szCs w:val="22"/>
                <w:lang w:val="pl-PL" w:eastAsia="en-GB"/>
              </w:rPr>
            </w:pPr>
            <w:r w:rsidRPr="00BD22FE">
              <w:rPr>
                <w:sz w:val="22"/>
                <w:szCs w:val="22"/>
                <w:lang w:val="pl-PL"/>
              </w:rPr>
              <w:t>częstość nieznana</w:t>
            </w:r>
          </w:p>
        </w:tc>
      </w:tr>
      <w:tr w:rsidR="0013513D" w:rsidRPr="00BD22FE" w14:paraId="0735FBF9" w14:textId="77777777" w:rsidTr="0090751B">
        <w:tc>
          <w:tcPr>
            <w:tcW w:w="1084" w:type="pct"/>
            <w:vMerge/>
            <w:tcBorders>
              <w:left w:val="single" w:sz="4" w:space="0" w:color="auto"/>
              <w:right w:val="single" w:sz="4" w:space="0" w:color="auto"/>
            </w:tcBorders>
            <w:hideMark/>
          </w:tcPr>
          <w:p w14:paraId="70E0B29B" w14:textId="77777777" w:rsidR="000016E2" w:rsidRPr="00BD22FE" w:rsidRDefault="000016E2" w:rsidP="00941FBF">
            <w:pPr>
              <w:rPr>
                <w:color w:val="000000"/>
                <w:sz w:val="22"/>
                <w:szCs w:val="22"/>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7730D96B"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Niedokrwistość hemolityczna</w:t>
            </w:r>
          </w:p>
        </w:tc>
        <w:tc>
          <w:tcPr>
            <w:tcW w:w="804" w:type="pct"/>
            <w:tcBorders>
              <w:top w:val="single" w:sz="4" w:space="0" w:color="auto"/>
              <w:left w:val="single" w:sz="4" w:space="0" w:color="auto"/>
              <w:bottom w:val="single" w:sz="4" w:space="0" w:color="auto"/>
              <w:right w:val="single" w:sz="4" w:space="0" w:color="auto"/>
            </w:tcBorders>
            <w:vAlign w:val="bottom"/>
            <w:hideMark/>
          </w:tcPr>
          <w:p w14:paraId="2811DA7B" w14:textId="77777777" w:rsidR="000016E2" w:rsidRPr="00BD22FE" w:rsidRDefault="000016E2" w:rsidP="00941FBF">
            <w:pPr>
              <w:rPr>
                <w:color w:val="000000"/>
                <w:sz w:val="22"/>
                <w:szCs w:val="22"/>
                <w:lang w:val="pl-PL" w:eastAsia="en-GB"/>
              </w:rPr>
            </w:pPr>
          </w:p>
        </w:tc>
        <w:tc>
          <w:tcPr>
            <w:tcW w:w="788" w:type="pct"/>
            <w:tcBorders>
              <w:top w:val="single" w:sz="4" w:space="0" w:color="auto"/>
              <w:left w:val="single" w:sz="4" w:space="0" w:color="auto"/>
              <w:bottom w:val="single" w:sz="4" w:space="0" w:color="auto"/>
              <w:right w:val="single" w:sz="4" w:space="0" w:color="auto"/>
            </w:tcBorders>
            <w:vAlign w:val="bottom"/>
            <w:hideMark/>
          </w:tcPr>
          <w:p w14:paraId="4FF756DB" w14:textId="77777777" w:rsidR="000016E2" w:rsidRPr="00BD22FE" w:rsidRDefault="000016E2" w:rsidP="00941FBF">
            <w:pPr>
              <w:rPr>
                <w:sz w:val="22"/>
                <w:szCs w:val="22"/>
                <w:lang w:val="pl-PL" w:eastAsia="en-GB"/>
              </w:rPr>
            </w:pPr>
          </w:p>
        </w:tc>
        <w:tc>
          <w:tcPr>
            <w:tcW w:w="1098" w:type="pct"/>
            <w:tcBorders>
              <w:top w:val="single" w:sz="4" w:space="0" w:color="auto"/>
              <w:left w:val="single" w:sz="4" w:space="0" w:color="auto"/>
              <w:bottom w:val="single" w:sz="4" w:space="0" w:color="auto"/>
              <w:right w:val="single" w:sz="4" w:space="0" w:color="auto"/>
            </w:tcBorders>
            <w:vAlign w:val="bottom"/>
            <w:hideMark/>
          </w:tcPr>
          <w:p w14:paraId="5ECBF5E9"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bardzo rzadko</w:t>
            </w:r>
          </w:p>
        </w:tc>
      </w:tr>
      <w:tr w:rsidR="0013513D" w:rsidRPr="00BD22FE" w14:paraId="1834A045" w14:textId="77777777" w:rsidTr="0090751B">
        <w:tc>
          <w:tcPr>
            <w:tcW w:w="1084" w:type="pct"/>
            <w:vMerge/>
            <w:tcBorders>
              <w:left w:val="single" w:sz="4" w:space="0" w:color="auto"/>
              <w:right w:val="single" w:sz="4" w:space="0" w:color="auto"/>
            </w:tcBorders>
            <w:hideMark/>
          </w:tcPr>
          <w:p w14:paraId="60482FB3" w14:textId="77777777" w:rsidR="000016E2" w:rsidRPr="00BD22FE" w:rsidRDefault="000016E2" w:rsidP="00941FBF">
            <w:pPr>
              <w:rPr>
                <w:color w:val="000000"/>
                <w:sz w:val="22"/>
                <w:szCs w:val="22"/>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4C5ACC74" w14:textId="17DBC01F" w:rsidR="000016E2" w:rsidRPr="00BD22FE" w:rsidRDefault="00104CA8" w:rsidP="00616F7A">
            <w:pPr>
              <w:rPr>
                <w:color w:val="000000"/>
                <w:sz w:val="22"/>
                <w:szCs w:val="22"/>
                <w:lang w:val="pl-PL" w:eastAsia="en-GB"/>
              </w:rPr>
            </w:pPr>
            <w:r w:rsidRPr="00BD22FE">
              <w:rPr>
                <w:color w:val="000000"/>
                <w:sz w:val="22"/>
                <w:szCs w:val="22"/>
                <w:lang w:val="pl-PL" w:eastAsia="en-GB"/>
              </w:rPr>
              <w:t>Niewydolność szpiku kostnego</w:t>
            </w:r>
          </w:p>
        </w:tc>
        <w:tc>
          <w:tcPr>
            <w:tcW w:w="804" w:type="pct"/>
            <w:tcBorders>
              <w:top w:val="single" w:sz="4" w:space="0" w:color="auto"/>
              <w:left w:val="single" w:sz="4" w:space="0" w:color="auto"/>
              <w:bottom w:val="single" w:sz="4" w:space="0" w:color="auto"/>
              <w:right w:val="single" w:sz="4" w:space="0" w:color="auto"/>
            </w:tcBorders>
            <w:vAlign w:val="bottom"/>
            <w:hideMark/>
          </w:tcPr>
          <w:p w14:paraId="52626398" w14:textId="77777777" w:rsidR="000016E2" w:rsidRPr="00BD22FE" w:rsidRDefault="000016E2" w:rsidP="00941FBF">
            <w:pPr>
              <w:rPr>
                <w:color w:val="000000"/>
                <w:sz w:val="22"/>
                <w:szCs w:val="22"/>
                <w:lang w:val="pl-PL" w:eastAsia="en-GB"/>
              </w:rPr>
            </w:pPr>
          </w:p>
        </w:tc>
        <w:tc>
          <w:tcPr>
            <w:tcW w:w="788" w:type="pct"/>
            <w:tcBorders>
              <w:top w:val="single" w:sz="4" w:space="0" w:color="auto"/>
              <w:left w:val="single" w:sz="4" w:space="0" w:color="auto"/>
              <w:bottom w:val="single" w:sz="4" w:space="0" w:color="auto"/>
              <w:right w:val="single" w:sz="4" w:space="0" w:color="auto"/>
            </w:tcBorders>
            <w:vAlign w:val="bottom"/>
            <w:hideMark/>
          </w:tcPr>
          <w:p w14:paraId="239395D0" w14:textId="77777777" w:rsidR="000016E2" w:rsidRPr="00BD22FE" w:rsidRDefault="000016E2" w:rsidP="00941FBF">
            <w:pPr>
              <w:rPr>
                <w:sz w:val="22"/>
                <w:szCs w:val="22"/>
                <w:lang w:val="pl-PL" w:eastAsia="en-GB"/>
              </w:rPr>
            </w:pPr>
          </w:p>
        </w:tc>
        <w:tc>
          <w:tcPr>
            <w:tcW w:w="1098" w:type="pct"/>
            <w:tcBorders>
              <w:top w:val="single" w:sz="4" w:space="0" w:color="auto"/>
              <w:left w:val="single" w:sz="4" w:space="0" w:color="auto"/>
              <w:bottom w:val="single" w:sz="4" w:space="0" w:color="auto"/>
              <w:right w:val="single" w:sz="4" w:space="0" w:color="auto"/>
            </w:tcBorders>
            <w:vAlign w:val="bottom"/>
            <w:hideMark/>
          </w:tcPr>
          <w:p w14:paraId="6FE70D00"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bardzo rzadko</w:t>
            </w:r>
          </w:p>
        </w:tc>
      </w:tr>
      <w:tr w:rsidR="0013513D" w:rsidRPr="00BD22FE" w14:paraId="4335F02F" w14:textId="77777777" w:rsidTr="0090751B">
        <w:tc>
          <w:tcPr>
            <w:tcW w:w="1084" w:type="pct"/>
            <w:vMerge/>
            <w:tcBorders>
              <w:left w:val="single" w:sz="4" w:space="0" w:color="auto"/>
              <w:right w:val="single" w:sz="4" w:space="0" w:color="auto"/>
            </w:tcBorders>
            <w:hideMark/>
          </w:tcPr>
          <w:p w14:paraId="7C4685E2" w14:textId="77777777" w:rsidR="000016E2" w:rsidRPr="00BD22FE" w:rsidRDefault="000016E2" w:rsidP="00941FBF">
            <w:pPr>
              <w:rPr>
                <w:color w:val="000000"/>
                <w:sz w:val="22"/>
                <w:szCs w:val="22"/>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388B1EBF"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Leukopenia</w:t>
            </w:r>
          </w:p>
        </w:tc>
        <w:tc>
          <w:tcPr>
            <w:tcW w:w="804" w:type="pct"/>
            <w:tcBorders>
              <w:top w:val="single" w:sz="4" w:space="0" w:color="auto"/>
              <w:left w:val="single" w:sz="4" w:space="0" w:color="auto"/>
              <w:bottom w:val="single" w:sz="4" w:space="0" w:color="auto"/>
              <w:right w:val="single" w:sz="4" w:space="0" w:color="auto"/>
            </w:tcBorders>
            <w:vAlign w:val="bottom"/>
            <w:hideMark/>
          </w:tcPr>
          <w:p w14:paraId="4C2751BD" w14:textId="77777777" w:rsidR="000016E2" w:rsidRPr="00BD22FE" w:rsidRDefault="000016E2" w:rsidP="00941FBF">
            <w:pPr>
              <w:rPr>
                <w:color w:val="000000"/>
                <w:sz w:val="22"/>
                <w:szCs w:val="22"/>
                <w:lang w:val="pl-PL" w:eastAsia="en-GB"/>
              </w:rPr>
            </w:pPr>
          </w:p>
        </w:tc>
        <w:tc>
          <w:tcPr>
            <w:tcW w:w="788" w:type="pct"/>
            <w:tcBorders>
              <w:top w:val="single" w:sz="4" w:space="0" w:color="auto"/>
              <w:left w:val="single" w:sz="4" w:space="0" w:color="auto"/>
              <w:bottom w:val="single" w:sz="4" w:space="0" w:color="auto"/>
              <w:right w:val="single" w:sz="4" w:space="0" w:color="auto"/>
            </w:tcBorders>
            <w:vAlign w:val="bottom"/>
            <w:hideMark/>
          </w:tcPr>
          <w:p w14:paraId="1B779D06" w14:textId="77777777" w:rsidR="000016E2" w:rsidRPr="00BD22FE" w:rsidRDefault="000016E2" w:rsidP="00941FBF">
            <w:pPr>
              <w:rPr>
                <w:sz w:val="22"/>
                <w:szCs w:val="22"/>
                <w:lang w:val="pl-PL" w:eastAsia="en-GB"/>
              </w:rPr>
            </w:pPr>
          </w:p>
        </w:tc>
        <w:tc>
          <w:tcPr>
            <w:tcW w:w="1098" w:type="pct"/>
            <w:tcBorders>
              <w:top w:val="single" w:sz="4" w:space="0" w:color="auto"/>
              <w:left w:val="single" w:sz="4" w:space="0" w:color="auto"/>
              <w:bottom w:val="single" w:sz="4" w:space="0" w:color="auto"/>
              <w:right w:val="single" w:sz="4" w:space="0" w:color="auto"/>
            </w:tcBorders>
            <w:hideMark/>
          </w:tcPr>
          <w:p w14:paraId="56CFAF18"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bardzo rzadko</w:t>
            </w:r>
          </w:p>
        </w:tc>
      </w:tr>
      <w:tr w:rsidR="0013513D" w:rsidRPr="00BD22FE" w14:paraId="3B90776F" w14:textId="77777777" w:rsidTr="0090751B">
        <w:tc>
          <w:tcPr>
            <w:tcW w:w="1084" w:type="pct"/>
            <w:vMerge/>
            <w:tcBorders>
              <w:left w:val="single" w:sz="4" w:space="0" w:color="auto"/>
              <w:bottom w:val="single" w:sz="4" w:space="0" w:color="auto"/>
              <w:right w:val="single" w:sz="4" w:space="0" w:color="auto"/>
            </w:tcBorders>
            <w:hideMark/>
          </w:tcPr>
          <w:p w14:paraId="6EF1F4A1" w14:textId="77777777" w:rsidR="000016E2" w:rsidRPr="00BD22FE" w:rsidRDefault="000016E2" w:rsidP="00941FBF">
            <w:pPr>
              <w:rPr>
                <w:color w:val="000000"/>
                <w:sz w:val="22"/>
                <w:szCs w:val="22"/>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5342AA9D"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Agranulocytoza</w:t>
            </w:r>
          </w:p>
        </w:tc>
        <w:tc>
          <w:tcPr>
            <w:tcW w:w="804" w:type="pct"/>
            <w:tcBorders>
              <w:top w:val="single" w:sz="4" w:space="0" w:color="auto"/>
              <w:left w:val="single" w:sz="4" w:space="0" w:color="auto"/>
              <w:bottom w:val="single" w:sz="4" w:space="0" w:color="auto"/>
              <w:right w:val="single" w:sz="4" w:space="0" w:color="auto"/>
            </w:tcBorders>
            <w:vAlign w:val="bottom"/>
            <w:hideMark/>
          </w:tcPr>
          <w:p w14:paraId="3F98390E" w14:textId="77777777" w:rsidR="000016E2" w:rsidRPr="00BD22FE" w:rsidRDefault="000016E2" w:rsidP="00941FBF">
            <w:pPr>
              <w:rPr>
                <w:color w:val="000000"/>
                <w:sz w:val="22"/>
                <w:szCs w:val="22"/>
                <w:lang w:val="pl-PL" w:eastAsia="en-GB"/>
              </w:rPr>
            </w:pPr>
          </w:p>
        </w:tc>
        <w:tc>
          <w:tcPr>
            <w:tcW w:w="788" w:type="pct"/>
            <w:tcBorders>
              <w:top w:val="single" w:sz="4" w:space="0" w:color="auto"/>
              <w:left w:val="single" w:sz="4" w:space="0" w:color="auto"/>
              <w:bottom w:val="single" w:sz="4" w:space="0" w:color="auto"/>
              <w:right w:val="single" w:sz="4" w:space="0" w:color="auto"/>
            </w:tcBorders>
            <w:vAlign w:val="bottom"/>
            <w:hideMark/>
          </w:tcPr>
          <w:p w14:paraId="4DD196C4" w14:textId="77777777" w:rsidR="000016E2" w:rsidRPr="00BD22FE" w:rsidRDefault="000016E2" w:rsidP="00941FBF">
            <w:pPr>
              <w:rPr>
                <w:sz w:val="22"/>
                <w:szCs w:val="22"/>
                <w:lang w:val="pl-PL" w:eastAsia="en-GB"/>
              </w:rPr>
            </w:pPr>
          </w:p>
        </w:tc>
        <w:tc>
          <w:tcPr>
            <w:tcW w:w="1098" w:type="pct"/>
            <w:tcBorders>
              <w:top w:val="single" w:sz="4" w:space="0" w:color="auto"/>
              <w:left w:val="single" w:sz="4" w:space="0" w:color="auto"/>
              <w:bottom w:val="single" w:sz="4" w:space="0" w:color="auto"/>
              <w:right w:val="single" w:sz="4" w:space="0" w:color="auto"/>
            </w:tcBorders>
            <w:hideMark/>
          </w:tcPr>
          <w:p w14:paraId="7C91BE62"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bardzo rzadko</w:t>
            </w:r>
          </w:p>
        </w:tc>
      </w:tr>
      <w:tr w:rsidR="0013513D" w:rsidRPr="00BD22FE" w14:paraId="3F0B46DC" w14:textId="77777777" w:rsidTr="0090751B">
        <w:tc>
          <w:tcPr>
            <w:tcW w:w="1084" w:type="pct"/>
            <w:vMerge w:val="restart"/>
            <w:tcBorders>
              <w:top w:val="single" w:sz="4" w:space="0" w:color="auto"/>
              <w:left w:val="single" w:sz="4" w:space="0" w:color="auto"/>
              <w:right w:val="single" w:sz="4" w:space="0" w:color="auto"/>
            </w:tcBorders>
            <w:hideMark/>
          </w:tcPr>
          <w:p w14:paraId="3789ECCC" w14:textId="77777777" w:rsidR="000016E2" w:rsidRPr="00BD22FE" w:rsidRDefault="00104CA8" w:rsidP="00941FBF">
            <w:pPr>
              <w:rPr>
                <w:b/>
                <w:bCs/>
                <w:color w:val="000000"/>
                <w:sz w:val="22"/>
                <w:szCs w:val="22"/>
                <w:highlight w:val="yellow"/>
                <w:lang w:val="pl-PL" w:eastAsia="en-GB"/>
              </w:rPr>
            </w:pPr>
            <w:r w:rsidRPr="00BD22FE">
              <w:rPr>
                <w:b/>
                <w:bCs/>
                <w:sz w:val="22"/>
                <w:szCs w:val="22"/>
                <w:lang w:val="pl-PL"/>
              </w:rPr>
              <w:t>Zaburzenia układu immunologicznego</w:t>
            </w:r>
          </w:p>
        </w:tc>
        <w:tc>
          <w:tcPr>
            <w:tcW w:w="1226" w:type="pct"/>
            <w:tcBorders>
              <w:top w:val="single" w:sz="4" w:space="0" w:color="auto"/>
              <w:left w:val="single" w:sz="4" w:space="0" w:color="auto"/>
              <w:bottom w:val="single" w:sz="4" w:space="0" w:color="auto"/>
              <w:right w:val="single" w:sz="4" w:space="0" w:color="auto"/>
            </w:tcBorders>
            <w:vAlign w:val="bottom"/>
          </w:tcPr>
          <w:p w14:paraId="414E1AC3"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Reakcja anafilaktyczna</w:t>
            </w:r>
          </w:p>
        </w:tc>
        <w:tc>
          <w:tcPr>
            <w:tcW w:w="804" w:type="pct"/>
            <w:tcBorders>
              <w:top w:val="single" w:sz="4" w:space="0" w:color="auto"/>
              <w:left w:val="single" w:sz="4" w:space="0" w:color="auto"/>
              <w:bottom w:val="single" w:sz="4" w:space="0" w:color="auto"/>
              <w:right w:val="single" w:sz="4" w:space="0" w:color="auto"/>
            </w:tcBorders>
            <w:vAlign w:val="bottom"/>
          </w:tcPr>
          <w:p w14:paraId="6C657DB5" w14:textId="77777777" w:rsidR="000016E2" w:rsidRPr="00BD22FE" w:rsidRDefault="000016E2" w:rsidP="00941FBF">
            <w:pPr>
              <w:rPr>
                <w:color w:val="000000"/>
                <w:sz w:val="22"/>
                <w:szCs w:val="22"/>
                <w:lang w:val="pl-PL" w:eastAsia="en-GB"/>
              </w:rPr>
            </w:pPr>
          </w:p>
        </w:tc>
        <w:tc>
          <w:tcPr>
            <w:tcW w:w="788" w:type="pct"/>
            <w:tcBorders>
              <w:top w:val="single" w:sz="4" w:space="0" w:color="auto"/>
              <w:left w:val="single" w:sz="4" w:space="0" w:color="auto"/>
              <w:bottom w:val="single" w:sz="4" w:space="0" w:color="auto"/>
              <w:right w:val="single" w:sz="4" w:space="0" w:color="auto"/>
            </w:tcBorders>
            <w:vAlign w:val="bottom"/>
          </w:tcPr>
          <w:p w14:paraId="0C9484EA"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rzadko</w:t>
            </w:r>
          </w:p>
        </w:tc>
        <w:tc>
          <w:tcPr>
            <w:tcW w:w="1098" w:type="pct"/>
            <w:tcBorders>
              <w:top w:val="single" w:sz="4" w:space="0" w:color="auto"/>
              <w:left w:val="single" w:sz="4" w:space="0" w:color="auto"/>
              <w:bottom w:val="single" w:sz="4" w:space="0" w:color="auto"/>
              <w:right w:val="single" w:sz="4" w:space="0" w:color="auto"/>
            </w:tcBorders>
            <w:vAlign w:val="bottom"/>
          </w:tcPr>
          <w:p w14:paraId="38BBB7BC" w14:textId="77777777" w:rsidR="000016E2" w:rsidRPr="00BD22FE" w:rsidRDefault="000016E2" w:rsidP="00941FBF">
            <w:pPr>
              <w:rPr>
                <w:color w:val="000000"/>
                <w:sz w:val="22"/>
                <w:szCs w:val="22"/>
                <w:lang w:val="pl-PL" w:eastAsia="en-GB"/>
              </w:rPr>
            </w:pPr>
          </w:p>
        </w:tc>
      </w:tr>
      <w:tr w:rsidR="0013513D" w:rsidRPr="00BD22FE" w14:paraId="5E9DC549" w14:textId="77777777" w:rsidTr="0090751B">
        <w:tc>
          <w:tcPr>
            <w:tcW w:w="1084" w:type="pct"/>
            <w:vMerge/>
            <w:tcBorders>
              <w:left w:val="single" w:sz="4" w:space="0" w:color="auto"/>
              <w:right w:val="single" w:sz="4" w:space="0" w:color="auto"/>
            </w:tcBorders>
          </w:tcPr>
          <w:p w14:paraId="3A2FCF54" w14:textId="77777777" w:rsidR="000016E2" w:rsidRPr="00BD22FE" w:rsidRDefault="000016E2" w:rsidP="00941FBF">
            <w:pPr>
              <w:rPr>
                <w:b/>
                <w:bCs/>
                <w:color w:val="000000"/>
                <w:sz w:val="22"/>
                <w:szCs w:val="22"/>
                <w:highlight w:val="yellow"/>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tcPr>
          <w:p w14:paraId="573193FE"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Nadwrażliwość</w:t>
            </w:r>
          </w:p>
        </w:tc>
        <w:tc>
          <w:tcPr>
            <w:tcW w:w="804" w:type="pct"/>
            <w:tcBorders>
              <w:top w:val="single" w:sz="4" w:space="0" w:color="auto"/>
              <w:left w:val="single" w:sz="4" w:space="0" w:color="auto"/>
              <w:bottom w:val="single" w:sz="4" w:space="0" w:color="auto"/>
              <w:right w:val="single" w:sz="4" w:space="0" w:color="auto"/>
            </w:tcBorders>
            <w:vAlign w:val="bottom"/>
          </w:tcPr>
          <w:p w14:paraId="2407663F" w14:textId="77777777" w:rsidR="000016E2" w:rsidRPr="00BD22FE" w:rsidRDefault="000016E2" w:rsidP="00941FBF">
            <w:pPr>
              <w:rPr>
                <w:color w:val="000000"/>
                <w:sz w:val="22"/>
                <w:szCs w:val="22"/>
                <w:lang w:val="pl-PL" w:eastAsia="en-GB"/>
              </w:rPr>
            </w:pPr>
          </w:p>
        </w:tc>
        <w:tc>
          <w:tcPr>
            <w:tcW w:w="788" w:type="pct"/>
            <w:tcBorders>
              <w:top w:val="single" w:sz="4" w:space="0" w:color="auto"/>
              <w:left w:val="single" w:sz="4" w:space="0" w:color="auto"/>
              <w:bottom w:val="single" w:sz="4" w:space="0" w:color="auto"/>
              <w:right w:val="single" w:sz="4" w:space="0" w:color="auto"/>
            </w:tcBorders>
            <w:vAlign w:val="bottom"/>
          </w:tcPr>
          <w:p w14:paraId="4AEA32BD"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rzadko</w:t>
            </w:r>
          </w:p>
        </w:tc>
        <w:tc>
          <w:tcPr>
            <w:tcW w:w="1098" w:type="pct"/>
            <w:tcBorders>
              <w:top w:val="single" w:sz="4" w:space="0" w:color="auto"/>
              <w:left w:val="single" w:sz="4" w:space="0" w:color="auto"/>
              <w:bottom w:val="single" w:sz="4" w:space="0" w:color="auto"/>
              <w:right w:val="single" w:sz="4" w:space="0" w:color="auto"/>
            </w:tcBorders>
            <w:vAlign w:val="bottom"/>
          </w:tcPr>
          <w:p w14:paraId="15A94AD0"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bardzo rzadko</w:t>
            </w:r>
          </w:p>
        </w:tc>
      </w:tr>
      <w:tr w:rsidR="0013513D" w:rsidRPr="00BD22FE" w14:paraId="72A01325" w14:textId="77777777" w:rsidTr="0090751B">
        <w:tc>
          <w:tcPr>
            <w:tcW w:w="1084" w:type="pct"/>
            <w:vMerge w:val="restart"/>
            <w:tcBorders>
              <w:top w:val="single" w:sz="4" w:space="0" w:color="auto"/>
              <w:left w:val="single" w:sz="4" w:space="0" w:color="auto"/>
              <w:right w:val="single" w:sz="4" w:space="0" w:color="auto"/>
            </w:tcBorders>
            <w:hideMark/>
          </w:tcPr>
          <w:p w14:paraId="333D706E" w14:textId="77777777" w:rsidR="000016E2" w:rsidRPr="00BD22FE" w:rsidRDefault="00104CA8" w:rsidP="00941FBF">
            <w:pPr>
              <w:rPr>
                <w:b/>
                <w:bCs/>
                <w:color w:val="000000"/>
                <w:sz w:val="22"/>
                <w:szCs w:val="22"/>
                <w:highlight w:val="yellow"/>
                <w:lang w:val="pl-PL" w:eastAsia="en-GB"/>
              </w:rPr>
            </w:pPr>
            <w:r w:rsidRPr="00BD22FE">
              <w:rPr>
                <w:b/>
                <w:bCs/>
                <w:sz w:val="22"/>
                <w:szCs w:val="22"/>
                <w:lang w:val="pl-PL"/>
              </w:rPr>
              <w:t>Zaburzenia metabolizmu i odżywiania</w:t>
            </w:r>
          </w:p>
        </w:tc>
        <w:tc>
          <w:tcPr>
            <w:tcW w:w="1226" w:type="pct"/>
            <w:tcBorders>
              <w:top w:val="single" w:sz="4" w:space="0" w:color="auto"/>
              <w:left w:val="single" w:sz="4" w:space="0" w:color="auto"/>
              <w:bottom w:val="single" w:sz="4" w:space="0" w:color="auto"/>
              <w:right w:val="single" w:sz="4" w:space="0" w:color="auto"/>
            </w:tcBorders>
            <w:vAlign w:val="bottom"/>
            <w:hideMark/>
          </w:tcPr>
          <w:p w14:paraId="570F0C78"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Hipokaliemia</w:t>
            </w:r>
          </w:p>
        </w:tc>
        <w:tc>
          <w:tcPr>
            <w:tcW w:w="804" w:type="pct"/>
            <w:tcBorders>
              <w:top w:val="single" w:sz="4" w:space="0" w:color="auto"/>
              <w:left w:val="single" w:sz="4" w:space="0" w:color="auto"/>
              <w:bottom w:val="single" w:sz="4" w:space="0" w:color="auto"/>
              <w:right w:val="single" w:sz="4" w:space="0" w:color="auto"/>
            </w:tcBorders>
            <w:vAlign w:val="bottom"/>
            <w:hideMark/>
          </w:tcPr>
          <w:p w14:paraId="775E2FA2"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niezbyt często</w:t>
            </w:r>
          </w:p>
        </w:tc>
        <w:tc>
          <w:tcPr>
            <w:tcW w:w="788" w:type="pct"/>
            <w:tcBorders>
              <w:top w:val="single" w:sz="4" w:space="0" w:color="auto"/>
              <w:left w:val="single" w:sz="4" w:space="0" w:color="auto"/>
              <w:bottom w:val="single" w:sz="4" w:space="0" w:color="auto"/>
              <w:right w:val="single" w:sz="4" w:space="0" w:color="auto"/>
            </w:tcBorders>
            <w:vAlign w:val="bottom"/>
            <w:hideMark/>
          </w:tcPr>
          <w:p w14:paraId="73564419" w14:textId="77777777" w:rsidR="000016E2" w:rsidRPr="00BD22FE" w:rsidRDefault="000016E2" w:rsidP="00941FBF">
            <w:pPr>
              <w:rPr>
                <w:color w:val="000000"/>
                <w:sz w:val="22"/>
                <w:szCs w:val="22"/>
                <w:lang w:val="pl-PL" w:eastAsia="en-GB"/>
              </w:rPr>
            </w:pPr>
          </w:p>
        </w:tc>
        <w:tc>
          <w:tcPr>
            <w:tcW w:w="1098" w:type="pct"/>
            <w:tcBorders>
              <w:top w:val="single" w:sz="4" w:space="0" w:color="auto"/>
              <w:left w:val="single" w:sz="4" w:space="0" w:color="auto"/>
              <w:bottom w:val="single" w:sz="4" w:space="0" w:color="auto"/>
              <w:right w:val="single" w:sz="4" w:space="0" w:color="auto"/>
            </w:tcBorders>
            <w:vAlign w:val="bottom"/>
            <w:hideMark/>
          </w:tcPr>
          <w:p w14:paraId="4F7F62CD" w14:textId="523C12EE" w:rsidR="000016E2" w:rsidRPr="00BD22FE" w:rsidRDefault="00104CA8" w:rsidP="00941FBF">
            <w:pPr>
              <w:rPr>
                <w:sz w:val="22"/>
                <w:szCs w:val="22"/>
                <w:lang w:val="pl-PL" w:eastAsia="en-GB"/>
              </w:rPr>
            </w:pPr>
            <w:r w:rsidRPr="00BD22FE">
              <w:rPr>
                <w:color w:val="000000"/>
                <w:sz w:val="22"/>
                <w:szCs w:val="22"/>
                <w:lang w:val="pl-PL" w:eastAsia="en-GB"/>
              </w:rPr>
              <w:t xml:space="preserve">bardzo </w:t>
            </w:r>
            <w:r w:rsidR="00B2644F" w:rsidRPr="00BD22FE">
              <w:rPr>
                <w:color w:val="000000"/>
                <w:sz w:val="22"/>
                <w:szCs w:val="22"/>
                <w:lang w:val="pl-PL" w:eastAsia="en-GB"/>
              </w:rPr>
              <w:t>często</w:t>
            </w:r>
          </w:p>
        </w:tc>
      </w:tr>
      <w:tr w:rsidR="0013513D" w:rsidRPr="00BD22FE" w14:paraId="50D9E252" w14:textId="77777777" w:rsidTr="0090751B">
        <w:tc>
          <w:tcPr>
            <w:tcW w:w="1084" w:type="pct"/>
            <w:vMerge/>
            <w:tcBorders>
              <w:left w:val="single" w:sz="4" w:space="0" w:color="auto"/>
              <w:right w:val="single" w:sz="4" w:space="0" w:color="auto"/>
            </w:tcBorders>
            <w:hideMark/>
          </w:tcPr>
          <w:p w14:paraId="04F9D61E" w14:textId="77777777" w:rsidR="000016E2" w:rsidRPr="00BD22FE" w:rsidRDefault="000016E2" w:rsidP="00941FBF">
            <w:pPr>
              <w:rPr>
                <w:sz w:val="22"/>
                <w:szCs w:val="22"/>
                <w:highlight w:val="yellow"/>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7F98014E"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Hiperurikemia</w:t>
            </w:r>
          </w:p>
        </w:tc>
        <w:tc>
          <w:tcPr>
            <w:tcW w:w="804" w:type="pct"/>
            <w:tcBorders>
              <w:top w:val="single" w:sz="4" w:space="0" w:color="auto"/>
              <w:left w:val="single" w:sz="4" w:space="0" w:color="auto"/>
              <w:bottom w:val="single" w:sz="4" w:space="0" w:color="auto"/>
              <w:right w:val="single" w:sz="4" w:space="0" w:color="auto"/>
            </w:tcBorders>
            <w:vAlign w:val="bottom"/>
            <w:hideMark/>
          </w:tcPr>
          <w:p w14:paraId="05770753"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rzadko</w:t>
            </w:r>
          </w:p>
        </w:tc>
        <w:tc>
          <w:tcPr>
            <w:tcW w:w="788" w:type="pct"/>
            <w:tcBorders>
              <w:top w:val="single" w:sz="4" w:space="0" w:color="auto"/>
              <w:left w:val="single" w:sz="4" w:space="0" w:color="auto"/>
              <w:bottom w:val="single" w:sz="4" w:space="0" w:color="auto"/>
              <w:right w:val="single" w:sz="4" w:space="0" w:color="auto"/>
            </w:tcBorders>
            <w:vAlign w:val="bottom"/>
            <w:hideMark/>
          </w:tcPr>
          <w:p w14:paraId="4260A38A" w14:textId="77777777" w:rsidR="000016E2" w:rsidRPr="00BD22FE" w:rsidRDefault="000016E2" w:rsidP="00941FBF">
            <w:pPr>
              <w:rPr>
                <w:color w:val="000000"/>
                <w:sz w:val="22"/>
                <w:szCs w:val="22"/>
                <w:lang w:val="pl-PL" w:eastAsia="en-GB"/>
              </w:rPr>
            </w:pPr>
          </w:p>
        </w:tc>
        <w:tc>
          <w:tcPr>
            <w:tcW w:w="1098" w:type="pct"/>
            <w:tcBorders>
              <w:top w:val="single" w:sz="4" w:space="0" w:color="auto"/>
              <w:left w:val="single" w:sz="4" w:space="0" w:color="auto"/>
              <w:bottom w:val="single" w:sz="4" w:space="0" w:color="auto"/>
              <w:right w:val="single" w:sz="4" w:space="0" w:color="auto"/>
            </w:tcBorders>
            <w:vAlign w:val="bottom"/>
            <w:hideMark/>
          </w:tcPr>
          <w:p w14:paraId="106EBB4E" w14:textId="77777777" w:rsidR="000016E2" w:rsidRPr="00BD22FE" w:rsidRDefault="00104CA8" w:rsidP="00941FBF">
            <w:pPr>
              <w:rPr>
                <w:sz w:val="22"/>
                <w:szCs w:val="22"/>
                <w:lang w:val="pl-PL" w:eastAsia="en-GB"/>
              </w:rPr>
            </w:pPr>
            <w:r w:rsidRPr="00BD22FE">
              <w:rPr>
                <w:color w:val="000000"/>
                <w:sz w:val="22"/>
                <w:szCs w:val="22"/>
                <w:lang w:val="pl-PL" w:eastAsia="en-GB"/>
              </w:rPr>
              <w:t>często</w:t>
            </w:r>
          </w:p>
        </w:tc>
      </w:tr>
      <w:tr w:rsidR="0013513D" w:rsidRPr="00BD22FE" w14:paraId="032E29B6" w14:textId="77777777" w:rsidTr="0090751B">
        <w:tc>
          <w:tcPr>
            <w:tcW w:w="1084" w:type="pct"/>
            <w:vMerge/>
            <w:tcBorders>
              <w:left w:val="single" w:sz="4" w:space="0" w:color="auto"/>
              <w:right w:val="single" w:sz="4" w:space="0" w:color="auto"/>
            </w:tcBorders>
            <w:hideMark/>
          </w:tcPr>
          <w:p w14:paraId="3D130EBC" w14:textId="77777777" w:rsidR="000016E2" w:rsidRPr="00BD22FE" w:rsidRDefault="000016E2" w:rsidP="00941FBF">
            <w:pPr>
              <w:rPr>
                <w:sz w:val="22"/>
                <w:szCs w:val="22"/>
                <w:highlight w:val="yellow"/>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1F292488"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Hiponatremia</w:t>
            </w:r>
          </w:p>
        </w:tc>
        <w:tc>
          <w:tcPr>
            <w:tcW w:w="804" w:type="pct"/>
            <w:tcBorders>
              <w:top w:val="single" w:sz="4" w:space="0" w:color="auto"/>
              <w:left w:val="single" w:sz="4" w:space="0" w:color="auto"/>
              <w:bottom w:val="single" w:sz="4" w:space="0" w:color="auto"/>
              <w:right w:val="single" w:sz="4" w:space="0" w:color="auto"/>
            </w:tcBorders>
            <w:hideMark/>
          </w:tcPr>
          <w:p w14:paraId="086B44E9"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rzadko</w:t>
            </w:r>
          </w:p>
        </w:tc>
        <w:tc>
          <w:tcPr>
            <w:tcW w:w="788" w:type="pct"/>
            <w:tcBorders>
              <w:top w:val="single" w:sz="4" w:space="0" w:color="auto"/>
              <w:left w:val="single" w:sz="4" w:space="0" w:color="auto"/>
              <w:bottom w:val="single" w:sz="4" w:space="0" w:color="auto"/>
              <w:right w:val="single" w:sz="4" w:space="0" w:color="auto"/>
            </w:tcBorders>
            <w:hideMark/>
          </w:tcPr>
          <w:p w14:paraId="163F4769"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rzadko</w:t>
            </w:r>
          </w:p>
        </w:tc>
        <w:tc>
          <w:tcPr>
            <w:tcW w:w="1098" w:type="pct"/>
            <w:tcBorders>
              <w:top w:val="single" w:sz="4" w:space="0" w:color="auto"/>
              <w:left w:val="single" w:sz="4" w:space="0" w:color="auto"/>
              <w:bottom w:val="single" w:sz="4" w:space="0" w:color="auto"/>
              <w:right w:val="single" w:sz="4" w:space="0" w:color="auto"/>
            </w:tcBorders>
            <w:vAlign w:val="bottom"/>
            <w:hideMark/>
          </w:tcPr>
          <w:p w14:paraId="14A3336E"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często</w:t>
            </w:r>
          </w:p>
        </w:tc>
      </w:tr>
      <w:tr w:rsidR="0013513D" w:rsidRPr="00BD22FE" w14:paraId="45D30E0B" w14:textId="77777777" w:rsidTr="0090751B">
        <w:tc>
          <w:tcPr>
            <w:tcW w:w="1084" w:type="pct"/>
            <w:vMerge/>
            <w:tcBorders>
              <w:left w:val="single" w:sz="4" w:space="0" w:color="auto"/>
              <w:right w:val="single" w:sz="4" w:space="0" w:color="auto"/>
            </w:tcBorders>
            <w:hideMark/>
          </w:tcPr>
          <w:p w14:paraId="097E4137" w14:textId="77777777" w:rsidR="000016E2" w:rsidRPr="00BD22FE" w:rsidRDefault="000016E2" w:rsidP="00941FBF">
            <w:pPr>
              <w:rPr>
                <w:color w:val="000000"/>
                <w:sz w:val="22"/>
                <w:szCs w:val="22"/>
                <w:highlight w:val="yellow"/>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4B98853D"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Hiperkaliemia</w:t>
            </w:r>
          </w:p>
        </w:tc>
        <w:tc>
          <w:tcPr>
            <w:tcW w:w="804" w:type="pct"/>
            <w:tcBorders>
              <w:top w:val="single" w:sz="4" w:space="0" w:color="auto"/>
              <w:left w:val="single" w:sz="4" w:space="0" w:color="auto"/>
              <w:bottom w:val="single" w:sz="4" w:space="0" w:color="auto"/>
              <w:right w:val="single" w:sz="4" w:space="0" w:color="auto"/>
            </w:tcBorders>
            <w:vAlign w:val="bottom"/>
            <w:hideMark/>
          </w:tcPr>
          <w:p w14:paraId="353C6015" w14:textId="77777777" w:rsidR="000016E2" w:rsidRPr="00BD22FE" w:rsidRDefault="000016E2" w:rsidP="00941FBF">
            <w:pPr>
              <w:rPr>
                <w:color w:val="000000"/>
                <w:sz w:val="22"/>
                <w:szCs w:val="22"/>
                <w:lang w:val="pl-PL" w:eastAsia="en-GB"/>
              </w:rPr>
            </w:pPr>
          </w:p>
        </w:tc>
        <w:tc>
          <w:tcPr>
            <w:tcW w:w="788" w:type="pct"/>
            <w:tcBorders>
              <w:top w:val="single" w:sz="4" w:space="0" w:color="auto"/>
              <w:left w:val="single" w:sz="4" w:space="0" w:color="auto"/>
              <w:bottom w:val="single" w:sz="4" w:space="0" w:color="auto"/>
              <w:right w:val="single" w:sz="4" w:space="0" w:color="auto"/>
            </w:tcBorders>
            <w:vAlign w:val="bottom"/>
            <w:hideMark/>
          </w:tcPr>
          <w:p w14:paraId="683EE72F"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niezbyt często</w:t>
            </w:r>
          </w:p>
        </w:tc>
        <w:tc>
          <w:tcPr>
            <w:tcW w:w="1098" w:type="pct"/>
            <w:tcBorders>
              <w:top w:val="single" w:sz="4" w:space="0" w:color="auto"/>
              <w:left w:val="single" w:sz="4" w:space="0" w:color="auto"/>
              <w:bottom w:val="single" w:sz="4" w:space="0" w:color="auto"/>
              <w:right w:val="single" w:sz="4" w:space="0" w:color="auto"/>
            </w:tcBorders>
            <w:vAlign w:val="bottom"/>
            <w:hideMark/>
          </w:tcPr>
          <w:p w14:paraId="5037E2F2" w14:textId="77777777" w:rsidR="000016E2" w:rsidRPr="00BD22FE" w:rsidRDefault="000016E2" w:rsidP="00941FBF">
            <w:pPr>
              <w:rPr>
                <w:color w:val="000000"/>
                <w:sz w:val="22"/>
                <w:szCs w:val="22"/>
                <w:lang w:val="pl-PL" w:eastAsia="en-GB"/>
              </w:rPr>
            </w:pPr>
          </w:p>
        </w:tc>
      </w:tr>
      <w:tr w:rsidR="0013513D" w:rsidRPr="00BD22FE" w14:paraId="22943199" w14:textId="77777777" w:rsidTr="0090751B">
        <w:tc>
          <w:tcPr>
            <w:tcW w:w="1084" w:type="pct"/>
            <w:vMerge/>
            <w:tcBorders>
              <w:left w:val="single" w:sz="4" w:space="0" w:color="auto"/>
              <w:right w:val="single" w:sz="4" w:space="0" w:color="auto"/>
            </w:tcBorders>
            <w:hideMark/>
          </w:tcPr>
          <w:p w14:paraId="21999DD5" w14:textId="77777777" w:rsidR="000016E2" w:rsidRPr="00BD22FE" w:rsidRDefault="000016E2" w:rsidP="00941FBF">
            <w:pPr>
              <w:rPr>
                <w:sz w:val="22"/>
                <w:szCs w:val="22"/>
                <w:highlight w:val="yellow"/>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1D48AEAD"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Hipoglikemia (u pacjentów z cukrzycą)</w:t>
            </w:r>
          </w:p>
        </w:tc>
        <w:tc>
          <w:tcPr>
            <w:tcW w:w="804" w:type="pct"/>
            <w:tcBorders>
              <w:top w:val="single" w:sz="4" w:space="0" w:color="auto"/>
              <w:left w:val="single" w:sz="4" w:space="0" w:color="auto"/>
              <w:bottom w:val="single" w:sz="4" w:space="0" w:color="auto"/>
              <w:right w:val="single" w:sz="4" w:space="0" w:color="auto"/>
            </w:tcBorders>
            <w:vAlign w:val="bottom"/>
            <w:hideMark/>
          </w:tcPr>
          <w:p w14:paraId="0861E277" w14:textId="77777777" w:rsidR="000016E2" w:rsidRPr="00BD22FE" w:rsidRDefault="000016E2" w:rsidP="00941FBF">
            <w:pPr>
              <w:rPr>
                <w:color w:val="000000"/>
                <w:sz w:val="22"/>
                <w:szCs w:val="22"/>
                <w:lang w:val="pl-PL" w:eastAsia="en-GB"/>
              </w:rPr>
            </w:pPr>
          </w:p>
        </w:tc>
        <w:tc>
          <w:tcPr>
            <w:tcW w:w="788" w:type="pct"/>
            <w:tcBorders>
              <w:top w:val="single" w:sz="4" w:space="0" w:color="auto"/>
              <w:left w:val="single" w:sz="4" w:space="0" w:color="auto"/>
              <w:bottom w:val="single" w:sz="4" w:space="0" w:color="auto"/>
              <w:right w:val="single" w:sz="4" w:space="0" w:color="auto"/>
            </w:tcBorders>
            <w:vAlign w:val="bottom"/>
            <w:hideMark/>
          </w:tcPr>
          <w:p w14:paraId="2E39AAE0"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rzadko</w:t>
            </w:r>
          </w:p>
        </w:tc>
        <w:tc>
          <w:tcPr>
            <w:tcW w:w="1098" w:type="pct"/>
            <w:tcBorders>
              <w:top w:val="single" w:sz="4" w:space="0" w:color="auto"/>
              <w:left w:val="single" w:sz="4" w:space="0" w:color="auto"/>
              <w:bottom w:val="single" w:sz="4" w:space="0" w:color="auto"/>
              <w:right w:val="single" w:sz="4" w:space="0" w:color="auto"/>
            </w:tcBorders>
            <w:vAlign w:val="bottom"/>
            <w:hideMark/>
          </w:tcPr>
          <w:p w14:paraId="755D1D54" w14:textId="77777777" w:rsidR="000016E2" w:rsidRPr="00BD22FE" w:rsidRDefault="000016E2" w:rsidP="00941FBF">
            <w:pPr>
              <w:rPr>
                <w:color w:val="000000"/>
                <w:sz w:val="22"/>
                <w:szCs w:val="22"/>
                <w:lang w:val="pl-PL" w:eastAsia="en-GB"/>
              </w:rPr>
            </w:pPr>
          </w:p>
        </w:tc>
      </w:tr>
      <w:tr w:rsidR="0013513D" w:rsidRPr="00BD22FE" w14:paraId="4C0EC568" w14:textId="77777777" w:rsidTr="0090751B">
        <w:tc>
          <w:tcPr>
            <w:tcW w:w="1084" w:type="pct"/>
            <w:vMerge/>
            <w:tcBorders>
              <w:left w:val="single" w:sz="4" w:space="0" w:color="auto"/>
              <w:right w:val="single" w:sz="4" w:space="0" w:color="auto"/>
            </w:tcBorders>
            <w:hideMark/>
          </w:tcPr>
          <w:p w14:paraId="4317F763" w14:textId="77777777" w:rsidR="000016E2" w:rsidRPr="00BD22FE" w:rsidRDefault="000016E2" w:rsidP="00941FBF">
            <w:pPr>
              <w:rPr>
                <w:sz w:val="22"/>
                <w:szCs w:val="22"/>
                <w:highlight w:val="yellow"/>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097A6A6F"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Hipomagnezemia</w:t>
            </w:r>
          </w:p>
        </w:tc>
        <w:tc>
          <w:tcPr>
            <w:tcW w:w="804" w:type="pct"/>
            <w:tcBorders>
              <w:top w:val="single" w:sz="4" w:space="0" w:color="auto"/>
              <w:left w:val="single" w:sz="4" w:space="0" w:color="auto"/>
              <w:bottom w:val="single" w:sz="4" w:space="0" w:color="auto"/>
              <w:right w:val="single" w:sz="4" w:space="0" w:color="auto"/>
            </w:tcBorders>
            <w:vAlign w:val="bottom"/>
            <w:hideMark/>
          </w:tcPr>
          <w:p w14:paraId="3851D328" w14:textId="77777777" w:rsidR="000016E2" w:rsidRPr="00BD22FE" w:rsidRDefault="000016E2" w:rsidP="00941FBF">
            <w:pPr>
              <w:rPr>
                <w:color w:val="000000"/>
                <w:sz w:val="22"/>
                <w:szCs w:val="22"/>
                <w:lang w:val="pl-PL" w:eastAsia="en-GB"/>
              </w:rPr>
            </w:pPr>
          </w:p>
        </w:tc>
        <w:tc>
          <w:tcPr>
            <w:tcW w:w="788" w:type="pct"/>
            <w:tcBorders>
              <w:top w:val="single" w:sz="4" w:space="0" w:color="auto"/>
              <w:left w:val="single" w:sz="4" w:space="0" w:color="auto"/>
              <w:bottom w:val="single" w:sz="4" w:space="0" w:color="auto"/>
              <w:right w:val="single" w:sz="4" w:space="0" w:color="auto"/>
            </w:tcBorders>
            <w:vAlign w:val="bottom"/>
            <w:hideMark/>
          </w:tcPr>
          <w:p w14:paraId="361E6D2A" w14:textId="77777777" w:rsidR="000016E2" w:rsidRPr="00BD22FE" w:rsidRDefault="000016E2" w:rsidP="00941FBF">
            <w:pPr>
              <w:rPr>
                <w:sz w:val="22"/>
                <w:szCs w:val="22"/>
                <w:lang w:val="pl-PL" w:eastAsia="en-GB"/>
              </w:rPr>
            </w:pPr>
          </w:p>
        </w:tc>
        <w:tc>
          <w:tcPr>
            <w:tcW w:w="1098" w:type="pct"/>
            <w:tcBorders>
              <w:top w:val="single" w:sz="4" w:space="0" w:color="auto"/>
              <w:left w:val="single" w:sz="4" w:space="0" w:color="auto"/>
              <w:bottom w:val="single" w:sz="4" w:space="0" w:color="auto"/>
              <w:right w:val="single" w:sz="4" w:space="0" w:color="auto"/>
            </w:tcBorders>
            <w:vAlign w:val="bottom"/>
            <w:hideMark/>
          </w:tcPr>
          <w:p w14:paraId="484EB09C"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często</w:t>
            </w:r>
          </w:p>
        </w:tc>
      </w:tr>
      <w:tr w:rsidR="0013513D" w:rsidRPr="00BD22FE" w14:paraId="5E9B51E6" w14:textId="77777777" w:rsidTr="0090751B">
        <w:tc>
          <w:tcPr>
            <w:tcW w:w="1084" w:type="pct"/>
            <w:vMerge/>
            <w:tcBorders>
              <w:left w:val="single" w:sz="4" w:space="0" w:color="auto"/>
              <w:right w:val="single" w:sz="4" w:space="0" w:color="auto"/>
            </w:tcBorders>
            <w:hideMark/>
          </w:tcPr>
          <w:p w14:paraId="0624CF30" w14:textId="77777777" w:rsidR="000016E2" w:rsidRPr="00BD22FE" w:rsidRDefault="000016E2" w:rsidP="00941FBF">
            <w:pPr>
              <w:rPr>
                <w:color w:val="000000"/>
                <w:sz w:val="22"/>
                <w:szCs w:val="22"/>
                <w:highlight w:val="yellow"/>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4D2D1597"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Hiperkalcemia</w:t>
            </w:r>
          </w:p>
        </w:tc>
        <w:tc>
          <w:tcPr>
            <w:tcW w:w="804" w:type="pct"/>
            <w:tcBorders>
              <w:top w:val="single" w:sz="4" w:space="0" w:color="auto"/>
              <w:left w:val="single" w:sz="4" w:space="0" w:color="auto"/>
              <w:bottom w:val="single" w:sz="4" w:space="0" w:color="auto"/>
              <w:right w:val="single" w:sz="4" w:space="0" w:color="auto"/>
            </w:tcBorders>
            <w:vAlign w:val="bottom"/>
            <w:hideMark/>
          </w:tcPr>
          <w:p w14:paraId="55A221B0" w14:textId="77777777" w:rsidR="000016E2" w:rsidRPr="00BD22FE" w:rsidRDefault="000016E2" w:rsidP="00941FBF">
            <w:pPr>
              <w:rPr>
                <w:color w:val="000000"/>
                <w:sz w:val="22"/>
                <w:szCs w:val="22"/>
                <w:lang w:val="pl-PL" w:eastAsia="en-GB"/>
              </w:rPr>
            </w:pPr>
          </w:p>
        </w:tc>
        <w:tc>
          <w:tcPr>
            <w:tcW w:w="788" w:type="pct"/>
            <w:tcBorders>
              <w:top w:val="single" w:sz="4" w:space="0" w:color="auto"/>
              <w:left w:val="single" w:sz="4" w:space="0" w:color="auto"/>
              <w:bottom w:val="single" w:sz="4" w:space="0" w:color="auto"/>
              <w:right w:val="single" w:sz="4" w:space="0" w:color="auto"/>
            </w:tcBorders>
            <w:vAlign w:val="bottom"/>
            <w:hideMark/>
          </w:tcPr>
          <w:p w14:paraId="47F342FD" w14:textId="77777777" w:rsidR="000016E2" w:rsidRPr="00BD22FE" w:rsidRDefault="000016E2" w:rsidP="00941FBF">
            <w:pPr>
              <w:rPr>
                <w:sz w:val="22"/>
                <w:szCs w:val="22"/>
                <w:lang w:val="pl-PL" w:eastAsia="en-GB"/>
              </w:rPr>
            </w:pPr>
          </w:p>
        </w:tc>
        <w:tc>
          <w:tcPr>
            <w:tcW w:w="1098" w:type="pct"/>
            <w:tcBorders>
              <w:top w:val="single" w:sz="4" w:space="0" w:color="auto"/>
              <w:left w:val="single" w:sz="4" w:space="0" w:color="auto"/>
              <w:bottom w:val="single" w:sz="4" w:space="0" w:color="auto"/>
              <w:right w:val="single" w:sz="4" w:space="0" w:color="auto"/>
            </w:tcBorders>
            <w:vAlign w:val="bottom"/>
            <w:hideMark/>
          </w:tcPr>
          <w:p w14:paraId="5A5DCCE2"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rzadko</w:t>
            </w:r>
          </w:p>
        </w:tc>
      </w:tr>
      <w:tr w:rsidR="0013513D" w:rsidRPr="00BD22FE" w14:paraId="7B72E3EC" w14:textId="77777777" w:rsidTr="0090751B">
        <w:tc>
          <w:tcPr>
            <w:tcW w:w="1084" w:type="pct"/>
            <w:vMerge/>
            <w:tcBorders>
              <w:left w:val="single" w:sz="4" w:space="0" w:color="auto"/>
              <w:right w:val="single" w:sz="4" w:space="0" w:color="auto"/>
            </w:tcBorders>
            <w:hideMark/>
          </w:tcPr>
          <w:p w14:paraId="5454D689" w14:textId="77777777" w:rsidR="000016E2" w:rsidRPr="00BD22FE" w:rsidRDefault="000016E2" w:rsidP="00941FBF">
            <w:pPr>
              <w:rPr>
                <w:color w:val="000000"/>
                <w:sz w:val="22"/>
                <w:szCs w:val="22"/>
                <w:highlight w:val="yellow"/>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55B7394F"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Alkaloza hipochloremiczna</w:t>
            </w:r>
          </w:p>
        </w:tc>
        <w:tc>
          <w:tcPr>
            <w:tcW w:w="804" w:type="pct"/>
            <w:tcBorders>
              <w:top w:val="single" w:sz="4" w:space="0" w:color="auto"/>
              <w:left w:val="single" w:sz="4" w:space="0" w:color="auto"/>
              <w:bottom w:val="single" w:sz="4" w:space="0" w:color="auto"/>
              <w:right w:val="single" w:sz="4" w:space="0" w:color="auto"/>
            </w:tcBorders>
            <w:vAlign w:val="bottom"/>
            <w:hideMark/>
          </w:tcPr>
          <w:p w14:paraId="711E68FB" w14:textId="77777777" w:rsidR="000016E2" w:rsidRPr="00BD22FE" w:rsidRDefault="000016E2" w:rsidP="00941FBF">
            <w:pPr>
              <w:rPr>
                <w:color w:val="000000"/>
                <w:sz w:val="22"/>
                <w:szCs w:val="22"/>
                <w:lang w:val="pl-PL" w:eastAsia="en-GB"/>
              </w:rPr>
            </w:pPr>
          </w:p>
        </w:tc>
        <w:tc>
          <w:tcPr>
            <w:tcW w:w="788" w:type="pct"/>
            <w:tcBorders>
              <w:top w:val="single" w:sz="4" w:space="0" w:color="auto"/>
              <w:left w:val="single" w:sz="4" w:space="0" w:color="auto"/>
              <w:bottom w:val="single" w:sz="4" w:space="0" w:color="auto"/>
              <w:right w:val="single" w:sz="4" w:space="0" w:color="auto"/>
            </w:tcBorders>
            <w:vAlign w:val="bottom"/>
            <w:hideMark/>
          </w:tcPr>
          <w:p w14:paraId="36AE6ADB" w14:textId="77777777" w:rsidR="000016E2" w:rsidRPr="00BD22FE" w:rsidRDefault="000016E2" w:rsidP="00941FBF">
            <w:pPr>
              <w:rPr>
                <w:sz w:val="22"/>
                <w:szCs w:val="22"/>
                <w:lang w:val="pl-PL" w:eastAsia="en-GB"/>
              </w:rPr>
            </w:pPr>
          </w:p>
        </w:tc>
        <w:tc>
          <w:tcPr>
            <w:tcW w:w="1098" w:type="pct"/>
            <w:tcBorders>
              <w:top w:val="single" w:sz="4" w:space="0" w:color="auto"/>
              <w:left w:val="single" w:sz="4" w:space="0" w:color="auto"/>
              <w:bottom w:val="single" w:sz="4" w:space="0" w:color="auto"/>
              <w:right w:val="single" w:sz="4" w:space="0" w:color="auto"/>
            </w:tcBorders>
            <w:vAlign w:val="bottom"/>
            <w:hideMark/>
          </w:tcPr>
          <w:p w14:paraId="5C462F32"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bardzo rzadko</w:t>
            </w:r>
          </w:p>
        </w:tc>
      </w:tr>
      <w:tr w:rsidR="0013513D" w:rsidRPr="00BD22FE" w14:paraId="5C6F8963" w14:textId="77777777" w:rsidTr="0090751B">
        <w:tc>
          <w:tcPr>
            <w:tcW w:w="1084" w:type="pct"/>
            <w:vMerge/>
            <w:tcBorders>
              <w:left w:val="single" w:sz="4" w:space="0" w:color="auto"/>
              <w:right w:val="single" w:sz="4" w:space="0" w:color="auto"/>
            </w:tcBorders>
            <w:hideMark/>
          </w:tcPr>
          <w:p w14:paraId="4C266D56" w14:textId="77777777" w:rsidR="000016E2" w:rsidRPr="00BD22FE" w:rsidRDefault="000016E2" w:rsidP="00941FBF">
            <w:pPr>
              <w:rPr>
                <w:color w:val="000000"/>
                <w:sz w:val="22"/>
                <w:szCs w:val="22"/>
                <w:highlight w:val="yellow"/>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793D5375"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Zmniejszony apetyt</w:t>
            </w:r>
          </w:p>
        </w:tc>
        <w:tc>
          <w:tcPr>
            <w:tcW w:w="804" w:type="pct"/>
            <w:tcBorders>
              <w:top w:val="single" w:sz="4" w:space="0" w:color="auto"/>
              <w:left w:val="single" w:sz="4" w:space="0" w:color="auto"/>
              <w:bottom w:val="single" w:sz="4" w:space="0" w:color="auto"/>
              <w:right w:val="single" w:sz="4" w:space="0" w:color="auto"/>
            </w:tcBorders>
            <w:vAlign w:val="bottom"/>
            <w:hideMark/>
          </w:tcPr>
          <w:p w14:paraId="40B799D4" w14:textId="77777777" w:rsidR="000016E2" w:rsidRPr="00BD22FE" w:rsidRDefault="000016E2" w:rsidP="00941FBF">
            <w:pPr>
              <w:rPr>
                <w:color w:val="000000"/>
                <w:sz w:val="22"/>
                <w:szCs w:val="22"/>
                <w:lang w:val="pl-PL" w:eastAsia="en-GB"/>
              </w:rPr>
            </w:pPr>
          </w:p>
        </w:tc>
        <w:tc>
          <w:tcPr>
            <w:tcW w:w="788" w:type="pct"/>
            <w:tcBorders>
              <w:top w:val="single" w:sz="4" w:space="0" w:color="auto"/>
              <w:left w:val="single" w:sz="4" w:space="0" w:color="auto"/>
              <w:bottom w:val="single" w:sz="4" w:space="0" w:color="auto"/>
              <w:right w:val="single" w:sz="4" w:space="0" w:color="auto"/>
            </w:tcBorders>
            <w:vAlign w:val="bottom"/>
            <w:hideMark/>
          </w:tcPr>
          <w:p w14:paraId="5E952A43" w14:textId="77777777" w:rsidR="000016E2" w:rsidRPr="00BD22FE" w:rsidRDefault="000016E2" w:rsidP="00941FBF">
            <w:pPr>
              <w:rPr>
                <w:sz w:val="22"/>
                <w:szCs w:val="22"/>
                <w:lang w:val="pl-PL" w:eastAsia="en-GB"/>
              </w:rPr>
            </w:pPr>
          </w:p>
        </w:tc>
        <w:tc>
          <w:tcPr>
            <w:tcW w:w="1098" w:type="pct"/>
            <w:tcBorders>
              <w:top w:val="single" w:sz="4" w:space="0" w:color="auto"/>
              <w:left w:val="single" w:sz="4" w:space="0" w:color="auto"/>
              <w:bottom w:val="single" w:sz="4" w:space="0" w:color="auto"/>
              <w:right w:val="single" w:sz="4" w:space="0" w:color="auto"/>
            </w:tcBorders>
            <w:vAlign w:val="bottom"/>
            <w:hideMark/>
          </w:tcPr>
          <w:p w14:paraId="1B833AC9"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często</w:t>
            </w:r>
          </w:p>
        </w:tc>
      </w:tr>
      <w:tr w:rsidR="0013513D" w:rsidRPr="00BD22FE" w14:paraId="45700DF2" w14:textId="77777777" w:rsidTr="0090751B">
        <w:tc>
          <w:tcPr>
            <w:tcW w:w="1084" w:type="pct"/>
            <w:vMerge/>
            <w:tcBorders>
              <w:left w:val="single" w:sz="4" w:space="0" w:color="auto"/>
              <w:right w:val="single" w:sz="4" w:space="0" w:color="auto"/>
            </w:tcBorders>
            <w:hideMark/>
          </w:tcPr>
          <w:p w14:paraId="1AF33CED" w14:textId="77777777" w:rsidR="000016E2" w:rsidRPr="00BD22FE" w:rsidRDefault="000016E2" w:rsidP="00941FBF">
            <w:pPr>
              <w:rPr>
                <w:color w:val="000000"/>
                <w:sz w:val="22"/>
                <w:szCs w:val="22"/>
                <w:highlight w:val="yellow"/>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00751243"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Hiperlipidemia</w:t>
            </w:r>
          </w:p>
        </w:tc>
        <w:tc>
          <w:tcPr>
            <w:tcW w:w="804" w:type="pct"/>
            <w:tcBorders>
              <w:top w:val="single" w:sz="4" w:space="0" w:color="auto"/>
              <w:left w:val="single" w:sz="4" w:space="0" w:color="auto"/>
              <w:bottom w:val="single" w:sz="4" w:space="0" w:color="auto"/>
              <w:right w:val="single" w:sz="4" w:space="0" w:color="auto"/>
            </w:tcBorders>
            <w:vAlign w:val="bottom"/>
            <w:hideMark/>
          </w:tcPr>
          <w:p w14:paraId="264A56BA" w14:textId="77777777" w:rsidR="000016E2" w:rsidRPr="00BD22FE" w:rsidRDefault="000016E2" w:rsidP="00941FBF">
            <w:pPr>
              <w:rPr>
                <w:color w:val="000000"/>
                <w:sz w:val="22"/>
                <w:szCs w:val="22"/>
                <w:lang w:val="pl-PL" w:eastAsia="en-GB"/>
              </w:rPr>
            </w:pPr>
          </w:p>
        </w:tc>
        <w:tc>
          <w:tcPr>
            <w:tcW w:w="788" w:type="pct"/>
            <w:tcBorders>
              <w:top w:val="single" w:sz="4" w:space="0" w:color="auto"/>
              <w:left w:val="single" w:sz="4" w:space="0" w:color="auto"/>
              <w:bottom w:val="single" w:sz="4" w:space="0" w:color="auto"/>
              <w:right w:val="single" w:sz="4" w:space="0" w:color="auto"/>
            </w:tcBorders>
            <w:vAlign w:val="bottom"/>
            <w:hideMark/>
          </w:tcPr>
          <w:p w14:paraId="0CEDF4DE" w14:textId="77777777" w:rsidR="000016E2" w:rsidRPr="00BD22FE" w:rsidRDefault="000016E2" w:rsidP="00941FBF">
            <w:pPr>
              <w:rPr>
                <w:sz w:val="22"/>
                <w:szCs w:val="22"/>
                <w:lang w:val="pl-PL" w:eastAsia="en-GB"/>
              </w:rPr>
            </w:pPr>
          </w:p>
        </w:tc>
        <w:tc>
          <w:tcPr>
            <w:tcW w:w="1098" w:type="pct"/>
            <w:tcBorders>
              <w:top w:val="single" w:sz="4" w:space="0" w:color="auto"/>
              <w:left w:val="single" w:sz="4" w:space="0" w:color="auto"/>
              <w:bottom w:val="single" w:sz="4" w:space="0" w:color="auto"/>
              <w:right w:val="single" w:sz="4" w:space="0" w:color="auto"/>
            </w:tcBorders>
            <w:vAlign w:val="bottom"/>
            <w:hideMark/>
          </w:tcPr>
          <w:p w14:paraId="1FD798B8"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bardzo często</w:t>
            </w:r>
          </w:p>
        </w:tc>
      </w:tr>
      <w:tr w:rsidR="0013513D" w:rsidRPr="00BD22FE" w14:paraId="512D3270" w14:textId="77777777" w:rsidTr="0090751B">
        <w:tc>
          <w:tcPr>
            <w:tcW w:w="1084" w:type="pct"/>
            <w:vMerge/>
            <w:tcBorders>
              <w:left w:val="single" w:sz="4" w:space="0" w:color="auto"/>
              <w:right w:val="single" w:sz="4" w:space="0" w:color="auto"/>
            </w:tcBorders>
            <w:hideMark/>
          </w:tcPr>
          <w:p w14:paraId="06BDEFFA" w14:textId="77777777" w:rsidR="000016E2" w:rsidRPr="00BD22FE" w:rsidRDefault="000016E2" w:rsidP="00941FBF">
            <w:pPr>
              <w:rPr>
                <w:color w:val="000000"/>
                <w:sz w:val="22"/>
                <w:szCs w:val="22"/>
                <w:highlight w:val="yellow"/>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3FAC0700"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Hiperglikemia</w:t>
            </w:r>
          </w:p>
        </w:tc>
        <w:tc>
          <w:tcPr>
            <w:tcW w:w="804" w:type="pct"/>
            <w:tcBorders>
              <w:top w:val="single" w:sz="4" w:space="0" w:color="auto"/>
              <w:left w:val="single" w:sz="4" w:space="0" w:color="auto"/>
              <w:bottom w:val="single" w:sz="4" w:space="0" w:color="auto"/>
              <w:right w:val="single" w:sz="4" w:space="0" w:color="auto"/>
            </w:tcBorders>
            <w:vAlign w:val="bottom"/>
            <w:hideMark/>
          </w:tcPr>
          <w:p w14:paraId="45955D89" w14:textId="77777777" w:rsidR="000016E2" w:rsidRPr="00BD22FE" w:rsidRDefault="000016E2" w:rsidP="00941FBF">
            <w:pPr>
              <w:rPr>
                <w:color w:val="000000"/>
                <w:sz w:val="22"/>
                <w:szCs w:val="22"/>
                <w:lang w:val="pl-PL" w:eastAsia="en-GB"/>
              </w:rPr>
            </w:pPr>
          </w:p>
        </w:tc>
        <w:tc>
          <w:tcPr>
            <w:tcW w:w="788" w:type="pct"/>
            <w:tcBorders>
              <w:top w:val="single" w:sz="4" w:space="0" w:color="auto"/>
              <w:left w:val="single" w:sz="4" w:space="0" w:color="auto"/>
              <w:bottom w:val="single" w:sz="4" w:space="0" w:color="auto"/>
              <w:right w:val="single" w:sz="4" w:space="0" w:color="auto"/>
            </w:tcBorders>
            <w:vAlign w:val="bottom"/>
            <w:hideMark/>
          </w:tcPr>
          <w:p w14:paraId="0E321A5A" w14:textId="77777777" w:rsidR="000016E2" w:rsidRPr="00BD22FE" w:rsidRDefault="000016E2" w:rsidP="00941FBF">
            <w:pPr>
              <w:rPr>
                <w:sz w:val="22"/>
                <w:szCs w:val="22"/>
                <w:lang w:val="pl-PL" w:eastAsia="en-GB"/>
              </w:rPr>
            </w:pPr>
          </w:p>
        </w:tc>
        <w:tc>
          <w:tcPr>
            <w:tcW w:w="1098" w:type="pct"/>
            <w:tcBorders>
              <w:top w:val="single" w:sz="4" w:space="0" w:color="auto"/>
              <w:left w:val="single" w:sz="4" w:space="0" w:color="auto"/>
              <w:bottom w:val="single" w:sz="4" w:space="0" w:color="auto"/>
              <w:right w:val="single" w:sz="4" w:space="0" w:color="auto"/>
            </w:tcBorders>
            <w:vAlign w:val="bottom"/>
            <w:hideMark/>
          </w:tcPr>
          <w:p w14:paraId="3329B069"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rzadko</w:t>
            </w:r>
          </w:p>
        </w:tc>
      </w:tr>
      <w:tr w:rsidR="0013513D" w:rsidRPr="00BD22FE" w14:paraId="32C7496A" w14:textId="77777777" w:rsidTr="0090751B">
        <w:tc>
          <w:tcPr>
            <w:tcW w:w="1084" w:type="pct"/>
            <w:vMerge/>
            <w:tcBorders>
              <w:left w:val="single" w:sz="4" w:space="0" w:color="auto"/>
              <w:bottom w:val="single" w:sz="4" w:space="0" w:color="auto"/>
              <w:right w:val="single" w:sz="4" w:space="0" w:color="auto"/>
            </w:tcBorders>
          </w:tcPr>
          <w:p w14:paraId="7155F4A5" w14:textId="77777777" w:rsidR="000016E2" w:rsidRPr="00BD22FE" w:rsidRDefault="000016E2" w:rsidP="00941FBF">
            <w:pPr>
              <w:rPr>
                <w:color w:val="000000"/>
                <w:sz w:val="22"/>
                <w:szCs w:val="22"/>
                <w:highlight w:val="yellow"/>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tcPr>
          <w:p w14:paraId="09974CFD"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Niewłaściwa kontrola cukrzycy</w:t>
            </w:r>
          </w:p>
        </w:tc>
        <w:tc>
          <w:tcPr>
            <w:tcW w:w="804" w:type="pct"/>
            <w:tcBorders>
              <w:top w:val="single" w:sz="4" w:space="0" w:color="auto"/>
              <w:left w:val="single" w:sz="4" w:space="0" w:color="auto"/>
              <w:bottom w:val="single" w:sz="4" w:space="0" w:color="auto"/>
              <w:right w:val="single" w:sz="4" w:space="0" w:color="auto"/>
            </w:tcBorders>
            <w:vAlign w:val="bottom"/>
          </w:tcPr>
          <w:p w14:paraId="0C7140E2" w14:textId="77777777" w:rsidR="000016E2" w:rsidRPr="00BD22FE" w:rsidRDefault="000016E2" w:rsidP="00941FBF">
            <w:pPr>
              <w:rPr>
                <w:color w:val="000000"/>
                <w:sz w:val="22"/>
                <w:szCs w:val="22"/>
                <w:lang w:val="pl-PL" w:eastAsia="en-GB"/>
              </w:rPr>
            </w:pPr>
          </w:p>
        </w:tc>
        <w:tc>
          <w:tcPr>
            <w:tcW w:w="788" w:type="pct"/>
            <w:tcBorders>
              <w:top w:val="single" w:sz="4" w:space="0" w:color="auto"/>
              <w:left w:val="single" w:sz="4" w:space="0" w:color="auto"/>
              <w:bottom w:val="single" w:sz="4" w:space="0" w:color="auto"/>
              <w:right w:val="single" w:sz="4" w:space="0" w:color="auto"/>
            </w:tcBorders>
            <w:vAlign w:val="bottom"/>
          </w:tcPr>
          <w:p w14:paraId="6FD2CFB4" w14:textId="77777777" w:rsidR="000016E2" w:rsidRPr="00BD22FE" w:rsidRDefault="000016E2" w:rsidP="00941FBF">
            <w:pPr>
              <w:rPr>
                <w:sz w:val="22"/>
                <w:szCs w:val="22"/>
                <w:lang w:val="pl-PL" w:eastAsia="en-GB"/>
              </w:rPr>
            </w:pPr>
          </w:p>
        </w:tc>
        <w:tc>
          <w:tcPr>
            <w:tcW w:w="1098" w:type="pct"/>
            <w:tcBorders>
              <w:top w:val="single" w:sz="4" w:space="0" w:color="auto"/>
              <w:left w:val="single" w:sz="4" w:space="0" w:color="auto"/>
              <w:bottom w:val="single" w:sz="4" w:space="0" w:color="auto"/>
              <w:right w:val="single" w:sz="4" w:space="0" w:color="auto"/>
            </w:tcBorders>
            <w:vAlign w:val="bottom"/>
          </w:tcPr>
          <w:p w14:paraId="05770FAD"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rzadko</w:t>
            </w:r>
          </w:p>
        </w:tc>
      </w:tr>
      <w:tr w:rsidR="0013513D" w:rsidRPr="00BD22FE" w14:paraId="17ED0B77" w14:textId="77777777" w:rsidTr="0090751B">
        <w:tc>
          <w:tcPr>
            <w:tcW w:w="1084" w:type="pct"/>
            <w:vMerge w:val="restart"/>
            <w:tcBorders>
              <w:top w:val="single" w:sz="4" w:space="0" w:color="auto"/>
              <w:left w:val="single" w:sz="4" w:space="0" w:color="auto"/>
              <w:right w:val="single" w:sz="4" w:space="0" w:color="auto"/>
            </w:tcBorders>
            <w:hideMark/>
          </w:tcPr>
          <w:p w14:paraId="1391FE4C" w14:textId="77777777" w:rsidR="000016E2" w:rsidRPr="00BD22FE" w:rsidRDefault="00104CA8" w:rsidP="00941FBF">
            <w:pPr>
              <w:rPr>
                <w:b/>
                <w:bCs/>
                <w:color w:val="000000"/>
                <w:sz w:val="22"/>
                <w:szCs w:val="22"/>
                <w:highlight w:val="yellow"/>
                <w:lang w:val="pl-PL" w:eastAsia="en-GB"/>
              </w:rPr>
            </w:pPr>
            <w:r w:rsidRPr="00BD22FE">
              <w:rPr>
                <w:b/>
                <w:bCs/>
                <w:sz w:val="22"/>
                <w:szCs w:val="22"/>
                <w:lang w:val="pl-PL"/>
              </w:rPr>
              <w:t>Zaburzenia psychiczne</w:t>
            </w:r>
          </w:p>
        </w:tc>
        <w:tc>
          <w:tcPr>
            <w:tcW w:w="1226" w:type="pct"/>
            <w:tcBorders>
              <w:top w:val="single" w:sz="4" w:space="0" w:color="auto"/>
              <w:left w:val="single" w:sz="4" w:space="0" w:color="auto"/>
              <w:bottom w:val="single" w:sz="4" w:space="0" w:color="auto"/>
              <w:right w:val="single" w:sz="4" w:space="0" w:color="auto"/>
            </w:tcBorders>
            <w:vAlign w:val="bottom"/>
            <w:hideMark/>
          </w:tcPr>
          <w:p w14:paraId="62D55631"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Lęk</w:t>
            </w:r>
          </w:p>
        </w:tc>
        <w:tc>
          <w:tcPr>
            <w:tcW w:w="804" w:type="pct"/>
            <w:tcBorders>
              <w:top w:val="single" w:sz="4" w:space="0" w:color="auto"/>
              <w:left w:val="single" w:sz="4" w:space="0" w:color="auto"/>
              <w:bottom w:val="single" w:sz="4" w:space="0" w:color="auto"/>
              <w:right w:val="single" w:sz="4" w:space="0" w:color="auto"/>
            </w:tcBorders>
            <w:vAlign w:val="bottom"/>
            <w:hideMark/>
          </w:tcPr>
          <w:p w14:paraId="2D587290"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niezbyt często</w:t>
            </w:r>
          </w:p>
        </w:tc>
        <w:tc>
          <w:tcPr>
            <w:tcW w:w="788" w:type="pct"/>
            <w:tcBorders>
              <w:top w:val="single" w:sz="4" w:space="0" w:color="auto"/>
              <w:left w:val="single" w:sz="4" w:space="0" w:color="auto"/>
              <w:bottom w:val="single" w:sz="4" w:space="0" w:color="auto"/>
              <w:right w:val="single" w:sz="4" w:space="0" w:color="auto"/>
            </w:tcBorders>
            <w:vAlign w:val="bottom"/>
            <w:hideMark/>
          </w:tcPr>
          <w:p w14:paraId="352FD335"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rzadko</w:t>
            </w:r>
          </w:p>
        </w:tc>
        <w:tc>
          <w:tcPr>
            <w:tcW w:w="1098" w:type="pct"/>
            <w:tcBorders>
              <w:top w:val="single" w:sz="4" w:space="0" w:color="auto"/>
              <w:left w:val="single" w:sz="4" w:space="0" w:color="auto"/>
              <w:bottom w:val="single" w:sz="4" w:space="0" w:color="auto"/>
              <w:right w:val="single" w:sz="4" w:space="0" w:color="auto"/>
            </w:tcBorders>
            <w:vAlign w:val="bottom"/>
            <w:hideMark/>
          </w:tcPr>
          <w:p w14:paraId="06C66A61" w14:textId="77777777" w:rsidR="000016E2" w:rsidRPr="00BD22FE" w:rsidRDefault="000016E2" w:rsidP="00941FBF">
            <w:pPr>
              <w:rPr>
                <w:color w:val="000000"/>
                <w:sz w:val="22"/>
                <w:szCs w:val="22"/>
                <w:lang w:val="pl-PL" w:eastAsia="en-GB"/>
              </w:rPr>
            </w:pPr>
          </w:p>
        </w:tc>
      </w:tr>
      <w:tr w:rsidR="0013513D" w:rsidRPr="00BD22FE" w14:paraId="5670A20A" w14:textId="77777777" w:rsidTr="0090751B">
        <w:tc>
          <w:tcPr>
            <w:tcW w:w="1084" w:type="pct"/>
            <w:vMerge/>
            <w:tcBorders>
              <w:left w:val="single" w:sz="4" w:space="0" w:color="auto"/>
              <w:right w:val="single" w:sz="4" w:space="0" w:color="auto"/>
            </w:tcBorders>
            <w:hideMark/>
          </w:tcPr>
          <w:p w14:paraId="63733EFA" w14:textId="77777777" w:rsidR="000016E2" w:rsidRPr="00BD22FE" w:rsidRDefault="000016E2" w:rsidP="00941FBF">
            <w:pPr>
              <w:rPr>
                <w:sz w:val="22"/>
                <w:szCs w:val="22"/>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5743F12F"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Depresja</w:t>
            </w:r>
          </w:p>
        </w:tc>
        <w:tc>
          <w:tcPr>
            <w:tcW w:w="804" w:type="pct"/>
            <w:tcBorders>
              <w:top w:val="single" w:sz="4" w:space="0" w:color="auto"/>
              <w:left w:val="single" w:sz="4" w:space="0" w:color="auto"/>
              <w:bottom w:val="single" w:sz="4" w:space="0" w:color="auto"/>
              <w:right w:val="single" w:sz="4" w:space="0" w:color="auto"/>
            </w:tcBorders>
            <w:hideMark/>
          </w:tcPr>
          <w:p w14:paraId="64887548"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rzadko</w:t>
            </w:r>
          </w:p>
        </w:tc>
        <w:tc>
          <w:tcPr>
            <w:tcW w:w="788" w:type="pct"/>
            <w:tcBorders>
              <w:top w:val="single" w:sz="4" w:space="0" w:color="auto"/>
              <w:left w:val="single" w:sz="4" w:space="0" w:color="auto"/>
              <w:bottom w:val="single" w:sz="4" w:space="0" w:color="auto"/>
              <w:right w:val="single" w:sz="4" w:space="0" w:color="auto"/>
            </w:tcBorders>
            <w:hideMark/>
          </w:tcPr>
          <w:p w14:paraId="620849DC"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niezbyt często</w:t>
            </w:r>
          </w:p>
        </w:tc>
        <w:tc>
          <w:tcPr>
            <w:tcW w:w="1098" w:type="pct"/>
            <w:tcBorders>
              <w:top w:val="single" w:sz="4" w:space="0" w:color="auto"/>
              <w:left w:val="single" w:sz="4" w:space="0" w:color="auto"/>
              <w:bottom w:val="single" w:sz="4" w:space="0" w:color="auto"/>
              <w:right w:val="single" w:sz="4" w:space="0" w:color="auto"/>
            </w:tcBorders>
            <w:vAlign w:val="bottom"/>
            <w:hideMark/>
          </w:tcPr>
          <w:p w14:paraId="73065CAD"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rzadko</w:t>
            </w:r>
          </w:p>
        </w:tc>
      </w:tr>
      <w:tr w:rsidR="0013513D" w:rsidRPr="00BD22FE" w14:paraId="4C6D069D" w14:textId="77777777" w:rsidTr="0090751B">
        <w:tc>
          <w:tcPr>
            <w:tcW w:w="1084" w:type="pct"/>
            <w:vMerge/>
            <w:tcBorders>
              <w:left w:val="single" w:sz="4" w:space="0" w:color="auto"/>
              <w:right w:val="single" w:sz="4" w:space="0" w:color="auto"/>
            </w:tcBorders>
          </w:tcPr>
          <w:p w14:paraId="6614506A" w14:textId="77777777" w:rsidR="000016E2" w:rsidRPr="00BD22FE" w:rsidRDefault="000016E2" w:rsidP="00941FBF">
            <w:pPr>
              <w:rPr>
                <w:sz w:val="22"/>
                <w:szCs w:val="22"/>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tcPr>
          <w:p w14:paraId="345DE54D"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Bezsenność</w:t>
            </w:r>
          </w:p>
        </w:tc>
        <w:tc>
          <w:tcPr>
            <w:tcW w:w="804" w:type="pct"/>
            <w:tcBorders>
              <w:top w:val="single" w:sz="4" w:space="0" w:color="auto"/>
              <w:left w:val="single" w:sz="4" w:space="0" w:color="auto"/>
              <w:bottom w:val="single" w:sz="4" w:space="0" w:color="auto"/>
              <w:right w:val="single" w:sz="4" w:space="0" w:color="auto"/>
            </w:tcBorders>
          </w:tcPr>
          <w:p w14:paraId="113278F1"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rzadko</w:t>
            </w:r>
          </w:p>
        </w:tc>
        <w:tc>
          <w:tcPr>
            <w:tcW w:w="788" w:type="pct"/>
            <w:tcBorders>
              <w:top w:val="single" w:sz="4" w:space="0" w:color="auto"/>
              <w:left w:val="single" w:sz="4" w:space="0" w:color="auto"/>
              <w:bottom w:val="single" w:sz="4" w:space="0" w:color="auto"/>
              <w:right w:val="single" w:sz="4" w:space="0" w:color="auto"/>
            </w:tcBorders>
          </w:tcPr>
          <w:p w14:paraId="58567158"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niezbyt często</w:t>
            </w:r>
          </w:p>
        </w:tc>
        <w:tc>
          <w:tcPr>
            <w:tcW w:w="1098" w:type="pct"/>
            <w:tcBorders>
              <w:top w:val="single" w:sz="4" w:space="0" w:color="auto"/>
              <w:left w:val="single" w:sz="4" w:space="0" w:color="auto"/>
              <w:bottom w:val="single" w:sz="4" w:space="0" w:color="auto"/>
              <w:right w:val="single" w:sz="4" w:space="0" w:color="auto"/>
            </w:tcBorders>
            <w:vAlign w:val="bottom"/>
          </w:tcPr>
          <w:p w14:paraId="074714DD" w14:textId="77777777" w:rsidR="000016E2" w:rsidRPr="00BD22FE" w:rsidRDefault="000016E2" w:rsidP="00941FBF">
            <w:pPr>
              <w:rPr>
                <w:color w:val="000000"/>
                <w:sz w:val="22"/>
                <w:szCs w:val="22"/>
                <w:lang w:val="pl-PL" w:eastAsia="en-GB"/>
              </w:rPr>
            </w:pPr>
          </w:p>
        </w:tc>
      </w:tr>
      <w:tr w:rsidR="0013513D" w:rsidRPr="00BD22FE" w14:paraId="3F020B52" w14:textId="77777777" w:rsidTr="0090751B">
        <w:tc>
          <w:tcPr>
            <w:tcW w:w="1084" w:type="pct"/>
            <w:vMerge/>
            <w:tcBorders>
              <w:left w:val="single" w:sz="4" w:space="0" w:color="auto"/>
              <w:bottom w:val="single" w:sz="4" w:space="0" w:color="auto"/>
              <w:right w:val="single" w:sz="4" w:space="0" w:color="auto"/>
            </w:tcBorders>
          </w:tcPr>
          <w:p w14:paraId="64C6873E" w14:textId="77777777" w:rsidR="000016E2" w:rsidRPr="00BD22FE" w:rsidRDefault="000016E2" w:rsidP="00941FBF">
            <w:pPr>
              <w:rPr>
                <w:sz w:val="22"/>
                <w:szCs w:val="22"/>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tcPr>
          <w:p w14:paraId="2F3F405F"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Zaburzenia snu</w:t>
            </w:r>
          </w:p>
        </w:tc>
        <w:tc>
          <w:tcPr>
            <w:tcW w:w="804" w:type="pct"/>
            <w:tcBorders>
              <w:top w:val="single" w:sz="4" w:space="0" w:color="auto"/>
              <w:left w:val="single" w:sz="4" w:space="0" w:color="auto"/>
              <w:bottom w:val="single" w:sz="4" w:space="0" w:color="auto"/>
              <w:right w:val="single" w:sz="4" w:space="0" w:color="auto"/>
            </w:tcBorders>
          </w:tcPr>
          <w:p w14:paraId="2895571A"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rzadko</w:t>
            </w:r>
          </w:p>
        </w:tc>
        <w:tc>
          <w:tcPr>
            <w:tcW w:w="788" w:type="pct"/>
            <w:tcBorders>
              <w:top w:val="single" w:sz="4" w:space="0" w:color="auto"/>
              <w:left w:val="single" w:sz="4" w:space="0" w:color="auto"/>
              <w:bottom w:val="single" w:sz="4" w:space="0" w:color="auto"/>
              <w:right w:val="single" w:sz="4" w:space="0" w:color="auto"/>
            </w:tcBorders>
            <w:vAlign w:val="bottom"/>
          </w:tcPr>
          <w:p w14:paraId="043B4B14" w14:textId="77777777" w:rsidR="000016E2" w:rsidRPr="00BD22FE" w:rsidRDefault="000016E2" w:rsidP="00941FBF">
            <w:pPr>
              <w:rPr>
                <w:color w:val="000000"/>
                <w:sz w:val="22"/>
                <w:szCs w:val="22"/>
                <w:lang w:val="pl-PL" w:eastAsia="en-GB"/>
              </w:rPr>
            </w:pPr>
          </w:p>
        </w:tc>
        <w:tc>
          <w:tcPr>
            <w:tcW w:w="1098" w:type="pct"/>
            <w:tcBorders>
              <w:top w:val="single" w:sz="4" w:space="0" w:color="auto"/>
              <w:left w:val="single" w:sz="4" w:space="0" w:color="auto"/>
              <w:bottom w:val="single" w:sz="4" w:space="0" w:color="auto"/>
              <w:right w:val="single" w:sz="4" w:space="0" w:color="auto"/>
            </w:tcBorders>
          </w:tcPr>
          <w:p w14:paraId="71BBEE71"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rzadko</w:t>
            </w:r>
          </w:p>
        </w:tc>
      </w:tr>
      <w:tr w:rsidR="0013513D" w:rsidRPr="00BD22FE" w14:paraId="56F7AEB1" w14:textId="77777777" w:rsidTr="0090751B">
        <w:tc>
          <w:tcPr>
            <w:tcW w:w="1084" w:type="pct"/>
            <w:vMerge w:val="restart"/>
            <w:tcBorders>
              <w:top w:val="single" w:sz="4" w:space="0" w:color="auto"/>
              <w:left w:val="single" w:sz="4" w:space="0" w:color="auto"/>
              <w:right w:val="single" w:sz="4" w:space="0" w:color="auto"/>
            </w:tcBorders>
            <w:hideMark/>
          </w:tcPr>
          <w:p w14:paraId="02866E05" w14:textId="77777777" w:rsidR="000016E2" w:rsidRPr="00BD22FE" w:rsidRDefault="00104CA8" w:rsidP="00941FBF">
            <w:pPr>
              <w:rPr>
                <w:b/>
                <w:bCs/>
                <w:color w:val="000000"/>
                <w:sz w:val="22"/>
                <w:szCs w:val="22"/>
                <w:highlight w:val="yellow"/>
                <w:lang w:val="pl-PL" w:eastAsia="en-GB"/>
              </w:rPr>
            </w:pPr>
            <w:r w:rsidRPr="00BD22FE">
              <w:rPr>
                <w:b/>
                <w:bCs/>
                <w:sz w:val="22"/>
                <w:szCs w:val="22"/>
                <w:lang w:val="pl-PL"/>
              </w:rPr>
              <w:t>Zaburzenia układu nerwowego</w:t>
            </w:r>
          </w:p>
        </w:tc>
        <w:tc>
          <w:tcPr>
            <w:tcW w:w="1226" w:type="pct"/>
            <w:tcBorders>
              <w:top w:val="single" w:sz="4" w:space="0" w:color="auto"/>
              <w:left w:val="single" w:sz="4" w:space="0" w:color="auto"/>
              <w:bottom w:val="single" w:sz="4" w:space="0" w:color="auto"/>
              <w:right w:val="single" w:sz="4" w:space="0" w:color="auto"/>
            </w:tcBorders>
            <w:vAlign w:val="bottom"/>
            <w:hideMark/>
          </w:tcPr>
          <w:p w14:paraId="7A375B21"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Zawroty głowy</w:t>
            </w:r>
          </w:p>
        </w:tc>
        <w:tc>
          <w:tcPr>
            <w:tcW w:w="804" w:type="pct"/>
            <w:tcBorders>
              <w:top w:val="single" w:sz="4" w:space="0" w:color="auto"/>
              <w:left w:val="single" w:sz="4" w:space="0" w:color="auto"/>
              <w:bottom w:val="single" w:sz="4" w:space="0" w:color="auto"/>
              <w:right w:val="single" w:sz="4" w:space="0" w:color="auto"/>
            </w:tcBorders>
            <w:vAlign w:val="bottom"/>
            <w:hideMark/>
          </w:tcPr>
          <w:p w14:paraId="38AFEC5D"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często</w:t>
            </w:r>
          </w:p>
        </w:tc>
        <w:tc>
          <w:tcPr>
            <w:tcW w:w="788" w:type="pct"/>
            <w:tcBorders>
              <w:top w:val="single" w:sz="4" w:space="0" w:color="auto"/>
              <w:left w:val="single" w:sz="4" w:space="0" w:color="auto"/>
              <w:bottom w:val="single" w:sz="4" w:space="0" w:color="auto"/>
              <w:right w:val="single" w:sz="4" w:space="0" w:color="auto"/>
            </w:tcBorders>
            <w:vAlign w:val="bottom"/>
            <w:hideMark/>
          </w:tcPr>
          <w:p w14:paraId="500B816D" w14:textId="77777777" w:rsidR="000016E2" w:rsidRPr="00BD22FE" w:rsidRDefault="000016E2" w:rsidP="00941FBF">
            <w:pPr>
              <w:rPr>
                <w:color w:val="000000"/>
                <w:sz w:val="22"/>
                <w:szCs w:val="22"/>
                <w:lang w:val="pl-PL" w:eastAsia="en-GB"/>
              </w:rPr>
            </w:pPr>
          </w:p>
        </w:tc>
        <w:tc>
          <w:tcPr>
            <w:tcW w:w="1098" w:type="pct"/>
            <w:tcBorders>
              <w:top w:val="single" w:sz="4" w:space="0" w:color="auto"/>
              <w:left w:val="single" w:sz="4" w:space="0" w:color="auto"/>
              <w:bottom w:val="single" w:sz="4" w:space="0" w:color="auto"/>
              <w:right w:val="single" w:sz="4" w:space="0" w:color="auto"/>
            </w:tcBorders>
            <w:hideMark/>
          </w:tcPr>
          <w:p w14:paraId="6471240A"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rzadko</w:t>
            </w:r>
          </w:p>
        </w:tc>
      </w:tr>
      <w:tr w:rsidR="0013513D" w:rsidRPr="00BD22FE" w14:paraId="278DC1C0" w14:textId="77777777" w:rsidTr="0090751B">
        <w:tc>
          <w:tcPr>
            <w:tcW w:w="1084" w:type="pct"/>
            <w:vMerge/>
            <w:tcBorders>
              <w:left w:val="single" w:sz="4" w:space="0" w:color="auto"/>
              <w:right w:val="single" w:sz="4" w:space="0" w:color="auto"/>
            </w:tcBorders>
            <w:hideMark/>
          </w:tcPr>
          <w:p w14:paraId="50FA4C5F" w14:textId="77777777" w:rsidR="000016E2" w:rsidRPr="00BD22FE" w:rsidRDefault="000016E2" w:rsidP="00941FBF">
            <w:pPr>
              <w:rPr>
                <w:color w:val="000000"/>
                <w:sz w:val="22"/>
                <w:szCs w:val="22"/>
                <w:highlight w:val="yellow"/>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2D50A9A9"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Omdlenia</w:t>
            </w:r>
          </w:p>
        </w:tc>
        <w:tc>
          <w:tcPr>
            <w:tcW w:w="804" w:type="pct"/>
            <w:tcBorders>
              <w:top w:val="single" w:sz="4" w:space="0" w:color="auto"/>
              <w:left w:val="single" w:sz="4" w:space="0" w:color="auto"/>
              <w:bottom w:val="single" w:sz="4" w:space="0" w:color="auto"/>
              <w:right w:val="single" w:sz="4" w:space="0" w:color="auto"/>
            </w:tcBorders>
            <w:hideMark/>
          </w:tcPr>
          <w:p w14:paraId="0A89875F"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niezbyt często</w:t>
            </w:r>
          </w:p>
        </w:tc>
        <w:tc>
          <w:tcPr>
            <w:tcW w:w="788" w:type="pct"/>
            <w:tcBorders>
              <w:top w:val="single" w:sz="4" w:space="0" w:color="auto"/>
              <w:left w:val="single" w:sz="4" w:space="0" w:color="auto"/>
              <w:bottom w:val="single" w:sz="4" w:space="0" w:color="auto"/>
              <w:right w:val="single" w:sz="4" w:space="0" w:color="auto"/>
            </w:tcBorders>
            <w:vAlign w:val="bottom"/>
            <w:hideMark/>
          </w:tcPr>
          <w:p w14:paraId="591B0C38"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niezbyt często</w:t>
            </w:r>
          </w:p>
        </w:tc>
        <w:tc>
          <w:tcPr>
            <w:tcW w:w="1098" w:type="pct"/>
            <w:tcBorders>
              <w:top w:val="single" w:sz="4" w:space="0" w:color="auto"/>
              <w:left w:val="single" w:sz="4" w:space="0" w:color="auto"/>
              <w:bottom w:val="single" w:sz="4" w:space="0" w:color="auto"/>
              <w:right w:val="single" w:sz="4" w:space="0" w:color="auto"/>
            </w:tcBorders>
            <w:vAlign w:val="bottom"/>
            <w:hideMark/>
          </w:tcPr>
          <w:p w14:paraId="7DB0AFD5" w14:textId="77777777" w:rsidR="000016E2" w:rsidRPr="00BD22FE" w:rsidRDefault="000016E2" w:rsidP="00941FBF">
            <w:pPr>
              <w:rPr>
                <w:color w:val="000000"/>
                <w:sz w:val="22"/>
                <w:szCs w:val="22"/>
                <w:lang w:val="pl-PL" w:eastAsia="en-GB"/>
              </w:rPr>
            </w:pPr>
          </w:p>
        </w:tc>
      </w:tr>
      <w:tr w:rsidR="0013513D" w:rsidRPr="00BD22FE" w14:paraId="1D013D89" w14:textId="77777777" w:rsidTr="0090751B">
        <w:tc>
          <w:tcPr>
            <w:tcW w:w="1084" w:type="pct"/>
            <w:vMerge/>
            <w:tcBorders>
              <w:left w:val="single" w:sz="4" w:space="0" w:color="auto"/>
              <w:right w:val="single" w:sz="4" w:space="0" w:color="auto"/>
            </w:tcBorders>
            <w:hideMark/>
          </w:tcPr>
          <w:p w14:paraId="58E0D940" w14:textId="77777777" w:rsidR="000016E2" w:rsidRPr="00BD22FE" w:rsidRDefault="000016E2" w:rsidP="00941FBF">
            <w:pPr>
              <w:rPr>
                <w:sz w:val="22"/>
                <w:szCs w:val="22"/>
                <w:highlight w:val="yellow"/>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44FB6110"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Parestezje</w:t>
            </w:r>
          </w:p>
        </w:tc>
        <w:tc>
          <w:tcPr>
            <w:tcW w:w="804" w:type="pct"/>
            <w:tcBorders>
              <w:top w:val="single" w:sz="4" w:space="0" w:color="auto"/>
              <w:left w:val="single" w:sz="4" w:space="0" w:color="auto"/>
              <w:bottom w:val="single" w:sz="4" w:space="0" w:color="auto"/>
              <w:right w:val="single" w:sz="4" w:space="0" w:color="auto"/>
            </w:tcBorders>
            <w:hideMark/>
          </w:tcPr>
          <w:p w14:paraId="7AC78377"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niezbyt często</w:t>
            </w:r>
          </w:p>
        </w:tc>
        <w:tc>
          <w:tcPr>
            <w:tcW w:w="788" w:type="pct"/>
            <w:tcBorders>
              <w:top w:val="single" w:sz="4" w:space="0" w:color="auto"/>
              <w:left w:val="single" w:sz="4" w:space="0" w:color="auto"/>
              <w:bottom w:val="single" w:sz="4" w:space="0" w:color="auto"/>
              <w:right w:val="single" w:sz="4" w:space="0" w:color="auto"/>
            </w:tcBorders>
            <w:vAlign w:val="bottom"/>
            <w:hideMark/>
          </w:tcPr>
          <w:p w14:paraId="530B7892" w14:textId="77777777" w:rsidR="000016E2" w:rsidRPr="00BD22FE" w:rsidRDefault="000016E2" w:rsidP="00941FBF">
            <w:pPr>
              <w:rPr>
                <w:color w:val="000000"/>
                <w:sz w:val="22"/>
                <w:szCs w:val="22"/>
                <w:lang w:val="pl-PL" w:eastAsia="en-GB"/>
              </w:rPr>
            </w:pPr>
          </w:p>
        </w:tc>
        <w:tc>
          <w:tcPr>
            <w:tcW w:w="1098" w:type="pct"/>
            <w:tcBorders>
              <w:top w:val="single" w:sz="4" w:space="0" w:color="auto"/>
              <w:left w:val="single" w:sz="4" w:space="0" w:color="auto"/>
              <w:bottom w:val="single" w:sz="4" w:space="0" w:color="auto"/>
              <w:right w:val="single" w:sz="4" w:space="0" w:color="auto"/>
            </w:tcBorders>
            <w:vAlign w:val="bottom"/>
            <w:hideMark/>
          </w:tcPr>
          <w:p w14:paraId="7A1D5B1E"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rzadko</w:t>
            </w:r>
          </w:p>
        </w:tc>
      </w:tr>
      <w:tr w:rsidR="0013513D" w:rsidRPr="00BD22FE" w14:paraId="2D1D4AE0" w14:textId="77777777" w:rsidTr="0090751B">
        <w:tc>
          <w:tcPr>
            <w:tcW w:w="1084" w:type="pct"/>
            <w:vMerge/>
            <w:tcBorders>
              <w:left w:val="single" w:sz="4" w:space="0" w:color="auto"/>
              <w:right w:val="single" w:sz="4" w:space="0" w:color="auto"/>
            </w:tcBorders>
            <w:hideMark/>
          </w:tcPr>
          <w:p w14:paraId="7A2B3C81" w14:textId="77777777" w:rsidR="000016E2" w:rsidRPr="00BD22FE" w:rsidRDefault="000016E2" w:rsidP="00941FBF">
            <w:pPr>
              <w:rPr>
                <w:color w:val="000000"/>
                <w:sz w:val="22"/>
                <w:szCs w:val="22"/>
                <w:highlight w:val="yellow"/>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67BD184C"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Bezsenność</w:t>
            </w:r>
          </w:p>
        </w:tc>
        <w:tc>
          <w:tcPr>
            <w:tcW w:w="804" w:type="pct"/>
            <w:tcBorders>
              <w:top w:val="single" w:sz="4" w:space="0" w:color="auto"/>
              <w:left w:val="single" w:sz="4" w:space="0" w:color="auto"/>
              <w:bottom w:val="single" w:sz="4" w:space="0" w:color="auto"/>
              <w:right w:val="single" w:sz="4" w:space="0" w:color="auto"/>
            </w:tcBorders>
            <w:vAlign w:val="bottom"/>
            <w:hideMark/>
          </w:tcPr>
          <w:p w14:paraId="5C5A0A21" w14:textId="77777777" w:rsidR="000016E2" w:rsidRPr="00BD22FE" w:rsidRDefault="000016E2" w:rsidP="00941FBF">
            <w:pPr>
              <w:rPr>
                <w:color w:val="000000"/>
                <w:sz w:val="22"/>
                <w:szCs w:val="22"/>
                <w:lang w:val="pl-PL" w:eastAsia="en-GB"/>
              </w:rPr>
            </w:pPr>
          </w:p>
        </w:tc>
        <w:tc>
          <w:tcPr>
            <w:tcW w:w="788" w:type="pct"/>
            <w:tcBorders>
              <w:top w:val="single" w:sz="4" w:space="0" w:color="auto"/>
              <w:left w:val="single" w:sz="4" w:space="0" w:color="auto"/>
              <w:bottom w:val="single" w:sz="4" w:space="0" w:color="auto"/>
              <w:right w:val="single" w:sz="4" w:space="0" w:color="auto"/>
            </w:tcBorders>
            <w:vAlign w:val="bottom"/>
            <w:hideMark/>
          </w:tcPr>
          <w:p w14:paraId="05436AC2"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rzadko</w:t>
            </w:r>
          </w:p>
        </w:tc>
        <w:tc>
          <w:tcPr>
            <w:tcW w:w="1098" w:type="pct"/>
            <w:tcBorders>
              <w:top w:val="single" w:sz="4" w:space="0" w:color="auto"/>
              <w:left w:val="single" w:sz="4" w:space="0" w:color="auto"/>
              <w:bottom w:val="single" w:sz="4" w:space="0" w:color="auto"/>
              <w:right w:val="single" w:sz="4" w:space="0" w:color="auto"/>
            </w:tcBorders>
            <w:vAlign w:val="bottom"/>
            <w:hideMark/>
          </w:tcPr>
          <w:p w14:paraId="066354FE" w14:textId="77777777" w:rsidR="000016E2" w:rsidRPr="00BD22FE" w:rsidRDefault="000016E2" w:rsidP="00941FBF">
            <w:pPr>
              <w:rPr>
                <w:color w:val="000000"/>
                <w:sz w:val="22"/>
                <w:szCs w:val="22"/>
                <w:lang w:val="pl-PL" w:eastAsia="en-GB"/>
              </w:rPr>
            </w:pPr>
          </w:p>
        </w:tc>
      </w:tr>
      <w:tr w:rsidR="0013513D" w:rsidRPr="00BD22FE" w14:paraId="45B55546" w14:textId="77777777" w:rsidTr="0090751B">
        <w:tc>
          <w:tcPr>
            <w:tcW w:w="1084" w:type="pct"/>
            <w:vMerge/>
            <w:tcBorders>
              <w:left w:val="single" w:sz="4" w:space="0" w:color="auto"/>
              <w:bottom w:val="single" w:sz="4" w:space="0" w:color="auto"/>
              <w:right w:val="single" w:sz="4" w:space="0" w:color="auto"/>
            </w:tcBorders>
            <w:hideMark/>
          </w:tcPr>
          <w:p w14:paraId="0CCF286E" w14:textId="77777777" w:rsidR="000016E2" w:rsidRPr="00BD22FE" w:rsidRDefault="000016E2" w:rsidP="00941FBF">
            <w:pPr>
              <w:rPr>
                <w:sz w:val="22"/>
                <w:szCs w:val="22"/>
                <w:highlight w:val="yellow"/>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024EC6A7"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Ból głowy</w:t>
            </w:r>
          </w:p>
        </w:tc>
        <w:tc>
          <w:tcPr>
            <w:tcW w:w="804" w:type="pct"/>
            <w:tcBorders>
              <w:top w:val="single" w:sz="4" w:space="0" w:color="auto"/>
              <w:left w:val="single" w:sz="4" w:space="0" w:color="auto"/>
              <w:bottom w:val="single" w:sz="4" w:space="0" w:color="auto"/>
              <w:right w:val="single" w:sz="4" w:space="0" w:color="auto"/>
            </w:tcBorders>
            <w:vAlign w:val="bottom"/>
            <w:hideMark/>
          </w:tcPr>
          <w:p w14:paraId="23279B1C" w14:textId="77777777" w:rsidR="000016E2" w:rsidRPr="00BD22FE" w:rsidRDefault="000016E2" w:rsidP="00941FBF">
            <w:pPr>
              <w:rPr>
                <w:color w:val="000000"/>
                <w:sz w:val="22"/>
                <w:szCs w:val="22"/>
                <w:lang w:val="pl-PL" w:eastAsia="en-GB"/>
              </w:rPr>
            </w:pPr>
          </w:p>
        </w:tc>
        <w:tc>
          <w:tcPr>
            <w:tcW w:w="788" w:type="pct"/>
            <w:tcBorders>
              <w:top w:val="single" w:sz="4" w:space="0" w:color="auto"/>
              <w:left w:val="single" w:sz="4" w:space="0" w:color="auto"/>
              <w:bottom w:val="single" w:sz="4" w:space="0" w:color="auto"/>
              <w:right w:val="single" w:sz="4" w:space="0" w:color="auto"/>
            </w:tcBorders>
            <w:vAlign w:val="bottom"/>
            <w:hideMark/>
          </w:tcPr>
          <w:p w14:paraId="41763B9E" w14:textId="77777777" w:rsidR="000016E2" w:rsidRPr="00BD22FE" w:rsidRDefault="000016E2" w:rsidP="00941FBF">
            <w:pPr>
              <w:rPr>
                <w:sz w:val="22"/>
                <w:szCs w:val="22"/>
                <w:lang w:val="pl-PL" w:eastAsia="en-GB"/>
              </w:rPr>
            </w:pPr>
          </w:p>
        </w:tc>
        <w:tc>
          <w:tcPr>
            <w:tcW w:w="1098" w:type="pct"/>
            <w:tcBorders>
              <w:top w:val="single" w:sz="4" w:space="0" w:color="auto"/>
              <w:left w:val="single" w:sz="4" w:space="0" w:color="auto"/>
              <w:bottom w:val="single" w:sz="4" w:space="0" w:color="auto"/>
              <w:right w:val="single" w:sz="4" w:space="0" w:color="auto"/>
            </w:tcBorders>
            <w:vAlign w:val="bottom"/>
            <w:hideMark/>
          </w:tcPr>
          <w:p w14:paraId="6FDA00F3"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rzadko</w:t>
            </w:r>
          </w:p>
        </w:tc>
      </w:tr>
      <w:tr w:rsidR="0013513D" w:rsidRPr="00BD22FE" w14:paraId="41791D50" w14:textId="77777777" w:rsidTr="0090751B">
        <w:tc>
          <w:tcPr>
            <w:tcW w:w="1084" w:type="pct"/>
            <w:vMerge w:val="restart"/>
            <w:tcBorders>
              <w:top w:val="single" w:sz="4" w:space="0" w:color="auto"/>
              <w:left w:val="single" w:sz="4" w:space="0" w:color="auto"/>
              <w:right w:val="single" w:sz="4" w:space="0" w:color="auto"/>
            </w:tcBorders>
            <w:hideMark/>
          </w:tcPr>
          <w:p w14:paraId="149A1236" w14:textId="77777777" w:rsidR="000016E2" w:rsidRPr="00BD22FE" w:rsidRDefault="00104CA8" w:rsidP="00941FBF">
            <w:pPr>
              <w:rPr>
                <w:b/>
                <w:bCs/>
                <w:color w:val="000000"/>
                <w:sz w:val="22"/>
                <w:szCs w:val="22"/>
                <w:highlight w:val="yellow"/>
                <w:lang w:val="pl-PL" w:eastAsia="en-GB"/>
              </w:rPr>
            </w:pPr>
            <w:r w:rsidRPr="00BD22FE">
              <w:rPr>
                <w:b/>
                <w:bCs/>
                <w:sz w:val="22"/>
                <w:szCs w:val="22"/>
                <w:lang w:val="pl-PL"/>
              </w:rPr>
              <w:t>Zaburzenia oka</w:t>
            </w:r>
          </w:p>
        </w:tc>
        <w:tc>
          <w:tcPr>
            <w:tcW w:w="1226" w:type="pct"/>
            <w:tcBorders>
              <w:top w:val="single" w:sz="4" w:space="0" w:color="auto"/>
              <w:left w:val="single" w:sz="4" w:space="0" w:color="auto"/>
              <w:bottom w:val="single" w:sz="4" w:space="0" w:color="auto"/>
              <w:right w:val="single" w:sz="4" w:space="0" w:color="auto"/>
            </w:tcBorders>
            <w:vAlign w:val="bottom"/>
            <w:hideMark/>
          </w:tcPr>
          <w:p w14:paraId="75B95FA8"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Zaburzenia widzenia</w:t>
            </w:r>
          </w:p>
        </w:tc>
        <w:tc>
          <w:tcPr>
            <w:tcW w:w="804" w:type="pct"/>
            <w:tcBorders>
              <w:top w:val="single" w:sz="4" w:space="0" w:color="auto"/>
              <w:left w:val="single" w:sz="4" w:space="0" w:color="auto"/>
              <w:bottom w:val="single" w:sz="4" w:space="0" w:color="auto"/>
              <w:right w:val="single" w:sz="4" w:space="0" w:color="auto"/>
            </w:tcBorders>
            <w:vAlign w:val="bottom"/>
            <w:hideMark/>
          </w:tcPr>
          <w:p w14:paraId="63979927"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rzadko</w:t>
            </w:r>
          </w:p>
        </w:tc>
        <w:tc>
          <w:tcPr>
            <w:tcW w:w="788" w:type="pct"/>
            <w:tcBorders>
              <w:top w:val="single" w:sz="4" w:space="0" w:color="auto"/>
              <w:left w:val="single" w:sz="4" w:space="0" w:color="auto"/>
              <w:bottom w:val="single" w:sz="4" w:space="0" w:color="auto"/>
              <w:right w:val="single" w:sz="4" w:space="0" w:color="auto"/>
            </w:tcBorders>
            <w:vAlign w:val="bottom"/>
            <w:hideMark/>
          </w:tcPr>
          <w:p w14:paraId="49DB6760"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rzadko</w:t>
            </w:r>
          </w:p>
        </w:tc>
        <w:tc>
          <w:tcPr>
            <w:tcW w:w="1098" w:type="pct"/>
            <w:tcBorders>
              <w:top w:val="single" w:sz="4" w:space="0" w:color="auto"/>
              <w:left w:val="single" w:sz="4" w:space="0" w:color="auto"/>
              <w:bottom w:val="single" w:sz="4" w:space="0" w:color="auto"/>
              <w:right w:val="single" w:sz="4" w:space="0" w:color="auto"/>
            </w:tcBorders>
            <w:vAlign w:val="bottom"/>
            <w:hideMark/>
          </w:tcPr>
          <w:p w14:paraId="0119B189"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rzadko</w:t>
            </w:r>
          </w:p>
        </w:tc>
      </w:tr>
      <w:tr w:rsidR="0013513D" w:rsidRPr="00BD22FE" w14:paraId="2714797B" w14:textId="77777777" w:rsidTr="0090751B">
        <w:tc>
          <w:tcPr>
            <w:tcW w:w="1084" w:type="pct"/>
            <w:vMerge/>
            <w:tcBorders>
              <w:left w:val="single" w:sz="4" w:space="0" w:color="auto"/>
              <w:right w:val="single" w:sz="4" w:space="0" w:color="auto"/>
            </w:tcBorders>
            <w:hideMark/>
          </w:tcPr>
          <w:p w14:paraId="465C863C" w14:textId="77777777" w:rsidR="000016E2" w:rsidRPr="00BD22FE" w:rsidRDefault="000016E2" w:rsidP="00941FBF">
            <w:pPr>
              <w:rPr>
                <w:color w:val="000000"/>
                <w:sz w:val="22"/>
                <w:szCs w:val="22"/>
                <w:highlight w:val="yellow"/>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66969033" w14:textId="77777777" w:rsidR="000016E2" w:rsidRPr="00BD22FE" w:rsidRDefault="00104CA8" w:rsidP="00941FBF">
            <w:pPr>
              <w:rPr>
                <w:color w:val="000000"/>
                <w:sz w:val="22"/>
                <w:szCs w:val="22"/>
                <w:lang w:val="pl-PL" w:eastAsia="en-GB"/>
              </w:rPr>
            </w:pPr>
            <w:r w:rsidRPr="00BD22FE">
              <w:rPr>
                <w:sz w:val="22"/>
                <w:szCs w:val="22"/>
                <w:lang w:val="pl-PL"/>
              </w:rPr>
              <w:t>Niewyraźne widzenie</w:t>
            </w:r>
          </w:p>
        </w:tc>
        <w:tc>
          <w:tcPr>
            <w:tcW w:w="804" w:type="pct"/>
            <w:tcBorders>
              <w:top w:val="single" w:sz="4" w:space="0" w:color="auto"/>
              <w:left w:val="single" w:sz="4" w:space="0" w:color="auto"/>
              <w:bottom w:val="single" w:sz="4" w:space="0" w:color="auto"/>
              <w:right w:val="single" w:sz="4" w:space="0" w:color="auto"/>
            </w:tcBorders>
            <w:vAlign w:val="bottom"/>
            <w:hideMark/>
          </w:tcPr>
          <w:p w14:paraId="3926DDA7"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rzadko</w:t>
            </w:r>
          </w:p>
        </w:tc>
        <w:tc>
          <w:tcPr>
            <w:tcW w:w="788" w:type="pct"/>
            <w:tcBorders>
              <w:top w:val="single" w:sz="4" w:space="0" w:color="auto"/>
              <w:left w:val="single" w:sz="4" w:space="0" w:color="auto"/>
              <w:bottom w:val="single" w:sz="4" w:space="0" w:color="auto"/>
              <w:right w:val="single" w:sz="4" w:space="0" w:color="auto"/>
            </w:tcBorders>
            <w:vAlign w:val="bottom"/>
            <w:hideMark/>
          </w:tcPr>
          <w:p w14:paraId="23122371" w14:textId="77777777" w:rsidR="000016E2" w:rsidRPr="00BD22FE" w:rsidRDefault="000016E2" w:rsidP="00941FBF">
            <w:pPr>
              <w:rPr>
                <w:color w:val="000000"/>
                <w:sz w:val="22"/>
                <w:szCs w:val="22"/>
                <w:lang w:val="pl-PL" w:eastAsia="en-GB"/>
              </w:rPr>
            </w:pPr>
          </w:p>
        </w:tc>
        <w:tc>
          <w:tcPr>
            <w:tcW w:w="1098" w:type="pct"/>
            <w:tcBorders>
              <w:top w:val="single" w:sz="4" w:space="0" w:color="auto"/>
              <w:left w:val="single" w:sz="4" w:space="0" w:color="auto"/>
              <w:bottom w:val="single" w:sz="4" w:space="0" w:color="auto"/>
              <w:right w:val="single" w:sz="4" w:space="0" w:color="auto"/>
            </w:tcBorders>
            <w:vAlign w:val="bottom"/>
            <w:hideMark/>
          </w:tcPr>
          <w:p w14:paraId="09E65C61" w14:textId="77777777" w:rsidR="000016E2" w:rsidRPr="00BD22FE" w:rsidRDefault="000016E2" w:rsidP="00941FBF">
            <w:pPr>
              <w:rPr>
                <w:sz w:val="22"/>
                <w:szCs w:val="22"/>
                <w:lang w:val="pl-PL" w:eastAsia="en-GB"/>
              </w:rPr>
            </w:pPr>
          </w:p>
        </w:tc>
      </w:tr>
      <w:tr w:rsidR="0013513D" w:rsidRPr="00BD22FE" w14:paraId="6C2775DE" w14:textId="77777777" w:rsidTr="0090751B">
        <w:tc>
          <w:tcPr>
            <w:tcW w:w="1084" w:type="pct"/>
            <w:vMerge/>
            <w:tcBorders>
              <w:left w:val="single" w:sz="4" w:space="0" w:color="auto"/>
              <w:right w:val="single" w:sz="4" w:space="0" w:color="auto"/>
            </w:tcBorders>
            <w:hideMark/>
          </w:tcPr>
          <w:p w14:paraId="78F63AB6" w14:textId="77777777" w:rsidR="000016E2" w:rsidRPr="00BD22FE" w:rsidRDefault="000016E2" w:rsidP="00941FBF">
            <w:pPr>
              <w:rPr>
                <w:sz w:val="22"/>
                <w:szCs w:val="22"/>
                <w:highlight w:val="yellow"/>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19375AF2"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Ostra jaskra z zamkniętym kątem przesączania</w:t>
            </w:r>
          </w:p>
        </w:tc>
        <w:tc>
          <w:tcPr>
            <w:tcW w:w="804" w:type="pct"/>
            <w:tcBorders>
              <w:top w:val="single" w:sz="4" w:space="0" w:color="auto"/>
              <w:left w:val="single" w:sz="4" w:space="0" w:color="auto"/>
              <w:bottom w:val="single" w:sz="4" w:space="0" w:color="auto"/>
              <w:right w:val="single" w:sz="4" w:space="0" w:color="auto"/>
            </w:tcBorders>
            <w:vAlign w:val="bottom"/>
            <w:hideMark/>
          </w:tcPr>
          <w:p w14:paraId="7BA8AF15" w14:textId="77777777" w:rsidR="000016E2" w:rsidRPr="00BD22FE" w:rsidRDefault="000016E2" w:rsidP="00941FBF">
            <w:pPr>
              <w:rPr>
                <w:color w:val="000000"/>
                <w:sz w:val="22"/>
                <w:szCs w:val="22"/>
                <w:lang w:val="pl-PL" w:eastAsia="en-GB"/>
              </w:rPr>
            </w:pPr>
          </w:p>
        </w:tc>
        <w:tc>
          <w:tcPr>
            <w:tcW w:w="788" w:type="pct"/>
            <w:tcBorders>
              <w:top w:val="single" w:sz="4" w:space="0" w:color="auto"/>
              <w:left w:val="single" w:sz="4" w:space="0" w:color="auto"/>
              <w:bottom w:val="single" w:sz="4" w:space="0" w:color="auto"/>
              <w:right w:val="single" w:sz="4" w:space="0" w:color="auto"/>
            </w:tcBorders>
            <w:vAlign w:val="bottom"/>
            <w:hideMark/>
          </w:tcPr>
          <w:p w14:paraId="1151A92D" w14:textId="77777777" w:rsidR="000016E2" w:rsidRPr="00BD22FE" w:rsidRDefault="000016E2" w:rsidP="00941FBF">
            <w:pPr>
              <w:rPr>
                <w:sz w:val="22"/>
                <w:szCs w:val="22"/>
                <w:lang w:val="pl-PL" w:eastAsia="en-GB"/>
              </w:rPr>
            </w:pPr>
          </w:p>
        </w:tc>
        <w:tc>
          <w:tcPr>
            <w:tcW w:w="1098" w:type="pct"/>
            <w:tcBorders>
              <w:top w:val="single" w:sz="4" w:space="0" w:color="auto"/>
              <w:left w:val="single" w:sz="4" w:space="0" w:color="auto"/>
              <w:bottom w:val="single" w:sz="4" w:space="0" w:color="auto"/>
              <w:right w:val="single" w:sz="4" w:space="0" w:color="auto"/>
            </w:tcBorders>
            <w:vAlign w:val="bottom"/>
            <w:hideMark/>
          </w:tcPr>
          <w:p w14:paraId="04D3D03C" w14:textId="77777777" w:rsidR="000016E2" w:rsidRPr="00BD22FE" w:rsidRDefault="00104CA8" w:rsidP="00941FBF">
            <w:pPr>
              <w:rPr>
                <w:color w:val="000000"/>
                <w:sz w:val="22"/>
                <w:szCs w:val="22"/>
                <w:lang w:val="pl-PL" w:eastAsia="en-GB"/>
              </w:rPr>
            </w:pPr>
            <w:r w:rsidRPr="00BD22FE">
              <w:rPr>
                <w:sz w:val="22"/>
                <w:szCs w:val="22"/>
                <w:lang w:val="pl-PL"/>
              </w:rPr>
              <w:t>częstość nieznana</w:t>
            </w:r>
          </w:p>
        </w:tc>
      </w:tr>
      <w:tr w:rsidR="0013513D" w:rsidRPr="00BD22FE" w14:paraId="10FD215E" w14:textId="77777777" w:rsidTr="0090751B">
        <w:tc>
          <w:tcPr>
            <w:tcW w:w="1084" w:type="pct"/>
            <w:vMerge/>
            <w:tcBorders>
              <w:left w:val="single" w:sz="4" w:space="0" w:color="auto"/>
              <w:bottom w:val="single" w:sz="4" w:space="0" w:color="auto"/>
              <w:right w:val="single" w:sz="4" w:space="0" w:color="auto"/>
            </w:tcBorders>
            <w:hideMark/>
          </w:tcPr>
          <w:p w14:paraId="03FA992B" w14:textId="77777777" w:rsidR="000016E2" w:rsidRPr="00BD22FE" w:rsidRDefault="000016E2" w:rsidP="00941FBF">
            <w:pPr>
              <w:rPr>
                <w:color w:val="000000"/>
                <w:sz w:val="22"/>
                <w:szCs w:val="22"/>
                <w:highlight w:val="yellow"/>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3FD2B3E1"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Nadmierne nagromadzenie płynu między naczyniówką a twardówką</w:t>
            </w:r>
          </w:p>
        </w:tc>
        <w:tc>
          <w:tcPr>
            <w:tcW w:w="804" w:type="pct"/>
            <w:tcBorders>
              <w:top w:val="single" w:sz="4" w:space="0" w:color="auto"/>
              <w:left w:val="single" w:sz="4" w:space="0" w:color="auto"/>
              <w:bottom w:val="single" w:sz="4" w:space="0" w:color="auto"/>
              <w:right w:val="single" w:sz="4" w:space="0" w:color="auto"/>
            </w:tcBorders>
            <w:vAlign w:val="bottom"/>
            <w:hideMark/>
          </w:tcPr>
          <w:p w14:paraId="114B8D7E" w14:textId="77777777" w:rsidR="000016E2" w:rsidRPr="00BD22FE" w:rsidRDefault="000016E2" w:rsidP="00941FBF">
            <w:pPr>
              <w:rPr>
                <w:color w:val="000000"/>
                <w:sz w:val="22"/>
                <w:szCs w:val="22"/>
                <w:lang w:val="pl-PL" w:eastAsia="en-GB"/>
              </w:rPr>
            </w:pPr>
          </w:p>
        </w:tc>
        <w:tc>
          <w:tcPr>
            <w:tcW w:w="788" w:type="pct"/>
            <w:tcBorders>
              <w:top w:val="single" w:sz="4" w:space="0" w:color="auto"/>
              <w:left w:val="single" w:sz="4" w:space="0" w:color="auto"/>
              <w:bottom w:val="single" w:sz="4" w:space="0" w:color="auto"/>
              <w:right w:val="single" w:sz="4" w:space="0" w:color="auto"/>
            </w:tcBorders>
            <w:vAlign w:val="bottom"/>
            <w:hideMark/>
          </w:tcPr>
          <w:p w14:paraId="1A7FCA95" w14:textId="77777777" w:rsidR="000016E2" w:rsidRPr="00BD22FE" w:rsidRDefault="000016E2" w:rsidP="00941FBF">
            <w:pPr>
              <w:rPr>
                <w:sz w:val="22"/>
                <w:szCs w:val="22"/>
                <w:lang w:val="pl-PL" w:eastAsia="en-GB"/>
              </w:rPr>
            </w:pPr>
          </w:p>
        </w:tc>
        <w:tc>
          <w:tcPr>
            <w:tcW w:w="1098" w:type="pct"/>
            <w:tcBorders>
              <w:top w:val="single" w:sz="4" w:space="0" w:color="auto"/>
              <w:left w:val="single" w:sz="4" w:space="0" w:color="auto"/>
              <w:bottom w:val="single" w:sz="4" w:space="0" w:color="auto"/>
              <w:right w:val="single" w:sz="4" w:space="0" w:color="auto"/>
            </w:tcBorders>
            <w:vAlign w:val="bottom"/>
            <w:hideMark/>
          </w:tcPr>
          <w:p w14:paraId="338B6543" w14:textId="77777777" w:rsidR="000016E2" w:rsidRPr="00BD22FE" w:rsidRDefault="00104CA8" w:rsidP="00941FBF">
            <w:pPr>
              <w:rPr>
                <w:color w:val="000000"/>
                <w:sz w:val="22"/>
                <w:szCs w:val="22"/>
                <w:lang w:val="pl-PL" w:eastAsia="en-GB"/>
              </w:rPr>
            </w:pPr>
            <w:r w:rsidRPr="00BD22FE">
              <w:rPr>
                <w:sz w:val="22"/>
                <w:szCs w:val="22"/>
                <w:lang w:val="pl-PL"/>
              </w:rPr>
              <w:t>częstość nieznana</w:t>
            </w:r>
          </w:p>
        </w:tc>
      </w:tr>
      <w:tr w:rsidR="0013513D" w:rsidRPr="00BD22FE" w14:paraId="5978A84C" w14:textId="77777777" w:rsidTr="0090751B">
        <w:tc>
          <w:tcPr>
            <w:tcW w:w="1084" w:type="pct"/>
            <w:tcBorders>
              <w:top w:val="single" w:sz="4" w:space="0" w:color="auto"/>
              <w:left w:val="single" w:sz="4" w:space="0" w:color="auto"/>
              <w:bottom w:val="single" w:sz="4" w:space="0" w:color="auto"/>
              <w:right w:val="single" w:sz="4" w:space="0" w:color="auto"/>
            </w:tcBorders>
            <w:hideMark/>
          </w:tcPr>
          <w:p w14:paraId="10F2E8EB" w14:textId="77777777" w:rsidR="000016E2" w:rsidRPr="00BD22FE" w:rsidRDefault="00104CA8" w:rsidP="00941FBF">
            <w:pPr>
              <w:rPr>
                <w:b/>
                <w:bCs/>
                <w:color w:val="000000"/>
                <w:sz w:val="22"/>
                <w:szCs w:val="22"/>
                <w:highlight w:val="yellow"/>
                <w:lang w:val="pl-PL" w:eastAsia="en-GB"/>
              </w:rPr>
            </w:pPr>
            <w:r w:rsidRPr="00BD22FE">
              <w:rPr>
                <w:b/>
                <w:bCs/>
                <w:sz w:val="22"/>
                <w:szCs w:val="22"/>
                <w:lang w:val="pl-PL"/>
              </w:rPr>
              <w:t>Zaburzenia ucha i błędnika</w:t>
            </w:r>
          </w:p>
        </w:tc>
        <w:tc>
          <w:tcPr>
            <w:tcW w:w="1226" w:type="pct"/>
            <w:tcBorders>
              <w:top w:val="single" w:sz="4" w:space="0" w:color="auto"/>
              <w:left w:val="single" w:sz="4" w:space="0" w:color="auto"/>
              <w:bottom w:val="single" w:sz="4" w:space="0" w:color="auto"/>
              <w:right w:val="single" w:sz="4" w:space="0" w:color="auto"/>
            </w:tcBorders>
            <w:vAlign w:val="bottom"/>
            <w:hideMark/>
          </w:tcPr>
          <w:p w14:paraId="51DE37DE"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Zawroty głowy pochodzenia błędnikowego</w:t>
            </w:r>
          </w:p>
        </w:tc>
        <w:tc>
          <w:tcPr>
            <w:tcW w:w="804" w:type="pct"/>
            <w:tcBorders>
              <w:top w:val="single" w:sz="4" w:space="0" w:color="auto"/>
              <w:left w:val="single" w:sz="4" w:space="0" w:color="auto"/>
              <w:bottom w:val="single" w:sz="4" w:space="0" w:color="auto"/>
              <w:right w:val="single" w:sz="4" w:space="0" w:color="auto"/>
            </w:tcBorders>
            <w:vAlign w:val="bottom"/>
            <w:hideMark/>
          </w:tcPr>
          <w:p w14:paraId="551217D7"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niezbyt często</w:t>
            </w:r>
          </w:p>
        </w:tc>
        <w:tc>
          <w:tcPr>
            <w:tcW w:w="788" w:type="pct"/>
            <w:tcBorders>
              <w:top w:val="single" w:sz="4" w:space="0" w:color="auto"/>
              <w:left w:val="single" w:sz="4" w:space="0" w:color="auto"/>
              <w:bottom w:val="single" w:sz="4" w:space="0" w:color="auto"/>
              <w:right w:val="single" w:sz="4" w:space="0" w:color="auto"/>
            </w:tcBorders>
            <w:vAlign w:val="bottom"/>
            <w:hideMark/>
          </w:tcPr>
          <w:p w14:paraId="322964EE"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niezbyt często</w:t>
            </w:r>
          </w:p>
        </w:tc>
        <w:tc>
          <w:tcPr>
            <w:tcW w:w="1098" w:type="pct"/>
            <w:tcBorders>
              <w:top w:val="single" w:sz="4" w:space="0" w:color="auto"/>
              <w:left w:val="single" w:sz="4" w:space="0" w:color="auto"/>
              <w:bottom w:val="single" w:sz="4" w:space="0" w:color="auto"/>
              <w:right w:val="single" w:sz="4" w:space="0" w:color="auto"/>
            </w:tcBorders>
            <w:vAlign w:val="bottom"/>
            <w:hideMark/>
          </w:tcPr>
          <w:p w14:paraId="7911BF6C" w14:textId="77777777" w:rsidR="000016E2" w:rsidRPr="00BD22FE" w:rsidRDefault="000016E2" w:rsidP="00941FBF">
            <w:pPr>
              <w:rPr>
                <w:color w:val="000000"/>
                <w:sz w:val="22"/>
                <w:szCs w:val="22"/>
                <w:lang w:val="pl-PL" w:eastAsia="en-GB"/>
              </w:rPr>
            </w:pPr>
          </w:p>
        </w:tc>
      </w:tr>
      <w:tr w:rsidR="0013513D" w:rsidRPr="00BD22FE" w14:paraId="47382D8D" w14:textId="77777777" w:rsidTr="0090751B">
        <w:tc>
          <w:tcPr>
            <w:tcW w:w="1084" w:type="pct"/>
            <w:vMerge w:val="restart"/>
            <w:tcBorders>
              <w:top w:val="single" w:sz="4" w:space="0" w:color="auto"/>
              <w:left w:val="single" w:sz="4" w:space="0" w:color="auto"/>
              <w:right w:val="single" w:sz="4" w:space="0" w:color="auto"/>
            </w:tcBorders>
            <w:hideMark/>
          </w:tcPr>
          <w:p w14:paraId="70A9E6C7" w14:textId="77777777" w:rsidR="000016E2" w:rsidRPr="00BD22FE" w:rsidRDefault="00104CA8" w:rsidP="00941FBF">
            <w:pPr>
              <w:rPr>
                <w:b/>
                <w:bCs/>
                <w:color w:val="000000"/>
                <w:sz w:val="22"/>
                <w:szCs w:val="22"/>
                <w:highlight w:val="yellow"/>
                <w:lang w:val="pl-PL" w:eastAsia="en-GB"/>
              </w:rPr>
            </w:pPr>
            <w:r w:rsidRPr="00BD22FE">
              <w:rPr>
                <w:b/>
                <w:bCs/>
                <w:sz w:val="22"/>
                <w:szCs w:val="22"/>
                <w:lang w:val="pl-PL"/>
              </w:rPr>
              <w:t>Zaburzenia serca</w:t>
            </w:r>
          </w:p>
        </w:tc>
        <w:tc>
          <w:tcPr>
            <w:tcW w:w="1226" w:type="pct"/>
            <w:tcBorders>
              <w:top w:val="single" w:sz="4" w:space="0" w:color="auto"/>
              <w:left w:val="single" w:sz="4" w:space="0" w:color="auto"/>
              <w:bottom w:val="single" w:sz="4" w:space="0" w:color="auto"/>
              <w:right w:val="single" w:sz="4" w:space="0" w:color="auto"/>
            </w:tcBorders>
            <w:vAlign w:val="bottom"/>
            <w:hideMark/>
          </w:tcPr>
          <w:p w14:paraId="41075987" w14:textId="77777777" w:rsidR="000016E2" w:rsidRPr="00BD22FE" w:rsidRDefault="00104CA8" w:rsidP="00941FBF">
            <w:pPr>
              <w:rPr>
                <w:color w:val="000000"/>
                <w:sz w:val="22"/>
                <w:szCs w:val="22"/>
                <w:lang w:val="pl-PL" w:eastAsia="en-GB"/>
              </w:rPr>
            </w:pPr>
            <w:r w:rsidRPr="00BD22FE">
              <w:rPr>
                <w:sz w:val="22"/>
                <w:szCs w:val="22"/>
                <w:lang w:val="pl-PL"/>
              </w:rPr>
              <w:t>Częstoskurcz</w:t>
            </w:r>
          </w:p>
        </w:tc>
        <w:tc>
          <w:tcPr>
            <w:tcW w:w="804" w:type="pct"/>
            <w:tcBorders>
              <w:top w:val="single" w:sz="4" w:space="0" w:color="auto"/>
              <w:left w:val="single" w:sz="4" w:space="0" w:color="auto"/>
              <w:bottom w:val="single" w:sz="4" w:space="0" w:color="auto"/>
              <w:right w:val="single" w:sz="4" w:space="0" w:color="auto"/>
            </w:tcBorders>
            <w:hideMark/>
          </w:tcPr>
          <w:p w14:paraId="520265FC"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niezbyt często</w:t>
            </w:r>
          </w:p>
        </w:tc>
        <w:tc>
          <w:tcPr>
            <w:tcW w:w="788" w:type="pct"/>
            <w:tcBorders>
              <w:top w:val="single" w:sz="4" w:space="0" w:color="auto"/>
              <w:left w:val="single" w:sz="4" w:space="0" w:color="auto"/>
              <w:bottom w:val="single" w:sz="4" w:space="0" w:color="auto"/>
              <w:right w:val="single" w:sz="4" w:space="0" w:color="auto"/>
            </w:tcBorders>
            <w:vAlign w:val="bottom"/>
            <w:hideMark/>
          </w:tcPr>
          <w:p w14:paraId="410F5B80"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rzadko</w:t>
            </w:r>
          </w:p>
        </w:tc>
        <w:tc>
          <w:tcPr>
            <w:tcW w:w="1098" w:type="pct"/>
            <w:tcBorders>
              <w:top w:val="single" w:sz="4" w:space="0" w:color="auto"/>
              <w:left w:val="single" w:sz="4" w:space="0" w:color="auto"/>
              <w:bottom w:val="single" w:sz="4" w:space="0" w:color="auto"/>
              <w:right w:val="single" w:sz="4" w:space="0" w:color="auto"/>
            </w:tcBorders>
            <w:vAlign w:val="bottom"/>
            <w:hideMark/>
          </w:tcPr>
          <w:p w14:paraId="05360702" w14:textId="77777777" w:rsidR="000016E2" w:rsidRPr="00BD22FE" w:rsidRDefault="000016E2" w:rsidP="00941FBF">
            <w:pPr>
              <w:rPr>
                <w:color w:val="000000"/>
                <w:sz w:val="22"/>
                <w:szCs w:val="22"/>
                <w:lang w:val="pl-PL" w:eastAsia="en-GB"/>
              </w:rPr>
            </w:pPr>
          </w:p>
        </w:tc>
      </w:tr>
      <w:tr w:rsidR="0013513D" w:rsidRPr="00BD22FE" w14:paraId="67964378" w14:textId="77777777" w:rsidTr="0090751B">
        <w:tc>
          <w:tcPr>
            <w:tcW w:w="1084" w:type="pct"/>
            <w:vMerge/>
            <w:tcBorders>
              <w:left w:val="single" w:sz="4" w:space="0" w:color="auto"/>
              <w:right w:val="single" w:sz="4" w:space="0" w:color="auto"/>
            </w:tcBorders>
            <w:hideMark/>
          </w:tcPr>
          <w:p w14:paraId="117AEF05" w14:textId="77777777" w:rsidR="000016E2" w:rsidRPr="00BD22FE" w:rsidRDefault="000016E2" w:rsidP="00941FBF">
            <w:pPr>
              <w:rPr>
                <w:sz w:val="22"/>
                <w:szCs w:val="22"/>
                <w:highlight w:val="yellow"/>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34305C19" w14:textId="77777777" w:rsidR="000016E2" w:rsidRPr="00BD22FE" w:rsidRDefault="00104CA8" w:rsidP="00941FBF">
            <w:pPr>
              <w:rPr>
                <w:color w:val="000000"/>
                <w:sz w:val="22"/>
                <w:szCs w:val="22"/>
                <w:lang w:val="pl-PL" w:eastAsia="en-GB"/>
              </w:rPr>
            </w:pPr>
            <w:r w:rsidRPr="00BD22FE">
              <w:rPr>
                <w:sz w:val="22"/>
                <w:szCs w:val="22"/>
                <w:lang w:val="pl-PL"/>
              </w:rPr>
              <w:t>Arytmie</w:t>
            </w:r>
          </w:p>
        </w:tc>
        <w:tc>
          <w:tcPr>
            <w:tcW w:w="804" w:type="pct"/>
            <w:tcBorders>
              <w:top w:val="single" w:sz="4" w:space="0" w:color="auto"/>
              <w:left w:val="single" w:sz="4" w:space="0" w:color="auto"/>
              <w:bottom w:val="single" w:sz="4" w:space="0" w:color="auto"/>
              <w:right w:val="single" w:sz="4" w:space="0" w:color="auto"/>
            </w:tcBorders>
            <w:hideMark/>
          </w:tcPr>
          <w:p w14:paraId="3E49F749"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niezbyt często</w:t>
            </w:r>
          </w:p>
        </w:tc>
        <w:tc>
          <w:tcPr>
            <w:tcW w:w="788" w:type="pct"/>
            <w:tcBorders>
              <w:top w:val="single" w:sz="4" w:space="0" w:color="auto"/>
              <w:left w:val="single" w:sz="4" w:space="0" w:color="auto"/>
              <w:bottom w:val="single" w:sz="4" w:space="0" w:color="auto"/>
              <w:right w:val="single" w:sz="4" w:space="0" w:color="auto"/>
            </w:tcBorders>
            <w:vAlign w:val="bottom"/>
            <w:hideMark/>
          </w:tcPr>
          <w:p w14:paraId="36A07AF2" w14:textId="77777777" w:rsidR="000016E2" w:rsidRPr="00BD22FE" w:rsidRDefault="000016E2" w:rsidP="00941FBF">
            <w:pPr>
              <w:rPr>
                <w:color w:val="000000"/>
                <w:sz w:val="22"/>
                <w:szCs w:val="22"/>
                <w:lang w:val="pl-PL" w:eastAsia="en-GB"/>
              </w:rPr>
            </w:pPr>
          </w:p>
        </w:tc>
        <w:tc>
          <w:tcPr>
            <w:tcW w:w="1098" w:type="pct"/>
            <w:tcBorders>
              <w:top w:val="single" w:sz="4" w:space="0" w:color="auto"/>
              <w:left w:val="single" w:sz="4" w:space="0" w:color="auto"/>
              <w:bottom w:val="single" w:sz="4" w:space="0" w:color="auto"/>
              <w:right w:val="single" w:sz="4" w:space="0" w:color="auto"/>
            </w:tcBorders>
            <w:vAlign w:val="bottom"/>
            <w:hideMark/>
          </w:tcPr>
          <w:p w14:paraId="45995E12"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rzadko</w:t>
            </w:r>
          </w:p>
        </w:tc>
      </w:tr>
      <w:tr w:rsidR="0013513D" w:rsidRPr="00BD22FE" w14:paraId="3B028B29" w14:textId="77777777" w:rsidTr="0090751B">
        <w:tc>
          <w:tcPr>
            <w:tcW w:w="1084" w:type="pct"/>
            <w:vMerge/>
            <w:tcBorders>
              <w:left w:val="single" w:sz="4" w:space="0" w:color="auto"/>
              <w:bottom w:val="single" w:sz="4" w:space="0" w:color="auto"/>
              <w:right w:val="single" w:sz="4" w:space="0" w:color="auto"/>
            </w:tcBorders>
            <w:hideMark/>
          </w:tcPr>
          <w:p w14:paraId="3FE42A36" w14:textId="77777777" w:rsidR="000016E2" w:rsidRPr="00BD22FE" w:rsidRDefault="000016E2" w:rsidP="00941FBF">
            <w:pPr>
              <w:rPr>
                <w:color w:val="000000"/>
                <w:sz w:val="22"/>
                <w:szCs w:val="22"/>
                <w:highlight w:val="yellow"/>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2F344285"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Bradykardia</w:t>
            </w:r>
          </w:p>
        </w:tc>
        <w:tc>
          <w:tcPr>
            <w:tcW w:w="804" w:type="pct"/>
            <w:tcBorders>
              <w:top w:val="single" w:sz="4" w:space="0" w:color="auto"/>
              <w:left w:val="single" w:sz="4" w:space="0" w:color="auto"/>
              <w:bottom w:val="single" w:sz="4" w:space="0" w:color="auto"/>
              <w:right w:val="single" w:sz="4" w:space="0" w:color="auto"/>
            </w:tcBorders>
            <w:vAlign w:val="bottom"/>
            <w:hideMark/>
          </w:tcPr>
          <w:p w14:paraId="02E8A72F" w14:textId="77777777" w:rsidR="000016E2" w:rsidRPr="00BD22FE" w:rsidRDefault="000016E2" w:rsidP="00941FBF">
            <w:pPr>
              <w:rPr>
                <w:color w:val="000000"/>
                <w:sz w:val="22"/>
                <w:szCs w:val="22"/>
                <w:lang w:val="pl-PL" w:eastAsia="en-GB"/>
              </w:rPr>
            </w:pPr>
          </w:p>
        </w:tc>
        <w:tc>
          <w:tcPr>
            <w:tcW w:w="788" w:type="pct"/>
            <w:tcBorders>
              <w:top w:val="single" w:sz="4" w:space="0" w:color="auto"/>
              <w:left w:val="single" w:sz="4" w:space="0" w:color="auto"/>
              <w:bottom w:val="single" w:sz="4" w:space="0" w:color="auto"/>
              <w:right w:val="single" w:sz="4" w:space="0" w:color="auto"/>
            </w:tcBorders>
            <w:hideMark/>
          </w:tcPr>
          <w:p w14:paraId="326278C3"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niezbyt często</w:t>
            </w:r>
          </w:p>
        </w:tc>
        <w:tc>
          <w:tcPr>
            <w:tcW w:w="1098" w:type="pct"/>
            <w:tcBorders>
              <w:top w:val="single" w:sz="4" w:space="0" w:color="auto"/>
              <w:left w:val="single" w:sz="4" w:space="0" w:color="auto"/>
              <w:bottom w:val="single" w:sz="4" w:space="0" w:color="auto"/>
              <w:right w:val="single" w:sz="4" w:space="0" w:color="auto"/>
            </w:tcBorders>
            <w:vAlign w:val="bottom"/>
            <w:hideMark/>
          </w:tcPr>
          <w:p w14:paraId="06BF9DA6" w14:textId="77777777" w:rsidR="000016E2" w:rsidRPr="00BD22FE" w:rsidRDefault="000016E2" w:rsidP="00941FBF">
            <w:pPr>
              <w:rPr>
                <w:color w:val="000000"/>
                <w:sz w:val="22"/>
                <w:szCs w:val="22"/>
                <w:lang w:val="pl-PL" w:eastAsia="en-GB"/>
              </w:rPr>
            </w:pPr>
          </w:p>
        </w:tc>
      </w:tr>
      <w:tr w:rsidR="0013513D" w:rsidRPr="00BD22FE" w14:paraId="01392D6F" w14:textId="77777777" w:rsidTr="0090751B">
        <w:tc>
          <w:tcPr>
            <w:tcW w:w="1084" w:type="pct"/>
            <w:vMerge w:val="restart"/>
            <w:tcBorders>
              <w:top w:val="single" w:sz="4" w:space="0" w:color="auto"/>
              <w:left w:val="single" w:sz="4" w:space="0" w:color="auto"/>
              <w:right w:val="single" w:sz="4" w:space="0" w:color="auto"/>
            </w:tcBorders>
            <w:hideMark/>
          </w:tcPr>
          <w:p w14:paraId="70BC84CF" w14:textId="77777777" w:rsidR="000016E2" w:rsidRPr="00BD22FE" w:rsidRDefault="00104CA8" w:rsidP="00941FBF">
            <w:pPr>
              <w:rPr>
                <w:b/>
                <w:bCs/>
                <w:color w:val="000000"/>
                <w:sz w:val="22"/>
                <w:szCs w:val="22"/>
                <w:highlight w:val="yellow"/>
                <w:lang w:val="pl-PL" w:eastAsia="en-GB"/>
              </w:rPr>
            </w:pPr>
            <w:r w:rsidRPr="00BD22FE">
              <w:rPr>
                <w:b/>
                <w:bCs/>
                <w:sz w:val="22"/>
                <w:szCs w:val="22"/>
                <w:lang w:val="pl-PL"/>
              </w:rPr>
              <w:t>Zaburzenia naczyniowe</w:t>
            </w:r>
          </w:p>
        </w:tc>
        <w:tc>
          <w:tcPr>
            <w:tcW w:w="1226" w:type="pct"/>
            <w:tcBorders>
              <w:top w:val="single" w:sz="4" w:space="0" w:color="auto"/>
              <w:left w:val="single" w:sz="4" w:space="0" w:color="auto"/>
              <w:bottom w:val="single" w:sz="4" w:space="0" w:color="auto"/>
              <w:right w:val="single" w:sz="4" w:space="0" w:color="auto"/>
            </w:tcBorders>
            <w:vAlign w:val="bottom"/>
            <w:hideMark/>
          </w:tcPr>
          <w:p w14:paraId="0B3FFA28"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Niedociśnienie tętnicze</w:t>
            </w:r>
          </w:p>
        </w:tc>
        <w:tc>
          <w:tcPr>
            <w:tcW w:w="804" w:type="pct"/>
            <w:tcBorders>
              <w:top w:val="single" w:sz="4" w:space="0" w:color="auto"/>
              <w:left w:val="single" w:sz="4" w:space="0" w:color="auto"/>
              <w:bottom w:val="single" w:sz="4" w:space="0" w:color="auto"/>
              <w:right w:val="single" w:sz="4" w:space="0" w:color="auto"/>
            </w:tcBorders>
            <w:hideMark/>
          </w:tcPr>
          <w:p w14:paraId="306C8282"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niezbyt często</w:t>
            </w:r>
          </w:p>
        </w:tc>
        <w:tc>
          <w:tcPr>
            <w:tcW w:w="788" w:type="pct"/>
            <w:tcBorders>
              <w:top w:val="single" w:sz="4" w:space="0" w:color="auto"/>
              <w:left w:val="single" w:sz="4" w:space="0" w:color="auto"/>
              <w:bottom w:val="single" w:sz="4" w:space="0" w:color="auto"/>
              <w:right w:val="single" w:sz="4" w:space="0" w:color="auto"/>
            </w:tcBorders>
            <w:hideMark/>
          </w:tcPr>
          <w:p w14:paraId="4DD794FC"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niezbyt często</w:t>
            </w:r>
          </w:p>
        </w:tc>
        <w:tc>
          <w:tcPr>
            <w:tcW w:w="1098" w:type="pct"/>
            <w:tcBorders>
              <w:top w:val="single" w:sz="4" w:space="0" w:color="auto"/>
              <w:left w:val="single" w:sz="4" w:space="0" w:color="auto"/>
              <w:bottom w:val="single" w:sz="4" w:space="0" w:color="auto"/>
              <w:right w:val="single" w:sz="4" w:space="0" w:color="auto"/>
            </w:tcBorders>
            <w:vAlign w:val="bottom"/>
            <w:hideMark/>
          </w:tcPr>
          <w:p w14:paraId="627B66A1" w14:textId="77777777" w:rsidR="000016E2" w:rsidRPr="00BD22FE" w:rsidRDefault="000016E2" w:rsidP="00941FBF">
            <w:pPr>
              <w:rPr>
                <w:color w:val="000000"/>
                <w:sz w:val="22"/>
                <w:szCs w:val="22"/>
                <w:lang w:val="pl-PL" w:eastAsia="en-GB"/>
              </w:rPr>
            </w:pPr>
          </w:p>
        </w:tc>
      </w:tr>
      <w:tr w:rsidR="0013513D" w:rsidRPr="00BD22FE" w14:paraId="0C9B1066" w14:textId="77777777" w:rsidTr="0090751B">
        <w:tc>
          <w:tcPr>
            <w:tcW w:w="1084" w:type="pct"/>
            <w:vMerge/>
            <w:tcBorders>
              <w:left w:val="single" w:sz="4" w:space="0" w:color="auto"/>
              <w:right w:val="single" w:sz="4" w:space="0" w:color="auto"/>
            </w:tcBorders>
            <w:hideMark/>
          </w:tcPr>
          <w:p w14:paraId="7EB80EF2" w14:textId="77777777" w:rsidR="000016E2" w:rsidRPr="00BD22FE" w:rsidRDefault="000016E2" w:rsidP="00941FBF">
            <w:pPr>
              <w:rPr>
                <w:sz w:val="22"/>
                <w:szCs w:val="22"/>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762268B9"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Niedociśnienie ortostatyczne</w:t>
            </w:r>
          </w:p>
        </w:tc>
        <w:tc>
          <w:tcPr>
            <w:tcW w:w="804" w:type="pct"/>
            <w:tcBorders>
              <w:top w:val="single" w:sz="4" w:space="0" w:color="auto"/>
              <w:left w:val="single" w:sz="4" w:space="0" w:color="auto"/>
              <w:bottom w:val="single" w:sz="4" w:space="0" w:color="auto"/>
              <w:right w:val="single" w:sz="4" w:space="0" w:color="auto"/>
            </w:tcBorders>
            <w:vAlign w:val="bottom"/>
            <w:hideMark/>
          </w:tcPr>
          <w:p w14:paraId="21188981"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niezbyt często</w:t>
            </w:r>
          </w:p>
        </w:tc>
        <w:tc>
          <w:tcPr>
            <w:tcW w:w="788" w:type="pct"/>
            <w:tcBorders>
              <w:top w:val="single" w:sz="4" w:space="0" w:color="auto"/>
              <w:left w:val="single" w:sz="4" w:space="0" w:color="auto"/>
              <w:bottom w:val="single" w:sz="4" w:space="0" w:color="auto"/>
              <w:right w:val="single" w:sz="4" w:space="0" w:color="auto"/>
            </w:tcBorders>
            <w:vAlign w:val="bottom"/>
            <w:hideMark/>
          </w:tcPr>
          <w:p w14:paraId="455FDCED"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niezbyt często</w:t>
            </w:r>
          </w:p>
        </w:tc>
        <w:tc>
          <w:tcPr>
            <w:tcW w:w="1098" w:type="pct"/>
            <w:tcBorders>
              <w:top w:val="single" w:sz="4" w:space="0" w:color="auto"/>
              <w:left w:val="single" w:sz="4" w:space="0" w:color="auto"/>
              <w:bottom w:val="single" w:sz="4" w:space="0" w:color="auto"/>
              <w:right w:val="single" w:sz="4" w:space="0" w:color="auto"/>
            </w:tcBorders>
            <w:vAlign w:val="bottom"/>
            <w:hideMark/>
          </w:tcPr>
          <w:p w14:paraId="09AB3962"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często</w:t>
            </w:r>
          </w:p>
        </w:tc>
      </w:tr>
      <w:tr w:rsidR="0013513D" w:rsidRPr="00BD22FE" w14:paraId="3056DB06" w14:textId="77777777" w:rsidTr="0090751B">
        <w:tc>
          <w:tcPr>
            <w:tcW w:w="1084" w:type="pct"/>
            <w:vMerge/>
            <w:tcBorders>
              <w:left w:val="single" w:sz="4" w:space="0" w:color="auto"/>
              <w:bottom w:val="single" w:sz="4" w:space="0" w:color="auto"/>
              <w:right w:val="single" w:sz="4" w:space="0" w:color="auto"/>
            </w:tcBorders>
            <w:hideMark/>
          </w:tcPr>
          <w:p w14:paraId="0A2E607A" w14:textId="77777777" w:rsidR="000016E2" w:rsidRPr="00BD22FE" w:rsidRDefault="000016E2" w:rsidP="00941FBF">
            <w:pPr>
              <w:rPr>
                <w:color w:val="000000"/>
                <w:sz w:val="22"/>
                <w:szCs w:val="22"/>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3037F07A"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Martwicze zapalenie naczyń</w:t>
            </w:r>
          </w:p>
        </w:tc>
        <w:tc>
          <w:tcPr>
            <w:tcW w:w="804" w:type="pct"/>
            <w:tcBorders>
              <w:top w:val="single" w:sz="4" w:space="0" w:color="auto"/>
              <w:left w:val="single" w:sz="4" w:space="0" w:color="auto"/>
              <w:bottom w:val="single" w:sz="4" w:space="0" w:color="auto"/>
              <w:right w:val="single" w:sz="4" w:space="0" w:color="auto"/>
            </w:tcBorders>
            <w:vAlign w:val="bottom"/>
            <w:hideMark/>
          </w:tcPr>
          <w:p w14:paraId="6D114F16" w14:textId="77777777" w:rsidR="000016E2" w:rsidRPr="00BD22FE" w:rsidRDefault="000016E2" w:rsidP="00941FBF">
            <w:pPr>
              <w:rPr>
                <w:color w:val="000000"/>
                <w:sz w:val="22"/>
                <w:szCs w:val="22"/>
                <w:lang w:val="pl-PL" w:eastAsia="en-GB"/>
              </w:rPr>
            </w:pPr>
          </w:p>
        </w:tc>
        <w:tc>
          <w:tcPr>
            <w:tcW w:w="788" w:type="pct"/>
            <w:tcBorders>
              <w:top w:val="single" w:sz="4" w:space="0" w:color="auto"/>
              <w:left w:val="single" w:sz="4" w:space="0" w:color="auto"/>
              <w:bottom w:val="single" w:sz="4" w:space="0" w:color="auto"/>
              <w:right w:val="single" w:sz="4" w:space="0" w:color="auto"/>
            </w:tcBorders>
            <w:vAlign w:val="bottom"/>
            <w:hideMark/>
          </w:tcPr>
          <w:p w14:paraId="4C13E5DE" w14:textId="77777777" w:rsidR="000016E2" w:rsidRPr="00BD22FE" w:rsidRDefault="000016E2" w:rsidP="00941FBF">
            <w:pPr>
              <w:rPr>
                <w:sz w:val="22"/>
                <w:szCs w:val="22"/>
                <w:lang w:val="pl-PL" w:eastAsia="en-GB"/>
              </w:rPr>
            </w:pPr>
          </w:p>
        </w:tc>
        <w:tc>
          <w:tcPr>
            <w:tcW w:w="1098" w:type="pct"/>
            <w:tcBorders>
              <w:top w:val="single" w:sz="4" w:space="0" w:color="auto"/>
              <w:left w:val="single" w:sz="4" w:space="0" w:color="auto"/>
              <w:bottom w:val="single" w:sz="4" w:space="0" w:color="auto"/>
              <w:right w:val="single" w:sz="4" w:space="0" w:color="auto"/>
            </w:tcBorders>
            <w:vAlign w:val="bottom"/>
            <w:hideMark/>
          </w:tcPr>
          <w:p w14:paraId="32665EA0"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bardzo rzadko</w:t>
            </w:r>
          </w:p>
        </w:tc>
      </w:tr>
      <w:tr w:rsidR="0013513D" w:rsidRPr="00BD22FE" w14:paraId="17AD4763" w14:textId="77777777" w:rsidTr="0090751B">
        <w:tc>
          <w:tcPr>
            <w:tcW w:w="1084" w:type="pct"/>
            <w:vMerge w:val="restart"/>
            <w:tcBorders>
              <w:top w:val="single" w:sz="4" w:space="0" w:color="auto"/>
              <w:left w:val="single" w:sz="4" w:space="0" w:color="auto"/>
              <w:right w:val="single" w:sz="4" w:space="0" w:color="auto"/>
            </w:tcBorders>
            <w:hideMark/>
          </w:tcPr>
          <w:p w14:paraId="33AACCEF" w14:textId="77777777" w:rsidR="000016E2" w:rsidRPr="00BD22FE" w:rsidRDefault="00104CA8" w:rsidP="00941FBF">
            <w:pPr>
              <w:rPr>
                <w:b/>
                <w:bCs/>
                <w:color w:val="000000"/>
                <w:sz w:val="22"/>
                <w:szCs w:val="22"/>
                <w:highlight w:val="yellow"/>
                <w:lang w:val="pl-PL" w:eastAsia="en-GB"/>
              </w:rPr>
            </w:pPr>
            <w:r w:rsidRPr="00BD22FE">
              <w:rPr>
                <w:b/>
                <w:bCs/>
                <w:sz w:val="22"/>
                <w:szCs w:val="22"/>
                <w:lang w:val="pl-PL"/>
              </w:rPr>
              <w:t>Zaburzenia układu oddechowego, klatki piersiowej i śródpiersia</w:t>
            </w:r>
          </w:p>
        </w:tc>
        <w:tc>
          <w:tcPr>
            <w:tcW w:w="1226" w:type="pct"/>
            <w:tcBorders>
              <w:top w:val="single" w:sz="4" w:space="0" w:color="auto"/>
              <w:left w:val="single" w:sz="4" w:space="0" w:color="auto"/>
              <w:bottom w:val="single" w:sz="4" w:space="0" w:color="auto"/>
              <w:right w:val="single" w:sz="4" w:space="0" w:color="auto"/>
            </w:tcBorders>
            <w:vAlign w:val="bottom"/>
            <w:hideMark/>
          </w:tcPr>
          <w:p w14:paraId="3A84BA00" w14:textId="77777777" w:rsidR="000016E2" w:rsidRPr="00BD22FE" w:rsidRDefault="00104CA8" w:rsidP="00941FBF">
            <w:pPr>
              <w:rPr>
                <w:color w:val="000000"/>
                <w:sz w:val="22"/>
                <w:szCs w:val="22"/>
                <w:lang w:val="pl-PL" w:eastAsia="en-GB"/>
              </w:rPr>
            </w:pPr>
            <w:r w:rsidRPr="00BD22FE">
              <w:rPr>
                <w:sz w:val="22"/>
                <w:szCs w:val="22"/>
                <w:lang w:val="pl-PL"/>
              </w:rPr>
              <w:t>Duszność</w:t>
            </w:r>
          </w:p>
        </w:tc>
        <w:tc>
          <w:tcPr>
            <w:tcW w:w="804" w:type="pct"/>
            <w:tcBorders>
              <w:top w:val="single" w:sz="4" w:space="0" w:color="auto"/>
              <w:left w:val="single" w:sz="4" w:space="0" w:color="auto"/>
              <w:bottom w:val="single" w:sz="4" w:space="0" w:color="auto"/>
              <w:right w:val="single" w:sz="4" w:space="0" w:color="auto"/>
            </w:tcBorders>
            <w:hideMark/>
          </w:tcPr>
          <w:p w14:paraId="10E06F4A"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niezbyt często</w:t>
            </w:r>
          </w:p>
        </w:tc>
        <w:tc>
          <w:tcPr>
            <w:tcW w:w="788" w:type="pct"/>
            <w:tcBorders>
              <w:top w:val="single" w:sz="4" w:space="0" w:color="auto"/>
              <w:left w:val="single" w:sz="4" w:space="0" w:color="auto"/>
              <w:bottom w:val="single" w:sz="4" w:space="0" w:color="auto"/>
              <w:right w:val="single" w:sz="4" w:space="0" w:color="auto"/>
            </w:tcBorders>
            <w:hideMark/>
          </w:tcPr>
          <w:p w14:paraId="0D1A22D5"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niezbyt często</w:t>
            </w:r>
          </w:p>
        </w:tc>
        <w:tc>
          <w:tcPr>
            <w:tcW w:w="1098" w:type="pct"/>
            <w:tcBorders>
              <w:top w:val="single" w:sz="4" w:space="0" w:color="auto"/>
              <w:left w:val="single" w:sz="4" w:space="0" w:color="auto"/>
              <w:bottom w:val="single" w:sz="4" w:space="0" w:color="auto"/>
              <w:right w:val="single" w:sz="4" w:space="0" w:color="auto"/>
            </w:tcBorders>
            <w:vAlign w:val="bottom"/>
            <w:hideMark/>
          </w:tcPr>
          <w:p w14:paraId="3EB6FAA7" w14:textId="77777777" w:rsidR="000016E2" w:rsidRPr="00BD22FE" w:rsidRDefault="000016E2" w:rsidP="00941FBF">
            <w:pPr>
              <w:rPr>
                <w:color w:val="000000"/>
                <w:sz w:val="22"/>
                <w:szCs w:val="22"/>
                <w:lang w:val="pl-PL" w:eastAsia="en-GB"/>
              </w:rPr>
            </w:pPr>
          </w:p>
        </w:tc>
      </w:tr>
      <w:tr w:rsidR="0013513D" w:rsidRPr="00BD22FE" w14:paraId="41D0CBEF" w14:textId="77777777" w:rsidTr="0090751B">
        <w:tc>
          <w:tcPr>
            <w:tcW w:w="1084" w:type="pct"/>
            <w:vMerge/>
            <w:tcBorders>
              <w:left w:val="single" w:sz="4" w:space="0" w:color="auto"/>
              <w:right w:val="single" w:sz="4" w:space="0" w:color="auto"/>
            </w:tcBorders>
            <w:hideMark/>
          </w:tcPr>
          <w:p w14:paraId="72368D32" w14:textId="77777777" w:rsidR="000016E2" w:rsidRPr="00BD22FE" w:rsidRDefault="000016E2" w:rsidP="00941FBF">
            <w:pPr>
              <w:rPr>
                <w:sz w:val="22"/>
                <w:szCs w:val="22"/>
                <w:highlight w:val="yellow"/>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31D3B4BF" w14:textId="77777777" w:rsidR="000016E2" w:rsidRPr="00BD22FE" w:rsidRDefault="00104CA8" w:rsidP="00941FBF">
            <w:pPr>
              <w:rPr>
                <w:color w:val="000000"/>
                <w:sz w:val="22"/>
                <w:szCs w:val="22"/>
                <w:lang w:val="pl-PL" w:eastAsia="en-GB"/>
              </w:rPr>
            </w:pPr>
            <w:r w:rsidRPr="00BD22FE">
              <w:rPr>
                <w:sz w:val="22"/>
                <w:szCs w:val="22"/>
                <w:lang w:val="pl-PL"/>
              </w:rPr>
              <w:t>Zespół zaburzeń oddechowych</w:t>
            </w:r>
          </w:p>
        </w:tc>
        <w:tc>
          <w:tcPr>
            <w:tcW w:w="804" w:type="pct"/>
            <w:tcBorders>
              <w:top w:val="single" w:sz="4" w:space="0" w:color="auto"/>
              <w:left w:val="single" w:sz="4" w:space="0" w:color="auto"/>
              <w:bottom w:val="single" w:sz="4" w:space="0" w:color="auto"/>
              <w:right w:val="single" w:sz="4" w:space="0" w:color="auto"/>
            </w:tcBorders>
            <w:vAlign w:val="bottom"/>
            <w:hideMark/>
          </w:tcPr>
          <w:p w14:paraId="21C9C759"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rzadko</w:t>
            </w:r>
          </w:p>
        </w:tc>
        <w:tc>
          <w:tcPr>
            <w:tcW w:w="788" w:type="pct"/>
            <w:tcBorders>
              <w:top w:val="single" w:sz="4" w:space="0" w:color="auto"/>
              <w:left w:val="single" w:sz="4" w:space="0" w:color="auto"/>
              <w:bottom w:val="single" w:sz="4" w:space="0" w:color="auto"/>
              <w:right w:val="single" w:sz="4" w:space="0" w:color="auto"/>
            </w:tcBorders>
            <w:vAlign w:val="bottom"/>
            <w:hideMark/>
          </w:tcPr>
          <w:p w14:paraId="54F17181" w14:textId="77777777" w:rsidR="000016E2" w:rsidRPr="00BD22FE" w:rsidRDefault="000016E2" w:rsidP="00941FBF">
            <w:pPr>
              <w:rPr>
                <w:color w:val="000000"/>
                <w:sz w:val="22"/>
                <w:szCs w:val="22"/>
                <w:lang w:val="pl-PL" w:eastAsia="en-GB"/>
              </w:rPr>
            </w:pPr>
          </w:p>
        </w:tc>
        <w:tc>
          <w:tcPr>
            <w:tcW w:w="1098" w:type="pct"/>
            <w:tcBorders>
              <w:top w:val="single" w:sz="4" w:space="0" w:color="auto"/>
              <w:left w:val="single" w:sz="4" w:space="0" w:color="auto"/>
              <w:bottom w:val="single" w:sz="4" w:space="0" w:color="auto"/>
              <w:right w:val="single" w:sz="4" w:space="0" w:color="auto"/>
            </w:tcBorders>
            <w:vAlign w:val="bottom"/>
            <w:hideMark/>
          </w:tcPr>
          <w:p w14:paraId="4D9C4957"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bardzo rzadko</w:t>
            </w:r>
          </w:p>
        </w:tc>
      </w:tr>
      <w:tr w:rsidR="0013513D" w:rsidRPr="00BD22FE" w14:paraId="38F7DC59" w14:textId="77777777" w:rsidTr="0090751B">
        <w:tc>
          <w:tcPr>
            <w:tcW w:w="1084" w:type="pct"/>
            <w:vMerge/>
            <w:tcBorders>
              <w:left w:val="single" w:sz="4" w:space="0" w:color="auto"/>
              <w:right w:val="single" w:sz="4" w:space="0" w:color="auto"/>
            </w:tcBorders>
          </w:tcPr>
          <w:p w14:paraId="12EE994E" w14:textId="77777777" w:rsidR="000016E2" w:rsidRPr="00BD22FE" w:rsidRDefault="000016E2" w:rsidP="00941FBF">
            <w:pPr>
              <w:rPr>
                <w:sz w:val="22"/>
                <w:szCs w:val="22"/>
                <w:highlight w:val="yellow"/>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tcPr>
          <w:p w14:paraId="667C0B18" w14:textId="77777777" w:rsidR="000016E2" w:rsidRPr="00BD22FE" w:rsidRDefault="00104CA8" w:rsidP="00941FBF">
            <w:pPr>
              <w:rPr>
                <w:color w:val="000000"/>
                <w:sz w:val="22"/>
                <w:szCs w:val="22"/>
                <w:lang w:val="pl-PL" w:eastAsia="en-GB"/>
              </w:rPr>
            </w:pPr>
            <w:r w:rsidRPr="00BD22FE">
              <w:rPr>
                <w:sz w:val="22"/>
                <w:szCs w:val="22"/>
                <w:lang w:val="pl-PL"/>
              </w:rPr>
              <w:t>Zapalenie płuc</w:t>
            </w:r>
          </w:p>
        </w:tc>
        <w:tc>
          <w:tcPr>
            <w:tcW w:w="804" w:type="pct"/>
            <w:tcBorders>
              <w:top w:val="single" w:sz="4" w:space="0" w:color="auto"/>
              <w:left w:val="single" w:sz="4" w:space="0" w:color="auto"/>
              <w:bottom w:val="single" w:sz="4" w:space="0" w:color="auto"/>
              <w:right w:val="single" w:sz="4" w:space="0" w:color="auto"/>
            </w:tcBorders>
          </w:tcPr>
          <w:p w14:paraId="3FC275AE"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rzadko</w:t>
            </w:r>
          </w:p>
        </w:tc>
        <w:tc>
          <w:tcPr>
            <w:tcW w:w="788" w:type="pct"/>
            <w:tcBorders>
              <w:top w:val="single" w:sz="4" w:space="0" w:color="auto"/>
              <w:left w:val="single" w:sz="4" w:space="0" w:color="auto"/>
              <w:bottom w:val="single" w:sz="4" w:space="0" w:color="auto"/>
              <w:right w:val="single" w:sz="4" w:space="0" w:color="auto"/>
            </w:tcBorders>
            <w:vAlign w:val="bottom"/>
          </w:tcPr>
          <w:p w14:paraId="22296583" w14:textId="77777777" w:rsidR="000016E2" w:rsidRPr="00BD22FE" w:rsidRDefault="000016E2" w:rsidP="00941FBF">
            <w:pPr>
              <w:rPr>
                <w:color w:val="000000"/>
                <w:sz w:val="22"/>
                <w:szCs w:val="22"/>
                <w:highlight w:val="yellow"/>
                <w:lang w:val="pl-PL" w:eastAsia="en-GB"/>
              </w:rPr>
            </w:pPr>
          </w:p>
        </w:tc>
        <w:tc>
          <w:tcPr>
            <w:tcW w:w="1098" w:type="pct"/>
            <w:tcBorders>
              <w:top w:val="single" w:sz="4" w:space="0" w:color="auto"/>
              <w:left w:val="single" w:sz="4" w:space="0" w:color="auto"/>
              <w:bottom w:val="single" w:sz="4" w:space="0" w:color="auto"/>
              <w:right w:val="single" w:sz="4" w:space="0" w:color="auto"/>
            </w:tcBorders>
          </w:tcPr>
          <w:p w14:paraId="29280924" w14:textId="77777777" w:rsidR="000016E2" w:rsidRPr="00BD22FE" w:rsidRDefault="00104CA8" w:rsidP="00941FBF">
            <w:pPr>
              <w:rPr>
                <w:color w:val="000000"/>
                <w:sz w:val="22"/>
                <w:szCs w:val="22"/>
                <w:highlight w:val="yellow"/>
                <w:lang w:val="pl-PL" w:eastAsia="en-GB"/>
              </w:rPr>
            </w:pPr>
            <w:r w:rsidRPr="00BD22FE">
              <w:rPr>
                <w:color w:val="000000"/>
                <w:sz w:val="22"/>
                <w:szCs w:val="22"/>
                <w:lang w:val="pl-PL" w:eastAsia="en-GB"/>
              </w:rPr>
              <w:t>bardzo rzadko</w:t>
            </w:r>
          </w:p>
        </w:tc>
      </w:tr>
      <w:tr w:rsidR="0013513D" w:rsidRPr="00BD22FE" w14:paraId="606BB5E0" w14:textId="77777777" w:rsidTr="0090751B">
        <w:tc>
          <w:tcPr>
            <w:tcW w:w="1084" w:type="pct"/>
            <w:vMerge/>
            <w:tcBorders>
              <w:left w:val="single" w:sz="4" w:space="0" w:color="auto"/>
              <w:right w:val="single" w:sz="4" w:space="0" w:color="auto"/>
            </w:tcBorders>
          </w:tcPr>
          <w:p w14:paraId="37B1D2BD" w14:textId="77777777" w:rsidR="000016E2" w:rsidRPr="00BD22FE" w:rsidRDefault="000016E2" w:rsidP="00941FBF">
            <w:pPr>
              <w:rPr>
                <w:sz w:val="22"/>
                <w:szCs w:val="22"/>
                <w:highlight w:val="yellow"/>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tcPr>
          <w:p w14:paraId="3BEE7A65" w14:textId="77777777" w:rsidR="000016E2" w:rsidRPr="00BD22FE" w:rsidRDefault="00104CA8" w:rsidP="00941FBF">
            <w:pPr>
              <w:rPr>
                <w:color w:val="000000"/>
                <w:sz w:val="22"/>
                <w:szCs w:val="22"/>
                <w:lang w:val="pl-PL" w:eastAsia="en-GB"/>
              </w:rPr>
            </w:pPr>
            <w:r w:rsidRPr="00BD22FE">
              <w:rPr>
                <w:sz w:val="22"/>
                <w:szCs w:val="22"/>
                <w:lang w:val="pl-PL"/>
              </w:rPr>
              <w:t>Obrzęk płuc</w:t>
            </w:r>
          </w:p>
        </w:tc>
        <w:tc>
          <w:tcPr>
            <w:tcW w:w="804" w:type="pct"/>
            <w:tcBorders>
              <w:top w:val="single" w:sz="4" w:space="0" w:color="auto"/>
              <w:left w:val="single" w:sz="4" w:space="0" w:color="auto"/>
              <w:bottom w:val="single" w:sz="4" w:space="0" w:color="auto"/>
              <w:right w:val="single" w:sz="4" w:space="0" w:color="auto"/>
            </w:tcBorders>
            <w:vAlign w:val="bottom"/>
          </w:tcPr>
          <w:p w14:paraId="46DA5772"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rzadko</w:t>
            </w:r>
          </w:p>
        </w:tc>
        <w:tc>
          <w:tcPr>
            <w:tcW w:w="788" w:type="pct"/>
            <w:tcBorders>
              <w:top w:val="single" w:sz="4" w:space="0" w:color="auto"/>
              <w:left w:val="single" w:sz="4" w:space="0" w:color="auto"/>
              <w:bottom w:val="single" w:sz="4" w:space="0" w:color="auto"/>
              <w:right w:val="single" w:sz="4" w:space="0" w:color="auto"/>
            </w:tcBorders>
            <w:vAlign w:val="bottom"/>
          </w:tcPr>
          <w:p w14:paraId="415999B0" w14:textId="77777777" w:rsidR="000016E2" w:rsidRPr="00BD22FE" w:rsidRDefault="000016E2" w:rsidP="00941FBF">
            <w:pPr>
              <w:rPr>
                <w:color w:val="000000"/>
                <w:sz w:val="22"/>
                <w:szCs w:val="22"/>
                <w:highlight w:val="yellow"/>
                <w:lang w:val="pl-PL" w:eastAsia="en-GB"/>
              </w:rPr>
            </w:pPr>
          </w:p>
        </w:tc>
        <w:tc>
          <w:tcPr>
            <w:tcW w:w="1098" w:type="pct"/>
            <w:tcBorders>
              <w:top w:val="single" w:sz="4" w:space="0" w:color="auto"/>
              <w:left w:val="single" w:sz="4" w:space="0" w:color="auto"/>
              <w:bottom w:val="single" w:sz="4" w:space="0" w:color="auto"/>
              <w:right w:val="single" w:sz="4" w:space="0" w:color="auto"/>
            </w:tcBorders>
            <w:vAlign w:val="bottom"/>
          </w:tcPr>
          <w:p w14:paraId="2569D6A5" w14:textId="77777777" w:rsidR="000016E2" w:rsidRPr="00BD22FE" w:rsidRDefault="00104CA8" w:rsidP="00941FBF">
            <w:pPr>
              <w:rPr>
                <w:color w:val="000000"/>
                <w:sz w:val="22"/>
                <w:szCs w:val="22"/>
                <w:highlight w:val="yellow"/>
                <w:lang w:val="pl-PL" w:eastAsia="en-GB"/>
              </w:rPr>
            </w:pPr>
            <w:r w:rsidRPr="00BD22FE">
              <w:rPr>
                <w:color w:val="000000"/>
                <w:sz w:val="22"/>
                <w:szCs w:val="22"/>
                <w:lang w:val="pl-PL" w:eastAsia="en-GB"/>
              </w:rPr>
              <w:t>bardzo rzadko</w:t>
            </w:r>
          </w:p>
        </w:tc>
      </w:tr>
      <w:tr w:rsidR="0013513D" w:rsidRPr="00BD22FE" w14:paraId="0C2D334A" w14:textId="77777777" w:rsidTr="0090751B">
        <w:tc>
          <w:tcPr>
            <w:tcW w:w="1084" w:type="pct"/>
            <w:vMerge/>
            <w:tcBorders>
              <w:left w:val="single" w:sz="4" w:space="0" w:color="auto"/>
              <w:right w:val="single" w:sz="4" w:space="0" w:color="auto"/>
            </w:tcBorders>
            <w:hideMark/>
          </w:tcPr>
          <w:p w14:paraId="37EB40A4" w14:textId="77777777" w:rsidR="000016E2" w:rsidRPr="00BD22FE" w:rsidRDefault="000016E2" w:rsidP="00941FBF">
            <w:pPr>
              <w:rPr>
                <w:color w:val="000000"/>
                <w:sz w:val="22"/>
                <w:szCs w:val="22"/>
                <w:highlight w:val="yellow"/>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571BA2C7"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Kaszel</w:t>
            </w:r>
          </w:p>
        </w:tc>
        <w:tc>
          <w:tcPr>
            <w:tcW w:w="804" w:type="pct"/>
            <w:tcBorders>
              <w:top w:val="single" w:sz="4" w:space="0" w:color="auto"/>
              <w:left w:val="single" w:sz="4" w:space="0" w:color="auto"/>
              <w:bottom w:val="single" w:sz="4" w:space="0" w:color="auto"/>
              <w:right w:val="single" w:sz="4" w:space="0" w:color="auto"/>
            </w:tcBorders>
            <w:vAlign w:val="bottom"/>
            <w:hideMark/>
          </w:tcPr>
          <w:p w14:paraId="5A4085E8" w14:textId="77777777" w:rsidR="000016E2" w:rsidRPr="00BD22FE" w:rsidRDefault="000016E2" w:rsidP="00941FBF">
            <w:pPr>
              <w:rPr>
                <w:color w:val="000000"/>
                <w:sz w:val="22"/>
                <w:szCs w:val="22"/>
                <w:lang w:val="pl-PL" w:eastAsia="en-GB"/>
              </w:rPr>
            </w:pPr>
          </w:p>
        </w:tc>
        <w:tc>
          <w:tcPr>
            <w:tcW w:w="788" w:type="pct"/>
            <w:tcBorders>
              <w:top w:val="single" w:sz="4" w:space="0" w:color="auto"/>
              <w:left w:val="single" w:sz="4" w:space="0" w:color="auto"/>
              <w:bottom w:val="single" w:sz="4" w:space="0" w:color="auto"/>
              <w:right w:val="single" w:sz="4" w:space="0" w:color="auto"/>
            </w:tcBorders>
            <w:vAlign w:val="bottom"/>
            <w:hideMark/>
          </w:tcPr>
          <w:p w14:paraId="785DF869"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niezbyt często</w:t>
            </w:r>
          </w:p>
        </w:tc>
        <w:tc>
          <w:tcPr>
            <w:tcW w:w="1098" w:type="pct"/>
            <w:tcBorders>
              <w:top w:val="single" w:sz="4" w:space="0" w:color="auto"/>
              <w:left w:val="single" w:sz="4" w:space="0" w:color="auto"/>
              <w:bottom w:val="single" w:sz="4" w:space="0" w:color="auto"/>
              <w:right w:val="single" w:sz="4" w:space="0" w:color="auto"/>
            </w:tcBorders>
            <w:vAlign w:val="bottom"/>
            <w:hideMark/>
          </w:tcPr>
          <w:p w14:paraId="480FB9E6" w14:textId="77777777" w:rsidR="000016E2" w:rsidRPr="00BD22FE" w:rsidRDefault="000016E2" w:rsidP="00941FBF">
            <w:pPr>
              <w:rPr>
                <w:color w:val="000000"/>
                <w:sz w:val="22"/>
                <w:szCs w:val="22"/>
                <w:lang w:val="pl-PL" w:eastAsia="en-GB"/>
              </w:rPr>
            </w:pPr>
          </w:p>
        </w:tc>
      </w:tr>
      <w:tr w:rsidR="0013513D" w:rsidRPr="00BD22FE" w14:paraId="6A7A07B4" w14:textId="77777777" w:rsidTr="0090751B">
        <w:tc>
          <w:tcPr>
            <w:tcW w:w="1084" w:type="pct"/>
            <w:vMerge/>
            <w:tcBorders>
              <w:left w:val="single" w:sz="4" w:space="0" w:color="auto"/>
              <w:right w:val="single" w:sz="4" w:space="0" w:color="auto"/>
            </w:tcBorders>
            <w:hideMark/>
          </w:tcPr>
          <w:p w14:paraId="365CB817" w14:textId="77777777" w:rsidR="000016E2" w:rsidRPr="00BD22FE" w:rsidRDefault="000016E2" w:rsidP="00941FBF">
            <w:pPr>
              <w:rPr>
                <w:sz w:val="22"/>
                <w:szCs w:val="22"/>
                <w:highlight w:val="yellow"/>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1E0F258C"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Śródmiąższowa choroba płuc</w:t>
            </w:r>
          </w:p>
        </w:tc>
        <w:tc>
          <w:tcPr>
            <w:tcW w:w="804" w:type="pct"/>
            <w:tcBorders>
              <w:top w:val="single" w:sz="4" w:space="0" w:color="auto"/>
              <w:left w:val="single" w:sz="4" w:space="0" w:color="auto"/>
              <w:bottom w:val="single" w:sz="4" w:space="0" w:color="auto"/>
              <w:right w:val="single" w:sz="4" w:space="0" w:color="auto"/>
            </w:tcBorders>
            <w:vAlign w:val="bottom"/>
            <w:hideMark/>
          </w:tcPr>
          <w:p w14:paraId="46202182" w14:textId="77777777" w:rsidR="000016E2" w:rsidRPr="00BD22FE" w:rsidRDefault="000016E2" w:rsidP="00941FBF">
            <w:pPr>
              <w:rPr>
                <w:color w:val="000000"/>
                <w:sz w:val="22"/>
                <w:szCs w:val="22"/>
                <w:lang w:val="pl-PL" w:eastAsia="en-GB"/>
              </w:rPr>
            </w:pPr>
          </w:p>
        </w:tc>
        <w:tc>
          <w:tcPr>
            <w:tcW w:w="788" w:type="pct"/>
            <w:tcBorders>
              <w:top w:val="single" w:sz="4" w:space="0" w:color="auto"/>
              <w:left w:val="single" w:sz="4" w:space="0" w:color="auto"/>
              <w:bottom w:val="single" w:sz="4" w:space="0" w:color="auto"/>
              <w:right w:val="single" w:sz="4" w:space="0" w:color="auto"/>
            </w:tcBorders>
            <w:vAlign w:val="bottom"/>
            <w:hideMark/>
          </w:tcPr>
          <w:p w14:paraId="59B2542A"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bardzo rzadko</w:t>
            </w:r>
            <w:r w:rsidRPr="00BD22FE">
              <w:rPr>
                <w:color w:val="000000"/>
                <w:sz w:val="22"/>
                <w:szCs w:val="22"/>
                <w:vertAlign w:val="superscript"/>
                <w:lang w:val="pl-PL" w:eastAsia="en-GB"/>
              </w:rPr>
              <w:t>1,2</w:t>
            </w:r>
          </w:p>
        </w:tc>
        <w:tc>
          <w:tcPr>
            <w:tcW w:w="1098" w:type="pct"/>
            <w:tcBorders>
              <w:top w:val="single" w:sz="4" w:space="0" w:color="auto"/>
              <w:left w:val="single" w:sz="4" w:space="0" w:color="auto"/>
              <w:bottom w:val="single" w:sz="4" w:space="0" w:color="auto"/>
              <w:right w:val="single" w:sz="4" w:space="0" w:color="auto"/>
            </w:tcBorders>
            <w:vAlign w:val="bottom"/>
            <w:hideMark/>
          </w:tcPr>
          <w:p w14:paraId="2953A43A" w14:textId="77777777" w:rsidR="000016E2" w:rsidRPr="00BD22FE" w:rsidRDefault="000016E2" w:rsidP="00941FBF">
            <w:pPr>
              <w:rPr>
                <w:color w:val="000000"/>
                <w:sz w:val="22"/>
                <w:szCs w:val="22"/>
                <w:lang w:val="pl-PL" w:eastAsia="en-GB"/>
              </w:rPr>
            </w:pPr>
          </w:p>
        </w:tc>
      </w:tr>
      <w:tr w:rsidR="0013513D" w:rsidRPr="00BD22FE" w14:paraId="4EB0C1E7" w14:textId="77777777" w:rsidTr="0090751B">
        <w:tc>
          <w:tcPr>
            <w:tcW w:w="1084" w:type="pct"/>
            <w:vMerge/>
            <w:tcBorders>
              <w:left w:val="single" w:sz="4" w:space="0" w:color="auto"/>
              <w:bottom w:val="single" w:sz="4" w:space="0" w:color="auto"/>
              <w:right w:val="single" w:sz="4" w:space="0" w:color="auto"/>
            </w:tcBorders>
            <w:hideMark/>
          </w:tcPr>
          <w:p w14:paraId="3321E39C" w14:textId="77777777" w:rsidR="000016E2" w:rsidRPr="00BD22FE" w:rsidRDefault="000016E2" w:rsidP="00941FBF">
            <w:pPr>
              <w:rPr>
                <w:sz w:val="22"/>
                <w:szCs w:val="22"/>
                <w:highlight w:val="yellow"/>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3625B3E9" w14:textId="77777777" w:rsidR="000016E2" w:rsidRPr="00BD22FE" w:rsidRDefault="00104CA8" w:rsidP="00941FBF">
            <w:pPr>
              <w:rPr>
                <w:color w:val="000000"/>
                <w:sz w:val="22"/>
                <w:szCs w:val="22"/>
                <w:lang w:val="pl-PL" w:eastAsia="en-GB"/>
              </w:rPr>
            </w:pPr>
            <w:r w:rsidRPr="00BD22FE">
              <w:rPr>
                <w:sz w:val="22"/>
                <w:szCs w:val="22"/>
                <w:lang w:val="pl-PL"/>
              </w:rPr>
              <w:t>Zespół ostrej niewydolności oddechowej (ARDS) (patrz punkt 4.4)</w:t>
            </w:r>
          </w:p>
        </w:tc>
        <w:tc>
          <w:tcPr>
            <w:tcW w:w="804" w:type="pct"/>
            <w:tcBorders>
              <w:top w:val="single" w:sz="4" w:space="0" w:color="auto"/>
              <w:left w:val="single" w:sz="4" w:space="0" w:color="auto"/>
              <w:bottom w:val="single" w:sz="4" w:space="0" w:color="auto"/>
              <w:right w:val="single" w:sz="4" w:space="0" w:color="auto"/>
            </w:tcBorders>
            <w:vAlign w:val="bottom"/>
            <w:hideMark/>
          </w:tcPr>
          <w:p w14:paraId="5F73BC1F" w14:textId="77777777" w:rsidR="000016E2" w:rsidRPr="00BD22FE" w:rsidRDefault="000016E2" w:rsidP="00941FBF">
            <w:pPr>
              <w:rPr>
                <w:color w:val="000000"/>
                <w:sz w:val="22"/>
                <w:szCs w:val="22"/>
                <w:lang w:val="pl-PL" w:eastAsia="en-GB"/>
              </w:rPr>
            </w:pPr>
          </w:p>
        </w:tc>
        <w:tc>
          <w:tcPr>
            <w:tcW w:w="788" w:type="pct"/>
            <w:tcBorders>
              <w:top w:val="single" w:sz="4" w:space="0" w:color="auto"/>
              <w:left w:val="single" w:sz="4" w:space="0" w:color="auto"/>
              <w:bottom w:val="single" w:sz="4" w:space="0" w:color="auto"/>
              <w:right w:val="single" w:sz="4" w:space="0" w:color="auto"/>
            </w:tcBorders>
            <w:vAlign w:val="bottom"/>
            <w:hideMark/>
          </w:tcPr>
          <w:p w14:paraId="7604E03A" w14:textId="77777777" w:rsidR="000016E2" w:rsidRPr="00BD22FE" w:rsidRDefault="000016E2" w:rsidP="00941FBF">
            <w:pPr>
              <w:rPr>
                <w:sz w:val="22"/>
                <w:szCs w:val="22"/>
                <w:lang w:val="pl-PL" w:eastAsia="en-GB"/>
              </w:rPr>
            </w:pPr>
          </w:p>
        </w:tc>
        <w:tc>
          <w:tcPr>
            <w:tcW w:w="1098" w:type="pct"/>
            <w:tcBorders>
              <w:top w:val="single" w:sz="4" w:space="0" w:color="auto"/>
              <w:left w:val="single" w:sz="4" w:space="0" w:color="auto"/>
              <w:bottom w:val="single" w:sz="4" w:space="0" w:color="auto"/>
              <w:right w:val="single" w:sz="4" w:space="0" w:color="auto"/>
            </w:tcBorders>
            <w:vAlign w:val="bottom"/>
            <w:hideMark/>
          </w:tcPr>
          <w:p w14:paraId="341B11A6"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bardzo rzadko</w:t>
            </w:r>
          </w:p>
        </w:tc>
      </w:tr>
      <w:tr w:rsidR="0013513D" w:rsidRPr="00BD22FE" w14:paraId="7C148F5A" w14:textId="77777777" w:rsidTr="0090751B">
        <w:tc>
          <w:tcPr>
            <w:tcW w:w="1084" w:type="pct"/>
            <w:vMerge w:val="restart"/>
            <w:tcBorders>
              <w:top w:val="single" w:sz="4" w:space="0" w:color="auto"/>
              <w:left w:val="single" w:sz="4" w:space="0" w:color="auto"/>
              <w:right w:val="single" w:sz="4" w:space="0" w:color="auto"/>
            </w:tcBorders>
            <w:hideMark/>
          </w:tcPr>
          <w:p w14:paraId="236FDC4A" w14:textId="19F3DC46" w:rsidR="000016E2" w:rsidRPr="00BD22FE" w:rsidRDefault="00104CA8" w:rsidP="00941FBF">
            <w:pPr>
              <w:rPr>
                <w:b/>
                <w:bCs/>
                <w:color w:val="000000"/>
                <w:sz w:val="22"/>
                <w:szCs w:val="22"/>
                <w:highlight w:val="yellow"/>
                <w:lang w:val="pl-PL" w:eastAsia="en-GB"/>
              </w:rPr>
            </w:pPr>
            <w:r w:rsidRPr="00BD22FE">
              <w:rPr>
                <w:b/>
                <w:bCs/>
                <w:sz w:val="22"/>
                <w:szCs w:val="22"/>
                <w:lang w:val="pl-PL"/>
              </w:rPr>
              <w:t>Zaburzenia żołądka i</w:t>
            </w:r>
            <w:r w:rsidR="00717A7B" w:rsidRPr="00BD22FE">
              <w:rPr>
                <w:b/>
                <w:bCs/>
                <w:sz w:val="22"/>
                <w:szCs w:val="22"/>
                <w:lang w:val="pl-PL"/>
              </w:rPr>
              <w:t> </w:t>
            </w:r>
            <w:r w:rsidRPr="00BD22FE">
              <w:rPr>
                <w:b/>
                <w:bCs/>
                <w:sz w:val="22"/>
                <w:szCs w:val="22"/>
                <w:lang w:val="pl-PL"/>
              </w:rPr>
              <w:t>jelit</w:t>
            </w:r>
          </w:p>
        </w:tc>
        <w:tc>
          <w:tcPr>
            <w:tcW w:w="1226" w:type="pct"/>
            <w:tcBorders>
              <w:top w:val="single" w:sz="4" w:space="0" w:color="auto"/>
              <w:left w:val="single" w:sz="4" w:space="0" w:color="auto"/>
              <w:bottom w:val="single" w:sz="4" w:space="0" w:color="auto"/>
              <w:right w:val="single" w:sz="4" w:space="0" w:color="auto"/>
            </w:tcBorders>
            <w:vAlign w:val="bottom"/>
            <w:hideMark/>
          </w:tcPr>
          <w:p w14:paraId="1562D2FC" w14:textId="77777777" w:rsidR="000016E2" w:rsidRPr="00BD22FE" w:rsidRDefault="00104CA8" w:rsidP="00941FBF">
            <w:pPr>
              <w:rPr>
                <w:color w:val="000000"/>
                <w:sz w:val="22"/>
                <w:szCs w:val="22"/>
                <w:lang w:val="pl-PL" w:eastAsia="en-GB"/>
              </w:rPr>
            </w:pPr>
            <w:r w:rsidRPr="00BD22FE">
              <w:rPr>
                <w:sz w:val="22"/>
                <w:szCs w:val="22"/>
                <w:lang w:val="pl-PL"/>
              </w:rPr>
              <w:t>Biegunka</w:t>
            </w:r>
          </w:p>
        </w:tc>
        <w:tc>
          <w:tcPr>
            <w:tcW w:w="804" w:type="pct"/>
            <w:tcBorders>
              <w:top w:val="single" w:sz="4" w:space="0" w:color="auto"/>
              <w:left w:val="single" w:sz="4" w:space="0" w:color="auto"/>
              <w:bottom w:val="single" w:sz="4" w:space="0" w:color="auto"/>
              <w:right w:val="single" w:sz="4" w:space="0" w:color="auto"/>
            </w:tcBorders>
            <w:hideMark/>
          </w:tcPr>
          <w:p w14:paraId="0B44C7B2"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niezbyt często</w:t>
            </w:r>
          </w:p>
        </w:tc>
        <w:tc>
          <w:tcPr>
            <w:tcW w:w="788" w:type="pct"/>
            <w:tcBorders>
              <w:top w:val="single" w:sz="4" w:space="0" w:color="auto"/>
              <w:left w:val="single" w:sz="4" w:space="0" w:color="auto"/>
              <w:bottom w:val="single" w:sz="4" w:space="0" w:color="auto"/>
              <w:right w:val="single" w:sz="4" w:space="0" w:color="auto"/>
            </w:tcBorders>
            <w:hideMark/>
          </w:tcPr>
          <w:p w14:paraId="68ADA957"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niezbyt często</w:t>
            </w:r>
          </w:p>
        </w:tc>
        <w:tc>
          <w:tcPr>
            <w:tcW w:w="1098" w:type="pct"/>
            <w:tcBorders>
              <w:top w:val="single" w:sz="4" w:space="0" w:color="auto"/>
              <w:left w:val="single" w:sz="4" w:space="0" w:color="auto"/>
              <w:bottom w:val="single" w:sz="4" w:space="0" w:color="auto"/>
              <w:right w:val="single" w:sz="4" w:space="0" w:color="auto"/>
            </w:tcBorders>
            <w:vAlign w:val="bottom"/>
            <w:hideMark/>
          </w:tcPr>
          <w:p w14:paraId="694658DA"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często</w:t>
            </w:r>
          </w:p>
        </w:tc>
      </w:tr>
      <w:tr w:rsidR="0013513D" w:rsidRPr="00BD22FE" w14:paraId="529333A2" w14:textId="77777777" w:rsidTr="0090751B">
        <w:tc>
          <w:tcPr>
            <w:tcW w:w="1084" w:type="pct"/>
            <w:vMerge/>
            <w:tcBorders>
              <w:left w:val="single" w:sz="4" w:space="0" w:color="auto"/>
              <w:right w:val="single" w:sz="4" w:space="0" w:color="auto"/>
            </w:tcBorders>
            <w:hideMark/>
          </w:tcPr>
          <w:p w14:paraId="7ECA2E6F" w14:textId="77777777" w:rsidR="000016E2" w:rsidRPr="00BD22FE" w:rsidRDefault="000016E2" w:rsidP="00941FBF">
            <w:pPr>
              <w:rPr>
                <w:color w:val="000000"/>
                <w:sz w:val="22"/>
                <w:szCs w:val="22"/>
                <w:highlight w:val="yellow"/>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2D64523C" w14:textId="731E10C0" w:rsidR="000016E2" w:rsidRPr="00BD22FE" w:rsidRDefault="00104CA8" w:rsidP="00941FBF">
            <w:pPr>
              <w:rPr>
                <w:color w:val="000000"/>
                <w:sz w:val="22"/>
                <w:szCs w:val="22"/>
                <w:lang w:val="pl-PL" w:eastAsia="en-GB"/>
              </w:rPr>
            </w:pPr>
            <w:r w:rsidRPr="00BD22FE">
              <w:rPr>
                <w:sz w:val="22"/>
                <w:szCs w:val="22"/>
                <w:lang w:val="pl-PL"/>
              </w:rPr>
              <w:t>Suchość błon śluzowych w</w:t>
            </w:r>
            <w:r w:rsidR="00717A7B" w:rsidRPr="00BD22FE">
              <w:rPr>
                <w:sz w:val="22"/>
                <w:szCs w:val="22"/>
                <w:lang w:val="pl-PL"/>
              </w:rPr>
              <w:t> </w:t>
            </w:r>
            <w:r w:rsidRPr="00BD22FE">
              <w:rPr>
                <w:sz w:val="22"/>
                <w:szCs w:val="22"/>
                <w:lang w:val="pl-PL"/>
              </w:rPr>
              <w:t>jamie ustnej</w:t>
            </w:r>
          </w:p>
        </w:tc>
        <w:tc>
          <w:tcPr>
            <w:tcW w:w="804" w:type="pct"/>
            <w:tcBorders>
              <w:top w:val="single" w:sz="4" w:space="0" w:color="auto"/>
              <w:left w:val="single" w:sz="4" w:space="0" w:color="auto"/>
              <w:bottom w:val="single" w:sz="4" w:space="0" w:color="auto"/>
              <w:right w:val="single" w:sz="4" w:space="0" w:color="auto"/>
            </w:tcBorders>
            <w:vAlign w:val="bottom"/>
            <w:hideMark/>
          </w:tcPr>
          <w:p w14:paraId="7CB38FA6"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niezbyt często</w:t>
            </w:r>
          </w:p>
        </w:tc>
        <w:tc>
          <w:tcPr>
            <w:tcW w:w="788" w:type="pct"/>
            <w:tcBorders>
              <w:top w:val="single" w:sz="4" w:space="0" w:color="auto"/>
              <w:left w:val="single" w:sz="4" w:space="0" w:color="auto"/>
              <w:bottom w:val="single" w:sz="4" w:space="0" w:color="auto"/>
              <w:right w:val="single" w:sz="4" w:space="0" w:color="auto"/>
            </w:tcBorders>
            <w:vAlign w:val="bottom"/>
            <w:hideMark/>
          </w:tcPr>
          <w:p w14:paraId="0F9ADAEE"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rzadko</w:t>
            </w:r>
          </w:p>
        </w:tc>
        <w:tc>
          <w:tcPr>
            <w:tcW w:w="1098" w:type="pct"/>
            <w:tcBorders>
              <w:top w:val="single" w:sz="4" w:space="0" w:color="auto"/>
              <w:left w:val="single" w:sz="4" w:space="0" w:color="auto"/>
              <w:bottom w:val="single" w:sz="4" w:space="0" w:color="auto"/>
              <w:right w:val="single" w:sz="4" w:space="0" w:color="auto"/>
            </w:tcBorders>
            <w:vAlign w:val="bottom"/>
            <w:hideMark/>
          </w:tcPr>
          <w:p w14:paraId="42CD873F" w14:textId="77777777" w:rsidR="000016E2" w:rsidRPr="00BD22FE" w:rsidRDefault="000016E2" w:rsidP="00941FBF">
            <w:pPr>
              <w:rPr>
                <w:color w:val="000000"/>
                <w:sz w:val="22"/>
                <w:szCs w:val="22"/>
                <w:lang w:val="pl-PL" w:eastAsia="en-GB"/>
              </w:rPr>
            </w:pPr>
          </w:p>
        </w:tc>
      </w:tr>
      <w:tr w:rsidR="0013513D" w:rsidRPr="00BD22FE" w14:paraId="6C9A3D78" w14:textId="77777777" w:rsidTr="0090751B">
        <w:tc>
          <w:tcPr>
            <w:tcW w:w="1084" w:type="pct"/>
            <w:vMerge/>
            <w:tcBorders>
              <w:left w:val="single" w:sz="4" w:space="0" w:color="auto"/>
              <w:right w:val="single" w:sz="4" w:space="0" w:color="auto"/>
            </w:tcBorders>
            <w:hideMark/>
          </w:tcPr>
          <w:p w14:paraId="28A6C4FF" w14:textId="77777777" w:rsidR="000016E2" w:rsidRPr="00BD22FE" w:rsidRDefault="000016E2" w:rsidP="00941FBF">
            <w:pPr>
              <w:rPr>
                <w:sz w:val="22"/>
                <w:szCs w:val="22"/>
                <w:highlight w:val="yellow"/>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20E033C5" w14:textId="77777777" w:rsidR="000016E2" w:rsidRPr="00BD22FE" w:rsidRDefault="00104CA8" w:rsidP="00941FBF">
            <w:pPr>
              <w:rPr>
                <w:color w:val="000000"/>
                <w:sz w:val="22"/>
                <w:szCs w:val="22"/>
                <w:lang w:val="pl-PL" w:eastAsia="en-GB"/>
              </w:rPr>
            </w:pPr>
            <w:r w:rsidRPr="00BD22FE">
              <w:rPr>
                <w:sz w:val="22"/>
                <w:szCs w:val="22"/>
                <w:lang w:val="pl-PL"/>
              </w:rPr>
              <w:t>Wzdęcia</w:t>
            </w:r>
          </w:p>
        </w:tc>
        <w:tc>
          <w:tcPr>
            <w:tcW w:w="804" w:type="pct"/>
            <w:tcBorders>
              <w:top w:val="single" w:sz="4" w:space="0" w:color="auto"/>
              <w:left w:val="single" w:sz="4" w:space="0" w:color="auto"/>
              <w:bottom w:val="single" w:sz="4" w:space="0" w:color="auto"/>
              <w:right w:val="single" w:sz="4" w:space="0" w:color="auto"/>
            </w:tcBorders>
            <w:hideMark/>
          </w:tcPr>
          <w:p w14:paraId="542ECAD5"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niezbyt często</w:t>
            </w:r>
          </w:p>
        </w:tc>
        <w:tc>
          <w:tcPr>
            <w:tcW w:w="788" w:type="pct"/>
            <w:tcBorders>
              <w:top w:val="single" w:sz="4" w:space="0" w:color="auto"/>
              <w:left w:val="single" w:sz="4" w:space="0" w:color="auto"/>
              <w:bottom w:val="single" w:sz="4" w:space="0" w:color="auto"/>
              <w:right w:val="single" w:sz="4" w:space="0" w:color="auto"/>
            </w:tcBorders>
            <w:hideMark/>
          </w:tcPr>
          <w:p w14:paraId="2228250C"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niezbyt często</w:t>
            </w:r>
          </w:p>
        </w:tc>
        <w:tc>
          <w:tcPr>
            <w:tcW w:w="1098" w:type="pct"/>
            <w:tcBorders>
              <w:top w:val="single" w:sz="4" w:space="0" w:color="auto"/>
              <w:left w:val="single" w:sz="4" w:space="0" w:color="auto"/>
              <w:bottom w:val="single" w:sz="4" w:space="0" w:color="auto"/>
              <w:right w:val="single" w:sz="4" w:space="0" w:color="auto"/>
            </w:tcBorders>
            <w:vAlign w:val="bottom"/>
            <w:hideMark/>
          </w:tcPr>
          <w:p w14:paraId="792204C3" w14:textId="77777777" w:rsidR="000016E2" w:rsidRPr="00BD22FE" w:rsidRDefault="000016E2" w:rsidP="00941FBF">
            <w:pPr>
              <w:rPr>
                <w:color w:val="000000"/>
                <w:sz w:val="22"/>
                <w:szCs w:val="22"/>
                <w:lang w:val="pl-PL" w:eastAsia="en-GB"/>
              </w:rPr>
            </w:pPr>
          </w:p>
        </w:tc>
      </w:tr>
      <w:tr w:rsidR="0013513D" w:rsidRPr="00BD22FE" w14:paraId="62032944" w14:textId="77777777" w:rsidTr="0090751B">
        <w:tc>
          <w:tcPr>
            <w:tcW w:w="1084" w:type="pct"/>
            <w:vMerge/>
            <w:tcBorders>
              <w:left w:val="single" w:sz="4" w:space="0" w:color="auto"/>
              <w:right w:val="single" w:sz="4" w:space="0" w:color="auto"/>
            </w:tcBorders>
            <w:hideMark/>
          </w:tcPr>
          <w:p w14:paraId="731CA9D0" w14:textId="77777777" w:rsidR="000016E2" w:rsidRPr="00BD22FE" w:rsidRDefault="000016E2" w:rsidP="00941FBF">
            <w:pPr>
              <w:rPr>
                <w:sz w:val="22"/>
                <w:szCs w:val="22"/>
                <w:highlight w:val="yellow"/>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2DAB75B8" w14:textId="77777777" w:rsidR="000016E2" w:rsidRPr="00BD22FE" w:rsidRDefault="00104CA8" w:rsidP="00941FBF">
            <w:pPr>
              <w:rPr>
                <w:color w:val="000000"/>
                <w:sz w:val="22"/>
                <w:szCs w:val="22"/>
                <w:lang w:val="pl-PL" w:eastAsia="en-GB"/>
              </w:rPr>
            </w:pPr>
            <w:r w:rsidRPr="00BD22FE">
              <w:rPr>
                <w:sz w:val="22"/>
                <w:szCs w:val="22"/>
                <w:lang w:val="pl-PL"/>
              </w:rPr>
              <w:t>Ból brzucha</w:t>
            </w:r>
          </w:p>
        </w:tc>
        <w:tc>
          <w:tcPr>
            <w:tcW w:w="804" w:type="pct"/>
            <w:tcBorders>
              <w:top w:val="single" w:sz="4" w:space="0" w:color="auto"/>
              <w:left w:val="single" w:sz="4" w:space="0" w:color="auto"/>
              <w:bottom w:val="single" w:sz="4" w:space="0" w:color="auto"/>
              <w:right w:val="single" w:sz="4" w:space="0" w:color="auto"/>
            </w:tcBorders>
            <w:hideMark/>
          </w:tcPr>
          <w:p w14:paraId="25CFCFB7"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rzadko</w:t>
            </w:r>
          </w:p>
        </w:tc>
        <w:tc>
          <w:tcPr>
            <w:tcW w:w="788" w:type="pct"/>
            <w:tcBorders>
              <w:top w:val="single" w:sz="4" w:space="0" w:color="auto"/>
              <w:left w:val="single" w:sz="4" w:space="0" w:color="auto"/>
              <w:bottom w:val="single" w:sz="4" w:space="0" w:color="auto"/>
              <w:right w:val="single" w:sz="4" w:space="0" w:color="auto"/>
            </w:tcBorders>
            <w:hideMark/>
          </w:tcPr>
          <w:p w14:paraId="306057FA"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niezbyt często</w:t>
            </w:r>
          </w:p>
        </w:tc>
        <w:tc>
          <w:tcPr>
            <w:tcW w:w="1098" w:type="pct"/>
            <w:tcBorders>
              <w:top w:val="single" w:sz="4" w:space="0" w:color="auto"/>
              <w:left w:val="single" w:sz="4" w:space="0" w:color="auto"/>
              <w:bottom w:val="single" w:sz="4" w:space="0" w:color="auto"/>
              <w:right w:val="single" w:sz="4" w:space="0" w:color="auto"/>
            </w:tcBorders>
            <w:vAlign w:val="bottom"/>
            <w:hideMark/>
          </w:tcPr>
          <w:p w14:paraId="7B1BEA02" w14:textId="77777777" w:rsidR="000016E2" w:rsidRPr="00BD22FE" w:rsidRDefault="000016E2" w:rsidP="00941FBF">
            <w:pPr>
              <w:rPr>
                <w:color w:val="000000"/>
                <w:sz w:val="22"/>
                <w:szCs w:val="22"/>
                <w:lang w:val="pl-PL" w:eastAsia="en-GB"/>
              </w:rPr>
            </w:pPr>
          </w:p>
        </w:tc>
      </w:tr>
      <w:tr w:rsidR="0013513D" w:rsidRPr="00BD22FE" w14:paraId="44CCBE0A" w14:textId="77777777" w:rsidTr="0090751B">
        <w:tc>
          <w:tcPr>
            <w:tcW w:w="1084" w:type="pct"/>
            <w:vMerge/>
            <w:tcBorders>
              <w:left w:val="single" w:sz="4" w:space="0" w:color="auto"/>
              <w:right w:val="single" w:sz="4" w:space="0" w:color="auto"/>
            </w:tcBorders>
            <w:hideMark/>
          </w:tcPr>
          <w:p w14:paraId="41C63FF9" w14:textId="77777777" w:rsidR="000016E2" w:rsidRPr="00BD22FE" w:rsidRDefault="000016E2" w:rsidP="00941FBF">
            <w:pPr>
              <w:rPr>
                <w:sz w:val="22"/>
                <w:szCs w:val="22"/>
                <w:highlight w:val="yellow"/>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6D90F983" w14:textId="77777777" w:rsidR="000016E2" w:rsidRPr="00BD22FE" w:rsidRDefault="00104CA8" w:rsidP="00941FBF">
            <w:pPr>
              <w:rPr>
                <w:color w:val="000000"/>
                <w:sz w:val="22"/>
                <w:szCs w:val="22"/>
                <w:lang w:val="pl-PL" w:eastAsia="en-GB"/>
              </w:rPr>
            </w:pPr>
            <w:r w:rsidRPr="00BD22FE">
              <w:rPr>
                <w:sz w:val="22"/>
                <w:szCs w:val="22"/>
                <w:lang w:val="pl-PL"/>
              </w:rPr>
              <w:t>Zaparcia</w:t>
            </w:r>
          </w:p>
        </w:tc>
        <w:tc>
          <w:tcPr>
            <w:tcW w:w="804" w:type="pct"/>
            <w:tcBorders>
              <w:top w:val="single" w:sz="4" w:space="0" w:color="auto"/>
              <w:left w:val="single" w:sz="4" w:space="0" w:color="auto"/>
              <w:bottom w:val="single" w:sz="4" w:space="0" w:color="auto"/>
              <w:right w:val="single" w:sz="4" w:space="0" w:color="auto"/>
            </w:tcBorders>
            <w:hideMark/>
          </w:tcPr>
          <w:p w14:paraId="6DC1106C"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rzadko</w:t>
            </w:r>
          </w:p>
        </w:tc>
        <w:tc>
          <w:tcPr>
            <w:tcW w:w="788" w:type="pct"/>
            <w:tcBorders>
              <w:top w:val="single" w:sz="4" w:space="0" w:color="auto"/>
              <w:left w:val="single" w:sz="4" w:space="0" w:color="auto"/>
              <w:bottom w:val="single" w:sz="4" w:space="0" w:color="auto"/>
              <w:right w:val="single" w:sz="4" w:space="0" w:color="auto"/>
            </w:tcBorders>
            <w:vAlign w:val="bottom"/>
            <w:hideMark/>
          </w:tcPr>
          <w:p w14:paraId="229FE690" w14:textId="77777777" w:rsidR="000016E2" w:rsidRPr="00BD22FE" w:rsidRDefault="000016E2" w:rsidP="00941FBF">
            <w:pPr>
              <w:rPr>
                <w:color w:val="000000"/>
                <w:sz w:val="22"/>
                <w:szCs w:val="22"/>
                <w:lang w:val="pl-PL" w:eastAsia="en-GB"/>
              </w:rPr>
            </w:pPr>
          </w:p>
        </w:tc>
        <w:tc>
          <w:tcPr>
            <w:tcW w:w="1098" w:type="pct"/>
            <w:tcBorders>
              <w:top w:val="single" w:sz="4" w:space="0" w:color="auto"/>
              <w:left w:val="single" w:sz="4" w:space="0" w:color="auto"/>
              <w:bottom w:val="single" w:sz="4" w:space="0" w:color="auto"/>
              <w:right w:val="single" w:sz="4" w:space="0" w:color="auto"/>
            </w:tcBorders>
            <w:vAlign w:val="bottom"/>
            <w:hideMark/>
          </w:tcPr>
          <w:p w14:paraId="6B5CE85E"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rzadko</w:t>
            </w:r>
          </w:p>
        </w:tc>
      </w:tr>
      <w:tr w:rsidR="0013513D" w:rsidRPr="00BD22FE" w14:paraId="3B19B010" w14:textId="77777777" w:rsidTr="0090751B">
        <w:tc>
          <w:tcPr>
            <w:tcW w:w="1084" w:type="pct"/>
            <w:vMerge/>
            <w:tcBorders>
              <w:left w:val="single" w:sz="4" w:space="0" w:color="auto"/>
              <w:right w:val="single" w:sz="4" w:space="0" w:color="auto"/>
            </w:tcBorders>
            <w:hideMark/>
          </w:tcPr>
          <w:p w14:paraId="737B1F82" w14:textId="77777777" w:rsidR="000016E2" w:rsidRPr="00BD22FE" w:rsidRDefault="000016E2" w:rsidP="00941FBF">
            <w:pPr>
              <w:rPr>
                <w:color w:val="000000"/>
                <w:sz w:val="22"/>
                <w:szCs w:val="22"/>
                <w:highlight w:val="yellow"/>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5574AA92" w14:textId="77777777" w:rsidR="000016E2" w:rsidRPr="00BD22FE" w:rsidRDefault="00104CA8" w:rsidP="00941FBF">
            <w:pPr>
              <w:rPr>
                <w:color w:val="000000"/>
                <w:sz w:val="22"/>
                <w:szCs w:val="22"/>
                <w:lang w:val="pl-PL" w:eastAsia="en-GB"/>
              </w:rPr>
            </w:pPr>
            <w:r w:rsidRPr="00BD22FE">
              <w:rPr>
                <w:sz w:val="22"/>
                <w:szCs w:val="22"/>
                <w:lang w:val="pl-PL"/>
              </w:rPr>
              <w:t>Dyspepsja</w:t>
            </w:r>
          </w:p>
        </w:tc>
        <w:tc>
          <w:tcPr>
            <w:tcW w:w="804" w:type="pct"/>
            <w:tcBorders>
              <w:top w:val="single" w:sz="4" w:space="0" w:color="auto"/>
              <w:left w:val="single" w:sz="4" w:space="0" w:color="auto"/>
              <w:bottom w:val="single" w:sz="4" w:space="0" w:color="auto"/>
              <w:right w:val="single" w:sz="4" w:space="0" w:color="auto"/>
            </w:tcBorders>
            <w:hideMark/>
          </w:tcPr>
          <w:p w14:paraId="77C0960D"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rzadko</w:t>
            </w:r>
          </w:p>
        </w:tc>
        <w:tc>
          <w:tcPr>
            <w:tcW w:w="788" w:type="pct"/>
            <w:tcBorders>
              <w:top w:val="single" w:sz="4" w:space="0" w:color="auto"/>
              <w:left w:val="single" w:sz="4" w:space="0" w:color="auto"/>
              <w:bottom w:val="single" w:sz="4" w:space="0" w:color="auto"/>
              <w:right w:val="single" w:sz="4" w:space="0" w:color="auto"/>
            </w:tcBorders>
            <w:hideMark/>
          </w:tcPr>
          <w:p w14:paraId="324969F5"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niezbyt często</w:t>
            </w:r>
          </w:p>
        </w:tc>
        <w:tc>
          <w:tcPr>
            <w:tcW w:w="1098" w:type="pct"/>
            <w:tcBorders>
              <w:top w:val="single" w:sz="4" w:space="0" w:color="auto"/>
              <w:left w:val="single" w:sz="4" w:space="0" w:color="auto"/>
              <w:bottom w:val="single" w:sz="4" w:space="0" w:color="auto"/>
              <w:right w:val="single" w:sz="4" w:space="0" w:color="auto"/>
            </w:tcBorders>
            <w:vAlign w:val="bottom"/>
            <w:hideMark/>
          </w:tcPr>
          <w:p w14:paraId="4572B1F2" w14:textId="77777777" w:rsidR="000016E2" w:rsidRPr="00BD22FE" w:rsidRDefault="000016E2" w:rsidP="00941FBF">
            <w:pPr>
              <w:rPr>
                <w:color w:val="000000"/>
                <w:sz w:val="22"/>
                <w:szCs w:val="22"/>
                <w:lang w:val="pl-PL" w:eastAsia="en-GB"/>
              </w:rPr>
            </w:pPr>
          </w:p>
        </w:tc>
      </w:tr>
      <w:tr w:rsidR="0013513D" w:rsidRPr="00BD22FE" w14:paraId="0A565CEC" w14:textId="77777777" w:rsidTr="0090751B">
        <w:tc>
          <w:tcPr>
            <w:tcW w:w="1084" w:type="pct"/>
            <w:vMerge/>
            <w:tcBorders>
              <w:left w:val="single" w:sz="4" w:space="0" w:color="auto"/>
              <w:right w:val="single" w:sz="4" w:space="0" w:color="auto"/>
            </w:tcBorders>
            <w:hideMark/>
          </w:tcPr>
          <w:p w14:paraId="0B004928" w14:textId="77777777" w:rsidR="000016E2" w:rsidRPr="00BD22FE" w:rsidRDefault="000016E2" w:rsidP="00941FBF">
            <w:pPr>
              <w:rPr>
                <w:sz w:val="22"/>
                <w:szCs w:val="22"/>
                <w:highlight w:val="yellow"/>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25033E47" w14:textId="77777777" w:rsidR="000016E2" w:rsidRPr="00BD22FE" w:rsidRDefault="00104CA8" w:rsidP="00941FBF">
            <w:pPr>
              <w:rPr>
                <w:color w:val="000000"/>
                <w:sz w:val="22"/>
                <w:szCs w:val="22"/>
                <w:lang w:val="pl-PL" w:eastAsia="en-GB"/>
              </w:rPr>
            </w:pPr>
            <w:r w:rsidRPr="00BD22FE">
              <w:rPr>
                <w:sz w:val="22"/>
                <w:szCs w:val="22"/>
                <w:lang w:val="pl-PL"/>
              </w:rPr>
              <w:t>Wymioty</w:t>
            </w:r>
          </w:p>
        </w:tc>
        <w:tc>
          <w:tcPr>
            <w:tcW w:w="804" w:type="pct"/>
            <w:tcBorders>
              <w:top w:val="single" w:sz="4" w:space="0" w:color="auto"/>
              <w:left w:val="single" w:sz="4" w:space="0" w:color="auto"/>
              <w:bottom w:val="single" w:sz="4" w:space="0" w:color="auto"/>
              <w:right w:val="single" w:sz="4" w:space="0" w:color="auto"/>
            </w:tcBorders>
            <w:hideMark/>
          </w:tcPr>
          <w:p w14:paraId="0878ECDC"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rzadko</w:t>
            </w:r>
          </w:p>
        </w:tc>
        <w:tc>
          <w:tcPr>
            <w:tcW w:w="788" w:type="pct"/>
            <w:tcBorders>
              <w:top w:val="single" w:sz="4" w:space="0" w:color="auto"/>
              <w:left w:val="single" w:sz="4" w:space="0" w:color="auto"/>
              <w:bottom w:val="single" w:sz="4" w:space="0" w:color="auto"/>
              <w:right w:val="single" w:sz="4" w:space="0" w:color="auto"/>
            </w:tcBorders>
            <w:hideMark/>
          </w:tcPr>
          <w:p w14:paraId="222356D7"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niezbyt często</w:t>
            </w:r>
          </w:p>
        </w:tc>
        <w:tc>
          <w:tcPr>
            <w:tcW w:w="1098" w:type="pct"/>
            <w:tcBorders>
              <w:top w:val="single" w:sz="4" w:space="0" w:color="auto"/>
              <w:left w:val="single" w:sz="4" w:space="0" w:color="auto"/>
              <w:bottom w:val="single" w:sz="4" w:space="0" w:color="auto"/>
              <w:right w:val="single" w:sz="4" w:space="0" w:color="auto"/>
            </w:tcBorders>
            <w:vAlign w:val="bottom"/>
            <w:hideMark/>
          </w:tcPr>
          <w:p w14:paraId="40C7424F"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często</w:t>
            </w:r>
          </w:p>
        </w:tc>
      </w:tr>
      <w:tr w:rsidR="0013513D" w:rsidRPr="00BD22FE" w14:paraId="7E24A7CA" w14:textId="77777777" w:rsidTr="0090751B">
        <w:tc>
          <w:tcPr>
            <w:tcW w:w="1084" w:type="pct"/>
            <w:vMerge/>
            <w:tcBorders>
              <w:left w:val="single" w:sz="4" w:space="0" w:color="auto"/>
              <w:right w:val="single" w:sz="4" w:space="0" w:color="auto"/>
            </w:tcBorders>
            <w:hideMark/>
          </w:tcPr>
          <w:p w14:paraId="51D6B3C8" w14:textId="77777777" w:rsidR="000016E2" w:rsidRPr="00BD22FE" w:rsidRDefault="000016E2" w:rsidP="00941FBF">
            <w:pPr>
              <w:rPr>
                <w:color w:val="000000"/>
                <w:sz w:val="22"/>
                <w:szCs w:val="22"/>
                <w:highlight w:val="yellow"/>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34BBD66D" w14:textId="5A9409E2" w:rsidR="000016E2" w:rsidRPr="00BD22FE" w:rsidRDefault="00104CA8" w:rsidP="00941FBF">
            <w:pPr>
              <w:rPr>
                <w:color w:val="000000"/>
                <w:sz w:val="22"/>
                <w:szCs w:val="22"/>
                <w:lang w:val="pl-PL" w:eastAsia="en-GB"/>
              </w:rPr>
            </w:pPr>
            <w:r w:rsidRPr="00BD22FE">
              <w:rPr>
                <w:sz w:val="22"/>
                <w:szCs w:val="22"/>
                <w:lang w:val="pl-PL"/>
              </w:rPr>
              <w:t xml:space="preserve">Zapalenie </w:t>
            </w:r>
            <w:r w:rsidR="00D1054B" w:rsidRPr="00BD22FE">
              <w:rPr>
                <w:sz w:val="22"/>
                <w:szCs w:val="22"/>
                <w:lang w:val="pl-PL"/>
              </w:rPr>
              <w:t xml:space="preserve">błony śluzowej </w:t>
            </w:r>
            <w:r w:rsidRPr="00BD22FE">
              <w:rPr>
                <w:sz w:val="22"/>
                <w:szCs w:val="22"/>
                <w:lang w:val="pl-PL"/>
              </w:rPr>
              <w:t>żołądka</w:t>
            </w:r>
          </w:p>
        </w:tc>
        <w:tc>
          <w:tcPr>
            <w:tcW w:w="804" w:type="pct"/>
            <w:tcBorders>
              <w:top w:val="single" w:sz="4" w:space="0" w:color="auto"/>
              <w:left w:val="single" w:sz="4" w:space="0" w:color="auto"/>
              <w:bottom w:val="single" w:sz="4" w:space="0" w:color="auto"/>
              <w:right w:val="single" w:sz="4" w:space="0" w:color="auto"/>
            </w:tcBorders>
            <w:hideMark/>
          </w:tcPr>
          <w:p w14:paraId="251DD41D"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rzadko</w:t>
            </w:r>
          </w:p>
        </w:tc>
        <w:tc>
          <w:tcPr>
            <w:tcW w:w="788" w:type="pct"/>
            <w:tcBorders>
              <w:top w:val="single" w:sz="4" w:space="0" w:color="auto"/>
              <w:left w:val="single" w:sz="4" w:space="0" w:color="auto"/>
              <w:bottom w:val="single" w:sz="4" w:space="0" w:color="auto"/>
              <w:right w:val="single" w:sz="4" w:space="0" w:color="auto"/>
            </w:tcBorders>
            <w:vAlign w:val="bottom"/>
            <w:hideMark/>
          </w:tcPr>
          <w:p w14:paraId="045F1F13" w14:textId="77777777" w:rsidR="000016E2" w:rsidRPr="00BD22FE" w:rsidRDefault="000016E2" w:rsidP="00941FBF">
            <w:pPr>
              <w:rPr>
                <w:color w:val="000000"/>
                <w:sz w:val="22"/>
                <w:szCs w:val="22"/>
                <w:lang w:val="pl-PL" w:eastAsia="en-GB"/>
              </w:rPr>
            </w:pPr>
          </w:p>
        </w:tc>
        <w:tc>
          <w:tcPr>
            <w:tcW w:w="1098" w:type="pct"/>
            <w:tcBorders>
              <w:top w:val="single" w:sz="4" w:space="0" w:color="auto"/>
              <w:left w:val="single" w:sz="4" w:space="0" w:color="auto"/>
              <w:bottom w:val="single" w:sz="4" w:space="0" w:color="auto"/>
              <w:right w:val="single" w:sz="4" w:space="0" w:color="auto"/>
            </w:tcBorders>
            <w:vAlign w:val="bottom"/>
            <w:hideMark/>
          </w:tcPr>
          <w:p w14:paraId="5037DAC4" w14:textId="77777777" w:rsidR="000016E2" w:rsidRPr="00BD22FE" w:rsidRDefault="000016E2" w:rsidP="00941FBF">
            <w:pPr>
              <w:rPr>
                <w:sz w:val="22"/>
                <w:szCs w:val="22"/>
                <w:lang w:val="pl-PL" w:eastAsia="en-GB"/>
              </w:rPr>
            </w:pPr>
          </w:p>
        </w:tc>
      </w:tr>
      <w:tr w:rsidR="0013513D" w:rsidRPr="00BD22FE" w14:paraId="33716911" w14:textId="77777777" w:rsidTr="0090751B">
        <w:tc>
          <w:tcPr>
            <w:tcW w:w="1084" w:type="pct"/>
            <w:vMerge/>
            <w:tcBorders>
              <w:left w:val="single" w:sz="4" w:space="0" w:color="auto"/>
              <w:right w:val="single" w:sz="4" w:space="0" w:color="auto"/>
            </w:tcBorders>
            <w:hideMark/>
          </w:tcPr>
          <w:p w14:paraId="1DEEDC6B" w14:textId="77777777" w:rsidR="000016E2" w:rsidRPr="00BD22FE" w:rsidRDefault="000016E2" w:rsidP="00941FBF">
            <w:pPr>
              <w:rPr>
                <w:sz w:val="22"/>
                <w:szCs w:val="22"/>
                <w:highlight w:val="yellow"/>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6F8AAF50"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Dyskomfort w jamie brzusznej</w:t>
            </w:r>
          </w:p>
        </w:tc>
        <w:tc>
          <w:tcPr>
            <w:tcW w:w="804" w:type="pct"/>
            <w:tcBorders>
              <w:top w:val="single" w:sz="4" w:space="0" w:color="auto"/>
              <w:left w:val="single" w:sz="4" w:space="0" w:color="auto"/>
              <w:bottom w:val="single" w:sz="4" w:space="0" w:color="auto"/>
              <w:right w:val="single" w:sz="4" w:space="0" w:color="auto"/>
            </w:tcBorders>
            <w:vAlign w:val="bottom"/>
            <w:hideMark/>
          </w:tcPr>
          <w:p w14:paraId="367483FA" w14:textId="77777777" w:rsidR="000016E2" w:rsidRPr="00BD22FE" w:rsidRDefault="000016E2" w:rsidP="00941FBF">
            <w:pPr>
              <w:rPr>
                <w:color w:val="000000"/>
                <w:sz w:val="22"/>
                <w:szCs w:val="22"/>
                <w:lang w:val="pl-PL" w:eastAsia="en-GB"/>
              </w:rPr>
            </w:pPr>
          </w:p>
        </w:tc>
        <w:tc>
          <w:tcPr>
            <w:tcW w:w="788" w:type="pct"/>
            <w:tcBorders>
              <w:top w:val="single" w:sz="4" w:space="0" w:color="auto"/>
              <w:left w:val="single" w:sz="4" w:space="0" w:color="auto"/>
              <w:bottom w:val="single" w:sz="4" w:space="0" w:color="auto"/>
              <w:right w:val="single" w:sz="4" w:space="0" w:color="auto"/>
            </w:tcBorders>
            <w:vAlign w:val="bottom"/>
            <w:hideMark/>
          </w:tcPr>
          <w:p w14:paraId="2EF7E7A9"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rzadko</w:t>
            </w:r>
          </w:p>
        </w:tc>
        <w:tc>
          <w:tcPr>
            <w:tcW w:w="1098" w:type="pct"/>
            <w:tcBorders>
              <w:top w:val="single" w:sz="4" w:space="0" w:color="auto"/>
              <w:left w:val="single" w:sz="4" w:space="0" w:color="auto"/>
              <w:bottom w:val="single" w:sz="4" w:space="0" w:color="auto"/>
              <w:right w:val="single" w:sz="4" w:space="0" w:color="auto"/>
            </w:tcBorders>
            <w:vAlign w:val="bottom"/>
            <w:hideMark/>
          </w:tcPr>
          <w:p w14:paraId="777F1010"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rzadko</w:t>
            </w:r>
          </w:p>
        </w:tc>
      </w:tr>
      <w:tr w:rsidR="0013513D" w:rsidRPr="00BD22FE" w14:paraId="6C08FB93" w14:textId="77777777" w:rsidTr="0090751B">
        <w:tc>
          <w:tcPr>
            <w:tcW w:w="1084" w:type="pct"/>
            <w:vMerge/>
            <w:tcBorders>
              <w:left w:val="single" w:sz="4" w:space="0" w:color="auto"/>
              <w:right w:val="single" w:sz="4" w:space="0" w:color="auto"/>
            </w:tcBorders>
            <w:hideMark/>
          </w:tcPr>
          <w:p w14:paraId="4A4BC9FA" w14:textId="77777777" w:rsidR="000016E2" w:rsidRPr="00BD22FE" w:rsidRDefault="000016E2" w:rsidP="00941FBF">
            <w:pPr>
              <w:rPr>
                <w:color w:val="000000"/>
                <w:sz w:val="22"/>
                <w:szCs w:val="22"/>
                <w:highlight w:val="yellow"/>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58904E8A"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Nudności</w:t>
            </w:r>
          </w:p>
        </w:tc>
        <w:tc>
          <w:tcPr>
            <w:tcW w:w="804" w:type="pct"/>
            <w:tcBorders>
              <w:top w:val="single" w:sz="4" w:space="0" w:color="auto"/>
              <w:left w:val="single" w:sz="4" w:space="0" w:color="auto"/>
              <w:bottom w:val="single" w:sz="4" w:space="0" w:color="auto"/>
              <w:right w:val="single" w:sz="4" w:space="0" w:color="auto"/>
            </w:tcBorders>
            <w:vAlign w:val="bottom"/>
            <w:hideMark/>
          </w:tcPr>
          <w:p w14:paraId="3321F25A" w14:textId="77777777" w:rsidR="000016E2" w:rsidRPr="00BD22FE" w:rsidRDefault="000016E2" w:rsidP="00941FBF">
            <w:pPr>
              <w:rPr>
                <w:color w:val="000000"/>
                <w:sz w:val="22"/>
                <w:szCs w:val="22"/>
                <w:lang w:val="pl-PL" w:eastAsia="en-GB"/>
              </w:rPr>
            </w:pPr>
          </w:p>
        </w:tc>
        <w:tc>
          <w:tcPr>
            <w:tcW w:w="788" w:type="pct"/>
            <w:tcBorders>
              <w:top w:val="single" w:sz="4" w:space="0" w:color="auto"/>
              <w:left w:val="single" w:sz="4" w:space="0" w:color="auto"/>
              <w:bottom w:val="single" w:sz="4" w:space="0" w:color="auto"/>
              <w:right w:val="single" w:sz="4" w:space="0" w:color="auto"/>
            </w:tcBorders>
            <w:vAlign w:val="bottom"/>
            <w:hideMark/>
          </w:tcPr>
          <w:p w14:paraId="385B47F4" w14:textId="77777777" w:rsidR="000016E2" w:rsidRPr="00BD22FE" w:rsidRDefault="000016E2" w:rsidP="00941FBF">
            <w:pPr>
              <w:rPr>
                <w:sz w:val="22"/>
                <w:szCs w:val="22"/>
                <w:lang w:val="pl-PL" w:eastAsia="en-GB"/>
              </w:rPr>
            </w:pPr>
          </w:p>
        </w:tc>
        <w:tc>
          <w:tcPr>
            <w:tcW w:w="1098" w:type="pct"/>
            <w:tcBorders>
              <w:top w:val="single" w:sz="4" w:space="0" w:color="auto"/>
              <w:left w:val="single" w:sz="4" w:space="0" w:color="auto"/>
              <w:bottom w:val="single" w:sz="4" w:space="0" w:color="auto"/>
              <w:right w:val="single" w:sz="4" w:space="0" w:color="auto"/>
            </w:tcBorders>
            <w:vAlign w:val="bottom"/>
            <w:hideMark/>
          </w:tcPr>
          <w:p w14:paraId="20E42CA4"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często</w:t>
            </w:r>
          </w:p>
        </w:tc>
      </w:tr>
      <w:tr w:rsidR="0013513D" w:rsidRPr="00BD22FE" w14:paraId="3E815172" w14:textId="77777777" w:rsidTr="0090751B">
        <w:tc>
          <w:tcPr>
            <w:tcW w:w="1084" w:type="pct"/>
            <w:vMerge/>
            <w:tcBorders>
              <w:left w:val="single" w:sz="4" w:space="0" w:color="auto"/>
              <w:bottom w:val="single" w:sz="4" w:space="0" w:color="auto"/>
              <w:right w:val="single" w:sz="4" w:space="0" w:color="auto"/>
            </w:tcBorders>
            <w:hideMark/>
          </w:tcPr>
          <w:p w14:paraId="1DCE8A5A" w14:textId="77777777" w:rsidR="000016E2" w:rsidRPr="00BD22FE" w:rsidRDefault="000016E2" w:rsidP="00941FBF">
            <w:pPr>
              <w:rPr>
                <w:color w:val="000000"/>
                <w:sz w:val="22"/>
                <w:szCs w:val="22"/>
                <w:highlight w:val="yellow"/>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179E6727" w14:textId="77777777" w:rsidR="000016E2" w:rsidRPr="00BD22FE" w:rsidRDefault="00104CA8" w:rsidP="00941FBF">
            <w:pPr>
              <w:rPr>
                <w:color w:val="000000"/>
                <w:sz w:val="22"/>
                <w:szCs w:val="22"/>
                <w:lang w:val="pl-PL" w:eastAsia="en-GB"/>
              </w:rPr>
            </w:pPr>
            <w:r w:rsidRPr="00BD22FE">
              <w:rPr>
                <w:sz w:val="22"/>
                <w:szCs w:val="22"/>
                <w:lang w:val="pl-PL"/>
              </w:rPr>
              <w:t>Zapalenie trzustki</w:t>
            </w:r>
          </w:p>
        </w:tc>
        <w:tc>
          <w:tcPr>
            <w:tcW w:w="804" w:type="pct"/>
            <w:tcBorders>
              <w:top w:val="single" w:sz="4" w:space="0" w:color="auto"/>
              <w:left w:val="single" w:sz="4" w:space="0" w:color="auto"/>
              <w:bottom w:val="single" w:sz="4" w:space="0" w:color="auto"/>
              <w:right w:val="single" w:sz="4" w:space="0" w:color="auto"/>
            </w:tcBorders>
            <w:vAlign w:val="bottom"/>
            <w:hideMark/>
          </w:tcPr>
          <w:p w14:paraId="32E80F72" w14:textId="77777777" w:rsidR="000016E2" w:rsidRPr="00BD22FE" w:rsidRDefault="000016E2" w:rsidP="00941FBF">
            <w:pPr>
              <w:rPr>
                <w:color w:val="000000"/>
                <w:sz w:val="22"/>
                <w:szCs w:val="22"/>
                <w:lang w:val="pl-PL" w:eastAsia="en-GB"/>
              </w:rPr>
            </w:pPr>
          </w:p>
        </w:tc>
        <w:tc>
          <w:tcPr>
            <w:tcW w:w="788" w:type="pct"/>
            <w:tcBorders>
              <w:top w:val="single" w:sz="4" w:space="0" w:color="auto"/>
              <w:left w:val="single" w:sz="4" w:space="0" w:color="auto"/>
              <w:bottom w:val="single" w:sz="4" w:space="0" w:color="auto"/>
              <w:right w:val="single" w:sz="4" w:space="0" w:color="auto"/>
            </w:tcBorders>
            <w:vAlign w:val="bottom"/>
            <w:hideMark/>
          </w:tcPr>
          <w:p w14:paraId="0BA55ECF" w14:textId="77777777" w:rsidR="000016E2" w:rsidRPr="00BD22FE" w:rsidRDefault="000016E2" w:rsidP="00941FBF">
            <w:pPr>
              <w:rPr>
                <w:sz w:val="22"/>
                <w:szCs w:val="22"/>
                <w:lang w:val="pl-PL" w:eastAsia="en-GB"/>
              </w:rPr>
            </w:pPr>
          </w:p>
        </w:tc>
        <w:tc>
          <w:tcPr>
            <w:tcW w:w="1098" w:type="pct"/>
            <w:tcBorders>
              <w:top w:val="single" w:sz="4" w:space="0" w:color="auto"/>
              <w:left w:val="single" w:sz="4" w:space="0" w:color="auto"/>
              <w:bottom w:val="single" w:sz="4" w:space="0" w:color="auto"/>
              <w:right w:val="single" w:sz="4" w:space="0" w:color="auto"/>
            </w:tcBorders>
            <w:vAlign w:val="bottom"/>
            <w:hideMark/>
          </w:tcPr>
          <w:p w14:paraId="6232EF3B"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bardzo rzadko</w:t>
            </w:r>
          </w:p>
        </w:tc>
      </w:tr>
      <w:tr w:rsidR="0013513D" w:rsidRPr="00BD22FE" w14:paraId="10BDD252" w14:textId="77777777" w:rsidTr="0090751B">
        <w:tc>
          <w:tcPr>
            <w:tcW w:w="1084" w:type="pct"/>
            <w:vMerge w:val="restart"/>
            <w:tcBorders>
              <w:top w:val="single" w:sz="4" w:space="0" w:color="auto"/>
              <w:left w:val="single" w:sz="4" w:space="0" w:color="auto"/>
              <w:right w:val="single" w:sz="4" w:space="0" w:color="auto"/>
            </w:tcBorders>
            <w:hideMark/>
          </w:tcPr>
          <w:p w14:paraId="3507858B" w14:textId="2F4EB740" w:rsidR="000016E2" w:rsidRPr="00BD22FE" w:rsidRDefault="00104CA8" w:rsidP="00941FBF">
            <w:pPr>
              <w:rPr>
                <w:b/>
                <w:bCs/>
                <w:color w:val="000000"/>
                <w:sz w:val="22"/>
                <w:szCs w:val="22"/>
                <w:highlight w:val="yellow"/>
                <w:lang w:val="pl-PL" w:eastAsia="en-GB"/>
              </w:rPr>
            </w:pPr>
            <w:r w:rsidRPr="00BD22FE">
              <w:rPr>
                <w:b/>
                <w:bCs/>
                <w:sz w:val="22"/>
                <w:szCs w:val="22"/>
                <w:lang w:val="pl-PL"/>
              </w:rPr>
              <w:t>Zaburzenia wątroby i</w:t>
            </w:r>
            <w:r w:rsidR="00717A7B" w:rsidRPr="00BD22FE">
              <w:rPr>
                <w:b/>
                <w:bCs/>
                <w:sz w:val="22"/>
                <w:szCs w:val="22"/>
                <w:lang w:val="pl-PL"/>
              </w:rPr>
              <w:t> </w:t>
            </w:r>
            <w:r w:rsidRPr="00BD22FE">
              <w:rPr>
                <w:b/>
                <w:bCs/>
                <w:sz w:val="22"/>
                <w:szCs w:val="22"/>
                <w:lang w:val="pl-PL"/>
              </w:rPr>
              <w:t>dróg żółciowych</w:t>
            </w:r>
          </w:p>
        </w:tc>
        <w:tc>
          <w:tcPr>
            <w:tcW w:w="1226" w:type="pct"/>
            <w:tcBorders>
              <w:top w:val="single" w:sz="4" w:space="0" w:color="auto"/>
              <w:left w:val="single" w:sz="4" w:space="0" w:color="auto"/>
              <w:bottom w:val="single" w:sz="4" w:space="0" w:color="auto"/>
              <w:right w:val="single" w:sz="4" w:space="0" w:color="auto"/>
            </w:tcBorders>
            <w:vAlign w:val="bottom"/>
            <w:hideMark/>
          </w:tcPr>
          <w:p w14:paraId="7C9AF9C9" w14:textId="470DBAB7" w:rsidR="000016E2" w:rsidRPr="00BD22FE" w:rsidRDefault="00104CA8" w:rsidP="00941FBF">
            <w:pPr>
              <w:rPr>
                <w:color w:val="000000"/>
                <w:sz w:val="22"/>
                <w:szCs w:val="22"/>
                <w:lang w:val="pl-PL" w:eastAsia="en-GB"/>
              </w:rPr>
            </w:pPr>
            <w:r w:rsidRPr="00BD22FE">
              <w:rPr>
                <w:sz w:val="22"/>
                <w:szCs w:val="22"/>
                <w:lang w:val="pl-PL"/>
              </w:rPr>
              <w:t xml:space="preserve">Nieprawidłowa czynność wątroby/zaburzenia </w:t>
            </w:r>
            <w:r w:rsidR="005F0B34" w:rsidRPr="00BD22FE">
              <w:rPr>
                <w:sz w:val="22"/>
                <w:szCs w:val="22"/>
                <w:lang w:val="pl-PL"/>
              </w:rPr>
              <w:t xml:space="preserve">czynności </w:t>
            </w:r>
            <w:r w:rsidRPr="00BD22FE">
              <w:rPr>
                <w:sz w:val="22"/>
                <w:szCs w:val="22"/>
                <w:lang w:val="pl-PL"/>
              </w:rPr>
              <w:t>wątroby</w:t>
            </w:r>
          </w:p>
        </w:tc>
        <w:tc>
          <w:tcPr>
            <w:tcW w:w="804" w:type="pct"/>
            <w:tcBorders>
              <w:top w:val="single" w:sz="4" w:space="0" w:color="auto"/>
              <w:left w:val="single" w:sz="4" w:space="0" w:color="auto"/>
              <w:bottom w:val="single" w:sz="4" w:space="0" w:color="auto"/>
              <w:right w:val="single" w:sz="4" w:space="0" w:color="auto"/>
            </w:tcBorders>
            <w:vAlign w:val="bottom"/>
            <w:hideMark/>
          </w:tcPr>
          <w:p w14:paraId="606DA17C"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rzadko</w:t>
            </w:r>
            <w:r w:rsidRPr="00BD22FE">
              <w:rPr>
                <w:color w:val="000000"/>
                <w:sz w:val="22"/>
                <w:szCs w:val="22"/>
                <w:vertAlign w:val="superscript"/>
                <w:lang w:val="pl-PL" w:eastAsia="en-GB"/>
              </w:rPr>
              <w:t>2</w:t>
            </w:r>
          </w:p>
        </w:tc>
        <w:tc>
          <w:tcPr>
            <w:tcW w:w="788" w:type="pct"/>
            <w:tcBorders>
              <w:top w:val="single" w:sz="4" w:space="0" w:color="auto"/>
              <w:left w:val="single" w:sz="4" w:space="0" w:color="auto"/>
              <w:bottom w:val="single" w:sz="4" w:space="0" w:color="auto"/>
              <w:right w:val="single" w:sz="4" w:space="0" w:color="auto"/>
            </w:tcBorders>
            <w:vAlign w:val="bottom"/>
            <w:hideMark/>
          </w:tcPr>
          <w:p w14:paraId="68D8E97C"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rzadko</w:t>
            </w:r>
            <w:r w:rsidRPr="00BD22FE">
              <w:rPr>
                <w:color w:val="000000"/>
                <w:sz w:val="22"/>
                <w:szCs w:val="22"/>
                <w:vertAlign w:val="superscript"/>
                <w:lang w:val="pl-PL" w:eastAsia="en-GB"/>
              </w:rPr>
              <w:t>2</w:t>
            </w:r>
          </w:p>
        </w:tc>
        <w:tc>
          <w:tcPr>
            <w:tcW w:w="1098" w:type="pct"/>
            <w:tcBorders>
              <w:top w:val="single" w:sz="4" w:space="0" w:color="auto"/>
              <w:left w:val="single" w:sz="4" w:space="0" w:color="auto"/>
              <w:bottom w:val="single" w:sz="4" w:space="0" w:color="auto"/>
              <w:right w:val="single" w:sz="4" w:space="0" w:color="auto"/>
            </w:tcBorders>
            <w:vAlign w:val="bottom"/>
            <w:hideMark/>
          </w:tcPr>
          <w:p w14:paraId="64823946" w14:textId="77777777" w:rsidR="000016E2" w:rsidRPr="00BD22FE" w:rsidRDefault="000016E2" w:rsidP="00941FBF">
            <w:pPr>
              <w:rPr>
                <w:color w:val="000000"/>
                <w:sz w:val="22"/>
                <w:szCs w:val="22"/>
                <w:lang w:val="pl-PL" w:eastAsia="en-GB"/>
              </w:rPr>
            </w:pPr>
          </w:p>
        </w:tc>
      </w:tr>
      <w:tr w:rsidR="0013513D" w:rsidRPr="00BD22FE" w14:paraId="2235B2A0" w14:textId="77777777" w:rsidTr="0090751B">
        <w:tc>
          <w:tcPr>
            <w:tcW w:w="1084" w:type="pct"/>
            <w:vMerge/>
            <w:tcBorders>
              <w:left w:val="single" w:sz="4" w:space="0" w:color="auto"/>
              <w:right w:val="single" w:sz="4" w:space="0" w:color="auto"/>
            </w:tcBorders>
            <w:hideMark/>
          </w:tcPr>
          <w:p w14:paraId="0142288D" w14:textId="77777777" w:rsidR="000016E2" w:rsidRPr="00BD22FE" w:rsidRDefault="000016E2" w:rsidP="00941FBF">
            <w:pPr>
              <w:rPr>
                <w:sz w:val="22"/>
                <w:szCs w:val="22"/>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621A4C36"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Żółtaczka</w:t>
            </w:r>
          </w:p>
        </w:tc>
        <w:tc>
          <w:tcPr>
            <w:tcW w:w="804" w:type="pct"/>
            <w:tcBorders>
              <w:top w:val="single" w:sz="4" w:space="0" w:color="auto"/>
              <w:left w:val="single" w:sz="4" w:space="0" w:color="auto"/>
              <w:bottom w:val="single" w:sz="4" w:space="0" w:color="auto"/>
              <w:right w:val="single" w:sz="4" w:space="0" w:color="auto"/>
            </w:tcBorders>
            <w:vAlign w:val="bottom"/>
            <w:hideMark/>
          </w:tcPr>
          <w:p w14:paraId="25EAAD27" w14:textId="77777777" w:rsidR="000016E2" w:rsidRPr="00BD22FE" w:rsidRDefault="000016E2" w:rsidP="00941FBF">
            <w:pPr>
              <w:rPr>
                <w:color w:val="000000"/>
                <w:sz w:val="22"/>
                <w:szCs w:val="22"/>
                <w:lang w:val="pl-PL" w:eastAsia="en-GB"/>
              </w:rPr>
            </w:pPr>
          </w:p>
        </w:tc>
        <w:tc>
          <w:tcPr>
            <w:tcW w:w="788" w:type="pct"/>
            <w:tcBorders>
              <w:top w:val="single" w:sz="4" w:space="0" w:color="auto"/>
              <w:left w:val="single" w:sz="4" w:space="0" w:color="auto"/>
              <w:bottom w:val="single" w:sz="4" w:space="0" w:color="auto"/>
              <w:right w:val="single" w:sz="4" w:space="0" w:color="auto"/>
            </w:tcBorders>
            <w:vAlign w:val="bottom"/>
            <w:hideMark/>
          </w:tcPr>
          <w:p w14:paraId="370187F0" w14:textId="77777777" w:rsidR="000016E2" w:rsidRPr="00BD22FE" w:rsidRDefault="000016E2" w:rsidP="00941FBF">
            <w:pPr>
              <w:rPr>
                <w:sz w:val="22"/>
                <w:szCs w:val="22"/>
                <w:lang w:val="pl-PL" w:eastAsia="en-GB"/>
              </w:rPr>
            </w:pPr>
          </w:p>
        </w:tc>
        <w:tc>
          <w:tcPr>
            <w:tcW w:w="1098" w:type="pct"/>
            <w:tcBorders>
              <w:top w:val="single" w:sz="4" w:space="0" w:color="auto"/>
              <w:left w:val="single" w:sz="4" w:space="0" w:color="auto"/>
              <w:bottom w:val="single" w:sz="4" w:space="0" w:color="auto"/>
              <w:right w:val="single" w:sz="4" w:space="0" w:color="auto"/>
            </w:tcBorders>
            <w:hideMark/>
          </w:tcPr>
          <w:p w14:paraId="50C8C2B3"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rzadko</w:t>
            </w:r>
          </w:p>
        </w:tc>
      </w:tr>
      <w:tr w:rsidR="0013513D" w:rsidRPr="00BD22FE" w14:paraId="6269ED4C" w14:textId="77777777" w:rsidTr="0090751B">
        <w:tc>
          <w:tcPr>
            <w:tcW w:w="1084" w:type="pct"/>
            <w:vMerge/>
            <w:tcBorders>
              <w:left w:val="single" w:sz="4" w:space="0" w:color="auto"/>
              <w:bottom w:val="single" w:sz="4" w:space="0" w:color="auto"/>
              <w:right w:val="single" w:sz="4" w:space="0" w:color="auto"/>
            </w:tcBorders>
            <w:hideMark/>
          </w:tcPr>
          <w:p w14:paraId="413BAA53" w14:textId="77777777" w:rsidR="000016E2" w:rsidRPr="00BD22FE" w:rsidRDefault="000016E2" w:rsidP="00941FBF">
            <w:pPr>
              <w:rPr>
                <w:color w:val="000000"/>
                <w:sz w:val="22"/>
                <w:szCs w:val="22"/>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29021B34"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Zastój żółci</w:t>
            </w:r>
          </w:p>
        </w:tc>
        <w:tc>
          <w:tcPr>
            <w:tcW w:w="804" w:type="pct"/>
            <w:tcBorders>
              <w:top w:val="single" w:sz="4" w:space="0" w:color="auto"/>
              <w:left w:val="single" w:sz="4" w:space="0" w:color="auto"/>
              <w:bottom w:val="single" w:sz="4" w:space="0" w:color="auto"/>
              <w:right w:val="single" w:sz="4" w:space="0" w:color="auto"/>
            </w:tcBorders>
            <w:vAlign w:val="bottom"/>
            <w:hideMark/>
          </w:tcPr>
          <w:p w14:paraId="50DA66B1" w14:textId="77777777" w:rsidR="000016E2" w:rsidRPr="00BD22FE" w:rsidRDefault="000016E2" w:rsidP="00941FBF">
            <w:pPr>
              <w:rPr>
                <w:color w:val="000000"/>
                <w:sz w:val="22"/>
                <w:szCs w:val="22"/>
                <w:lang w:val="pl-PL" w:eastAsia="en-GB"/>
              </w:rPr>
            </w:pPr>
          </w:p>
        </w:tc>
        <w:tc>
          <w:tcPr>
            <w:tcW w:w="788" w:type="pct"/>
            <w:tcBorders>
              <w:top w:val="single" w:sz="4" w:space="0" w:color="auto"/>
              <w:left w:val="single" w:sz="4" w:space="0" w:color="auto"/>
              <w:bottom w:val="single" w:sz="4" w:space="0" w:color="auto"/>
              <w:right w:val="single" w:sz="4" w:space="0" w:color="auto"/>
            </w:tcBorders>
            <w:vAlign w:val="bottom"/>
            <w:hideMark/>
          </w:tcPr>
          <w:p w14:paraId="65A2751B" w14:textId="77777777" w:rsidR="000016E2" w:rsidRPr="00BD22FE" w:rsidRDefault="000016E2" w:rsidP="00941FBF">
            <w:pPr>
              <w:rPr>
                <w:sz w:val="22"/>
                <w:szCs w:val="22"/>
                <w:lang w:val="pl-PL" w:eastAsia="en-GB"/>
              </w:rPr>
            </w:pPr>
          </w:p>
        </w:tc>
        <w:tc>
          <w:tcPr>
            <w:tcW w:w="1098" w:type="pct"/>
            <w:tcBorders>
              <w:top w:val="single" w:sz="4" w:space="0" w:color="auto"/>
              <w:left w:val="single" w:sz="4" w:space="0" w:color="auto"/>
              <w:bottom w:val="single" w:sz="4" w:space="0" w:color="auto"/>
              <w:right w:val="single" w:sz="4" w:space="0" w:color="auto"/>
            </w:tcBorders>
            <w:hideMark/>
          </w:tcPr>
          <w:p w14:paraId="247380BA"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rzadko</w:t>
            </w:r>
          </w:p>
        </w:tc>
      </w:tr>
      <w:tr w:rsidR="0013513D" w:rsidRPr="00BD22FE" w14:paraId="0B66B1EA" w14:textId="77777777" w:rsidTr="0090751B">
        <w:tc>
          <w:tcPr>
            <w:tcW w:w="1084" w:type="pct"/>
            <w:vMerge w:val="restart"/>
            <w:tcBorders>
              <w:top w:val="single" w:sz="4" w:space="0" w:color="auto"/>
              <w:left w:val="single" w:sz="4" w:space="0" w:color="auto"/>
              <w:right w:val="single" w:sz="4" w:space="0" w:color="auto"/>
            </w:tcBorders>
            <w:hideMark/>
          </w:tcPr>
          <w:p w14:paraId="62CAA529" w14:textId="77777777" w:rsidR="000016E2" w:rsidRPr="00BD22FE" w:rsidRDefault="00104CA8" w:rsidP="00941FBF">
            <w:pPr>
              <w:rPr>
                <w:b/>
                <w:bCs/>
                <w:color w:val="000000"/>
                <w:sz w:val="22"/>
                <w:szCs w:val="22"/>
                <w:lang w:val="pl-PL" w:eastAsia="en-GB"/>
              </w:rPr>
            </w:pPr>
            <w:r w:rsidRPr="00BD22FE">
              <w:rPr>
                <w:b/>
                <w:bCs/>
                <w:sz w:val="22"/>
                <w:szCs w:val="22"/>
                <w:lang w:val="pl-PL"/>
              </w:rPr>
              <w:t>Zaburzenia skóry i tkanki podskórnej</w:t>
            </w:r>
          </w:p>
        </w:tc>
        <w:tc>
          <w:tcPr>
            <w:tcW w:w="1226" w:type="pct"/>
            <w:tcBorders>
              <w:top w:val="single" w:sz="4" w:space="0" w:color="auto"/>
              <w:left w:val="single" w:sz="4" w:space="0" w:color="auto"/>
              <w:bottom w:val="single" w:sz="4" w:space="0" w:color="auto"/>
              <w:right w:val="single" w:sz="4" w:space="0" w:color="auto"/>
            </w:tcBorders>
            <w:vAlign w:val="bottom"/>
            <w:hideMark/>
          </w:tcPr>
          <w:p w14:paraId="132EF37C" w14:textId="748C4141" w:rsidR="000016E2" w:rsidRPr="00BD22FE" w:rsidRDefault="00104CA8" w:rsidP="00941FBF">
            <w:pPr>
              <w:rPr>
                <w:color w:val="000000"/>
                <w:sz w:val="22"/>
                <w:szCs w:val="22"/>
                <w:lang w:val="pl-PL" w:eastAsia="en-GB"/>
              </w:rPr>
            </w:pPr>
            <w:r w:rsidRPr="00BD22FE">
              <w:rPr>
                <w:sz w:val="22"/>
                <w:szCs w:val="22"/>
                <w:lang w:val="pl-PL"/>
              </w:rPr>
              <w:t>Obrzęk naczynioruchowy (</w:t>
            </w:r>
            <w:r w:rsidR="005F0B34" w:rsidRPr="00BD22FE">
              <w:rPr>
                <w:sz w:val="22"/>
                <w:szCs w:val="22"/>
                <w:lang w:val="pl-PL"/>
              </w:rPr>
              <w:t xml:space="preserve">w tym </w:t>
            </w:r>
            <w:r w:rsidRPr="00BD22FE">
              <w:rPr>
                <w:sz w:val="22"/>
                <w:szCs w:val="22"/>
                <w:lang w:val="pl-PL"/>
              </w:rPr>
              <w:t>zakończony zgonem)</w:t>
            </w:r>
          </w:p>
        </w:tc>
        <w:tc>
          <w:tcPr>
            <w:tcW w:w="804" w:type="pct"/>
            <w:tcBorders>
              <w:top w:val="single" w:sz="4" w:space="0" w:color="auto"/>
              <w:left w:val="single" w:sz="4" w:space="0" w:color="auto"/>
              <w:bottom w:val="single" w:sz="4" w:space="0" w:color="auto"/>
              <w:right w:val="single" w:sz="4" w:space="0" w:color="auto"/>
            </w:tcBorders>
            <w:vAlign w:val="bottom"/>
            <w:hideMark/>
          </w:tcPr>
          <w:p w14:paraId="0B3F8A82"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rzadko</w:t>
            </w:r>
          </w:p>
        </w:tc>
        <w:tc>
          <w:tcPr>
            <w:tcW w:w="788" w:type="pct"/>
            <w:tcBorders>
              <w:top w:val="single" w:sz="4" w:space="0" w:color="auto"/>
              <w:left w:val="single" w:sz="4" w:space="0" w:color="auto"/>
              <w:bottom w:val="single" w:sz="4" w:space="0" w:color="auto"/>
              <w:right w:val="single" w:sz="4" w:space="0" w:color="auto"/>
            </w:tcBorders>
            <w:vAlign w:val="bottom"/>
            <w:hideMark/>
          </w:tcPr>
          <w:p w14:paraId="1FB14205"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rzadko</w:t>
            </w:r>
          </w:p>
        </w:tc>
        <w:tc>
          <w:tcPr>
            <w:tcW w:w="1098" w:type="pct"/>
            <w:tcBorders>
              <w:top w:val="single" w:sz="4" w:space="0" w:color="auto"/>
              <w:left w:val="single" w:sz="4" w:space="0" w:color="auto"/>
              <w:bottom w:val="single" w:sz="4" w:space="0" w:color="auto"/>
              <w:right w:val="single" w:sz="4" w:space="0" w:color="auto"/>
            </w:tcBorders>
            <w:vAlign w:val="bottom"/>
            <w:hideMark/>
          </w:tcPr>
          <w:p w14:paraId="6E3E7468" w14:textId="77777777" w:rsidR="000016E2" w:rsidRPr="00BD22FE" w:rsidRDefault="000016E2" w:rsidP="00941FBF">
            <w:pPr>
              <w:rPr>
                <w:color w:val="000000"/>
                <w:sz w:val="22"/>
                <w:szCs w:val="22"/>
                <w:lang w:val="pl-PL" w:eastAsia="en-GB"/>
              </w:rPr>
            </w:pPr>
          </w:p>
        </w:tc>
      </w:tr>
      <w:tr w:rsidR="0013513D" w:rsidRPr="00BD22FE" w14:paraId="52A6ED2E" w14:textId="77777777" w:rsidTr="0090751B">
        <w:tc>
          <w:tcPr>
            <w:tcW w:w="1084" w:type="pct"/>
            <w:vMerge/>
            <w:tcBorders>
              <w:left w:val="single" w:sz="4" w:space="0" w:color="auto"/>
              <w:right w:val="single" w:sz="4" w:space="0" w:color="auto"/>
            </w:tcBorders>
            <w:hideMark/>
          </w:tcPr>
          <w:p w14:paraId="699F0772" w14:textId="77777777" w:rsidR="000016E2" w:rsidRPr="00BD22FE" w:rsidRDefault="000016E2" w:rsidP="00941FBF">
            <w:pPr>
              <w:rPr>
                <w:sz w:val="22"/>
                <w:szCs w:val="22"/>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14ED9947" w14:textId="77777777" w:rsidR="000016E2" w:rsidRPr="00BD22FE" w:rsidRDefault="00104CA8" w:rsidP="00941FBF">
            <w:pPr>
              <w:rPr>
                <w:color w:val="000000"/>
                <w:sz w:val="22"/>
                <w:szCs w:val="22"/>
                <w:lang w:val="pl-PL" w:eastAsia="en-GB"/>
              </w:rPr>
            </w:pPr>
            <w:r w:rsidRPr="00BD22FE">
              <w:rPr>
                <w:sz w:val="22"/>
                <w:szCs w:val="22"/>
                <w:lang w:val="pl-PL"/>
              </w:rPr>
              <w:t>Rumień</w:t>
            </w:r>
          </w:p>
        </w:tc>
        <w:tc>
          <w:tcPr>
            <w:tcW w:w="804" w:type="pct"/>
            <w:tcBorders>
              <w:top w:val="single" w:sz="4" w:space="0" w:color="auto"/>
              <w:left w:val="single" w:sz="4" w:space="0" w:color="auto"/>
              <w:bottom w:val="single" w:sz="4" w:space="0" w:color="auto"/>
              <w:right w:val="single" w:sz="4" w:space="0" w:color="auto"/>
            </w:tcBorders>
            <w:hideMark/>
          </w:tcPr>
          <w:p w14:paraId="7A1DEBBE"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rzadko</w:t>
            </w:r>
          </w:p>
        </w:tc>
        <w:tc>
          <w:tcPr>
            <w:tcW w:w="788" w:type="pct"/>
            <w:tcBorders>
              <w:top w:val="single" w:sz="4" w:space="0" w:color="auto"/>
              <w:left w:val="single" w:sz="4" w:space="0" w:color="auto"/>
              <w:bottom w:val="single" w:sz="4" w:space="0" w:color="auto"/>
              <w:right w:val="single" w:sz="4" w:space="0" w:color="auto"/>
            </w:tcBorders>
            <w:vAlign w:val="bottom"/>
            <w:hideMark/>
          </w:tcPr>
          <w:p w14:paraId="68E9C5A4"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rzadko</w:t>
            </w:r>
          </w:p>
        </w:tc>
        <w:tc>
          <w:tcPr>
            <w:tcW w:w="1098" w:type="pct"/>
            <w:tcBorders>
              <w:top w:val="single" w:sz="4" w:space="0" w:color="auto"/>
              <w:left w:val="single" w:sz="4" w:space="0" w:color="auto"/>
              <w:bottom w:val="single" w:sz="4" w:space="0" w:color="auto"/>
              <w:right w:val="single" w:sz="4" w:space="0" w:color="auto"/>
            </w:tcBorders>
            <w:vAlign w:val="bottom"/>
            <w:hideMark/>
          </w:tcPr>
          <w:p w14:paraId="6B501AE3" w14:textId="77777777" w:rsidR="000016E2" w:rsidRPr="00BD22FE" w:rsidRDefault="000016E2" w:rsidP="00941FBF">
            <w:pPr>
              <w:rPr>
                <w:color w:val="000000"/>
                <w:sz w:val="22"/>
                <w:szCs w:val="22"/>
                <w:lang w:val="pl-PL" w:eastAsia="en-GB"/>
              </w:rPr>
            </w:pPr>
          </w:p>
        </w:tc>
      </w:tr>
      <w:tr w:rsidR="0013513D" w:rsidRPr="00BD22FE" w14:paraId="4B278DF5" w14:textId="77777777" w:rsidTr="0090751B">
        <w:tc>
          <w:tcPr>
            <w:tcW w:w="1084" w:type="pct"/>
            <w:vMerge/>
            <w:tcBorders>
              <w:left w:val="single" w:sz="4" w:space="0" w:color="auto"/>
              <w:right w:val="single" w:sz="4" w:space="0" w:color="auto"/>
            </w:tcBorders>
            <w:hideMark/>
          </w:tcPr>
          <w:p w14:paraId="3FD27C7D" w14:textId="77777777" w:rsidR="000016E2" w:rsidRPr="00BD22FE" w:rsidRDefault="000016E2" w:rsidP="00941FBF">
            <w:pPr>
              <w:rPr>
                <w:sz w:val="22"/>
                <w:szCs w:val="22"/>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08FE9890" w14:textId="77777777" w:rsidR="000016E2" w:rsidRPr="00BD22FE" w:rsidRDefault="00104CA8" w:rsidP="00941FBF">
            <w:pPr>
              <w:rPr>
                <w:color w:val="000000"/>
                <w:sz w:val="22"/>
                <w:szCs w:val="22"/>
                <w:lang w:val="pl-PL" w:eastAsia="en-GB"/>
              </w:rPr>
            </w:pPr>
            <w:r w:rsidRPr="00BD22FE">
              <w:rPr>
                <w:sz w:val="22"/>
                <w:szCs w:val="22"/>
                <w:lang w:val="pl-PL"/>
              </w:rPr>
              <w:t>Świąd</w:t>
            </w:r>
          </w:p>
        </w:tc>
        <w:tc>
          <w:tcPr>
            <w:tcW w:w="804" w:type="pct"/>
            <w:tcBorders>
              <w:top w:val="single" w:sz="4" w:space="0" w:color="auto"/>
              <w:left w:val="single" w:sz="4" w:space="0" w:color="auto"/>
              <w:bottom w:val="single" w:sz="4" w:space="0" w:color="auto"/>
              <w:right w:val="single" w:sz="4" w:space="0" w:color="auto"/>
            </w:tcBorders>
            <w:hideMark/>
          </w:tcPr>
          <w:p w14:paraId="2A2F74ED"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rzadko</w:t>
            </w:r>
          </w:p>
        </w:tc>
        <w:tc>
          <w:tcPr>
            <w:tcW w:w="788" w:type="pct"/>
            <w:tcBorders>
              <w:top w:val="single" w:sz="4" w:space="0" w:color="auto"/>
              <w:left w:val="single" w:sz="4" w:space="0" w:color="auto"/>
              <w:bottom w:val="single" w:sz="4" w:space="0" w:color="auto"/>
              <w:right w:val="single" w:sz="4" w:space="0" w:color="auto"/>
            </w:tcBorders>
            <w:hideMark/>
          </w:tcPr>
          <w:p w14:paraId="79A56CCE"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niezbyt często</w:t>
            </w:r>
          </w:p>
        </w:tc>
        <w:tc>
          <w:tcPr>
            <w:tcW w:w="1098" w:type="pct"/>
            <w:tcBorders>
              <w:top w:val="single" w:sz="4" w:space="0" w:color="auto"/>
              <w:left w:val="single" w:sz="4" w:space="0" w:color="auto"/>
              <w:bottom w:val="single" w:sz="4" w:space="0" w:color="auto"/>
              <w:right w:val="single" w:sz="4" w:space="0" w:color="auto"/>
            </w:tcBorders>
            <w:vAlign w:val="bottom"/>
            <w:hideMark/>
          </w:tcPr>
          <w:p w14:paraId="5A4C0A54" w14:textId="77777777" w:rsidR="000016E2" w:rsidRPr="00BD22FE" w:rsidRDefault="000016E2" w:rsidP="00941FBF">
            <w:pPr>
              <w:rPr>
                <w:color w:val="000000"/>
                <w:sz w:val="22"/>
                <w:szCs w:val="22"/>
                <w:lang w:val="pl-PL" w:eastAsia="en-GB"/>
              </w:rPr>
            </w:pPr>
          </w:p>
        </w:tc>
      </w:tr>
      <w:tr w:rsidR="0013513D" w:rsidRPr="00BD22FE" w14:paraId="36AC8388" w14:textId="77777777" w:rsidTr="0090751B">
        <w:tc>
          <w:tcPr>
            <w:tcW w:w="1084" w:type="pct"/>
            <w:vMerge/>
            <w:tcBorders>
              <w:left w:val="single" w:sz="4" w:space="0" w:color="auto"/>
              <w:right w:val="single" w:sz="4" w:space="0" w:color="auto"/>
            </w:tcBorders>
            <w:hideMark/>
          </w:tcPr>
          <w:p w14:paraId="3AABEC1C" w14:textId="77777777" w:rsidR="000016E2" w:rsidRPr="00BD22FE" w:rsidRDefault="000016E2" w:rsidP="00941FBF">
            <w:pPr>
              <w:rPr>
                <w:sz w:val="22"/>
                <w:szCs w:val="22"/>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708DB593" w14:textId="77777777" w:rsidR="000016E2" w:rsidRPr="00BD22FE" w:rsidRDefault="00104CA8" w:rsidP="00941FBF">
            <w:pPr>
              <w:rPr>
                <w:color w:val="000000"/>
                <w:sz w:val="22"/>
                <w:szCs w:val="22"/>
                <w:lang w:val="pl-PL" w:eastAsia="en-GB"/>
              </w:rPr>
            </w:pPr>
            <w:r w:rsidRPr="00BD22FE">
              <w:rPr>
                <w:sz w:val="22"/>
                <w:szCs w:val="22"/>
                <w:lang w:val="pl-PL"/>
              </w:rPr>
              <w:t>Wysypka</w:t>
            </w:r>
          </w:p>
        </w:tc>
        <w:tc>
          <w:tcPr>
            <w:tcW w:w="804" w:type="pct"/>
            <w:tcBorders>
              <w:top w:val="single" w:sz="4" w:space="0" w:color="auto"/>
              <w:left w:val="single" w:sz="4" w:space="0" w:color="auto"/>
              <w:bottom w:val="single" w:sz="4" w:space="0" w:color="auto"/>
              <w:right w:val="single" w:sz="4" w:space="0" w:color="auto"/>
            </w:tcBorders>
            <w:hideMark/>
          </w:tcPr>
          <w:p w14:paraId="077BCC94"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rzadko</w:t>
            </w:r>
          </w:p>
        </w:tc>
        <w:tc>
          <w:tcPr>
            <w:tcW w:w="788" w:type="pct"/>
            <w:tcBorders>
              <w:top w:val="single" w:sz="4" w:space="0" w:color="auto"/>
              <w:left w:val="single" w:sz="4" w:space="0" w:color="auto"/>
              <w:bottom w:val="single" w:sz="4" w:space="0" w:color="auto"/>
              <w:right w:val="single" w:sz="4" w:space="0" w:color="auto"/>
            </w:tcBorders>
            <w:hideMark/>
          </w:tcPr>
          <w:p w14:paraId="33640D21"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niezbyt często</w:t>
            </w:r>
          </w:p>
        </w:tc>
        <w:tc>
          <w:tcPr>
            <w:tcW w:w="1098" w:type="pct"/>
            <w:tcBorders>
              <w:top w:val="single" w:sz="4" w:space="0" w:color="auto"/>
              <w:left w:val="single" w:sz="4" w:space="0" w:color="auto"/>
              <w:bottom w:val="single" w:sz="4" w:space="0" w:color="auto"/>
              <w:right w:val="single" w:sz="4" w:space="0" w:color="auto"/>
            </w:tcBorders>
            <w:vAlign w:val="bottom"/>
            <w:hideMark/>
          </w:tcPr>
          <w:p w14:paraId="205869C8"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często</w:t>
            </w:r>
          </w:p>
        </w:tc>
      </w:tr>
      <w:tr w:rsidR="0013513D" w:rsidRPr="00BD22FE" w14:paraId="742FF2C5" w14:textId="77777777" w:rsidTr="0090751B">
        <w:tc>
          <w:tcPr>
            <w:tcW w:w="1084" w:type="pct"/>
            <w:vMerge/>
            <w:tcBorders>
              <w:left w:val="single" w:sz="4" w:space="0" w:color="auto"/>
              <w:right w:val="single" w:sz="4" w:space="0" w:color="auto"/>
            </w:tcBorders>
            <w:hideMark/>
          </w:tcPr>
          <w:p w14:paraId="524608CC" w14:textId="77777777" w:rsidR="000016E2" w:rsidRPr="00BD22FE" w:rsidRDefault="000016E2" w:rsidP="00941FBF">
            <w:pPr>
              <w:rPr>
                <w:color w:val="000000"/>
                <w:sz w:val="22"/>
                <w:szCs w:val="22"/>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63CC5A8A" w14:textId="77777777" w:rsidR="000016E2" w:rsidRPr="00BD22FE" w:rsidRDefault="00104CA8" w:rsidP="00941FBF">
            <w:pPr>
              <w:rPr>
                <w:color w:val="000000"/>
                <w:sz w:val="22"/>
                <w:szCs w:val="22"/>
                <w:lang w:val="pl-PL" w:eastAsia="en-GB"/>
              </w:rPr>
            </w:pPr>
            <w:r w:rsidRPr="00BD22FE">
              <w:rPr>
                <w:sz w:val="22"/>
                <w:szCs w:val="22"/>
                <w:lang w:val="pl-PL"/>
              </w:rPr>
              <w:t>Nadmierne pocenie się</w:t>
            </w:r>
          </w:p>
        </w:tc>
        <w:tc>
          <w:tcPr>
            <w:tcW w:w="804" w:type="pct"/>
            <w:tcBorders>
              <w:top w:val="single" w:sz="4" w:space="0" w:color="auto"/>
              <w:left w:val="single" w:sz="4" w:space="0" w:color="auto"/>
              <w:bottom w:val="single" w:sz="4" w:space="0" w:color="auto"/>
              <w:right w:val="single" w:sz="4" w:space="0" w:color="auto"/>
            </w:tcBorders>
            <w:hideMark/>
          </w:tcPr>
          <w:p w14:paraId="31BA5792"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rzadko</w:t>
            </w:r>
          </w:p>
        </w:tc>
        <w:tc>
          <w:tcPr>
            <w:tcW w:w="788" w:type="pct"/>
            <w:tcBorders>
              <w:top w:val="single" w:sz="4" w:space="0" w:color="auto"/>
              <w:left w:val="single" w:sz="4" w:space="0" w:color="auto"/>
              <w:bottom w:val="single" w:sz="4" w:space="0" w:color="auto"/>
              <w:right w:val="single" w:sz="4" w:space="0" w:color="auto"/>
            </w:tcBorders>
            <w:hideMark/>
          </w:tcPr>
          <w:p w14:paraId="54BE440B"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niezbyt często</w:t>
            </w:r>
          </w:p>
        </w:tc>
        <w:tc>
          <w:tcPr>
            <w:tcW w:w="1098" w:type="pct"/>
            <w:tcBorders>
              <w:top w:val="single" w:sz="4" w:space="0" w:color="auto"/>
              <w:left w:val="single" w:sz="4" w:space="0" w:color="auto"/>
              <w:bottom w:val="single" w:sz="4" w:space="0" w:color="auto"/>
              <w:right w:val="single" w:sz="4" w:space="0" w:color="auto"/>
            </w:tcBorders>
            <w:vAlign w:val="bottom"/>
            <w:hideMark/>
          </w:tcPr>
          <w:p w14:paraId="22454931" w14:textId="77777777" w:rsidR="000016E2" w:rsidRPr="00BD22FE" w:rsidRDefault="000016E2" w:rsidP="00941FBF">
            <w:pPr>
              <w:rPr>
                <w:color w:val="000000"/>
                <w:sz w:val="22"/>
                <w:szCs w:val="22"/>
                <w:lang w:val="pl-PL" w:eastAsia="en-GB"/>
              </w:rPr>
            </w:pPr>
          </w:p>
        </w:tc>
      </w:tr>
      <w:tr w:rsidR="0013513D" w:rsidRPr="00BD22FE" w14:paraId="799BF494" w14:textId="77777777" w:rsidTr="0090751B">
        <w:tc>
          <w:tcPr>
            <w:tcW w:w="1084" w:type="pct"/>
            <w:vMerge/>
            <w:tcBorders>
              <w:left w:val="single" w:sz="4" w:space="0" w:color="auto"/>
              <w:right w:val="single" w:sz="4" w:space="0" w:color="auto"/>
            </w:tcBorders>
            <w:hideMark/>
          </w:tcPr>
          <w:p w14:paraId="747D20BC" w14:textId="77777777" w:rsidR="000016E2" w:rsidRPr="00BD22FE" w:rsidRDefault="000016E2" w:rsidP="00941FBF">
            <w:pPr>
              <w:rPr>
                <w:sz w:val="22"/>
                <w:szCs w:val="22"/>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7F5DB891" w14:textId="77777777" w:rsidR="000016E2" w:rsidRPr="00BD22FE" w:rsidRDefault="00104CA8" w:rsidP="00941FBF">
            <w:pPr>
              <w:rPr>
                <w:color w:val="000000"/>
                <w:sz w:val="22"/>
                <w:szCs w:val="22"/>
                <w:lang w:val="pl-PL" w:eastAsia="en-GB"/>
              </w:rPr>
            </w:pPr>
            <w:r w:rsidRPr="00BD22FE">
              <w:rPr>
                <w:sz w:val="22"/>
                <w:szCs w:val="22"/>
                <w:lang w:val="pl-PL"/>
              </w:rPr>
              <w:t>Pokrzywka</w:t>
            </w:r>
          </w:p>
        </w:tc>
        <w:tc>
          <w:tcPr>
            <w:tcW w:w="804" w:type="pct"/>
            <w:tcBorders>
              <w:top w:val="single" w:sz="4" w:space="0" w:color="auto"/>
              <w:left w:val="single" w:sz="4" w:space="0" w:color="auto"/>
              <w:bottom w:val="single" w:sz="4" w:space="0" w:color="auto"/>
              <w:right w:val="single" w:sz="4" w:space="0" w:color="auto"/>
            </w:tcBorders>
            <w:hideMark/>
          </w:tcPr>
          <w:p w14:paraId="497E7EA6"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rzadko</w:t>
            </w:r>
          </w:p>
        </w:tc>
        <w:tc>
          <w:tcPr>
            <w:tcW w:w="788" w:type="pct"/>
            <w:tcBorders>
              <w:top w:val="single" w:sz="4" w:space="0" w:color="auto"/>
              <w:left w:val="single" w:sz="4" w:space="0" w:color="auto"/>
              <w:bottom w:val="single" w:sz="4" w:space="0" w:color="auto"/>
              <w:right w:val="single" w:sz="4" w:space="0" w:color="auto"/>
            </w:tcBorders>
            <w:hideMark/>
          </w:tcPr>
          <w:p w14:paraId="14CD7668"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rzadko</w:t>
            </w:r>
          </w:p>
        </w:tc>
        <w:tc>
          <w:tcPr>
            <w:tcW w:w="1098" w:type="pct"/>
            <w:tcBorders>
              <w:top w:val="single" w:sz="4" w:space="0" w:color="auto"/>
              <w:left w:val="single" w:sz="4" w:space="0" w:color="auto"/>
              <w:bottom w:val="single" w:sz="4" w:space="0" w:color="auto"/>
              <w:right w:val="single" w:sz="4" w:space="0" w:color="auto"/>
            </w:tcBorders>
            <w:vAlign w:val="bottom"/>
            <w:hideMark/>
          </w:tcPr>
          <w:p w14:paraId="29442DED"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często</w:t>
            </w:r>
          </w:p>
        </w:tc>
      </w:tr>
      <w:tr w:rsidR="0013513D" w:rsidRPr="00BD22FE" w14:paraId="0CE0A51A" w14:textId="77777777" w:rsidTr="0090751B">
        <w:tc>
          <w:tcPr>
            <w:tcW w:w="1084" w:type="pct"/>
            <w:vMerge/>
            <w:tcBorders>
              <w:left w:val="single" w:sz="4" w:space="0" w:color="auto"/>
              <w:right w:val="single" w:sz="4" w:space="0" w:color="auto"/>
            </w:tcBorders>
            <w:hideMark/>
          </w:tcPr>
          <w:p w14:paraId="780BE9F6" w14:textId="77777777" w:rsidR="000016E2" w:rsidRPr="00BD22FE" w:rsidRDefault="000016E2" w:rsidP="00941FBF">
            <w:pPr>
              <w:rPr>
                <w:color w:val="000000"/>
                <w:sz w:val="22"/>
                <w:szCs w:val="22"/>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7C1B71EF"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Wyprysk</w:t>
            </w:r>
          </w:p>
        </w:tc>
        <w:tc>
          <w:tcPr>
            <w:tcW w:w="804" w:type="pct"/>
            <w:tcBorders>
              <w:top w:val="single" w:sz="4" w:space="0" w:color="auto"/>
              <w:left w:val="single" w:sz="4" w:space="0" w:color="auto"/>
              <w:bottom w:val="single" w:sz="4" w:space="0" w:color="auto"/>
              <w:right w:val="single" w:sz="4" w:space="0" w:color="auto"/>
            </w:tcBorders>
            <w:vAlign w:val="bottom"/>
            <w:hideMark/>
          </w:tcPr>
          <w:p w14:paraId="43EEC97F" w14:textId="77777777" w:rsidR="000016E2" w:rsidRPr="00BD22FE" w:rsidRDefault="000016E2" w:rsidP="00941FBF">
            <w:pPr>
              <w:rPr>
                <w:color w:val="000000"/>
                <w:sz w:val="22"/>
                <w:szCs w:val="22"/>
                <w:lang w:val="pl-PL" w:eastAsia="en-GB"/>
              </w:rPr>
            </w:pPr>
          </w:p>
        </w:tc>
        <w:tc>
          <w:tcPr>
            <w:tcW w:w="788" w:type="pct"/>
            <w:tcBorders>
              <w:top w:val="single" w:sz="4" w:space="0" w:color="auto"/>
              <w:left w:val="single" w:sz="4" w:space="0" w:color="auto"/>
              <w:bottom w:val="single" w:sz="4" w:space="0" w:color="auto"/>
              <w:right w:val="single" w:sz="4" w:space="0" w:color="auto"/>
            </w:tcBorders>
            <w:hideMark/>
          </w:tcPr>
          <w:p w14:paraId="3AB4E7BA"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rzadko</w:t>
            </w:r>
          </w:p>
        </w:tc>
        <w:tc>
          <w:tcPr>
            <w:tcW w:w="1098" w:type="pct"/>
            <w:tcBorders>
              <w:top w:val="single" w:sz="4" w:space="0" w:color="auto"/>
              <w:left w:val="single" w:sz="4" w:space="0" w:color="auto"/>
              <w:bottom w:val="single" w:sz="4" w:space="0" w:color="auto"/>
              <w:right w:val="single" w:sz="4" w:space="0" w:color="auto"/>
            </w:tcBorders>
            <w:vAlign w:val="bottom"/>
            <w:hideMark/>
          </w:tcPr>
          <w:p w14:paraId="492A9533" w14:textId="77777777" w:rsidR="000016E2" w:rsidRPr="00BD22FE" w:rsidRDefault="000016E2" w:rsidP="00941FBF">
            <w:pPr>
              <w:rPr>
                <w:color w:val="000000"/>
                <w:sz w:val="22"/>
                <w:szCs w:val="22"/>
                <w:lang w:val="pl-PL" w:eastAsia="en-GB"/>
              </w:rPr>
            </w:pPr>
          </w:p>
        </w:tc>
      </w:tr>
      <w:tr w:rsidR="0013513D" w:rsidRPr="00BD22FE" w14:paraId="5EC7AC1C" w14:textId="77777777" w:rsidTr="0090751B">
        <w:tc>
          <w:tcPr>
            <w:tcW w:w="1084" w:type="pct"/>
            <w:vMerge/>
            <w:tcBorders>
              <w:left w:val="single" w:sz="4" w:space="0" w:color="auto"/>
              <w:right w:val="single" w:sz="4" w:space="0" w:color="auto"/>
            </w:tcBorders>
            <w:hideMark/>
          </w:tcPr>
          <w:p w14:paraId="09323084" w14:textId="77777777" w:rsidR="000016E2" w:rsidRPr="00BD22FE" w:rsidRDefault="000016E2" w:rsidP="00941FBF">
            <w:pPr>
              <w:rPr>
                <w:sz w:val="22"/>
                <w:szCs w:val="22"/>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657BE07D"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Wysypka polekowa</w:t>
            </w:r>
          </w:p>
        </w:tc>
        <w:tc>
          <w:tcPr>
            <w:tcW w:w="804" w:type="pct"/>
            <w:tcBorders>
              <w:top w:val="single" w:sz="4" w:space="0" w:color="auto"/>
              <w:left w:val="single" w:sz="4" w:space="0" w:color="auto"/>
              <w:bottom w:val="single" w:sz="4" w:space="0" w:color="auto"/>
              <w:right w:val="single" w:sz="4" w:space="0" w:color="auto"/>
            </w:tcBorders>
            <w:vAlign w:val="bottom"/>
            <w:hideMark/>
          </w:tcPr>
          <w:p w14:paraId="5C601682" w14:textId="77777777" w:rsidR="000016E2" w:rsidRPr="00BD22FE" w:rsidRDefault="000016E2" w:rsidP="00941FBF">
            <w:pPr>
              <w:rPr>
                <w:color w:val="000000"/>
                <w:sz w:val="22"/>
                <w:szCs w:val="22"/>
                <w:lang w:val="pl-PL" w:eastAsia="en-GB"/>
              </w:rPr>
            </w:pPr>
          </w:p>
        </w:tc>
        <w:tc>
          <w:tcPr>
            <w:tcW w:w="788" w:type="pct"/>
            <w:tcBorders>
              <w:top w:val="single" w:sz="4" w:space="0" w:color="auto"/>
              <w:left w:val="single" w:sz="4" w:space="0" w:color="auto"/>
              <w:bottom w:val="single" w:sz="4" w:space="0" w:color="auto"/>
              <w:right w:val="single" w:sz="4" w:space="0" w:color="auto"/>
            </w:tcBorders>
            <w:hideMark/>
          </w:tcPr>
          <w:p w14:paraId="6D4C547D"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rzadko</w:t>
            </w:r>
          </w:p>
        </w:tc>
        <w:tc>
          <w:tcPr>
            <w:tcW w:w="1098" w:type="pct"/>
            <w:tcBorders>
              <w:top w:val="single" w:sz="4" w:space="0" w:color="auto"/>
              <w:left w:val="single" w:sz="4" w:space="0" w:color="auto"/>
              <w:bottom w:val="single" w:sz="4" w:space="0" w:color="auto"/>
              <w:right w:val="single" w:sz="4" w:space="0" w:color="auto"/>
            </w:tcBorders>
            <w:vAlign w:val="bottom"/>
            <w:hideMark/>
          </w:tcPr>
          <w:p w14:paraId="24522264" w14:textId="77777777" w:rsidR="000016E2" w:rsidRPr="00BD22FE" w:rsidRDefault="000016E2" w:rsidP="00941FBF">
            <w:pPr>
              <w:rPr>
                <w:color w:val="000000"/>
                <w:sz w:val="22"/>
                <w:szCs w:val="22"/>
                <w:lang w:val="pl-PL" w:eastAsia="en-GB"/>
              </w:rPr>
            </w:pPr>
          </w:p>
        </w:tc>
      </w:tr>
      <w:tr w:rsidR="0013513D" w:rsidRPr="00BD22FE" w14:paraId="330F8D1D" w14:textId="77777777" w:rsidTr="0090751B">
        <w:tc>
          <w:tcPr>
            <w:tcW w:w="1084" w:type="pct"/>
            <w:vMerge/>
            <w:tcBorders>
              <w:left w:val="single" w:sz="4" w:space="0" w:color="auto"/>
              <w:right w:val="single" w:sz="4" w:space="0" w:color="auto"/>
            </w:tcBorders>
            <w:hideMark/>
          </w:tcPr>
          <w:p w14:paraId="1B3FF6A8" w14:textId="77777777" w:rsidR="000016E2" w:rsidRPr="00BD22FE" w:rsidRDefault="000016E2" w:rsidP="00941FBF">
            <w:pPr>
              <w:rPr>
                <w:sz w:val="22"/>
                <w:szCs w:val="22"/>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7FE65C7A" w14:textId="65AF1E55" w:rsidR="000016E2" w:rsidRPr="00BD22FE" w:rsidRDefault="00980142" w:rsidP="00941FBF">
            <w:pPr>
              <w:rPr>
                <w:color w:val="000000"/>
                <w:sz w:val="22"/>
                <w:szCs w:val="22"/>
                <w:lang w:val="pl-PL" w:eastAsia="en-GB"/>
              </w:rPr>
            </w:pPr>
            <w:r w:rsidRPr="00BD22FE">
              <w:rPr>
                <w:sz w:val="22"/>
                <w:szCs w:val="22"/>
                <w:lang w:val="pl-PL"/>
              </w:rPr>
              <w:t>Toksyczna wysypka skórna</w:t>
            </w:r>
          </w:p>
        </w:tc>
        <w:tc>
          <w:tcPr>
            <w:tcW w:w="804" w:type="pct"/>
            <w:tcBorders>
              <w:top w:val="single" w:sz="4" w:space="0" w:color="auto"/>
              <w:left w:val="single" w:sz="4" w:space="0" w:color="auto"/>
              <w:bottom w:val="single" w:sz="4" w:space="0" w:color="auto"/>
              <w:right w:val="single" w:sz="4" w:space="0" w:color="auto"/>
            </w:tcBorders>
            <w:vAlign w:val="bottom"/>
            <w:hideMark/>
          </w:tcPr>
          <w:p w14:paraId="43769F2B" w14:textId="77777777" w:rsidR="000016E2" w:rsidRPr="00BD22FE" w:rsidRDefault="000016E2" w:rsidP="00941FBF">
            <w:pPr>
              <w:rPr>
                <w:color w:val="000000"/>
                <w:sz w:val="22"/>
                <w:szCs w:val="22"/>
                <w:lang w:val="pl-PL" w:eastAsia="en-GB"/>
              </w:rPr>
            </w:pPr>
          </w:p>
        </w:tc>
        <w:tc>
          <w:tcPr>
            <w:tcW w:w="788" w:type="pct"/>
            <w:tcBorders>
              <w:top w:val="single" w:sz="4" w:space="0" w:color="auto"/>
              <w:left w:val="single" w:sz="4" w:space="0" w:color="auto"/>
              <w:bottom w:val="single" w:sz="4" w:space="0" w:color="auto"/>
              <w:right w:val="single" w:sz="4" w:space="0" w:color="auto"/>
            </w:tcBorders>
            <w:hideMark/>
          </w:tcPr>
          <w:p w14:paraId="38C50F5C"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rzadko</w:t>
            </w:r>
          </w:p>
        </w:tc>
        <w:tc>
          <w:tcPr>
            <w:tcW w:w="1098" w:type="pct"/>
            <w:tcBorders>
              <w:top w:val="single" w:sz="4" w:space="0" w:color="auto"/>
              <w:left w:val="single" w:sz="4" w:space="0" w:color="auto"/>
              <w:bottom w:val="single" w:sz="4" w:space="0" w:color="auto"/>
              <w:right w:val="single" w:sz="4" w:space="0" w:color="auto"/>
            </w:tcBorders>
            <w:vAlign w:val="bottom"/>
            <w:hideMark/>
          </w:tcPr>
          <w:p w14:paraId="7AEB14FC" w14:textId="77777777" w:rsidR="000016E2" w:rsidRPr="00BD22FE" w:rsidRDefault="000016E2" w:rsidP="00941FBF">
            <w:pPr>
              <w:rPr>
                <w:color w:val="000000"/>
                <w:sz w:val="22"/>
                <w:szCs w:val="22"/>
                <w:lang w:val="pl-PL" w:eastAsia="en-GB"/>
              </w:rPr>
            </w:pPr>
          </w:p>
        </w:tc>
      </w:tr>
      <w:tr w:rsidR="0013513D" w:rsidRPr="00BD22FE" w14:paraId="6D436748" w14:textId="77777777" w:rsidTr="0090751B">
        <w:tc>
          <w:tcPr>
            <w:tcW w:w="1084" w:type="pct"/>
            <w:vMerge/>
            <w:tcBorders>
              <w:left w:val="single" w:sz="4" w:space="0" w:color="auto"/>
              <w:right w:val="single" w:sz="4" w:space="0" w:color="auto"/>
            </w:tcBorders>
            <w:hideMark/>
          </w:tcPr>
          <w:p w14:paraId="0028766B" w14:textId="77777777" w:rsidR="000016E2" w:rsidRPr="00BD22FE" w:rsidRDefault="000016E2" w:rsidP="00941FBF">
            <w:pPr>
              <w:rPr>
                <w:sz w:val="22"/>
                <w:szCs w:val="22"/>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2B538F55"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Zespół toczniopodobny</w:t>
            </w:r>
          </w:p>
        </w:tc>
        <w:tc>
          <w:tcPr>
            <w:tcW w:w="804" w:type="pct"/>
            <w:tcBorders>
              <w:top w:val="single" w:sz="4" w:space="0" w:color="auto"/>
              <w:left w:val="single" w:sz="4" w:space="0" w:color="auto"/>
              <w:bottom w:val="single" w:sz="4" w:space="0" w:color="auto"/>
              <w:right w:val="single" w:sz="4" w:space="0" w:color="auto"/>
            </w:tcBorders>
            <w:vAlign w:val="bottom"/>
            <w:hideMark/>
          </w:tcPr>
          <w:p w14:paraId="3FAE8D04" w14:textId="77777777" w:rsidR="000016E2" w:rsidRPr="00BD22FE" w:rsidRDefault="000016E2" w:rsidP="00941FBF">
            <w:pPr>
              <w:rPr>
                <w:color w:val="000000"/>
                <w:sz w:val="22"/>
                <w:szCs w:val="22"/>
                <w:lang w:val="pl-PL" w:eastAsia="en-GB"/>
              </w:rPr>
            </w:pPr>
          </w:p>
        </w:tc>
        <w:tc>
          <w:tcPr>
            <w:tcW w:w="788" w:type="pct"/>
            <w:tcBorders>
              <w:top w:val="single" w:sz="4" w:space="0" w:color="auto"/>
              <w:left w:val="single" w:sz="4" w:space="0" w:color="auto"/>
              <w:bottom w:val="single" w:sz="4" w:space="0" w:color="auto"/>
              <w:right w:val="single" w:sz="4" w:space="0" w:color="auto"/>
            </w:tcBorders>
            <w:vAlign w:val="bottom"/>
            <w:hideMark/>
          </w:tcPr>
          <w:p w14:paraId="2664B237" w14:textId="77777777" w:rsidR="000016E2" w:rsidRPr="00BD22FE" w:rsidRDefault="000016E2" w:rsidP="00941FBF">
            <w:pPr>
              <w:rPr>
                <w:sz w:val="22"/>
                <w:szCs w:val="22"/>
                <w:lang w:val="pl-PL" w:eastAsia="en-GB"/>
              </w:rPr>
            </w:pPr>
          </w:p>
        </w:tc>
        <w:tc>
          <w:tcPr>
            <w:tcW w:w="1098" w:type="pct"/>
            <w:tcBorders>
              <w:top w:val="single" w:sz="4" w:space="0" w:color="auto"/>
              <w:left w:val="single" w:sz="4" w:space="0" w:color="auto"/>
              <w:bottom w:val="single" w:sz="4" w:space="0" w:color="auto"/>
              <w:right w:val="single" w:sz="4" w:space="0" w:color="auto"/>
            </w:tcBorders>
            <w:vAlign w:val="bottom"/>
            <w:hideMark/>
          </w:tcPr>
          <w:p w14:paraId="0015A0B5"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bardzo rzadko</w:t>
            </w:r>
          </w:p>
        </w:tc>
      </w:tr>
      <w:tr w:rsidR="0013513D" w:rsidRPr="00BD22FE" w14:paraId="4F20B47B" w14:textId="77777777" w:rsidTr="0090751B">
        <w:tc>
          <w:tcPr>
            <w:tcW w:w="1084" w:type="pct"/>
            <w:vMerge/>
            <w:tcBorders>
              <w:left w:val="single" w:sz="4" w:space="0" w:color="auto"/>
              <w:right w:val="single" w:sz="4" w:space="0" w:color="auto"/>
            </w:tcBorders>
            <w:hideMark/>
          </w:tcPr>
          <w:p w14:paraId="471CF116" w14:textId="77777777" w:rsidR="000016E2" w:rsidRPr="00BD22FE" w:rsidRDefault="000016E2" w:rsidP="00941FBF">
            <w:pPr>
              <w:rPr>
                <w:color w:val="000000"/>
                <w:sz w:val="22"/>
                <w:szCs w:val="22"/>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3C59A8B7"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Reakcje nadwrażliwości na światło</w:t>
            </w:r>
          </w:p>
        </w:tc>
        <w:tc>
          <w:tcPr>
            <w:tcW w:w="804" w:type="pct"/>
            <w:tcBorders>
              <w:top w:val="single" w:sz="4" w:space="0" w:color="auto"/>
              <w:left w:val="single" w:sz="4" w:space="0" w:color="auto"/>
              <w:bottom w:val="single" w:sz="4" w:space="0" w:color="auto"/>
              <w:right w:val="single" w:sz="4" w:space="0" w:color="auto"/>
            </w:tcBorders>
            <w:vAlign w:val="bottom"/>
            <w:hideMark/>
          </w:tcPr>
          <w:p w14:paraId="56AA5882" w14:textId="77777777" w:rsidR="000016E2" w:rsidRPr="00BD22FE" w:rsidRDefault="000016E2" w:rsidP="00941FBF">
            <w:pPr>
              <w:rPr>
                <w:color w:val="000000"/>
                <w:sz w:val="22"/>
                <w:szCs w:val="22"/>
                <w:lang w:val="pl-PL" w:eastAsia="en-GB"/>
              </w:rPr>
            </w:pPr>
          </w:p>
        </w:tc>
        <w:tc>
          <w:tcPr>
            <w:tcW w:w="788" w:type="pct"/>
            <w:tcBorders>
              <w:top w:val="single" w:sz="4" w:space="0" w:color="auto"/>
              <w:left w:val="single" w:sz="4" w:space="0" w:color="auto"/>
              <w:bottom w:val="single" w:sz="4" w:space="0" w:color="auto"/>
              <w:right w:val="single" w:sz="4" w:space="0" w:color="auto"/>
            </w:tcBorders>
            <w:vAlign w:val="bottom"/>
            <w:hideMark/>
          </w:tcPr>
          <w:p w14:paraId="60125FDF" w14:textId="77777777" w:rsidR="000016E2" w:rsidRPr="00BD22FE" w:rsidRDefault="000016E2" w:rsidP="00941FBF">
            <w:pPr>
              <w:rPr>
                <w:sz w:val="22"/>
                <w:szCs w:val="22"/>
                <w:lang w:val="pl-PL" w:eastAsia="en-GB"/>
              </w:rPr>
            </w:pPr>
          </w:p>
        </w:tc>
        <w:tc>
          <w:tcPr>
            <w:tcW w:w="1098" w:type="pct"/>
            <w:tcBorders>
              <w:top w:val="single" w:sz="4" w:space="0" w:color="auto"/>
              <w:left w:val="single" w:sz="4" w:space="0" w:color="auto"/>
              <w:bottom w:val="single" w:sz="4" w:space="0" w:color="auto"/>
              <w:right w:val="single" w:sz="4" w:space="0" w:color="auto"/>
            </w:tcBorders>
            <w:vAlign w:val="bottom"/>
            <w:hideMark/>
          </w:tcPr>
          <w:p w14:paraId="3BF4D663"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rzadko</w:t>
            </w:r>
          </w:p>
        </w:tc>
      </w:tr>
      <w:tr w:rsidR="0013513D" w:rsidRPr="00BD22FE" w14:paraId="521800A8" w14:textId="77777777" w:rsidTr="0090751B">
        <w:tc>
          <w:tcPr>
            <w:tcW w:w="1084" w:type="pct"/>
            <w:vMerge/>
            <w:tcBorders>
              <w:left w:val="single" w:sz="4" w:space="0" w:color="auto"/>
              <w:right w:val="single" w:sz="4" w:space="0" w:color="auto"/>
            </w:tcBorders>
            <w:hideMark/>
          </w:tcPr>
          <w:p w14:paraId="0F93A7D4" w14:textId="77777777" w:rsidR="000016E2" w:rsidRPr="00BD22FE" w:rsidRDefault="000016E2" w:rsidP="00941FBF">
            <w:pPr>
              <w:rPr>
                <w:color w:val="000000"/>
                <w:sz w:val="22"/>
                <w:szCs w:val="22"/>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2E9A3A32" w14:textId="77777777" w:rsidR="000016E2" w:rsidRPr="00BD22FE" w:rsidRDefault="00104CA8" w:rsidP="00941FBF">
            <w:pPr>
              <w:rPr>
                <w:color w:val="000000"/>
                <w:sz w:val="22"/>
                <w:szCs w:val="22"/>
                <w:lang w:val="pl-PL" w:eastAsia="en-GB"/>
              </w:rPr>
            </w:pPr>
            <w:r w:rsidRPr="00BD22FE">
              <w:rPr>
                <w:sz w:val="22"/>
                <w:szCs w:val="22"/>
                <w:lang w:val="pl-PL"/>
              </w:rPr>
              <w:t>Toksyczne martwicze oddzielanie się naskórka</w:t>
            </w:r>
          </w:p>
        </w:tc>
        <w:tc>
          <w:tcPr>
            <w:tcW w:w="804" w:type="pct"/>
            <w:tcBorders>
              <w:top w:val="single" w:sz="4" w:space="0" w:color="auto"/>
              <w:left w:val="single" w:sz="4" w:space="0" w:color="auto"/>
              <w:bottom w:val="single" w:sz="4" w:space="0" w:color="auto"/>
              <w:right w:val="single" w:sz="4" w:space="0" w:color="auto"/>
            </w:tcBorders>
            <w:vAlign w:val="bottom"/>
            <w:hideMark/>
          </w:tcPr>
          <w:p w14:paraId="6DB76342" w14:textId="77777777" w:rsidR="000016E2" w:rsidRPr="00BD22FE" w:rsidRDefault="000016E2" w:rsidP="00941FBF">
            <w:pPr>
              <w:rPr>
                <w:color w:val="000000"/>
                <w:sz w:val="22"/>
                <w:szCs w:val="22"/>
                <w:lang w:val="pl-PL" w:eastAsia="en-GB"/>
              </w:rPr>
            </w:pPr>
          </w:p>
        </w:tc>
        <w:tc>
          <w:tcPr>
            <w:tcW w:w="788" w:type="pct"/>
            <w:tcBorders>
              <w:top w:val="single" w:sz="4" w:space="0" w:color="auto"/>
              <w:left w:val="single" w:sz="4" w:space="0" w:color="auto"/>
              <w:bottom w:val="single" w:sz="4" w:space="0" w:color="auto"/>
              <w:right w:val="single" w:sz="4" w:space="0" w:color="auto"/>
            </w:tcBorders>
            <w:vAlign w:val="bottom"/>
            <w:hideMark/>
          </w:tcPr>
          <w:p w14:paraId="2F67C5AD" w14:textId="77777777" w:rsidR="000016E2" w:rsidRPr="00BD22FE" w:rsidRDefault="000016E2" w:rsidP="00941FBF">
            <w:pPr>
              <w:rPr>
                <w:sz w:val="22"/>
                <w:szCs w:val="22"/>
                <w:lang w:val="pl-PL" w:eastAsia="en-GB"/>
              </w:rPr>
            </w:pPr>
          </w:p>
        </w:tc>
        <w:tc>
          <w:tcPr>
            <w:tcW w:w="1098" w:type="pct"/>
            <w:tcBorders>
              <w:top w:val="single" w:sz="4" w:space="0" w:color="auto"/>
              <w:left w:val="single" w:sz="4" w:space="0" w:color="auto"/>
              <w:bottom w:val="single" w:sz="4" w:space="0" w:color="auto"/>
              <w:right w:val="single" w:sz="4" w:space="0" w:color="auto"/>
            </w:tcBorders>
            <w:vAlign w:val="bottom"/>
            <w:hideMark/>
          </w:tcPr>
          <w:p w14:paraId="3B174A80"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bardzo rzadko</w:t>
            </w:r>
          </w:p>
        </w:tc>
      </w:tr>
      <w:tr w:rsidR="0013513D" w:rsidRPr="00BD22FE" w14:paraId="15A528AF" w14:textId="77777777" w:rsidTr="0090751B">
        <w:tc>
          <w:tcPr>
            <w:tcW w:w="1084" w:type="pct"/>
            <w:vMerge/>
            <w:tcBorders>
              <w:left w:val="single" w:sz="4" w:space="0" w:color="auto"/>
              <w:bottom w:val="single" w:sz="4" w:space="0" w:color="auto"/>
              <w:right w:val="single" w:sz="4" w:space="0" w:color="auto"/>
            </w:tcBorders>
            <w:hideMark/>
          </w:tcPr>
          <w:p w14:paraId="02CC894F" w14:textId="77777777" w:rsidR="000016E2" w:rsidRPr="00BD22FE" w:rsidRDefault="000016E2" w:rsidP="00941FBF">
            <w:pPr>
              <w:rPr>
                <w:color w:val="000000"/>
                <w:sz w:val="22"/>
                <w:szCs w:val="22"/>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7BBC4E59"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Rumień wielopostaciowy</w:t>
            </w:r>
          </w:p>
        </w:tc>
        <w:tc>
          <w:tcPr>
            <w:tcW w:w="804" w:type="pct"/>
            <w:tcBorders>
              <w:top w:val="single" w:sz="4" w:space="0" w:color="auto"/>
              <w:left w:val="single" w:sz="4" w:space="0" w:color="auto"/>
              <w:bottom w:val="single" w:sz="4" w:space="0" w:color="auto"/>
              <w:right w:val="single" w:sz="4" w:space="0" w:color="auto"/>
            </w:tcBorders>
            <w:vAlign w:val="bottom"/>
            <w:hideMark/>
          </w:tcPr>
          <w:p w14:paraId="0216A473" w14:textId="77777777" w:rsidR="000016E2" w:rsidRPr="00BD22FE" w:rsidRDefault="000016E2" w:rsidP="00941FBF">
            <w:pPr>
              <w:rPr>
                <w:color w:val="000000"/>
                <w:sz w:val="22"/>
                <w:szCs w:val="22"/>
                <w:lang w:val="pl-PL" w:eastAsia="en-GB"/>
              </w:rPr>
            </w:pPr>
          </w:p>
        </w:tc>
        <w:tc>
          <w:tcPr>
            <w:tcW w:w="788" w:type="pct"/>
            <w:tcBorders>
              <w:top w:val="single" w:sz="4" w:space="0" w:color="auto"/>
              <w:left w:val="single" w:sz="4" w:space="0" w:color="auto"/>
              <w:bottom w:val="single" w:sz="4" w:space="0" w:color="auto"/>
              <w:right w:val="single" w:sz="4" w:space="0" w:color="auto"/>
            </w:tcBorders>
            <w:vAlign w:val="bottom"/>
            <w:hideMark/>
          </w:tcPr>
          <w:p w14:paraId="39AF7A6A" w14:textId="77777777" w:rsidR="000016E2" w:rsidRPr="00BD22FE" w:rsidRDefault="000016E2" w:rsidP="00941FBF">
            <w:pPr>
              <w:rPr>
                <w:sz w:val="22"/>
                <w:szCs w:val="22"/>
                <w:lang w:val="pl-PL" w:eastAsia="en-GB"/>
              </w:rPr>
            </w:pPr>
          </w:p>
        </w:tc>
        <w:tc>
          <w:tcPr>
            <w:tcW w:w="1098" w:type="pct"/>
            <w:tcBorders>
              <w:top w:val="single" w:sz="4" w:space="0" w:color="auto"/>
              <w:left w:val="single" w:sz="4" w:space="0" w:color="auto"/>
              <w:bottom w:val="single" w:sz="4" w:space="0" w:color="auto"/>
              <w:right w:val="single" w:sz="4" w:space="0" w:color="auto"/>
            </w:tcBorders>
            <w:vAlign w:val="bottom"/>
            <w:hideMark/>
          </w:tcPr>
          <w:p w14:paraId="1BF7F58D" w14:textId="77777777" w:rsidR="000016E2" w:rsidRPr="00BD22FE" w:rsidRDefault="00104CA8" w:rsidP="00941FBF">
            <w:pPr>
              <w:rPr>
                <w:color w:val="000000"/>
                <w:sz w:val="22"/>
                <w:szCs w:val="22"/>
                <w:lang w:val="pl-PL" w:eastAsia="en-GB"/>
              </w:rPr>
            </w:pPr>
            <w:r w:rsidRPr="00BD22FE">
              <w:rPr>
                <w:sz w:val="22"/>
                <w:szCs w:val="22"/>
                <w:lang w:val="pl-PL"/>
              </w:rPr>
              <w:t>częstość nieznana</w:t>
            </w:r>
          </w:p>
        </w:tc>
      </w:tr>
      <w:tr w:rsidR="0013513D" w:rsidRPr="00BD22FE" w14:paraId="220E23C6" w14:textId="77777777" w:rsidTr="0090751B">
        <w:tc>
          <w:tcPr>
            <w:tcW w:w="1084" w:type="pct"/>
            <w:vMerge w:val="restart"/>
            <w:tcBorders>
              <w:top w:val="single" w:sz="4" w:space="0" w:color="auto"/>
              <w:left w:val="single" w:sz="4" w:space="0" w:color="auto"/>
              <w:right w:val="single" w:sz="4" w:space="0" w:color="auto"/>
            </w:tcBorders>
            <w:hideMark/>
          </w:tcPr>
          <w:p w14:paraId="4DFE143D" w14:textId="10ACAE21" w:rsidR="000016E2" w:rsidRPr="00BD22FE" w:rsidRDefault="00104CA8" w:rsidP="00941FBF">
            <w:pPr>
              <w:rPr>
                <w:b/>
                <w:bCs/>
                <w:color w:val="000000"/>
                <w:sz w:val="22"/>
                <w:szCs w:val="22"/>
                <w:highlight w:val="yellow"/>
                <w:lang w:val="pl-PL" w:eastAsia="en-GB"/>
              </w:rPr>
            </w:pPr>
            <w:r w:rsidRPr="00BD22FE">
              <w:rPr>
                <w:b/>
                <w:bCs/>
                <w:sz w:val="22"/>
                <w:szCs w:val="22"/>
                <w:lang w:val="pl-PL"/>
              </w:rPr>
              <w:lastRenderedPageBreak/>
              <w:t>Zaburzenia mięśniowo-szkieletowe i</w:t>
            </w:r>
            <w:r w:rsidR="00717A7B" w:rsidRPr="00BD22FE">
              <w:rPr>
                <w:b/>
                <w:bCs/>
                <w:sz w:val="22"/>
                <w:szCs w:val="22"/>
                <w:lang w:val="pl-PL"/>
              </w:rPr>
              <w:t> </w:t>
            </w:r>
            <w:r w:rsidRPr="00BD22FE">
              <w:rPr>
                <w:b/>
                <w:bCs/>
                <w:sz w:val="22"/>
                <w:szCs w:val="22"/>
                <w:lang w:val="pl-PL"/>
              </w:rPr>
              <w:t>tkanki łącznej</w:t>
            </w:r>
          </w:p>
        </w:tc>
        <w:tc>
          <w:tcPr>
            <w:tcW w:w="1226" w:type="pct"/>
            <w:tcBorders>
              <w:top w:val="single" w:sz="4" w:space="0" w:color="auto"/>
              <w:left w:val="single" w:sz="4" w:space="0" w:color="auto"/>
              <w:bottom w:val="single" w:sz="4" w:space="0" w:color="auto"/>
              <w:right w:val="single" w:sz="4" w:space="0" w:color="auto"/>
            </w:tcBorders>
            <w:vAlign w:val="bottom"/>
            <w:hideMark/>
          </w:tcPr>
          <w:p w14:paraId="275B54A8"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Ból pleców</w:t>
            </w:r>
          </w:p>
        </w:tc>
        <w:tc>
          <w:tcPr>
            <w:tcW w:w="804" w:type="pct"/>
            <w:tcBorders>
              <w:top w:val="single" w:sz="4" w:space="0" w:color="auto"/>
              <w:left w:val="single" w:sz="4" w:space="0" w:color="auto"/>
              <w:bottom w:val="single" w:sz="4" w:space="0" w:color="auto"/>
              <w:right w:val="single" w:sz="4" w:space="0" w:color="auto"/>
            </w:tcBorders>
            <w:hideMark/>
          </w:tcPr>
          <w:p w14:paraId="75CB8B77"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niezbyt często</w:t>
            </w:r>
          </w:p>
        </w:tc>
        <w:tc>
          <w:tcPr>
            <w:tcW w:w="788" w:type="pct"/>
            <w:tcBorders>
              <w:top w:val="single" w:sz="4" w:space="0" w:color="auto"/>
              <w:left w:val="single" w:sz="4" w:space="0" w:color="auto"/>
              <w:bottom w:val="single" w:sz="4" w:space="0" w:color="auto"/>
              <w:right w:val="single" w:sz="4" w:space="0" w:color="auto"/>
            </w:tcBorders>
            <w:hideMark/>
          </w:tcPr>
          <w:p w14:paraId="1CB25DA7"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niezbyt często</w:t>
            </w:r>
          </w:p>
        </w:tc>
        <w:tc>
          <w:tcPr>
            <w:tcW w:w="1098" w:type="pct"/>
            <w:tcBorders>
              <w:top w:val="single" w:sz="4" w:space="0" w:color="auto"/>
              <w:left w:val="single" w:sz="4" w:space="0" w:color="auto"/>
              <w:bottom w:val="single" w:sz="4" w:space="0" w:color="auto"/>
              <w:right w:val="single" w:sz="4" w:space="0" w:color="auto"/>
            </w:tcBorders>
            <w:vAlign w:val="bottom"/>
            <w:hideMark/>
          </w:tcPr>
          <w:p w14:paraId="01BF883E" w14:textId="77777777" w:rsidR="000016E2" w:rsidRPr="00BD22FE" w:rsidRDefault="000016E2" w:rsidP="00941FBF">
            <w:pPr>
              <w:rPr>
                <w:sz w:val="22"/>
                <w:szCs w:val="22"/>
                <w:lang w:val="pl-PL" w:eastAsia="en-GB"/>
              </w:rPr>
            </w:pPr>
          </w:p>
        </w:tc>
      </w:tr>
      <w:tr w:rsidR="0013513D" w:rsidRPr="00BD22FE" w14:paraId="502A63DB" w14:textId="77777777" w:rsidTr="0090751B">
        <w:tc>
          <w:tcPr>
            <w:tcW w:w="1084" w:type="pct"/>
            <w:vMerge/>
            <w:tcBorders>
              <w:left w:val="single" w:sz="4" w:space="0" w:color="auto"/>
              <w:right w:val="single" w:sz="4" w:space="0" w:color="auto"/>
            </w:tcBorders>
            <w:hideMark/>
          </w:tcPr>
          <w:p w14:paraId="7553F67D" w14:textId="77777777" w:rsidR="000016E2" w:rsidRPr="00BD22FE" w:rsidRDefault="000016E2" w:rsidP="00941FBF">
            <w:pPr>
              <w:rPr>
                <w:sz w:val="22"/>
                <w:szCs w:val="22"/>
                <w:highlight w:val="yellow"/>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3124181D" w14:textId="77777777" w:rsidR="000016E2" w:rsidRPr="00BD22FE" w:rsidRDefault="00104CA8" w:rsidP="00941FBF">
            <w:pPr>
              <w:rPr>
                <w:color w:val="000000"/>
                <w:sz w:val="22"/>
                <w:szCs w:val="22"/>
                <w:lang w:val="pl-PL" w:eastAsia="en-GB"/>
              </w:rPr>
            </w:pPr>
            <w:r w:rsidRPr="00BD22FE">
              <w:rPr>
                <w:sz w:val="22"/>
                <w:szCs w:val="22"/>
                <w:lang w:val="pl-PL"/>
              </w:rPr>
              <w:t xml:space="preserve">Skurcze mięśni </w:t>
            </w:r>
            <w:r w:rsidRPr="00BD22FE">
              <w:rPr>
                <w:color w:val="000000"/>
                <w:sz w:val="22"/>
                <w:szCs w:val="22"/>
                <w:lang w:val="pl-PL" w:eastAsia="en-GB"/>
              </w:rPr>
              <w:t>(skurcze kończyn dolnych)</w:t>
            </w:r>
          </w:p>
        </w:tc>
        <w:tc>
          <w:tcPr>
            <w:tcW w:w="804" w:type="pct"/>
            <w:tcBorders>
              <w:top w:val="single" w:sz="4" w:space="0" w:color="auto"/>
              <w:left w:val="single" w:sz="4" w:space="0" w:color="auto"/>
              <w:bottom w:val="single" w:sz="4" w:space="0" w:color="auto"/>
              <w:right w:val="single" w:sz="4" w:space="0" w:color="auto"/>
            </w:tcBorders>
            <w:hideMark/>
          </w:tcPr>
          <w:p w14:paraId="50BDF05E"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niezbyt często</w:t>
            </w:r>
          </w:p>
        </w:tc>
        <w:tc>
          <w:tcPr>
            <w:tcW w:w="788" w:type="pct"/>
            <w:tcBorders>
              <w:top w:val="single" w:sz="4" w:space="0" w:color="auto"/>
              <w:left w:val="single" w:sz="4" w:space="0" w:color="auto"/>
              <w:bottom w:val="single" w:sz="4" w:space="0" w:color="auto"/>
              <w:right w:val="single" w:sz="4" w:space="0" w:color="auto"/>
            </w:tcBorders>
            <w:hideMark/>
          </w:tcPr>
          <w:p w14:paraId="21BB2C34"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niezbyt często</w:t>
            </w:r>
          </w:p>
        </w:tc>
        <w:tc>
          <w:tcPr>
            <w:tcW w:w="1098" w:type="pct"/>
            <w:tcBorders>
              <w:top w:val="single" w:sz="4" w:space="0" w:color="auto"/>
              <w:left w:val="single" w:sz="4" w:space="0" w:color="auto"/>
              <w:bottom w:val="single" w:sz="4" w:space="0" w:color="auto"/>
              <w:right w:val="single" w:sz="4" w:space="0" w:color="auto"/>
            </w:tcBorders>
            <w:vAlign w:val="bottom"/>
            <w:hideMark/>
          </w:tcPr>
          <w:p w14:paraId="249B8981" w14:textId="77777777" w:rsidR="000016E2" w:rsidRPr="00BD22FE" w:rsidRDefault="00104CA8" w:rsidP="00941FBF">
            <w:pPr>
              <w:rPr>
                <w:color w:val="000000"/>
                <w:sz w:val="22"/>
                <w:szCs w:val="22"/>
                <w:lang w:val="pl-PL" w:eastAsia="en-GB"/>
              </w:rPr>
            </w:pPr>
            <w:r w:rsidRPr="00BD22FE">
              <w:rPr>
                <w:sz w:val="22"/>
                <w:szCs w:val="22"/>
                <w:lang w:val="pl-PL"/>
              </w:rPr>
              <w:t>częstość nieznana</w:t>
            </w:r>
          </w:p>
        </w:tc>
      </w:tr>
      <w:tr w:rsidR="0013513D" w:rsidRPr="00BD22FE" w14:paraId="588780A7" w14:textId="77777777" w:rsidTr="0090751B">
        <w:tc>
          <w:tcPr>
            <w:tcW w:w="1084" w:type="pct"/>
            <w:vMerge/>
            <w:tcBorders>
              <w:left w:val="single" w:sz="4" w:space="0" w:color="auto"/>
              <w:right w:val="single" w:sz="4" w:space="0" w:color="auto"/>
            </w:tcBorders>
            <w:hideMark/>
          </w:tcPr>
          <w:p w14:paraId="02F09499" w14:textId="77777777" w:rsidR="000016E2" w:rsidRPr="00BD22FE" w:rsidRDefault="000016E2" w:rsidP="00941FBF">
            <w:pPr>
              <w:rPr>
                <w:color w:val="000000"/>
                <w:sz w:val="22"/>
                <w:szCs w:val="22"/>
                <w:highlight w:val="yellow"/>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62815878" w14:textId="77777777" w:rsidR="000016E2" w:rsidRPr="00BD22FE" w:rsidRDefault="00104CA8" w:rsidP="00941FBF">
            <w:pPr>
              <w:rPr>
                <w:color w:val="000000"/>
                <w:sz w:val="22"/>
                <w:szCs w:val="22"/>
                <w:lang w:val="pl-PL" w:eastAsia="en-GB"/>
              </w:rPr>
            </w:pPr>
            <w:r w:rsidRPr="00BD22FE">
              <w:rPr>
                <w:sz w:val="22"/>
                <w:szCs w:val="22"/>
                <w:lang w:val="pl-PL"/>
              </w:rPr>
              <w:t>Ból mięśni</w:t>
            </w:r>
          </w:p>
        </w:tc>
        <w:tc>
          <w:tcPr>
            <w:tcW w:w="804" w:type="pct"/>
            <w:tcBorders>
              <w:top w:val="single" w:sz="4" w:space="0" w:color="auto"/>
              <w:left w:val="single" w:sz="4" w:space="0" w:color="auto"/>
              <w:bottom w:val="single" w:sz="4" w:space="0" w:color="auto"/>
              <w:right w:val="single" w:sz="4" w:space="0" w:color="auto"/>
            </w:tcBorders>
            <w:hideMark/>
          </w:tcPr>
          <w:p w14:paraId="172BD7DA"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niezbyt często</w:t>
            </w:r>
          </w:p>
        </w:tc>
        <w:tc>
          <w:tcPr>
            <w:tcW w:w="788" w:type="pct"/>
            <w:tcBorders>
              <w:top w:val="single" w:sz="4" w:space="0" w:color="auto"/>
              <w:left w:val="single" w:sz="4" w:space="0" w:color="auto"/>
              <w:bottom w:val="single" w:sz="4" w:space="0" w:color="auto"/>
              <w:right w:val="single" w:sz="4" w:space="0" w:color="auto"/>
            </w:tcBorders>
            <w:hideMark/>
          </w:tcPr>
          <w:p w14:paraId="08049207"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niezbyt często</w:t>
            </w:r>
          </w:p>
        </w:tc>
        <w:tc>
          <w:tcPr>
            <w:tcW w:w="1098" w:type="pct"/>
            <w:tcBorders>
              <w:top w:val="single" w:sz="4" w:space="0" w:color="auto"/>
              <w:left w:val="single" w:sz="4" w:space="0" w:color="auto"/>
              <w:bottom w:val="single" w:sz="4" w:space="0" w:color="auto"/>
              <w:right w:val="single" w:sz="4" w:space="0" w:color="auto"/>
            </w:tcBorders>
            <w:vAlign w:val="bottom"/>
            <w:hideMark/>
          </w:tcPr>
          <w:p w14:paraId="3262C320" w14:textId="77777777" w:rsidR="000016E2" w:rsidRPr="00BD22FE" w:rsidRDefault="000016E2" w:rsidP="00941FBF">
            <w:pPr>
              <w:rPr>
                <w:sz w:val="22"/>
                <w:szCs w:val="22"/>
                <w:lang w:val="pl-PL" w:eastAsia="en-GB"/>
              </w:rPr>
            </w:pPr>
          </w:p>
        </w:tc>
      </w:tr>
      <w:tr w:rsidR="0013513D" w:rsidRPr="00BD22FE" w14:paraId="26C8A540" w14:textId="77777777" w:rsidTr="0090751B">
        <w:tc>
          <w:tcPr>
            <w:tcW w:w="1084" w:type="pct"/>
            <w:vMerge/>
            <w:tcBorders>
              <w:left w:val="single" w:sz="4" w:space="0" w:color="auto"/>
              <w:right w:val="single" w:sz="4" w:space="0" w:color="auto"/>
            </w:tcBorders>
            <w:hideMark/>
          </w:tcPr>
          <w:p w14:paraId="05F7CDDD" w14:textId="77777777" w:rsidR="000016E2" w:rsidRPr="00BD22FE" w:rsidRDefault="000016E2" w:rsidP="00941FBF">
            <w:pPr>
              <w:rPr>
                <w:sz w:val="22"/>
                <w:szCs w:val="22"/>
                <w:highlight w:val="yellow"/>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0EA1430C" w14:textId="77777777" w:rsidR="000016E2" w:rsidRPr="00BD22FE" w:rsidRDefault="00104CA8" w:rsidP="00941FBF">
            <w:pPr>
              <w:rPr>
                <w:color w:val="000000"/>
                <w:sz w:val="22"/>
                <w:szCs w:val="22"/>
                <w:lang w:val="pl-PL" w:eastAsia="en-GB"/>
              </w:rPr>
            </w:pPr>
            <w:r w:rsidRPr="00BD22FE">
              <w:rPr>
                <w:sz w:val="22"/>
                <w:szCs w:val="22"/>
                <w:lang w:val="pl-PL"/>
              </w:rPr>
              <w:t>Ból stawów</w:t>
            </w:r>
          </w:p>
        </w:tc>
        <w:tc>
          <w:tcPr>
            <w:tcW w:w="804" w:type="pct"/>
            <w:tcBorders>
              <w:top w:val="single" w:sz="4" w:space="0" w:color="auto"/>
              <w:left w:val="single" w:sz="4" w:space="0" w:color="auto"/>
              <w:bottom w:val="single" w:sz="4" w:space="0" w:color="auto"/>
              <w:right w:val="single" w:sz="4" w:space="0" w:color="auto"/>
            </w:tcBorders>
            <w:vAlign w:val="bottom"/>
            <w:hideMark/>
          </w:tcPr>
          <w:p w14:paraId="5B95D9D5"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rzadko</w:t>
            </w:r>
          </w:p>
        </w:tc>
        <w:tc>
          <w:tcPr>
            <w:tcW w:w="788" w:type="pct"/>
            <w:tcBorders>
              <w:top w:val="single" w:sz="4" w:space="0" w:color="auto"/>
              <w:left w:val="single" w:sz="4" w:space="0" w:color="auto"/>
              <w:bottom w:val="single" w:sz="4" w:space="0" w:color="auto"/>
              <w:right w:val="single" w:sz="4" w:space="0" w:color="auto"/>
            </w:tcBorders>
            <w:vAlign w:val="bottom"/>
            <w:hideMark/>
          </w:tcPr>
          <w:p w14:paraId="1ED29C3E"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rzadko</w:t>
            </w:r>
          </w:p>
        </w:tc>
        <w:tc>
          <w:tcPr>
            <w:tcW w:w="1098" w:type="pct"/>
            <w:tcBorders>
              <w:top w:val="single" w:sz="4" w:space="0" w:color="auto"/>
              <w:left w:val="single" w:sz="4" w:space="0" w:color="auto"/>
              <w:bottom w:val="single" w:sz="4" w:space="0" w:color="auto"/>
              <w:right w:val="single" w:sz="4" w:space="0" w:color="auto"/>
            </w:tcBorders>
            <w:vAlign w:val="bottom"/>
            <w:hideMark/>
          </w:tcPr>
          <w:p w14:paraId="10C0C487" w14:textId="77777777" w:rsidR="000016E2" w:rsidRPr="00BD22FE" w:rsidRDefault="000016E2" w:rsidP="00941FBF">
            <w:pPr>
              <w:rPr>
                <w:sz w:val="22"/>
                <w:szCs w:val="22"/>
                <w:lang w:val="pl-PL" w:eastAsia="en-GB"/>
              </w:rPr>
            </w:pPr>
          </w:p>
        </w:tc>
      </w:tr>
      <w:tr w:rsidR="0013513D" w:rsidRPr="00BD22FE" w14:paraId="6776E51B" w14:textId="77777777" w:rsidTr="0090751B">
        <w:tc>
          <w:tcPr>
            <w:tcW w:w="1084" w:type="pct"/>
            <w:vMerge/>
            <w:tcBorders>
              <w:left w:val="single" w:sz="4" w:space="0" w:color="auto"/>
              <w:right w:val="single" w:sz="4" w:space="0" w:color="auto"/>
            </w:tcBorders>
            <w:hideMark/>
          </w:tcPr>
          <w:p w14:paraId="0DFA742C" w14:textId="77777777" w:rsidR="000016E2" w:rsidRPr="00BD22FE" w:rsidRDefault="000016E2" w:rsidP="00941FBF">
            <w:pPr>
              <w:rPr>
                <w:sz w:val="22"/>
                <w:szCs w:val="22"/>
                <w:highlight w:val="yellow"/>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5C477561"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Ból w kończynach (ból nóg)</w:t>
            </w:r>
          </w:p>
        </w:tc>
        <w:tc>
          <w:tcPr>
            <w:tcW w:w="804" w:type="pct"/>
            <w:tcBorders>
              <w:top w:val="single" w:sz="4" w:space="0" w:color="auto"/>
              <w:left w:val="single" w:sz="4" w:space="0" w:color="auto"/>
              <w:bottom w:val="single" w:sz="4" w:space="0" w:color="auto"/>
              <w:right w:val="single" w:sz="4" w:space="0" w:color="auto"/>
            </w:tcBorders>
            <w:vAlign w:val="bottom"/>
            <w:hideMark/>
          </w:tcPr>
          <w:p w14:paraId="3C6EE953"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rzadko</w:t>
            </w:r>
          </w:p>
        </w:tc>
        <w:tc>
          <w:tcPr>
            <w:tcW w:w="788" w:type="pct"/>
            <w:tcBorders>
              <w:top w:val="single" w:sz="4" w:space="0" w:color="auto"/>
              <w:left w:val="single" w:sz="4" w:space="0" w:color="auto"/>
              <w:bottom w:val="single" w:sz="4" w:space="0" w:color="auto"/>
              <w:right w:val="single" w:sz="4" w:space="0" w:color="auto"/>
            </w:tcBorders>
            <w:vAlign w:val="bottom"/>
            <w:hideMark/>
          </w:tcPr>
          <w:p w14:paraId="05F9DBE3"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rzadko</w:t>
            </w:r>
          </w:p>
        </w:tc>
        <w:tc>
          <w:tcPr>
            <w:tcW w:w="1098" w:type="pct"/>
            <w:tcBorders>
              <w:top w:val="single" w:sz="4" w:space="0" w:color="auto"/>
              <w:left w:val="single" w:sz="4" w:space="0" w:color="auto"/>
              <w:bottom w:val="single" w:sz="4" w:space="0" w:color="auto"/>
              <w:right w:val="single" w:sz="4" w:space="0" w:color="auto"/>
            </w:tcBorders>
            <w:vAlign w:val="bottom"/>
            <w:hideMark/>
          </w:tcPr>
          <w:p w14:paraId="5D7558EC" w14:textId="77777777" w:rsidR="000016E2" w:rsidRPr="00BD22FE" w:rsidRDefault="000016E2" w:rsidP="00941FBF">
            <w:pPr>
              <w:rPr>
                <w:sz w:val="22"/>
                <w:szCs w:val="22"/>
                <w:lang w:val="pl-PL" w:eastAsia="en-GB"/>
              </w:rPr>
            </w:pPr>
          </w:p>
        </w:tc>
      </w:tr>
      <w:tr w:rsidR="0013513D" w:rsidRPr="00BD22FE" w14:paraId="4B06F12A" w14:textId="77777777" w:rsidTr="0090751B">
        <w:tc>
          <w:tcPr>
            <w:tcW w:w="1084" w:type="pct"/>
            <w:vMerge/>
            <w:tcBorders>
              <w:left w:val="single" w:sz="4" w:space="0" w:color="auto"/>
              <w:right w:val="single" w:sz="4" w:space="0" w:color="auto"/>
            </w:tcBorders>
            <w:hideMark/>
          </w:tcPr>
          <w:p w14:paraId="511B72DB" w14:textId="77777777" w:rsidR="000016E2" w:rsidRPr="00BD22FE" w:rsidRDefault="000016E2" w:rsidP="00941FBF">
            <w:pPr>
              <w:rPr>
                <w:sz w:val="22"/>
                <w:szCs w:val="22"/>
                <w:highlight w:val="yellow"/>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2512170C"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Ból ścięgien (objawy imitujące zapalenie ścięgien)</w:t>
            </w:r>
          </w:p>
        </w:tc>
        <w:tc>
          <w:tcPr>
            <w:tcW w:w="804" w:type="pct"/>
            <w:tcBorders>
              <w:top w:val="single" w:sz="4" w:space="0" w:color="auto"/>
              <w:left w:val="single" w:sz="4" w:space="0" w:color="auto"/>
              <w:bottom w:val="single" w:sz="4" w:space="0" w:color="auto"/>
              <w:right w:val="single" w:sz="4" w:space="0" w:color="auto"/>
            </w:tcBorders>
            <w:vAlign w:val="bottom"/>
            <w:hideMark/>
          </w:tcPr>
          <w:p w14:paraId="420AF8E2" w14:textId="77777777" w:rsidR="000016E2" w:rsidRPr="00BD22FE" w:rsidRDefault="000016E2" w:rsidP="00941FBF">
            <w:pPr>
              <w:rPr>
                <w:color w:val="000000"/>
                <w:sz w:val="22"/>
                <w:szCs w:val="22"/>
                <w:lang w:val="pl-PL" w:eastAsia="en-GB"/>
              </w:rPr>
            </w:pPr>
          </w:p>
        </w:tc>
        <w:tc>
          <w:tcPr>
            <w:tcW w:w="788" w:type="pct"/>
            <w:tcBorders>
              <w:top w:val="single" w:sz="4" w:space="0" w:color="auto"/>
              <w:left w:val="single" w:sz="4" w:space="0" w:color="auto"/>
              <w:bottom w:val="single" w:sz="4" w:space="0" w:color="auto"/>
              <w:right w:val="single" w:sz="4" w:space="0" w:color="auto"/>
            </w:tcBorders>
            <w:vAlign w:val="bottom"/>
            <w:hideMark/>
          </w:tcPr>
          <w:p w14:paraId="39FAC18E"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rzadko</w:t>
            </w:r>
          </w:p>
        </w:tc>
        <w:tc>
          <w:tcPr>
            <w:tcW w:w="1098" w:type="pct"/>
            <w:tcBorders>
              <w:top w:val="single" w:sz="4" w:space="0" w:color="auto"/>
              <w:left w:val="single" w:sz="4" w:space="0" w:color="auto"/>
              <w:bottom w:val="single" w:sz="4" w:space="0" w:color="auto"/>
              <w:right w:val="single" w:sz="4" w:space="0" w:color="auto"/>
            </w:tcBorders>
            <w:vAlign w:val="bottom"/>
            <w:hideMark/>
          </w:tcPr>
          <w:p w14:paraId="63E03B0D" w14:textId="77777777" w:rsidR="000016E2" w:rsidRPr="00BD22FE" w:rsidRDefault="000016E2" w:rsidP="00941FBF">
            <w:pPr>
              <w:rPr>
                <w:color w:val="000000"/>
                <w:sz w:val="22"/>
                <w:szCs w:val="22"/>
                <w:lang w:val="pl-PL" w:eastAsia="en-GB"/>
              </w:rPr>
            </w:pPr>
          </w:p>
        </w:tc>
      </w:tr>
      <w:tr w:rsidR="0013513D" w:rsidRPr="00BD22FE" w14:paraId="2E7E9A64" w14:textId="77777777" w:rsidTr="0090751B">
        <w:tc>
          <w:tcPr>
            <w:tcW w:w="1084" w:type="pct"/>
            <w:vMerge/>
            <w:tcBorders>
              <w:left w:val="single" w:sz="4" w:space="0" w:color="auto"/>
              <w:bottom w:val="single" w:sz="4" w:space="0" w:color="auto"/>
              <w:right w:val="single" w:sz="4" w:space="0" w:color="auto"/>
            </w:tcBorders>
          </w:tcPr>
          <w:p w14:paraId="20EE6C61" w14:textId="77777777" w:rsidR="000016E2" w:rsidRPr="00BD22FE" w:rsidRDefault="000016E2" w:rsidP="00941FBF">
            <w:pPr>
              <w:rPr>
                <w:sz w:val="22"/>
                <w:szCs w:val="22"/>
                <w:highlight w:val="yellow"/>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tcPr>
          <w:p w14:paraId="75C0829A"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Toczeń rumieniowaty układowy</w:t>
            </w:r>
          </w:p>
        </w:tc>
        <w:tc>
          <w:tcPr>
            <w:tcW w:w="804" w:type="pct"/>
            <w:tcBorders>
              <w:top w:val="single" w:sz="4" w:space="0" w:color="auto"/>
              <w:left w:val="single" w:sz="4" w:space="0" w:color="auto"/>
              <w:bottom w:val="single" w:sz="4" w:space="0" w:color="auto"/>
              <w:right w:val="single" w:sz="4" w:space="0" w:color="auto"/>
            </w:tcBorders>
            <w:vAlign w:val="bottom"/>
          </w:tcPr>
          <w:p w14:paraId="755F4514"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rzadko</w:t>
            </w:r>
            <w:r w:rsidRPr="00BD22FE">
              <w:rPr>
                <w:color w:val="000000"/>
                <w:sz w:val="22"/>
                <w:szCs w:val="22"/>
                <w:vertAlign w:val="superscript"/>
                <w:lang w:val="pl-PL" w:eastAsia="en-GB"/>
              </w:rPr>
              <w:t>1</w:t>
            </w:r>
          </w:p>
        </w:tc>
        <w:tc>
          <w:tcPr>
            <w:tcW w:w="788" w:type="pct"/>
            <w:tcBorders>
              <w:top w:val="single" w:sz="4" w:space="0" w:color="auto"/>
              <w:left w:val="single" w:sz="4" w:space="0" w:color="auto"/>
              <w:bottom w:val="single" w:sz="4" w:space="0" w:color="auto"/>
              <w:right w:val="single" w:sz="4" w:space="0" w:color="auto"/>
            </w:tcBorders>
            <w:vAlign w:val="bottom"/>
          </w:tcPr>
          <w:p w14:paraId="62EA0946" w14:textId="77777777" w:rsidR="000016E2" w:rsidRPr="00BD22FE" w:rsidRDefault="000016E2" w:rsidP="00941FBF">
            <w:pPr>
              <w:rPr>
                <w:color w:val="000000"/>
                <w:sz w:val="22"/>
                <w:szCs w:val="22"/>
                <w:lang w:val="pl-PL" w:eastAsia="en-GB"/>
              </w:rPr>
            </w:pPr>
          </w:p>
        </w:tc>
        <w:tc>
          <w:tcPr>
            <w:tcW w:w="1098" w:type="pct"/>
            <w:tcBorders>
              <w:top w:val="single" w:sz="4" w:space="0" w:color="auto"/>
              <w:left w:val="single" w:sz="4" w:space="0" w:color="auto"/>
              <w:bottom w:val="single" w:sz="4" w:space="0" w:color="auto"/>
              <w:right w:val="single" w:sz="4" w:space="0" w:color="auto"/>
            </w:tcBorders>
            <w:vAlign w:val="bottom"/>
          </w:tcPr>
          <w:p w14:paraId="4772A9C1"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bardzo rzadko</w:t>
            </w:r>
          </w:p>
        </w:tc>
      </w:tr>
      <w:tr w:rsidR="0013513D" w:rsidRPr="00BD22FE" w14:paraId="3153A30E" w14:textId="77777777" w:rsidTr="0090751B">
        <w:tc>
          <w:tcPr>
            <w:tcW w:w="1084" w:type="pct"/>
            <w:vMerge w:val="restart"/>
            <w:tcBorders>
              <w:top w:val="single" w:sz="4" w:space="0" w:color="auto"/>
              <w:left w:val="single" w:sz="4" w:space="0" w:color="auto"/>
              <w:right w:val="single" w:sz="4" w:space="0" w:color="auto"/>
            </w:tcBorders>
            <w:hideMark/>
          </w:tcPr>
          <w:p w14:paraId="062DA45F" w14:textId="735589D1" w:rsidR="000016E2" w:rsidRPr="00BD22FE" w:rsidRDefault="00104CA8" w:rsidP="00504A80">
            <w:pPr>
              <w:widowControl w:val="0"/>
              <w:rPr>
                <w:b/>
                <w:bCs/>
                <w:color w:val="000000"/>
                <w:sz w:val="22"/>
                <w:szCs w:val="22"/>
                <w:highlight w:val="yellow"/>
                <w:lang w:val="pl-PL" w:eastAsia="en-GB"/>
              </w:rPr>
            </w:pPr>
            <w:r w:rsidRPr="00BD22FE">
              <w:rPr>
                <w:b/>
                <w:sz w:val="22"/>
                <w:szCs w:val="22"/>
                <w:lang w:val="pl-PL"/>
              </w:rPr>
              <w:t>Zaburzenia nerek i</w:t>
            </w:r>
            <w:r w:rsidR="00717A7B" w:rsidRPr="00BD22FE">
              <w:rPr>
                <w:b/>
                <w:sz w:val="22"/>
                <w:szCs w:val="22"/>
                <w:lang w:val="pl-PL"/>
              </w:rPr>
              <w:t> </w:t>
            </w:r>
            <w:r w:rsidRPr="00BD22FE">
              <w:rPr>
                <w:b/>
                <w:sz w:val="22"/>
                <w:szCs w:val="22"/>
                <w:lang w:val="pl-PL"/>
              </w:rPr>
              <w:t>dróg moczowych</w:t>
            </w:r>
          </w:p>
        </w:tc>
        <w:tc>
          <w:tcPr>
            <w:tcW w:w="1226" w:type="pct"/>
            <w:tcBorders>
              <w:top w:val="single" w:sz="4" w:space="0" w:color="auto"/>
              <w:left w:val="single" w:sz="4" w:space="0" w:color="auto"/>
              <w:bottom w:val="single" w:sz="4" w:space="0" w:color="auto"/>
              <w:right w:val="single" w:sz="4" w:space="0" w:color="auto"/>
            </w:tcBorders>
            <w:vAlign w:val="bottom"/>
            <w:hideMark/>
          </w:tcPr>
          <w:p w14:paraId="20079573" w14:textId="54AC560B" w:rsidR="000016E2" w:rsidRPr="00BD22FE" w:rsidRDefault="00104CA8" w:rsidP="00504A80">
            <w:pPr>
              <w:widowControl w:val="0"/>
              <w:rPr>
                <w:color w:val="000000"/>
                <w:sz w:val="22"/>
                <w:szCs w:val="22"/>
                <w:lang w:val="pl-PL" w:eastAsia="en-GB"/>
              </w:rPr>
            </w:pPr>
            <w:r w:rsidRPr="00BD22FE">
              <w:rPr>
                <w:sz w:val="22"/>
                <w:szCs w:val="22"/>
                <w:lang w:val="pl-PL"/>
              </w:rPr>
              <w:t>Zaburzenia czynności nerek</w:t>
            </w:r>
          </w:p>
        </w:tc>
        <w:tc>
          <w:tcPr>
            <w:tcW w:w="804" w:type="pct"/>
            <w:tcBorders>
              <w:top w:val="single" w:sz="4" w:space="0" w:color="auto"/>
              <w:left w:val="single" w:sz="4" w:space="0" w:color="auto"/>
              <w:bottom w:val="single" w:sz="4" w:space="0" w:color="auto"/>
              <w:right w:val="single" w:sz="4" w:space="0" w:color="auto"/>
            </w:tcBorders>
            <w:vAlign w:val="bottom"/>
            <w:hideMark/>
          </w:tcPr>
          <w:p w14:paraId="5DFD1473" w14:textId="77777777" w:rsidR="000016E2" w:rsidRPr="00BD22FE" w:rsidRDefault="000016E2" w:rsidP="00504A80">
            <w:pPr>
              <w:widowControl w:val="0"/>
              <w:rPr>
                <w:color w:val="000000"/>
                <w:sz w:val="22"/>
                <w:szCs w:val="22"/>
                <w:lang w:val="pl-PL" w:eastAsia="en-GB"/>
              </w:rPr>
            </w:pPr>
          </w:p>
        </w:tc>
        <w:tc>
          <w:tcPr>
            <w:tcW w:w="788" w:type="pct"/>
            <w:tcBorders>
              <w:top w:val="single" w:sz="4" w:space="0" w:color="auto"/>
              <w:left w:val="single" w:sz="4" w:space="0" w:color="auto"/>
              <w:bottom w:val="single" w:sz="4" w:space="0" w:color="auto"/>
              <w:right w:val="single" w:sz="4" w:space="0" w:color="auto"/>
            </w:tcBorders>
            <w:hideMark/>
          </w:tcPr>
          <w:p w14:paraId="5106580B" w14:textId="77777777" w:rsidR="000016E2" w:rsidRPr="00BD22FE" w:rsidRDefault="00104CA8" w:rsidP="00504A80">
            <w:pPr>
              <w:widowControl w:val="0"/>
              <w:rPr>
                <w:color w:val="000000"/>
                <w:sz w:val="22"/>
                <w:szCs w:val="22"/>
                <w:lang w:val="pl-PL" w:eastAsia="en-GB"/>
              </w:rPr>
            </w:pPr>
            <w:r w:rsidRPr="00BD22FE">
              <w:rPr>
                <w:color w:val="000000"/>
                <w:sz w:val="22"/>
                <w:szCs w:val="22"/>
                <w:lang w:val="pl-PL" w:eastAsia="en-GB"/>
              </w:rPr>
              <w:t>niezbyt często</w:t>
            </w:r>
          </w:p>
        </w:tc>
        <w:tc>
          <w:tcPr>
            <w:tcW w:w="1098" w:type="pct"/>
            <w:tcBorders>
              <w:top w:val="single" w:sz="4" w:space="0" w:color="auto"/>
              <w:left w:val="single" w:sz="4" w:space="0" w:color="auto"/>
              <w:bottom w:val="single" w:sz="4" w:space="0" w:color="auto"/>
              <w:right w:val="single" w:sz="4" w:space="0" w:color="auto"/>
            </w:tcBorders>
            <w:vAlign w:val="bottom"/>
            <w:hideMark/>
          </w:tcPr>
          <w:p w14:paraId="7B6C76C8" w14:textId="77777777" w:rsidR="000016E2" w:rsidRPr="00BD22FE" w:rsidRDefault="00104CA8" w:rsidP="00504A80">
            <w:pPr>
              <w:widowControl w:val="0"/>
              <w:rPr>
                <w:color w:val="000000"/>
                <w:sz w:val="22"/>
                <w:szCs w:val="22"/>
                <w:lang w:val="pl-PL" w:eastAsia="en-GB"/>
              </w:rPr>
            </w:pPr>
            <w:r w:rsidRPr="00BD22FE">
              <w:rPr>
                <w:sz w:val="22"/>
                <w:szCs w:val="22"/>
                <w:lang w:val="pl-PL"/>
              </w:rPr>
              <w:t>częstość nieznana</w:t>
            </w:r>
          </w:p>
        </w:tc>
      </w:tr>
      <w:tr w:rsidR="0013513D" w:rsidRPr="00BD22FE" w14:paraId="4D79F5B4" w14:textId="77777777" w:rsidTr="0090751B">
        <w:tc>
          <w:tcPr>
            <w:tcW w:w="1084" w:type="pct"/>
            <w:vMerge/>
            <w:tcBorders>
              <w:left w:val="single" w:sz="4" w:space="0" w:color="auto"/>
              <w:right w:val="single" w:sz="4" w:space="0" w:color="auto"/>
            </w:tcBorders>
            <w:hideMark/>
          </w:tcPr>
          <w:p w14:paraId="6147D76D" w14:textId="77777777" w:rsidR="000016E2" w:rsidRPr="00BD22FE" w:rsidRDefault="000016E2" w:rsidP="00504A80">
            <w:pPr>
              <w:widowControl w:val="0"/>
              <w:rPr>
                <w:color w:val="000000"/>
                <w:sz w:val="22"/>
                <w:szCs w:val="22"/>
                <w:highlight w:val="yellow"/>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1C205FF2" w14:textId="77777777" w:rsidR="000016E2" w:rsidRPr="00BD22FE" w:rsidRDefault="00104CA8" w:rsidP="00504A80">
            <w:pPr>
              <w:widowControl w:val="0"/>
              <w:rPr>
                <w:color w:val="000000"/>
                <w:sz w:val="22"/>
                <w:szCs w:val="22"/>
                <w:lang w:val="pl-PL" w:eastAsia="en-GB"/>
              </w:rPr>
            </w:pPr>
            <w:r w:rsidRPr="00BD22FE">
              <w:rPr>
                <w:color w:val="000000"/>
                <w:sz w:val="22"/>
                <w:szCs w:val="22"/>
                <w:lang w:val="pl-PL" w:eastAsia="en-GB"/>
              </w:rPr>
              <w:t>Ostra niewydolność nerek</w:t>
            </w:r>
          </w:p>
        </w:tc>
        <w:tc>
          <w:tcPr>
            <w:tcW w:w="804" w:type="pct"/>
            <w:tcBorders>
              <w:top w:val="single" w:sz="4" w:space="0" w:color="auto"/>
              <w:left w:val="single" w:sz="4" w:space="0" w:color="auto"/>
              <w:bottom w:val="single" w:sz="4" w:space="0" w:color="auto"/>
              <w:right w:val="single" w:sz="4" w:space="0" w:color="auto"/>
            </w:tcBorders>
            <w:vAlign w:val="bottom"/>
            <w:hideMark/>
          </w:tcPr>
          <w:p w14:paraId="210D773F" w14:textId="77777777" w:rsidR="000016E2" w:rsidRPr="00BD22FE" w:rsidRDefault="000016E2" w:rsidP="00504A80">
            <w:pPr>
              <w:widowControl w:val="0"/>
              <w:rPr>
                <w:color w:val="000000"/>
                <w:sz w:val="22"/>
                <w:szCs w:val="22"/>
                <w:lang w:val="pl-PL" w:eastAsia="en-GB"/>
              </w:rPr>
            </w:pPr>
          </w:p>
        </w:tc>
        <w:tc>
          <w:tcPr>
            <w:tcW w:w="788" w:type="pct"/>
            <w:tcBorders>
              <w:top w:val="single" w:sz="4" w:space="0" w:color="auto"/>
              <w:left w:val="single" w:sz="4" w:space="0" w:color="auto"/>
              <w:bottom w:val="single" w:sz="4" w:space="0" w:color="auto"/>
              <w:right w:val="single" w:sz="4" w:space="0" w:color="auto"/>
            </w:tcBorders>
            <w:hideMark/>
          </w:tcPr>
          <w:p w14:paraId="1CA4656F" w14:textId="77777777" w:rsidR="000016E2" w:rsidRPr="00BD22FE" w:rsidRDefault="00104CA8" w:rsidP="00504A80">
            <w:pPr>
              <w:widowControl w:val="0"/>
              <w:rPr>
                <w:color w:val="000000"/>
                <w:sz w:val="22"/>
                <w:szCs w:val="22"/>
                <w:lang w:val="pl-PL" w:eastAsia="en-GB"/>
              </w:rPr>
            </w:pPr>
            <w:r w:rsidRPr="00BD22FE">
              <w:rPr>
                <w:color w:val="000000"/>
                <w:sz w:val="22"/>
                <w:szCs w:val="22"/>
                <w:lang w:val="pl-PL" w:eastAsia="en-GB"/>
              </w:rPr>
              <w:t>niezbyt często</w:t>
            </w:r>
          </w:p>
        </w:tc>
        <w:tc>
          <w:tcPr>
            <w:tcW w:w="1098" w:type="pct"/>
            <w:tcBorders>
              <w:top w:val="single" w:sz="4" w:space="0" w:color="auto"/>
              <w:left w:val="single" w:sz="4" w:space="0" w:color="auto"/>
              <w:bottom w:val="single" w:sz="4" w:space="0" w:color="auto"/>
              <w:right w:val="single" w:sz="4" w:space="0" w:color="auto"/>
            </w:tcBorders>
            <w:vAlign w:val="bottom"/>
            <w:hideMark/>
          </w:tcPr>
          <w:p w14:paraId="69D419FB" w14:textId="77777777" w:rsidR="000016E2" w:rsidRPr="00BD22FE" w:rsidRDefault="00104CA8" w:rsidP="00504A80">
            <w:pPr>
              <w:widowControl w:val="0"/>
              <w:rPr>
                <w:color w:val="000000"/>
                <w:sz w:val="22"/>
                <w:szCs w:val="22"/>
                <w:lang w:val="pl-PL" w:eastAsia="en-GB"/>
              </w:rPr>
            </w:pPr>
            <w:r w:rsidRPr="00BD22FE">
              <w:rPr>
                <w:color w:val="000000"/>
                <w:sz w:val="22"/>
                <w:szCs w:val="22"/>
                <w:lang w:val="pl-PL" w:eastAsia="en-GB"/>
              </w:rPr>
              <w:t>niezbyt często</w:t>
            </w:r>
          </w:p>
        </w:tc>
      </w:tr>
      <w:tr w:rsidR="0013513D" w:rsidRPr="00BD22FE" w14:paraId="32A06E7E" w14:textId="77777777" w:rsidTr="0090751B">
        <w:tc>
          <w:tcPr>
            <w:tcW w:w="1084" w:type="pct"/>
            <w:vMerge/>
            <w:tcBorders>
              <w:left w:val="single" w:sz="4" w:space="0" w:color="auto"/>
              <w:bottom w:val="single" w:sz="4" w:space="0" w:color="auto"/>
              <w:right w:val="single" w:sz="4" w:space="0" w:color="auto"/>
            </w:tcBorders>
          </w:tcPr>
          <w:p w14:paraId="50B020D7" w14:textId="77777777" w:rsidR="000016E2" w:rsidRPr="00BD22FE" w:rsidRDefault="000016E2" w:rsidP="00941FBF">
            <w:pPr>
              <w:rPr>
                <w:color w:val="000000"/>
                <w:sz w:val="22"/>
                <w:szCs w:val="22"/>
                <w:highlight w:val="yellow"/>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tcPr>
          <w:p w14:paraId="0FE8B984" w14:textId="77777777" w:rsidR="000016E2" w:rsidRPr="00BD22FE" w:rsidRDefault="00104CA8" w:rsidP="00941FBF">
            <w:pPr>
              <w:rPr>
                <w:color w:val="000000"/>
                <w:sz w:val="22"/>
                <w:szCs w:val="22"/>
                <w:lang w:val="pl-PL" w:eastAsia="en-GB"/>
              </w:rPr>
            </w:pPr>
            <w:r w:rsidRPr="00BD22FE">
              <w:rPr>
                <w:sz w:val="22"/>
                <w:szCs w:val="22"/>
                <w:lang w:val="pl-PL"/>
              </w:rPr>
              <w:t>Cukromocz</w:t>
            </w:r>
          </w:p>
        </w:tc>
        <w:tc>
          <w:tcPr>
            <w:tcW w:w="804" w:type="pct"/>
            <w:tcBorders>
              <w:top w:val="single" w:sz="4" w:space="0" w:color="auto"/>
              <w:left w:val="single" w:sz="4" w:space="0" w:color="auto"/>
              <w:bottom w:val="single" w:sz="4" w:space="0" w:color="auto"/>
              <w:right w:val="single" w:sz="4" w:space="0" w:color="auto"/>
            </w:tcBorders>
            <w:vAlign w:val="bottom"/>
          </w:tcPr>
          <w:p w14:paraId="6E21B586" w14:textId="77777777" w:rsidR="000016E2" w:rsidRPr="00BD22FE" w:rsidRDefault="000016E2" w:rsidP="00941FBF">
            <w:pPr>
              <w:rPr>
                <w:color w:val="000000"/>
                <w:sz w:val="22"/>
                <w:szCs w:val="22"/>
                <w:lang w:val="pl-PL" w:eastAsia="en-GB"/>
              </w:rPr>
            </w:pPr>
          </w:p>
        </w:tc>
        <w:tc>
          <w:tcPr>
            <w:tcW w:w="788" w:type="pct"/>
            <w:tcBorders>
              <w:top w:val="single" w:sz="4" w:space="0" w:color="auto"/>
              <w:left w:val="single" w:sz="4" w:space="0" w:color="auto"/>
              <w:bottom w:val="single" w:sz="4" w:space="0" w:color="auto"/>
              <w:right w:val="single" w:sz="4" w:space="0" w:color="auto"/>
            </w:tcBorders>
            <w:vAlign w:val="bottom"/>
          </w:tcPr>
          <w:p w14:paraId="1E3DB4D7" w14:textId="77777777" w:rsidR="000016E2" w:rsidRPr="00BD22FE" w:rsidRDefault="000016E2" w:rsidP="00941FBF">
            <w:pPr>
              <w:rPr>
                <w:color w:val="000000"/>
                <w:sz w:val="22"/>
                <w:szCs w:val="22"/>
                <w:lang w:val="pl-PL" w:eastAsia="en-GB"/>
              </w:rPr>
            </w:pPr>
          </w:p>
        </w:tc>
        <w:tc>
          <w:tcPr>
            <w:tcW w:w="1098" w:type="pct"/>
            <w:tcBorders>
              <w:top w:val="single" w:sz="4" w:space="0" w:color="auto"/>
              <w:left w:val="single" w:sz="4" w:space="0" w:color="auto"/>
              <w:bottom w:val="single" w:sz="4" w:space="0" w:color="auto"/>
              <w:right w:val="single" w:sz="4" w:space="0" w:color="auto"/>
            </w:tcBorders>
            <w:vAlign w:val="bottom"/>
          </w:tcPr>
          <w:p w14:paraId="404F69F5"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rzadko</w:t>
            </w:r>
          </w:p>
        </w:tc>
      </w:tr>
      <w:tr w:rsidR="0013513D" w:rsidRPr="00BD22FE" w14:paraId="497B98BE" w14:textId="77777777" w:rsidTr="0090751B">
        <w:tc>
          <w:tcPr>
            <w:tcW w:w="1084" w:type="pct"/>
            <w:tcBorders>
              <w:top w:val="single" w:sz="4" w:space="0" w:color="auto"/>
              <w:left w:val="single" w:sz="4" w:space="0" w:color="auto"/>
              <w:bottom w:val="single" w:sz="4" w:space="0" w:color="auto"/>
              <w:right w:val="single" w:sz="4" w:space="0" w:color="auto"/>
            </w:tcBorders>
            <w:hideMark/>
          </w:tcPr>
          <w:p w14:paraId="4BD7A360" w14:textId="76F33DC5" w:rsidR="000016E2" w:rsidRPr="00BD22FE" w:rsidRDefault="00104CA8" w:rsidP="00941FBF">
            <w:pPr>
              <w:rPr>
                <w:b/>
                <w:bCs/>
                <w:color w:val="000000"/>
                <w:sz w:val="22"/>
                <w:szCs w:val="22"/>
                <w:highlight w:val="yellow"/>
                <w:lang w:val="pl-PL" w:eastAsia="en-GB"/>
              </w:rPr>
            </w:pPr>
            <w:r w:rsidRPr="00BD22FE">
              <w:rPr>
                <w:b/>
                <w:bCs/>
                <w:sz w:val="22"/>
                <w:szCs w:val="22"/>
                <w:lang w:val="pl-PL"/>
              </w:rPr>
              <w:t>Zaburzenia układu rozrodczego i</w:t>
            </w:r>
            <w:r w:rsidR="00717A7B" w:rsidRPr="00BD22FE">
              <w:rPr>
                <w:b/>
                <w:bCs/>
                <w:sz w:val="22"/>
                <w:szCs w:val="22"/>
                <w:lang w:val="pl-PL"/>
              </w:rPr>
              <w:t> </w:t>
            </w:r>
            <w:r w:rsidRPr="00BD22FE">
              <w:rPr>
                <w:b/>
                <w:bCs/>
                <w:sz w:val="22"/>
                <w:szCs w:val="22"/>
                <w:lang w:val="pl-PL"/>
              </w:rPr>
              <w:t>piersi</w:t>
            </w:r>
          </w:p>
        </w:tc>
        <w:tc>
          <w:tcPr>
            <w:tcW w:w="1226" w:type="pct"/>
            <w:tcBorders>
              <w:top w:val="single" w:sz="4" w:space="0" w:color="auto"/>
              <w:left w:val="single" w:sz="4" w:space="0" w:color="auto"/>
              <w:bottom w:val="single" w:sz="4" w:space="0" w:color="auto"/>
              <w:right w:val="single" w:sz="4" w:space="0" w:color="auto"/>
            </w:tcBorders>
            <w:vAlign w:val="bottom"/>
            <w:hideMark/>
          </w:tcPr>
          <w:p w14:paraId="2AA378E3" w14:textId="77777777" w:rsidR="000016E2" w:rsidRPr="00BD22FE" w:rsidRDefault="00104CA8" w:rsidP="00941FBF">
            <w:pPr>
              <w:rPr>
                <w:color w:val="000000"/>
                <w:sz w:val="22"/>
                <w:szCs w:val="22"/>
                <w:lang w:val="pl-PL" w:eastAsia="en-GB"/>
              </w:rPr>
            </w:pPr>
            <w:r w:rsidRPr="00BD22FE">
              <w:rPr>
                <w:sz w:val="22"/>
                <w:szCs w:val="22"/>
                <w:lang w:val="pl-PL"/>
              </w:rPr>
              <w:t>Zaburzenia erekcji</w:t>
            </w:r>
          </w:p>
        </w:tc>
        <w:tc>
          <w:tcPr>
            <w:tcW w:w="804" w:type="pct"/>
            <w:tcBorders>
              <w:top w:val="single" w:sz="4" w:space="0" w:color="auto"/>
              <w:left w:val="single" w:sz="4" w:space="0" w:color="auto"/>
              <w:bottom w:val="single" w:sz="4" w:space="0" w:color="auto"/>
              <w:right w:val="single" w:sz="4" w:space="0" w:color="auto"/>
            </w:tcBorders>
            <w:vAlign w:val="bottom"/>
            <w:hideMark/>
          </w:tcPr>
          <w:p w14:paraId="5C615C3A"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niezbyt często</w:t>
            </w:r>
          </w:p>
        </w:tc>
        <w:tc>
          <w:tcPr>
            <w:tcW w:w="788" w:type="pct"/>
            <w:tcBorders>
              <w:top w:val="single" w:sz="4" w:space="0" w:color="auto"/>
              <w:left w:val="single" w:sz="4" w:space="0" w:color="auto"/>
              <w:bottom w:val="single" w:sz="4" w:space="0" w:color="auto"/>
              <w:right w:val="single" w:sz="4" w:space="0" w:color="auto"/>
            </w:tcBorders>
            <w:vAlign w:val="bottom"/>
            <w:hideMark/>
          </w:tcPr>
          <w:p w14:paraId="1E1C0D04" w14:textId="77777777" w:rsidR="000016E2" w:rsidRPr="00BD22FE" w:rsidRDefault="000016E2" w:rsidP="00941FBF">
            <w:pPr>
              <w:rPr>
                <w:color w:val="000000"/>
                <w:sz w:val="22"/>
                <w:szCs w:val="22"/>
                <w:lang w:val="pl-PL" w:eastAsia="en-GB"/>
              </w:rPr>
            </w:pPr>
          </w:p>
        </w:tc>
        <w:tc>
          <w:tcPr>
            <w:tcW w:w="1098" w:type="pct"/>
            <w:tcBorders>
              <w:top w:val="single" w:sz="4" w:space="0" w:color="auto"/>
              <w:left w:val="single" w:sz="4" w:space="0" w:color="auto"/>
              <w:bottom w:val="single" w:sz="4" w:space="0" w:color="auto"/>
              <w:right w:val="single" w:sz="4" w:space="0" w:color="auto"/>
            </w:tcBorders>
            <w:vAlign w:val="bottom"/>
            <w:hideMark/>
          </w:tcPr>
          <w:p w14:paraId="352C142B"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często</w:t>
            </w:r>
          </w:p>
        </w:tc>
      </w:tr>
      <w:tr w:rsidR="0013513D" w:rsidRPr="00BD22FE" w14:paraId="69A5A245" w14:textId="77777777" w:rsidTr="0090751B">
        <w:tc>
          <w:tcPr>
            <w:tcW w:w="1084" w:type="pct"/>
            <w:vMerge w:val="restart"/>
            <w:tcBorders>
              <w:top w:val="single" w:sz="4" w:space="0" w:color="auto"/>
              <w:left w:val="single" w:sz="4" w:space="0" w:color="auto"/>
              <w:right w:val="single" w:sz="4" w:space="0" w:color="auto"/>
            </w:tcBorders>
            <w:hideMark/>
          </w:tcPr>
          <w:p w14:paraId="009A81F9" w14:textId="77777777" w:rsidR="000016E2" w:rsidRPr="00BD22FE" w:rsidRDefault="00104CA8" w:rsidP="00941FBF">
            <w:pPr>
              <w:rPr>
                <w:b/>
                <w:bCs/>
                <w:color w:val="000000"/>
                <w:sz w:val="22"/>
                <w:szCs w:val="22"/>
                <w:highlight w:val="yellow"/>
                <w:lang w:val="pl-PL" w:eastAsia="en-GB"/>
              </w:rPr>
            </w:pPr>
            <w:r w:rsidRPr="00BD22FE">
              <w:rPr>
                <w:b/>
                <w:bCs/>
                <w:sz w:val="22"/>
                <w:szCs w:val="22"/>
                <w:lang w:val="pl-PL"/>
              </w:rPr>
              <w:t>Zaburzenia ogólne i stany w miejscu podania</w:t>
            </w:r>
          </w:p>
        </w:tc>
        <w:tc>
          <w:tcPr>
            <w:tcW w:w="1226" w:type="pct"/>
            <w:tcBorders>
              <w:top w:val="single" w:sz="4" w:space="0" w:color="auto"/>
              <w:left w:val="single" w:sz="4" w:space="0" w:color="auto"/>
              <w:bottom w:val="single" w:sz="4" w:space="0" w:color="auto"/>
              <w:right w:val="single" w:sz="4" w:space="0" w:color="auto"/>
            </w:tcBorders>
            <w:vAlign w:val="bottom"/>
            <w:hideMark/>
          </w:tcPr>
          <w:p w14:paraId="4278CFD9" w14:textId="4516B09F" w:rsidR="000016E2" w:rsidRPr="00BD22FE" w:rsidRDefault="00104CA8" w:rsidP="00941FBF">
            <w:pPr>
              <w:rPr>
                <w:color w:val="000000"/>
                <w:sz w:val="22"/>
                <w:szCs w:val="22"/>
                <w:lang w:val="pl-PL" w:eastAsia="en-GB"/>
              </w:rPr>
            </w:pPr>
            <w:r w:rsidRPr="00BD22FE">
              <w:rPr>
                <w:color w:val="000000"/>
                <w:sz w:val="22"/>
                <w:szCs w:val="22"/>
                <w:lang w:val="pl-PL" w:eastAsia="en-GB"/>
              </w:rPr>
              <w:t>Ból w</w:t>
            </w:r>
            <w:r w:rsidR="00717A7B" w:rsidRPr="00BD22FE">
              <w:rPr>
                <w:color w:val="000000"/>
                <w:sz w:val="22"/>
                <w:szCs w:val="22"/>
                <w:lang w:val="pl-PL" w:eastAsia="en-GB"/>
              </w:rPr>
              <w:t> </w:t>
            </w:r>
            <w:r w:rsidRPr="00BD22FE">
              <w:rPr>
                <w:color w:val="000000"/>
                <w:sz w:val="22"/>
                <w:szCs w:val="22"/>
                <w:lang w:val="pl-PL" w:eastAsia="en-GB"/>
              </w:rPr>
              <w:t>klatce piersiowej</w:t>
            </w:r>
          </w:p>
        </w:tc>
        <w:tc>
          <w:tcPr>
            <w:tcW w:w="804" w:type="pct"/>
            <w:tcBorders>
              <w:top w:val="single" w:sz="4" w:space="0" w:color="auto"/>
              <w:left w:val="single" w:sz="4" w:space="0" w:color="auto"/>
              <w:bottom w:val="single" w:sz="4" w:space="0" w:color="auto"/>
              <w:right w:val="single" w:sz="4" w:space="0" w:color="auto"/>
            </w:tcBorders>
            <w:vAlign w:val="bottom"/>
            <w:hideMark/>
          </w:tcPr>
          <w:p w14:paraId="2FCA9FFC"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niezbyt często</w:t>
            </w:r>
          </w:p>
        </w:tc>
        <w:tc>
          <w:tcPr>
            <w:tcW w:w="788" w:type="pct"/>
            <w:tcBorders>
              <w:top w:val="single" w:sz="4" w:space="0" w:color="auto"/>
              <w:left w:val="single" w:sz="4" w:space="0" w:color="auto"/>
              <w:bottom w:val="single" w:sz="4" w:space="0" w:color="auto"/>
              <w:right w:val="single" w:sz="4" w:space="0" w:color="auto"/>
            </w:tcBorders>
            <w:vAlign w:val="bottom"/>
            <w:hideMark/>
          </w:tcPr>
          <w:p w14:paraId="0B6857EC"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niezbyt często</w:t>
            </w:r>
          </w:p>
        </w:tc>
        <w:tc>
          <w:tcPr>
            <w:tcW w:w="1098" w:type="pct"/>
            <w:tcBorders>
              <w:top w:val="single" w:sz="4" w:space="0" w:color="auto"/>
              <w:left w:val="single" w:sz="4" w:space="0" w:color="auto"/>
              <w:bottom w:val="single" w:sz="4" w:space="0" w:color="auto"/>
              <w:right w:val="single" w:sz="4" w:space="0" w:color="auto"/>
            </w:tcBorders>
            <w:vAlign w:val="bottom"/>
            <w:hideMark/>
          </w:tcPr>
          <w:p w14:paraId="3D01B640" w14:textId="77777777" w:rsidR="000016E2" w:rsidRPr="00BD22FE" w:rsidRDefault="000016E2" w:rsidP="00941FBF">
            <w:pPr>
              <w:rPr>
                <w:color w:val="000000"/>
                <w:sz w:val="22"/>
                <w:szCs w:val="22"/>
                <w:lang w:val="pl-PL" w:eastAsia="en-GB"/>
              </w:rPr>
            </w:pPr>
          </w:p>
        </w:tc>
      </w:tr>
      <w:tr w:rsidR="0013513D" w:rsidRPr="00BD22FE" w14:paraId="663FD751" w14:textId="77777777" w:rsidTr="0090751B">
        <w:tc>
          <w:tcPr>
            <w:tcW w:w="1084" w:type="pct"/>
            <w:vMerge/>
            <w:tcBorders>
              <w:left w:val="single" w:sz="4" w:space="0" w:color="auto"/>
              <w:right w:val="single" w:sz="4" w:space="0" w:color="auto"/>
            </w:tcBorders>
            <w:hideMark/>
          </w:tcPr>
          <w:p w14:paraId="3B6E0E9F" w14:textId="77777777" w:rsidR="000016E2" w:rsidRPr="00BD22FE" w:rsidRDefault="000016E2" w:rsidP="00941FBF">
            <w:pPr>
              <w:rPr>
                <w:sz w:val="22"/>
                <w:szCs w:val="22"/>
                <w:highlight w:val="yellow"/>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0833C3D4"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Objawy grypopodobne</w:t>
            </w:r>
          </w:p>
        </w:tc>
        <w:tc>
          <w:tcPr>
            <w:tcW w:w="804" w:type="pct"/>
            <w:tcBorders>
              <w:top w:val="single" w:sz="4" w:space="0" w:color="auto"/>
              <w:left w:val="single" w:sz="4" w:space="0" w:color="auto"/>
              <w:bottom w:val="single" w:sz="4" w:space="0" w:color="auto"/>
              <w:right w:val="single" w:sz="4" w:space="0" w:color="auto"/>
            </w:tcBorders>
            <w:vAlign w:val="bottom"/>
            <w:hideMark/>
          </w:tcPr>
          <w:p w14:paraId="44EC5C3B"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rzadko</w:t>
            </w:r>
          </w:p>
        </w:tc>
        <w:tc>
          <w:tcPr>
            <w:tcW w:w="788" w:type="pct"/>
            <w:tcBorders>
              <w:top w:val="single" w:sz="4" w:space="0" w:color="auto"/>
              <w:left w:val="single" w:sz="4" w:space="0" w:color="auto"/>
              <w:bottom w:val="single" w:sz="4" w:space="0" w:color="auto"/>
              <w:right w:val="single" w:sz="4" w:space="0" w:color="auto"/>
            </w:tcBorders>
            <w:vAlign w:val="bottom"/>
            <w:hideMark/>
          </w:tcPr>
          <w:p w14:paraId="3A9B1076"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rzadko</w:t>
            </w:r>
          </w:p>
        </w:tc>
        <w:tc>
          <w:tcPr>
            <w:tcW w:w="1098" w:type="pct"/>
            <w:tcBorders>
              <w:top w:val="single" w:sz="4" w:space="0" w:color="auto"/>
              <w:left w:val="single" w:sz="4" w:space="0" w:color="auto"/>
              <w:bottom w:val="single" w:sz="4" w:space="0" w:color="auto"/>
              <w:right w:val="single" w:sz="4" w:space="0" w:color="auto"/>
            </w:tcBorders>
            <w:vAlign w:val="bottom"/>
            <w:hideMark/>
          </w:tcPr>
          <w:p w14:paraId="69D34E37" w14:textId="77777777" w:rsidR="000016E2" w:rsidRPr="00BD22FE" w:rsidRDefault="000016E2" w:rsidP="00941FBF">
            <w:pPr>
              <w:rPr>
                <w:color w:val="000000"/>
                <w:sz w:val="22"/>
                <w:szCs w:val="22"/>
                <w:lang w:val="pl-PL" w:eastAsia="en-GB"/>
              </w:rPr>
            </w:pPr>
          </w:p>
        </w:tc>
      </w:tr>
      <w:tr w:rsidR="0013513D" w:rsidRPr="00BD22FE" w14:paraId="14258518" w14:textId="77777777" w:rsidTr="0090751B">
        <w:tc>
          <w:tcPr>
            <w:tcW w:w="1084" w:type="pct"/>
            <w:vMerge/>
            <w:tcBorders>
              <w:left w:val="single" w:sz="4" w:space="0" w:color="auto"/>
              <w:right w:val="single" w:sz="4" w:space="0" w:color="auto"/>
            </w:tcBorders>
            <w:hideMark/>
          </w:tcPr>
          <w:p w14:paraId="5ECBEB4B" w14:textId="77777777" w:rsidR="000016E2" w:rsidRPr="00BD22FE" w:rsidRDefault="000016E2" w:rsidP="00941FBF">
            <w:pPr>
              <w:rPr>
                <w:sz w:val="22"/>
                <w:szCs w:val="22"/>
                <w:highlight w:val="yellow"/>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500E82BF"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Ból</w:t>
            </w:r>
          </w:p>
        </w:tc>
        <w:tc>
          <w:tcPr>
            <w:tcW w:w="804" w:type="pct"/>
            <w:tcBorders>
              <w:top w:val="single" w:sz="4" w:space="0" w:color="auto"/>
              <w:left w:val="single" w:sz="4" w:space="0" w:color="auto"/>
              <w:bottom w:val="single" w:sz="4" w:space="0" w:color="auto"/>
              <w:right w:val="single" w:sz="4" w:space="0" w:color="auto"/>
            </w:tcBorders>
            <w:vAlign w:val="bottom"/>
            <w:hideMark/>
          </w:tcPr>
          <w:p w14:paraId="57BAC5CF"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rzadko</w:t>
            </w:r>
          </w:p>
        </w:tc>
        <w:tc>
          <w:tcPr>
            <w:tcW w:w="788" w:type="pct"/>
            <w:tcBorders>
              <w:top w:val="single" w:sz="4" w:space="0" w:color="auto"/>
              <w:left w:val="single" w:sz="4" w:space="0" w:color="auto"/>
              <w:bottom w:val="single" w:sz="4" w:space="0" w:color="auto"/>
              <w:right w:val="single" w:sz="4" w:space="0" w:color="auto"/>
            </w:tcBorders>
            <w:vAlign w:val="bottom"/>
            <w:hideMark/>
          </w:tcPr>
          <w:p w14:paraId="334369AC" w14:textId="77777777" w:rsidR="000016E2" w:rsidRPr="00BD22FE" w:rsidRDefault="000016E2" w:rsidP="00941FBF">
            <w:pPr>
              <w:rPr>
                <w:color w:val="000000"/>
                <w:sz w:val="22"/>
                <w:szCs w:val="22"/>
                <w:lang w:val="pl-PL" w:eastAsia="en-GB"/>
              </w:rPr>
            </w:pPr>
          </w:p>
        </w:tc>
        <w:tc>
          <w:tcPr>
            <w:tcW w:w="1098" w:type="pct"/>
            <w:tcBorders>
              <w:top w:val="single" w:sz="4" w:space="0" w:color="auto"/>
              <w:left w:val="single" w:sz="4" w:space="0" w:color="auto"/>
              <w:bottom w:val="single" w:sz="4" w:space="0" w:color="auto"/>
              <w:right w:val="single" w:sz="4" w:space="0" w:color="auto"/>
            </w:tcBorders>
            <w:vAlign w:val="bottom"/>
            <w:hideMark/>
          </w:tcPr>
          <w:p w14:paraId="3C39AC4C" w14:textId="77777777" w:rsidR="000016E2" w:rsidRPr="00BD22FE" w:rsidRDefault="000016E2" w:rsidP="00941FBF">
            <w:pPr>
              <w:rPr>
                <w:sz w:val="22"/>
                <w:szCs w:val="22"/>
                <w:lang w:val="pl-PL" w:eastAsia="en-GB"/>
              </w:rPr>
            </w:pPr>
          </w:p>
        </w:tc>
      </w:tr>
      <w:tr w:rsidR="0013513D" w:rsidRPr="00BD22FE" w14:paraId="57C4AFFE" w14:textId="77777777" w:rsidTr="0090751B">
        <w:tc>
          <w:tcPr>
            <w:tcW w:w="1084" w:type="pct"/>
            <w:vMerge/>
            <w:tcBorders>
              <w:left w:val="single" w:sz="4" w:space="0" w:color="auto"/>
              <w:right w:val="single" w:sz="4" w:space="0" w:color="auto"/>
            </w:tcBorders>
            <w:hideMark/>
          </w:tcPr>
          <w:p w14:paraId="3DED9A90" w14:textId="77777777" w:rsidR="000016E2" w:rsidRPr="00BD22FE" w:rsidRDefault="000016E2" w:rsidP="00941FBF">
            <w:pPr>
              <w:rPr>
                <w:sz w:val="22"/>
                <w:szCs w:val="22"/>
                <w:highlight w:val="yellow"/>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5F4F4A7F"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Astenia (osłabienie)</w:t>
            </w:r>
          </w:p>
        </w:tc>
        <w:tc>
          <w:tcPr>
            <w:tcW w:w="804" w:type="pct"/>
            <w:tcBorders>
              <w:top w:val="single" w:sz="4" w:space="0" w:color="auto"/>
              <w:left w:val="single" w:sz="4" w:space="0" w:color="auto"/>
              <w:bottom w:val="single" w:sz="4" w:space="0" w:color="auto"/>
              <w:right w:val="single" w:sz="4" w:space="0" w:color="auto"/>
            </w:tcBorders>
            <w:vAlign w:val="bottom"/>
            <w:hideMark/>
          </w:tcPr>
          <w:p w14:paraId="7FE9CF36" w14:textId="77777777" w:rsidR="000016E2" w:rsidRPr="00BD22FE" w:rsidRDefault="000016E2" w:rsidP="00941FBF">
            <w:pPr>
              <w:rPr>
                <w:color w:val="000000"/>
                <w:sz w:val="22"/>
                <w:szCs w:val="22"/>
                <w:lang w:val="pl-PL" w:eastAsia="en-GB"/>
              </w:rPr>
            </w:pPr>
          </w:p>
        </w:tc>
        <w:tc>
          <w:tcPr>
            <w:tcW w:w="788" w:type="pct"/>
            <w:tcBorders>
              <w:top w:val="single" w:sz="4" w:space="0" w:color="auto"/>
              <w:left w:val="single" w:sz="4" w:space="0" w:color="auto"/>
              <w:bottom w:val="single" w:sz="4" w:space="0" w:color="auto"/>
              <w:right w:val="single" w:sz="4" w:space="0" w:color="auto"/>
            </w:tcBorders>
            <w:vAlign w:val="bottom"/>
            <w:hideMark/>
          </w:tcPr>
          <w:p w14:paraId="47BF4C18"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niezbyt często</w:t>
            </w:r>
          </w:p>
        </w:tc>
        <w:tc>
          <w:tcPr>
            <w:tcW w:w="1098" w:type="pct"/>
            <w:tcBorders>
              <w:top w:val="single" w:sz="4" w:space="0" w:color="auto"/>
              <w:left w:val="single" w:sz="4" w:space="0" w:color="auto"/>
              <w:bottom w:val="single" w:sz="4" w:space="0" w:color="auto"/>
              <w:right w:val="single" w:sz="4" w:space="0" w:color="auto"/>
            </w:tcBorders>
            <w:vAlign w:val="bottom"/>
            <w:hideMark/>
          </w:tcPr>
          <w:p w14:paraId="10D709C4" w14:textId="77777777" w:rsidR="000016E2" w:rsidRPr="00BD22FE" w:rsidRDefault="00104CA8" w:rsidP="00941FBF">
            <w:pPr>
              <w:rPr>
                <w:color w:val="000000"/>
                <w:sz w:val="22"/>
                <w:szCs w:val="22"/>
                <w:lang w:val="pl-PL" w:eastAsia="en-GB"/>
              </w:rPr>
            </w:pPr>
            <w:r w:rsidRPr="00BD22FE">
              <w:rPr>
                <w:sz w:val="22"/>
                <w:szCs w:val="22"/>
                <w:lang w:val="pl-PL"/>
              </w:rPr>
              <w:t>częstość nieznana</w:t>
            </w:r>
          </w:p>
        </w:tc>
      </w:tr>
      <w:tr w:rsidR="0013513D" w:rsidRPr="00BD22FE" w14:paraId="4E43A8E8" w14:textId="77777777" w:rsidTr="0090751B">
        <w:tc>
          <w:tcPr>
            <w:tcW w:w="1084" w:type="pct"/>
            <w:vMerge/>
            <w:tcBorders>
              <w:left w:val="single" w:sz="4" w:space="0" w:color="auto"/>
              <w:bottom w:val="single" w:sz="4" w:space="0" w:color="auto"/>
              <w:right w:val="single" w:sz="4" w:space="0" w:color="auto"/>
            </w:tcBorders>
            <w:hideMark/>
          </w:tcPr>
          <w:p w14:paraId="6A851525" w14:textId="77777777" w:rsidR="000016E2" w:rsidRPr="00BD22FE" w:rsidRDefault="000016E2" w:rsidP="00941FBF">
            <w:pPr>
              <w:rPr>
                <w:color w:val="000000"/>
                <w:sz w:val="22"/>
                <w:szCs w:val="22"/>
                <w:highlight w:val="yellow"/>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0E892F6B"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Gorączka</w:t>
            </w:r>
          </w:p>
        </w:tc>
        <w:tc>
          <w:tcPr>
            <w:tcW w:w="804" w:type="pct"/>
            <w:tcBorders>
              <w:top w:val="single" w:sz="4" w:space="0" w:color="auto"/>
              <w:left w:val="single" w:sz="4" w:space="0" w:color="auto"/>
              <w:bottom w:val="single" w:sz="4" w:space="0" w:color="auto"/>
              <w:right w:val="single" w:sz="4" w:space="0" w:color="auto"/>
            </w:tcBorders>
            <w:vAlign w:val="bottom"/>
            <w:hideMark/>
          </w:tcPr>
          <w:p w14:paraId="3FECE2D4" w14:textId="77777777" w:rsidR="000016E2" w:rsidRPr="00BD22FE" w:rsidRDefault="000016E2" w:rsidP="00941FBF">
            <w:pPr>
              <w:rPr>
                <w:color w:val="000000"/>
                <w:sz w:val="22"/>
                <w:szCs w:val="22"/>
                <w:lang w:val="pl-PL" w:eastAsia="en-GB"/>
              </w:rPr>
            </w:pPr>
          </w:p>
        </w:tc>
        <w:tc>
          <w:tcPr>
            <w:tcW w:w="788" w:type="pct"/>
            <w:tcBorders>
              <w:top w:val="single" w:sz="4" w:space="0" w:color="auto"/>
              <w:left w:val="single" w:sz="4" w:space="0" w:color="auto"/>
              <w:bottom w:val="single" w:sz="4" w:space="0" w:color="auto"/>
              <w:right w:val="single" w:sz="4" w:space="0" w:color="auto"/>
            </w:tcBorders>
            <w:vAlign w:val="bottom"/>
            <w:hideMark/>
          </w:tcPr>
          <w:p w14:paraId="7DC6B960" w14:textId="77777777" w:rsidR="000016E2" w:rsidRPr="00BD22FE" w:rsidRDefault="000016E2" w:rsidP="00941FBF">
            <w:pPr>
              <w:rPr>
                <w:sz w:val="22"/>
                <w:szCs w:val="22"/>
                <w:lang w:val="pl-PL" w:eastAsia="en-GB"/>
              </w:rPr>
            </w:pPr>
          </w:p>
        </w:tc>
        <w:tc>
          <w:tcPr>
            <w:tcW w:w="1098" w:type="pct"/>
            <w:tcBorders>
              <w:top w:val="single" w:sz="4" w:space="0" w:color="auto"/>
              <w:left w:val="single" w:sz="4" w:space="0" w:color="auto"/>
              <w:bottom w:val="single" w:sz="4" w:space="0" w:color="auto"/>
              <w:right w:val="single" w:sz="4" w:space="0" w:color="auto"/>
            </w:tcBorders>
            <w:vAlign w:val="bottom"/>
            <w:hideMark/>
          </w:tcPr>
          <w:p w14:paraId="4BC29A53" w14:textId="77777777" w:rsidR="000016E2" w:rsidRPr="00BD22FE" w:rsidRDefault="00104CA8" w:rsidP="00941FBF">
            <w:pPr>
              <w:rPr>
                <w:color w:val="000000"/>
                <w:sz w:val="22"/>
                <w:szCs w:val="22"/>
                <w:lang w:val="pl-PL" w:eastAsia="en-GB"/>
              </w:rPr>
            </w:pPr>
            <w:r w:rsidRPr="00BD22FE">
              <w:rPr>
                <w:sz w:val="22"/>
                <w:szCs w:val="22"/>
                <w:lang w:val="pl-PL"/>
              </w:rPr>
              <w:t>częstość nieznana</w:t>
            </w:r>
          </w:p>
        </w:tc>
      </w:tr>
      <w:tr w:rsidR="0013513D" w:rsidRPr="00BD22FE" w14:paraId="40948989" w14:textId="77777777" w:rsidTr="0090751B">
        <w:tc>
          <w:tcPr>
            <w:tcW w:w="1084" w:type="pct"/>
            <w:vMerge w:val="restart"/>
            <w:tcBorders>
              <w:top w:val="single" w:sz="4" w:space="0" w:color="auto"/>
              <w:left w:val="single" w:sz="4" w:space="0" w:color="auto"/>
              <w:right w:val="single" w:sz="4" w:space="0" w:color="auto"/>
            </w:tcBorders>
            <w:hideMark/>
          </w:tcPr>
          <w:p w14:paraId="4314012B" w14:textId="77777777" w:rsidR="000016E2" w:rsidRPr="00BD22FE" w:rsidRDefault="00104CA8" w:rsidP="00941FBF">
            <w:pPr>
              <w:rPr>
                <w:b/>
                <w:bCs/>
                <w:color w:val="000000"/>
                <w:sz w:val="22"/>
                <w:szCs w:val="22"/>
                <w:highlight w:val="yellow"/>
                <w:lang w:val="pl-PL" w:eastAsia="en-GB"/>
              </w:rPr>
            </w:pPr>
            <w:r w:rsidRPr="00BD22FE">
              <w:rPr>
                <w:b/>
                <w:sz w:val="22"/>
                <w:szCs w:val="22"/>
                <w:lang w:val="pl-PL"/>
              </w:rPr>
              <w:t>Badania diagnostyczne</w:t>
            </w:r>
          </w:p>
        </w:tc>
        <w:tc>
          <w:tcPr>
            <w:tcW w:w="1226" w:type="pct"/>
            <w:tcBorders>
              <w:top w:val="single" w:sz="4" w:space="0" w:color="auto"/>
              <w:left w:val="single" w:sz="4" w:space="0" w:color="auto"/>
              <w:bottom w:val="single" w:sz="4" w:space="0" w:color="auto"/>
              <w:right w:val="single" w:sz="4" w:space="0" w:color="auto"/>
            </w:tcBorders>
            <w:vAlign w:val="bottom"/>
            <w:hideMark/>
          </w:tcPr>
          <w:p w14:paraId="717DA3F6"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Zwiększenie stężenia kwasu moczowego we krwi</w:t>
            </w:r>
          </w:p>
        </w:tc>
        <w:tc>
          <w:tcPr>
            <w:tcW w:w="804" w:type="pct"/>
            <w:tcBorders>
              <w:top w:val="single" w:sz="4" w:space="0" w:color="auto"/>
              <w:left w:val="single" w:sz="4" w:space="0" w:color="auto"/>
              <w:bottom w:val="single" w:sz="4" w:space="0" w:color="auto"/>
              <w:right w:val="single" w:sz="4" w:space="0" w:color="auto"/>
            </w:tcBorders>
            <w:vAlign w:val="bottom"/>
            <w:hideMark/>
          </w:tcPr>
          <w:p w14:paraId="7C08104C"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niezbyt często</w:t>
            </w:r>
          </w:p>
        </w:tc>
        <w:tc>
          <w:tcPr>
            <w:tcW w:w="788" w:type="pct"/>
            <w:tcBorders>
              <w:top w:val="single" w:sz="4" w:space="0" w:color="auto"/>
              <w:left w:val="single" w:sz="4" w:space="0" w:color="auto"/>
              <w:bottom w:val="single" w:sz="4" w:space="0" w:color="auto"/>
              <w:right w:val="single" w:sz="4" w:space="0" w:color="auto"/>
            </w:tcBorders>
            <w:vAlign w:val="bottom"/>
            <w:hideMark/>
          </w:tcPr>
          <w:p w14:paraId="5C661E3B"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rzadko</w:t>
            </w:r>
          </w:p>
        </w:tc>
        <w:tc>
          <w:tcPr>
            <w:tcW w:w="1098" w:type="pct"/>
            <w:tcBorders>
              <w:top w:val="single" w:sz="4" w:space="0" w:color="auto"/>
              <w:left w:val="single" w:sz="4" w:space="0" w:color="auto"/>
              <w:bottom w:val="single" w:sz="4" w:space="0" w:color="auto"/>
              <w:right w:val="single" w:sz="4" w:space="0" w:color="auto"/>
            </w:tcBorders>
            <w:vAlign w:val="bottom"/>
            <w:hideMark/>
          </w:tcPr>
          <w:p w14:paraId="54A2A98E" w14:textId="77777777" w:rsidR="000016E2" w:rsidRPr="00BD22FE" w:rsidRDefault="000016E2" w:rsidP="00941FBF">
            <w:pPr>
              <w:rPr>
                <w:color w:val="000000"/>
                <w:sz w:val="22"/>
                <w:szCs w:val="22"/>
                <w:lang w:val="pl-PL" w:eastAsia="en-GB"/>
              </w:rPr>
            </w:pPr>
          </w:p>
        </w:tc>
      </w:tr>
      <w:tr w:rsidR="0013513D" w:rsidRPr="00BD22FE" w14:paraId="736933FA" w14:textId="77777777" w:rsidTr="0090751B">
        <w:tc>
          <w:tcPr>
            <w:tcW w:w="1084" w:type="pct"/>
            <w:vMerge/>
            <w:tcBorders>
              <w:left w:val="single" w:sz="4" w:space="0" w:color="auto"/>
              <w:right w:val="single" w:sz="4" w:space="0" w:color="auto"/>
            </w:tcBorders>
            <w:hideMark/>
          </w:tcPr>
          <w:p w14:paraId="2982EE29" w14:textId="77777777" w:rsidR="000016E2" w:rsidRPr="00BD22FE" w:rsidRDefault="000016E2" w:rsidP="00941FBF">
            <w:pPr>
              <w:rPr>
                <w:sz w:val="22"/>
                <w:szCs w:val="22"/>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1EF75185"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Zwiększenie stężenia kreatyniny we krwi</w:t>
            </w:r>
          </w:p>
        </w:tc>
        <w:tc>
          <w:tcPr>
            <w:tcW w:w="804" w:type="pct"/>
            <w:tcBorders>
              <w:top w:val="single" w:sz="4" w:space="0" w:color="auto"/>
              <w:left w:val="single" w:sz="4" w:space="0" w:color="auto"/>
              <w:bottom w:val="single" w:sz="4" w:space="0" w:color="auto"/>
              <w:right w:val="single" w:sz="4" w:space="0" w:color="auto"/>
            </w:tcBorders>
            <w:vAlign w:val="bottom"/>
            <w:hideMark/>
          </w:tcPr>
          <w:p w14:paraId="10FF1EC1"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rzadko</w:t>
            </w:r>
          </w:p>
        </w:tc>
        <w:tc>
          <w:tcPr>
            <w:tcW w:w="788" w:type="pct"/>
            <w:tcBorders>
              <w:top w:val="single" w:sz="4" w:space="0" w:color="auto"/>
              <w:left w:val="single" w:sz="4" w:space="0" w:color="auto"/>
              <w:bottom w:val="single" w:sz="4" w:space="0" w:color="auto"/>
              <w:right w:val="single" w:sz="4" w:space="0" w:color="auto"/>
            </w:tcBorders>
            <w:vAlign w:val="bottom"/>
            <w:hideMark/>
          </w:tcPr>
          <w:p w14:paraId="264B97E0"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niezbyt często</w:t>
            </w:r>
          </w:p>
        </w:tc>
        <w:tc>
          <w:tcPr>
            <w:tcW w:w="1098" w:type="pct"/>
            <w:tcBorders>
              <w:top w:val="single" w:sz="4" w:space="0" w:color="auto"/>
              <w:left w:val="single" w:sz="4" w:space="0" w:color="auto"/>
              <w:bottom w:val="single" w:sz="4" w:space="0" w:color="auto"/>
              <w:right w:val="single" w:sz="4" w:space="0" w:color="auto"/>
            </w:tcBorders>
            <w:vAlign w:val="bottom"/>
            <w:hideMark/>
          </w:tcPr>
          <w:p w14:paraId="3D0E23F9" w14:textId="77777777" w:rsidR="000016E2" w:rsidRPr="00BD22FE" w:rsidRDefault="000016E2" w:rsidP="00941FBF">
            <w:pPr>
              <w:rPr>
                <w:color w:val="000000"/>
                <w:sz w:val="22"/>
                <w:szCs w:val="22"/>
                <w:lang w:val="pl-PL" w:eastAsia="en-GB"/>
              </w:rPr>
            </w:pPr>
          </w:p>
        </w:tc>
      </w:tr>
      <w:tr w:rsidR="0013513D" w:rsidRPr="00BD22FE" w14:paraId="0249EDC8" w14:textId="77777777" w:rsidTr="0090751B">
        <w:tc>
          <w:tcPr>
            <w:tcW w:w="1084" w:type="pct"/>
            <w:vMerge/>
            <w:tcBorders>
              <w:left w:val="single" w:sz="4" w:space="0" w:color="auto"/>
              <w:right w:val="single" w:sz="4" w:space="0" w:color="auto"/>
            </w:tcBorders>
            <w:hideMark/>
          </w:tcPr>
          <w:p w14:paraId="6A364106" w14:textId="77777777" w:rsidR="000016E2" w:rsidRPr="00BD22FE" w:rsidRDefault="000016E2" w:rsidP="00941FBF">
            <w:pPr>
              <w:rPr>
                <w:sz w:val="22"/>
                <w:szCs w:val="22"/>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3E696603"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Zwiększenie aktywności fosfokinazy kreatynowej we krwi</w:t>
            </w:r>
          </w:p>
        </w:tc>
        <w:tc>
          <w:tcPr>
            <w:tcW w:w="804" w:type="pct"/>
            <w:tcBorders>
              <w:top w:val="single" w:sz="4" w:space="0" w:color="auto"/>
              <w:left w:val="single" w:sz="4" w:space="0" w:color="auto"/>
              <w:bottom w:val="single" w:sz="4" w:space="0" w:color="auto"/>
              <w:right w:val="single" w:sz="4" w:space="0" w:color="auto"/>
            </w:tcBorders>
            <w:vAlign w:val="bottom"/>
            <w:hideMark/>
          </w:tcPr>
          <w:p w14:paraId="6C7B4AF7"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rzadko</w:t>
            </w:r>
          </w:p>
        </w:tc>
        <w:tc>
          <w:tcPr>
            <w:tcW w:w="788" w:type="pct"/>
            <w:tcBorders>
              <w:top w:val="single" w:sz="4" w:space="0" w:color="auto"/>
              <w:left w:val="single" w:sz="4" w:space="0" w:color="auto"/>
              <w:bottom w:val="single" w:sz="4" w:space="0" w:color="auto"/>
              <w:right w:val="single" w:sz="4" w:space="0" w:color="auto"/>
            </w:tcBorders>
            <w:vAlign w:val="bottom"/>
            <w:hideMark/>
          </w:tcPr>
          <w:p w14:paraId="50F7E9AE"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rzadko</w:t>
            </w:r>
          </w:p>
        </w:tc>
        <w:tc>
          <w:tcPr>
            <w:tcW w:w="1098" w:type="pct"/>
            <w:tcBorders>
              <w:top w:val="single" w:sz="4" w:space="0" w:color="auto"/>
              <w:left w:val="single" w:sz="4" w:space="0" w:color="auto"/>
              <w:bottom w:val="single" w:sz="4" w:space="0" w:color="auto"/>
              <w:right w:val="single" w:sz="4" w:space="0" w:color="auto"/>
            </w:tcBorders>
            <w:vAlign w:val="bottom"/>
            <w:hideMark/>
          </w:tcPr>
          <w:p w14:paraId="51CC8D1B" w14:textId="77777777" w:rsidR="000016E2" w:rsidRPr="00BD22FE" w:rsidRDefault="000016E2" w:rsidP="00941FBF">
            <w:pPr>
              <w:rPr>
                <w:color w:val="000000"/>
                <w:sz w:val="22"/>
                <w:szCs w:val="22"/>
                <w:lang w:val="pl-PL" w:eastAsia="en-GB"/>
              </w:rPr>
            </w:pPr>
          </w:p>
        </w:tc>
      </w:tr>
      <w:tr w:rsidR="0013513D" w:rsidRPr="00BD22FE" w14:paraId="47C9D28B" w14:textId="77777777" w:rsidTr="0090751B">
        <w:tc>
          <w:tcPr>
            <w:tcW w:w="1084" w:type="pct"/>
            <w:vMerge/>
            <w:tcBorders>
              <w:left w:val="single" w:sz="4" w:space="0" w:color="auto"/>
              <w:right w:val="single" w:sz="4" w:space="0" w:color="auto"/>
            </w:tcBorders>
            <w:hideMark/>
          </w:tcPr>
          <w:p w14:paraId="61D2854C" w14:textId="77777777" w:rsidR="000016E2" w:rsidRPr="00BD22FE" w:rsidRDefault="000016E2" w:rsidP="00941FBF">
            <w:pPr>
              <w:rPr>
                <w:sz w:val="22"/>
                <w:szCs w:val="22"/>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64509078"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Zwiększona aktywność enzymów wątrobowych</w:t>
            </w:r>
          </w:p>
        </w:tc>
        <w:tc>
          <w:tcPr>
            <w:tcW w:w="804" w:type="pct"/>
            <w:tcBorders>
              <w:top w:val="single" w:sz="4" w:space="0" w:color="auto"/>
              <w:left w:val="single" w:sz="4" w:space="0" w:color="auto"/>
              <w:bottom w:val="single" w:sz="4" w:space="0" w:color="auto"/>
              <w:right w:val="single" w:sz="4" w:space="0" w:color="auto"/>
            </w:tcBorders>
            <w:vAlign w:val="bottom"/>
            <w:hideMark/>
          </w:tcPr>
          <w:p w14:paraId="01C33FF6"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rzadko</w:t>
            </w:r>
          </w:p>
        </w:tc>
        <w:tc>
          <w:tcPr>
            <w:tcW w:w="788" w:type="pct"/>
            <w:tcBorders>
              <w:top w:val="single" w:sz="4" w:space="0" w:color="auto"/>
              <w:left w:val="single" w:sz="4" w:space="0" w:color="auto"/>
              <w:bottom w:val="single" w:sz="4" w:space="0" w:color="auto"/>
              <w:right w:val="single" w:sz="4" w:space="0" w:color="auto"/>
            </w:tcBorders>
            <w:vAlign w:val="bottom"/>
            <w:hideMark/>
          </w:tcPr>
          <w:p w14:paraId="3A797737"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rzadko</w:t>
            </w:r>
          </w:p>
        </w:tc>
        <w:tc>
          <w:tcPr>
            <w:tcW w:w="1098" w:type="pct"/>
            <w:tcBorders>
              <w:top w:val="single" w:sz="4" w:space="0" w:color="auto"/>
              <w:left w:val="single" w:sz="4" w:space="0" w:color="auto"/>
              <w:bottom w:val="single" w:sz="4" w:space="0" w:color="auto"/>
              <w:right w:val="single" w:sz="4" w:space="0" w:color="auto"/>
            </w:tcBorders>
            <w:vAlign w:val="bottom"/>
            <w:hideMark/>
          </w:tcPr>
          <w:p w14:paraId="60DF5152" w14:textId="77777777" w:rsidR="000016E2" w:rsidRPr="00BD22FE" w:rsidRDefault="000016E2" w:rsidP="00941FBF">
            <w:pPr>
              <w:rPr>
                <w:color w:val="000000"/>
                <w:sz w:val="22"/>
                <w:szCs w:val="22"/>
                <w:lang w:val="pl-PL" w:eastAsia="en-GB"/>
              </w:rPr>
            </w:pPr>
          </w:p>
        </w:tc>
      </w:tr>
      <w:tr w:rsidR="0013513D" w:rsidRPr="00BD22FE" w14:paraId="6F8FC421" w14:textId="77777777" w:rsidTr="0090751B">
        <w:tc>
          <w:tcPr>
            <w:tcW w:w="1084" w:type="pct"/>
            <w:vMerge/>
            <w:tcBorders>
              <w:left w:val="single" w:sz="4" w:space="0" w:color="auto"/>
              <w:bottom w:val="single" w:sz="4" w:space="0" w:color="auto"/>
              <w:right w:val="single" w:sz="4" w:space="0" w:color="auto"/>
            </w:tcBorders>
            <w:hideMark/>
          </w:tcPr>
          <w:p w14:paraId="0FF1D03E" w14:textId="77777777" w:rsidR="000016E2" w:rsidRPr="00BD22FE" w:rsidRDefault="000016E2" w:rsidP="00941FBF">
            <w:pPr>
              <w:rPr>
                <w:sz w:val="22"/>
                <w:szCs w:val="22"/>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4ACEA214" w14:textId="43B05891" w:rsidR="000016E2" w:rsidRPr="00BD22FE" w:rsidRDefault="00297835" w:rsidP="00941FBF">
            <w:pPr>
              <w:rPr>
                <w:color w:val="000000"/>
                <w:sz w:val="22"/>
                <w:szCs w:val="22"/>
                <w:lang w:val="pl-PL" w:eastAsia="en-GB"/>
              </w:rPr>
            </w:pPr>
            <w:r w:rsidRPr="00BD22FE">
              <w:rPr>
                <w:color w:val="000000"/>
                <w:sz w:val="22"/>
                <w:szCs w:val="22"/>
                <w:lang w:val="pl-PL" w:eastAsia="en-GB"/>
              </w:rPr>
              <w:t xml:space="preserve">Zmniejszenie </w:t>
            </w:r>
            <w:r w:rsidR="00104CA8" w:rsidRPr="00BD22FE">
              <w:rPr>
                <w:color w:val="000000"/>
                <w:sz w:val="22"/>
                <w:szCs w:val="22"/>
                <w:lang w:val="pl-PL" w:eastAsia="en-GB"/>
              </w:rPr>
              <w:t>stężenia hemoglobiny</w:t>
            </w:r>
          </w:p>
        </w:tc>
        <w:tc>
          <w:tcPr>
            <w:tcW w:w="804" w:type="pct"/>
            <w:tcBorders>
              <w:top w:val="single" w:sz="4" w:space="0" w:color="auto"/>
              <w:left w:val="single" w:sz="4" w:space="0" w:color="auto"/>
              <w:bottom w:val="single" w:sz="4" w:space="0" w:color="auto"/>
              <w:right w:val="single" w:sz="4" w:space="0" w:color="auto"/>
            </w:tcBorders>
            <w:vAlign w:val="bottom"/>
            <w:hideMark/>
          </w:tcPr>
          <w:p w14:paraId="742CC502" w14:textId="77777777" w:rsidR="000016E2" w:rsidRPr="00BD22FE" w:rsidRDefault="000016E2" w:rsidP="00941FBF">
            <w:pPr>
              <w:rPr>
                <w:color w:val="000000"/>
                <w:sz w:val="22"/>
                <w:szCs w:val="22"/>
                <w:lang w:val="pl-PL" w:eastAsia="en-GB"/>
              </w:rPr>
            </w:pPr>
          </w:p>
        </w:tc>
        <w:tc>
          <w:tcPr>
            <w:tcW w:w="788" w:type="pct"/>
            <w:tcBorders>
              <w:top w:val="single" w:sz="4" w:space="0" w:color="auto"/>
              <w:left w:val="single" w:sz="4" w:space="0" w:color="auto"/>
              <w:bottom w:val="single" w:sz="4" w:space="0" w:color="auto"/>
              <w:right w:val="single" w:sz="4" w:space="0" w:color="auto"/>
            </w:tcBorders>
            <w:vAlign w:val="bottom"/>
            <w:hideMark/>
          </w:tcPr>
          <w:p w14:paraId="748EE592" w14:textId="77777777" w:rsidR="000016E2" w:rsidRPr="00BD22FE" w:rsidRDefault="00104CA8" w:rsidP="00941FBF">
            <w:pPr>
              <w:rPr>
                <w:color w:val="000000"/>
                <w:sz w:val="22"/>
                <w:szCs w:val="22"/>
                <w:lang w:val="pl-PL" w:eastAsia="en-GB"/>
              </w:rPr>
            </w:pPr>
            <w:r w:rsidRPr="00BD22FE">
              <w:rPr>
                <w:color w:val="000000"/>
                <w:sz w:val="22"/>
                <w:szCs w:val="22"/>
                <w:lang w:val="pl-PL" w:eastAsia="en-GB"/>
              </w:rPr>
              <w:t>rzadko</w:t>
            </w:r>
          </w:p>
        </w:tc>
        <w:tc>
          <w:tcPr>
            <w:tcW w:w="1098" w:type="pct"/>
            <w:tcBorders>
              <w:top w:val="single" w:sz="4" w:space="0" w:color="auto"/>
              <w:left w:val="single" w:sz="4" w:space="0" w:color="auto"/>
              <w:bottom w:val="single" w:sz="4" w:space="0" w:color="auto"/>
              <w:right w:val="single" w:sz="4" w:space="0" w:color="auto"/>
            </w:tcBorders>
            <w:vAlign w:val="bottom"/>
            <w:hideMark/>
          </w:tcPr>
          <w:p w14:paraId="2909F805" w14:textId="77777777" w:rsidR="000016E2" w:rsidRPr="00BD22FE" w:rsidRDefault="000016E2" w:rsidP="00941FBF">
            <w:pPr>
              <w:rPr>
                <w:color w:val="000000"/>
                <w:sz w:val="22"/>
                <w:szCs w:val="22"/>
                <w:lang w:val="pl-PL" w:eastAsia="en-GB"/>
              </w:rPr>
            </w:pPr>
          </w:p>
        </w:tc>
      </w:tr>
    </w:tbl>
    <w:p w14:paraId="0C34BFB2" w14:textId="2B15CB28" w:rsidR="000016E2" w:rsidRPr="00BD22FE" w:rsidRDefault="00E47923" w:rsidP="00E47923">
      <w:pPr>
        <w:pStyle w:val="EndnoteText"/>
        <w:tabs>
          <w:tab w:val="clear" w:pos="567"/>
        </w:tabs>
        <w:ind w:left="284" w:hanging="284"/>
        <w:rPr>
          <w:sz w:val="20"/>
        </w:rPr>
      </w:pPr>
      <w:r w:rsidRPr="00BD22FE">
        <w:rPr>
          <w:sz w:val="20"/>
          <w:vertAlign w:val="superscript"/>
        </w:rPr>
        <w:t>1</w:t>
      </w:r>
      <w:r w:rsidR="00104CA8" w:rsidRPr="00BD22FE">
        <w:rPr>
          <w:sz w:val="20"/>
          <w:vertAlign w:val="superscript"/>
        </w:rPr>
        <w:tab/>
      </w:r>
      <w:r w:rsidR="00104CA8" w:rsidRPr="00BD22FE">
        <w:rPr>
          <w:sz w:val="20"/>
        </w:rPr>
        <w:t>Na podstawie doświadczenia po wprowadzeniu produktu leczniczego do obrotu</w:t>
      </w:r>
    </w:p>
    <w:p w14:paraId="5EAAC9BB" w14:textId="5F42998D" w:rsidR="000016E2" w:rsidRPr="00BD22FE" w:rsidRDefault="00104CA8" w:rsidP="00E47923">
      <w:pPr>
        <w:pStyle w:val="EndnoteText"/>
        <w:tabs>
          <w:tab w:val="clear" w:pos="567"/>
        </w:tabs>
        <w:ind w:left="284" w:hanging="284"/>
        <w:rPr>
          <w:sz w:val="20"/>
        </w:rPr>
      </w:pPr>
      <w:r w:rsidRPr="00BD22FE">
        <w:rPr>
          <w:sz w:val="20"/>
          <w:vertAlign w:val="superscript"/>
        </w:rPr>
        <w:t>2</w:t>
      </w:r>
      <w:r w:rsidRPr="00BD22FE">
        <w:rPr>
          <w:sz w:val="20"/>
          <w:vertAlign w:val="superscript"/>
        </w:rPr>
        <w:tab/>
      </w:r>
      <w:r w:rsidR="00297835" w:rsidRPr="00BD22FE">
        <w:rPr>
          <w:sz w:val="20"/>
        </w:rPr>
        <w:t>Dodatkowe</w:t>
      </w:r>
      <w:r w:rsidRPr="00BD22FE">
        <w:rPr>
          <w:sz w:val="20"/>
        </w:rPr>
        <w:t xml:space="preserve"> informacje znajdują się w</w:t>
      </w:r>
      <w:r w:rsidR="00717A7B" w:rsidRPr="00BD22FE">
        <w:rPr>
          <w:sz w:val="20"/>
        </w:rPr>
        <w:t> </w:t>
      </w:r>
      <w:r w:rsidRPr="00BD22FE">
        <w:rPr>
          <w:sz w:val="20"/>
        </w:rPr>
        <w:t>podpunktach poniżej</w:t>
      </w:r>
    </w:p>
    <w:p w14:paraId="590A025E" w14:textId="28627501" w:rsidR="000016E2" w:rsidRPr="00BD22FE" w:rsidRDefault="00104CA8" w:rsidP="00E47923">
      <w:pPr>
        <w:pStyle w:val="BodyText"/>
        <w:spacing w:line="240" w:lineRule="auto"/>
        <w:ind w:left="284" w:hanging="284"/>
        <w:jc w:val="left"/>
        <w:rPr>
          <w:sz w:val="20"/>
          <w:szCs w:val="20"/>
          <w:lang w:val="pl-PL"/>
        </w:rPr>
      </w:pPr>
      <w:r w:rsidRPr="00BD22FE">
        <w:rPr>
          <w:vertAlign w:val="superscript"/>
          <w:lang w:val="pl-PL"/>
        </w:rPr>
        <w:t>a</w:t>
      </w:r>
      <w:r w:rsidRPr="00BD22FE">
        <w:rPr>
          <w:lang w:val="pl-PL"/>
        </w:rPr>
        <w:tab/>
      </w:r>
      <w:r w:rsidRPr="00BD22FE">
        <w:rPr>
          <w:sz w:val="20"/>
          <w:szCs w:val="20"/>
          <w:lang w:val="pl-PL"/>
        </w:rPr>
        <w:t>Działania niepożądane wystąpiły z</w:t>
      </w:r>
      <w:r w:rsidR="00717A7B" w:rsidRPr="00BD22FE">
        <w:rPr>
          <w:sz w:val="20"/>
          <w:szCs w:val="20"/>
          <w:lang w:val="pl-PL"/>
        </w:rPr>
        <w:t> </w:t>
      </w:r>
      <w:r w:rsidRPr="00BD22FE">
        <w:rPr>
          <w:sz w:val="20"/>
          <w:szCs w:val="20"/>
          <w:lang w:val="pl-PL"/>
        </w:rPr>
        <w:t>podobną częstością u</w:t>
      </w:r>
      <w:r w:rsidR="00717A7B" w:rsidRPr="00BD22FE">
        <w:rPr>
          <w:sz w:val="20"/>
          <w:szCs w:val="20"/>
          <w:lang w:val="pl-PL"/>
        </w:rPr>
        <w:t> </w:t>
      </w:r>
      <w:r w:rsidRPr="00BD22FE">
        <w:rPr>
          <w:sz w:val="20"/>
          <w:szCs w:val="20"/>
          <w:lang w:val="pl-PL"/>
        </w:rPr>
        <w:t xml:space="preserve">pacjentów leczonych </w:t>
      </w:r>
      <w:r w:rsidR="00297835" w:rsidRPr="00BD22FE">
        <w:rPr>
          <w:sz w:val="20"/>
          <w:szCs w:val="20"/>
          <w:lang w:val="pl-PL"/>
        </w:rPr>
        <w:t>placebo i </w:t>
      </w:r>
      <w:r w:rsidR="00E94C89" w:rsidRPr="00BD22FE">
        <w:rPr>
          <w:sz w:val="20"/>
          <w:szCs w:val="20"/>
          <w:lang w:val="pl-PL"/>
        </w:rPr>
        <w:t xml:space="preserve">leczonych </w:t>
      </w:r>
      <w:r w:rsidRPr="00BD22FE">
        <w:rPr>
          <w:sz w:val="20"/>
          <w:szCs w:val="20"/>
          <w:lang w:val="pl-PL"/>
        </w:rPr>
        <w:t xml:space="preserve">telmisartanem. Całkowita częstość występowania działań niepożądanych </w:t>
      </w:r>
      <w:r w:rsidR="00297835" w:rsidRPr="00BD22FE">
        <w:rPr>
          <w:sz w:val="20"/>
          <w:szCs w:val="20"/>
          <w:lang w:val="pl-PL"/>
        </w:rPr>
        <w:t>zgłaszan</w:t>
      </w:r>
      <w:r w:rsidR="00DF7814" w:rsidRPr="00BD22FE">
        <w:rPr>
          <w:sz w:val="20"/>
          <w:szCs w:val="20"/>
          <w:lang w:val="pl-PL"/>
        </w:rPr>
        <w:t>ych</w:t>
      </w:r>
      <w:r w:rsidR="00297835" w:rsidRPr="00BD22FE">
        <w:rPr>
          <w:sz w:val="20"/>
          <w:szCs w:val="20"/>
          <w:lang w:val="pl-PL"/>
        </w:rPr>
        <w:t xml:space="preserve"> </w:t>
      </w:r>
      <w:r w:rsidRPr="00BD22FE">
        <w:rPr>
          <w:sz w:val="20"/>
          <w:szCs w:val="20"/>
          <w:lang w:val="pl-PL"/>
        </w:rPr>
        <w:t>w</w:t>
      </w:r>
      <w:r w:rsidR="00717A7B" w:rsidRPr="00BD22FE">
        <w:rPr>
          <w:sz w:val="20"/>
          <w:szCs w:val="20"/>
          <w:lang w:val="pl-PL"/>
        </w:rPr>
        <w:t> </w:t>
      </w:r>
      <w:r w:rsidRPr="00BD22FE">
        <w:rPr>
          <w:sz w:val="20"/>
          <w:szCs w:val="20"/>
          <w:lang w:val="pl-PL"/>
        </w:rPr>
        <w:t>przypadku stosowania telmisartanu (41,4%) w</w:t>
      </w:r>
      <w:r w:rsidR="00717A7B" w:rsidRPr="00BD22FE">
        <w:rPr>
          <w:sz w:val="20"/>
          <w:szCs w:val="20"/>
          <w:lang w:val="pl-PL"/>
        </w:rPr>
        <w:t> </w:t>
      </w:r>
      <w:r w:rsidRPr="00BD22FE">
        <w:rPr>
          <w:sz w:val="20"/>
          <w:szCs w:val="20"/>
          <w:lang w:val="pl-PL"/>
        </w:rPr>
        <w:t>badani</w:t>
      </w:r>
      <w:r w:rsidR="00297835" w:rsidRPr="00BD22FE">
        <w:rPr>
          <w:sz w:val="20"/>
          <w:szCs w:val="20"/>
          <w:lang w:val="pl-PL"/>
        </w:rPr>
        <w:t>ach</w:t>
      </w:r>
      <w:r w:rsidRPr="00BD22FE">
        <w:rPr>
          <w:sz w:val="20"/>
          <w:szCs w:val="20"/>
          <w:lang w:val="pl-PL"/>
        </w:rPr>
        <w:t xml:space="preserve"> kontrolowany</w:t>
      </w:r>
      <w:r w:rsidR="00297835" w:rsidRPr="00BD22FE">
        <w:rPr>
          <w:sz w:val="20"/>
          <w:szCs w:val="20"/>
          <w:lang w:val="pl-PL"/>
        </w:rPr>
        <w:t>ch</w:t>
      </w:r>
      <w:r w:rsidRPr="00BD22FE">
        <w:rPr>
          <w:sz w:val="20"/>
          <w:szCs w:val="20"/>
          <w:lang w:val="pl-PL"/>
        </w:rPr>
        <w:t xml:space="preserve"> placebo była zazwyczaj porównywalna do częstości </w:t>
      </w:r>
      <w:r w:rsidR="00E94C89" w:rsidRPr="00BD22FE">
        <w:rPr>
          <w:sz w:val="20"/>
          <w:szCs w:val="20"/>
          <w:lang w:val="pl-PL"/>
        </w:rPr>
        <w:t xml:space="preserve">występowania </w:t>
      </w:r>
      <w:r w:rsidRPr="00BD22FE">
        <w:rPr>
          <w:sz w:val="20"/>
          <w:szCs w:val="20"/>
          <w:lang w:val="pl-PL"/>
        </w:rPr>
        <w:t xml:space="preserve">działań </w:t>
      </w:r>
      <w:r w:rsidR="00DF7814" w:rsidRPr="00BD22FE">
        <w:rPr>
          <w:sz w:val="20"/>
          <w:szCs w:val="20"/>
          <w:lang w:val="pl-PL"/>
        </w:rPr>
        <w:t xml:space="preserve">niepożądanych </w:t>
      </w:r>
      <w:r w:rsidR="00297835" w:rsidRPr="00BD22FE">
        <w:rPr>
          <w:sz w:val="20"/>
          <w:szCs w:val="20"/>
          <w:lang w:val="pl-PL"/>
        </w:rPr>
        <w:t>zgłaszan</w:t>
      </w:r>
      <w:r w:rsidR="00DF7814" w:rsidRPr="00BD22FE">
        <w:rPr>
          <w:sz w:val="20"/>
          <w:szCs w:val="20"/>
          <w:lang w:val="pl-PL"/>
        </w:rPr>
        <w:t>ych</w:t>
      </w:r>
      <w:r w:rsidR="00297835" w:rsidRPr="00BD22FE">
        <w:rPr>
          <w:sz w:val="20"/>
          <w:szCs w:val="20"/>
          <w:lang w:val="pl-PL"/>
        </w:rPr>
        <w:t xml:space="preserve"> </w:t>
      </w:r>
      <w:r w:rsidRPr="00BD22FE">
        <w:rPr>
          <w:sz w:val="20"/>
          <w:szCs w:val="20"/>
          <w:lang w:val="pl-PL"/>
        </w:rPr>
        <w:t>w</w:t>
      </w:r>
      <w:r w:rsidR="00717A7B" w:rsidRPr="00BD22FE">
        <w:rPr>
          <w:sz w:val="20"/>
          <w:szCs w:val="20"/>
          <w:lang w:val="pl-PL"/>
        </w:rPr>
        <w:t> </w:t>
      </w:r>
      <w:r w:rsidRPr="00BD22FE">
        <w:rPr>
          <w:sz w:val="20"/>
          <w:szCs w:val="20"/>
          <w:lang w:val="pl-PL"/>
        </w:rPr>
        <w:t>przypadku stosowania placebo (43,9%). W</w:t>
      </w:r>
      <w:r w:rsidR="00717A7B" w:rsidRPr="00BD22FE">
        <w:rPr>
          <w:sz w:val="20"/>
          <w:szCs w:val="20"/>
          <w:lang w:val="pl-PL"/>
        </w:rPr>
        <w:t> </w:t>
      </w:r>
      <w:r w:rsidRPr="00BD22FE">
        <w:rPr>
          <w:sz w:val="20"/>
          <w:szCs w:val="20"/>
          <w:lang w:val="pl-PL"/>
        </w:rPr>
        <w:t>powyższym zestawieniu przedstawiono działania niepożądane, które zanotowano we wszystkich badaniach klinicznych z</w:t>
      </w:r>
      <w:r w:rsidR="00717A7B" w:rsidRPr="00BD22FE">
        <w:rPr>
          <w:sz w:val="20"/>
          <w:szCs w:val="20"/>
          <w:lang w:val="pl-PL"/>
        </w:rPr>
        <w:t> </w:t>
      </w:r>
      <w:r w:rsidRPr="00BD22FE">
        <w:rPr>
          <w:sz w:val="20"/>
          <w:szCs w:val="20"/>
          <w:lang w:val="pl-PL"/>
        </w:rPr>
        <w:t>udziałem pacjentów leczonych telmisartanem z</w:t>
      </w:r>
      <w:r w:rsidR="00717A7B" w:rsidRPr="00BD22FE">
        <w:rPr>
          <w:sz w:val="20"/>
          <w:szCs w:val="20"/>
          <w:lang w:val="pl-PL"/>
        </w:rPr>
        <w:t> </w:t>
      </w:r>
      <w:r w:rsidRPr="00BD22FE">
        <w:rPr>
          <w:sz w:val="20"/>
          <w:szCs w:val="20"/>
          <w:lang w:val="pl-PL"/>
        </w:rPr>
        <w:t>powodu nadciśnienia</w:t>
      </w:r>
      <w:r w:rsidR="00C673DA" w:rsidRPr="00BD22FE">
        <w:rPr>
          <w:sz w:val="20"/>
          <w:szCs w:val="20"/>
          <w:lang w:val="pl-PL"/>
        </w:rPr>
        <w:t xml:space="preserve"> tętniczego</w:t>
      </w:r>
      <w:r w:rsidRPr="00BD22FE">
        <w:rPr>
          <w:sz w:val="20"/>
          <w:szCs w:val="20"/>
          <w:lang w:val="pl-PL"/>
        </w:rPr>
        <w:t xml:space="preserve"> lub pacjentów w</w:t>
      </w:r>
      <w:r w:rsidR="00717A7B" w:rsidRPr="00BD22FE">
        <w:rPr>
          <w:sz w:val="20"/>
          <w:szCs w:val="20"/>
          <w:lang w:val="pl-PL"/>
        </w:rPr>
        <w:t> </w:t>
      </w:r>
      <w:r w:rsidRPr="00BD22FE">
        <w:rPr>
          <w:sz w:val="20"/>
          <w:szCs w:val="20"/>
          <w:lang w:val="pl-PL"/>
        </w:rPr>
        <w:t>wieku 50 lat i</w:t>
      </w:r>
      <w:r w:rsidR="00717A7B" w:rsidRPr="00BD22FE">
        <w:rPr>
          <w:sz w:val="20"/>
          <w:szCs w:val="20"/>
          <w:lang w:val="pl-PL"/>
        </w:rPr>
        <w:t> </w:t>
      </w:r>
      <w:r w:rsidRPr="00BD22FE">
        <w:rPr>
          <w:sz w:val="20"/>
          <w:szCs w:val="20"/>
          <w:lang w:val="pl-PL"/>
        </w:rPr>
        <w:t xml:space="preserve">starszych z grupy dużego ryzyka </w:t>
      </w:r>
      <w:r w:rsidR="00E94C89" w:rsidRPr="00BD22FE">
        <w:rPr>
          <w:sz w:val="20"/>
          <w:szCs w:val="20"/>
          <w:lang w:val="pl-PL"/>
        </w:rPr>
        <w:t xml:space="preserve">zdarzeń </w:t>
      </w:r>
      <w:r w:rsidRPr="00BD22FE">
        <w:rPr>
          <w:sz w:val="20"/>
          <w:szCs w:val="20"/>
          <w:lang w:val="pl-PL"/>
        </w:rPr>
        <w:t>sercowo-naczyniowych.</w:t>
      </w:r>
    </w:p>
    <w:bookmarkEnd w:id="6"/>
    <w:bookmarkEnd w:id="7"/>
    <w:p w14:paraId="3CDD836E" w14:textId="77777777" w:rsidR="000016E2" w:rsidRPr="00BD22FE" w:rsidRDefault="000016E2" w:rsidP="00941FBF">
      <w:pPr>
        <w:pStyle w:val="BodyText"/>
        <w:spacing w:line="240" w:lineRule="auto"/>
        <w:jc w:val="left"/>
        <w:rPr>
          <w:sz w:val="22"/>
          <w:szCs w:val="22"/>
          <w:lang w:val="pl-PL"/>
        </w:rPr>
      </w:pPr>
    </w:p>
    <w:p w14:paraId="1907D81F" w14:textId="77777777" w:rsidR="000016E2" w:rsidRPr="00BD22FE" w:rsidRDefault="00104CA8" w:rsidP="004A67B7">
      <w:pPr>
        <w:keepNext/>
        <w:rPr>
          <w:sz w:val="22"/>
          <w:szCs w:val="22"/>
          <w:u w:val="single"/>
          <w:lang w:val="pl-PL"/>
        </w:rPr>
      </w:pPr>
      <w:r w:rsidRPr="00BD22FE">
        <w:rPr>
          <w:sz w:val="22"/>
          <w:szCs w:val="22"/>
          <w:u w:val="single"/>
          <w:lang w:val="pl-PL"/>
        </w:rPr>
        <w:lastRenderedPageBreak/>
        <w:t>Opis wybranych działań niepożądanych</w:t>
      </w:r>
    </w:p>
    <w:p w14:paraId="5CFAE9D6" w14:textId="77777777" w:rsidR="000016E2" w:rsidRPr="00BD22FE" w:rsidRDefault="000016E2" w:rsidP="004A67B7">
      <w:pPr>
        <w:keepNext/>
        <w:rPr>
          <w:sz w:val="22"/>
          <w:szCs w:val="22"/>
          <w:lang w:val="pl-PL"/>
        </w:rPr>
      </w:pPr>
    </w:p>
    <w:p w14:paraId="20E9A903" w14:textId="77777777" w:rsidR="000016E2" w:rsidRPr="00BD22FE" w:rsidRDefault="00104CA8" w:rsidP="004A67B7">
      <w:pPr>
        <w:keepNext/>
        <w:rPr>
          <w:sz w:val="22"/>
          <w:szCs w:val="22"/>
          <w:u w:val="single"/>
          <w:lang w:val="pl-PL"/>
        </w:rPr>
      </w:pPr>
      <w:r w:rsidRPr="00BD22FE">
        <w:rPr>
          <w:sz w:val="22"/>
          <w:szCs w:val="22"/>
          <w:u w:val="single"/>
          <w:lang w:val="pl-PL"/>
        </w:rPr>
        <w:t>Nieprawidłowa czynność wątroby/zaburzenia czynności wątroby</w:t>
      </w:r>
    </w:p>
    <w:p w14:paraId="212160F1" w14:textId="11404037" w:rsidR="003A7E3D" w:rsidRPr="00BD22FE" w:rsidRDefault="00104CA8" w:rsidP="00941FBF">
      <w:pPr>
        <w:rPr>
          <w:sz w:val="22"/>
          <w:szCs w:val="22"/>
          <w:lang w:val="pl-PL"/>
        </w:rPr>
      </w:pPr>
      <w:r w:rsidRPr="00BD22FE">
        <w:rPr>
          <w:sz w:val="22"/>
          <w:szCs w:val="22"/>
          <w:lang w:val="pl-PL"/>
        </w:rPr>
        <w:t>Większość przypadków nieprawidłowej czynności wątroby/zaburzeń czynności wątroby zgłoszonych w</w:t>
      </w:r>
      <w:r w:rsidR="00717A7B" w:rsidRPr="00BD22FE">
        <w:rPr>
          <w:sz w:val="22"/>
          <w:szCs w:val="22"/>
          <w:lang w:val="pl-PL"/>
        </w:rPr>
        <w:t> </w:t>
      </w:r>
      <w:r w:rsidRPr="00BD22FE">
        <w:rPr>
          <w:sz w:val="22"/>
          <w:szCs w:val="22"/>
          <w:lang w:val="pl-PL"/>
        </w:rPr>
        <w:t xml:space="preserve">okresie po wprowadzeniu produktu </w:t>
      </w:r>
      <w:r w:rsidR="0039064D" w:rsidRPr="00BD22FE">
        <w:rPr>
          <w:sz w:val="22"/>
          <w:szCs w:val="22"/>
          <w:lang w:val="pl-PL"/>
        </w:rPr>
        <w:t xml:space="preserve">leczniczego </w:t>
      </w:r>
      <w:r w:rsidRPr="00BD22FE">
        <w:rPr>
          <w:sz w:val="22"/>
          <w:szCs w:val="22"/>
          <w:lang w:val="pl-PL"/>
        </w:rPr>
        <w:t>do obrotu wystąpiła u</w:t>
      </w:r>
      <w:r w:rsidR="00717A7B" w:rsidRPr="00BD22FE">
        <w:rPr>
          <w:sz w:val="22"/>
          <w:szCs w:val="22"/>
          <w:lang w:val="pl-PL"/>
        </w:rPr>
        <w:t> </w:t>
      </w:r>
      <w:r w:rsidRPr="00BD22FE">
        <w:rPr>
          <w:sz w:val="22"/>
          <w:szCs w:val="22"/>
          <w:lang w:val="pl-PL"/>
        </w:rPr>
        <w:t>pacjentów z</w:t>
      </w:r>
      <w:r w:rsidR="00717A7B" w:rsidRPr="00BD22FE">
        <w:rPr>
          <w:sz w:val="22"/>
          <w:szCs w:val="22"/>
          <w:lang w:val="pl-PL"/>
        </w:rPr>
        <w:t> </w:t>
      </w:r>
      <w:r w:rsidRPr="00BD22FE">
        <w:rPr>
          <w:sz w:val="22"/>
          <w:szCs w:val="22"/>
          <w:lang w:val="pl-PL"/>
        </w:rPr>
        <w:t>Japonii.</w:t>
      </w:r>
    </w:p>
    <w:p w14:paraId="52CAEB38" w14:textId="78C0CF32" w:rsidR="000016E2" w:rsidRPr="00BD22FE" w:rsidRDefault="00104CA8" w:rsidP="00941FBF">
      <w:pPr>
        <w:rPr>
          <w:sz w:val="22"/>
          <w:szCs w:val="22"/>
          <w:lang w:val="pl-PL"/>
        </w:rPr>
      </w:pPr>
      <w:r w:rsidRPr="00BD22FE">
        <w:rPr>
          <w:sz w:val="22"/>
          <w:szCs w:val="22"/>
          <w:lang w:val="pl-PL"/>
        </w:rPr>
        <w:t>U</w:t>
      </w:r>
      <w:r w:rsidR="00717A7B" w:rsidRPr="00BD22FE">
        <w:rPr>
          <w:sz w:val="22"/>
          <w:szCs w:val="22"/>
          <w:lang w:val="pl-PL"/>
        </w:rPr>
        <w:t> </w:t>
      </w:r>
      <w:r w:rsidRPr="00BD22FE">
        <w:rPr>
          <w:sz w:val="22"/>
          <w:szCs w:val="22"/>
          <w:lang w:val="pl-PL"/>
        </w:rPr>
        <w:t>Japończyków istnieje większe prawdopodobieństwo wystąpienia tych działań niepożądanych.</w:t>
      </w:r>
    </w:p>
    <w:p w14:paraId="4DAE989D" w14:textId="77777777" w:rsidR="000016E2" w:rsidRPr="00BD22FE" w:rsidRDefault="000016E2" w:rsidP="00941FBF">
      <w:pPr>
        <w:rPr>
          <w:sz w:val="22"/>
          <w:szCs w:val="22"/>
          <w:lang w:val="pl-PL"/>
        </w:rPr>
      </w:pPr>
    </w:p>
    <w:p w14:paraId="3E218DA3" w14:textId="77777777" w:rsidR="000016E2" w:rsidRPr="00BD22FE" w:rsidRDefault="00104CA8" w:rsidP="00941FBF">
      <w:pPr>
        <w:keepNext/>
        <w:rPr>
          <w:sz w:val="22"/>
          <w:szCs w:val="22"/>
          <w:u w:val="single"/>
          <w:lang w:val="pl-PL"/>
        </w:rPr>
      </w:pPr>
      <w:r w:rsidRPr="00BD22FE">
        <w:rPr>
          <w:sz w:val="22"/>
          <w:szCs w:val="22"/>
          <w:u w:val="single"/>
          <w:lang w:val="pl-PL"/>
        </w:rPr>
        <w:t>Posocznica</w:t>
      </w:r>
    </w:p>
    <w:p w14:paraId="28436E73" w14:textId="6BBD2338" w:rsidR="000016E2" w:rsidRPr="00BD22FE" w:rsidRDefault="00104CA8" w:rsidP="00763C6F">
      <w:pPr>
        <w:rPr>
          <w:sz w:val="22"/>
          <w:szCs w:val="22"/>
          <w:lang w:val="pl-PL"/>
        </w:rPr>
      </w:pPr>
      <w:r w:rsidRPr="00BD22FE">
        <w:rPr>
          <w:sz w:val="22"/>
          <w:szCs w:val="22"/>
          <w:lang w:val="pl-PL"/>
        </w:rPr>
        <w:t>W</w:t>
      </w:r>
      <w:r w:rsidR="00717A7B" w:rsidRPr="00BD22FE">
        <w:rPr>
          <w:sz w:val="22"/>
          <w:szCs w:val="22"/>
          <w:lang w:val="pl-PL"/>
        </w:rPr>
        <w:t> </w:t>
      </w:r>
      <w:r w:rsidRPr="00BD22FE">
        <w:rPr>
          <w:sz w:val="22"/>
          <w:szCs w:val="22"/>
          <w:lang w:val="pl-PL"/>
        </w:rPr>
        <w:t>badaniu PRoFESS u</w:t>
      </w:r>
      <w:r w:rsidR="00717A7B" w:rsidRPr="00BD22FE">
        <w:rPr>
          <w:sz w:val="22"/>
          <w:szCs w:val="22"/>
          <w:lang w:val="pl-PL"/>
        </w:rPr>
        <w:t> </w:t>
      </w:r>
      <w:r w:rsidRPr="00BD22FE">
        <w:rPr>
          <w:sz w:val="22"/>
          <w:szCs w:val="22"/>
          <w:lang w:val="pl-PL"/>
        </w:rPr>
        <w:t xml:space="preserve">pacjentów przyjmujących telmisartan zaobserwowano </w:t>
      </w:r>
      <w:r w:rsidR="00017021" w:rsidRPr="00BD22FE">
        <w:rPr>
          <w:sz w:val="22"/>
          <w:szCs w:val="22"/>
          <w:lang w:val="pl-PL"/>
        </w:rPr>
        <w:t>z</w:t>
      </w:r>
      <w:r w:rsidRPr="00BD22FE">
        <w:rPr>
          <w:sz w:val="22"/>
          <w:szCs w:val="22"/>
          <w:lang w:val="pl-PL"/>
        </w:rPr>
        <w:t>większ</w:t>
      </w:r>
      <w:r w:rsidR="00017021" w:rsidRPr="00BD22FE">
        <w:rPr>
          <w:sz w:val="22"/>
          <w:szCs w:val="22"/>
          <w:lang w:val="pl-PL"/>
        </w:rPr>
        <w:t>on</w:t>
      </w:r>
      <w:r w:rsidRPr="00BD22FE">
        <w:rPr>
          <w:sz w:val="22"/>
          <w:szCs w:val="22"/>
          <w:lang w:val="pl-PL"/>
        </w:rPr>
        <w:t>ą częstość występowania posocznicy w</w:t>
      </w:r>
      <w:r w:rsidR="00717A7B" w:rsidRPr="00BD22FE">
        <w:rPr>
          <w:sz w:val="22"/>
          <w:szCs w:val="22"/>
          <w:lang w:val="pl-PL"/>
        </w:rPr>
        <w:t> </w:t>
      </w:r>
      <w:r w:rsidRPr="00BD22FE">
        <w:rPr>
          <w:sz w:val="22"/>
          <w:szCs w:val="22"/>
          <w:lang w:val="pl-PL"/>
        </w:rPr>
        <w:t>porównaniu do placebo. Zjawisko to może być przypadkowe lub związane z</w:t>
      </w:r>
      <w:r w:rsidR="00717A7B" w:rsidRPr="00BD22FE">
        <w:rPr>
          <w:sz w:val="22"/>
          <w:szCs w:val="22"/>
          <w:lang w:val="pl-PL"/>
        </w:rPr>
        <w:t> </w:t>
      </w:r>
      <w:r w:rsidR="00017021" w:rsidRPr="00BD22FE">
        <w:rPr>
          <w:sz w:val="22"/>
          <w:szCs w:val="22"/>
          <w:lang w:val="pl-PL"/>
        </w:rPr>
        <w:t xml:space="preserve">aktualnie nieznanym </w:t>
      </w:r>
      <w:r w:rsidRPr="00BD22FE">
        <w:rPr>
          <w:sz w:val="22"/>
          <w:szCs w:val="22"/>
          <w:lang w:val="pl-PL"/>
        </w:rPr>
        <w:t>mechanizmem (patrz punkt 5.1).</w:t>
      </w:r>
    </w:p>
    <w:p w14:paraId="3DF0E926" w14:textId="77777777" w:rsidR="000016E2" w:rsidRPr="00BD22FE" w:rsidRDefault="000016E2" w:rsidP="00941FBF">
      <w:pPr>
        <w:rPr>
          <w:sz w:val="22"/>
          <w:szCs w:val="22"/>
          <w:u w:val="single"/>
          <w:lang w:val="pl-PL"/>
        </w:rPr>
      </w:pPr>
    </w:p>
    <w:p w14:paraId="5E2D398F" w14:textId="77777777" w:rsidR="000016E2" w:rsidRPr="00BD22FE" w:rsidRDefault="00104CA8" w:rsidP="00941FBF">
      <w:pPr>
        <w:keepNext/>
        <w:rPr>
          <w:sz w:val="22"/>
          <w:szCs w:val="22"/>
          <w:u w:val="single"/>
          <w:lang w:val="pl-PL"/>
        </w:rPr>
      </w:pPr>
      <w:r w:rsidRPr="00BD22FE">
        <w:rPr>
          <w:sz w:val="22"/>
          <w:szCs w:val="22"/>
          <w:u w:val="single"/>
          <w:lang w:val="pl-PL"/>
        </w:rPr>
        <w:t>Śródmiąższowa choroba płuc</w:t>
      </w:r>
    </w:p>
    <w:p w14:paraId="08060C3A" w14:textId="6534F241" w:rsidR="000016E2" w:rsidRPr="00BD22FE" w:rsidRDefault="00104CA8" w:rsidP="00941FBF">
      <w:pPr>
        <w:pStyle w:val="BodyText"/>
        <w:spacing w:line="240" w:lineRule="auto"/>
        <w:jc w:val="left"/>
        <w:rPr>
          <w:sz w:val="22"/>
          <w:szCs w:val="22"/>
          <w:lang w:val="pl-PL"/>
        </w:rPr>
      </w:pPr>
      <w:r w:rsidRPr="00BD22FE">
        <w:rPr>
          <w:sz w:val="22"/>
          <w:szCs w:val="22"/>
          <w:lang w:val="pl-PL"/>
        </w:rPr>
        <w:t>Po wprowadzeniu produktu leczniczego do obrotu zgłaszano przypadki śródmiąższowej choroby płuc pozostające w</w:t>
      </w:r>
      <w:r w:rsidR="00717A7B" w:rsidRPr="00BD22FE">
        <w:rPr>
          <w:sz w:val="22"/>
          <w:szCs w:val="22"/>
          <w:lang w:val="pl-PL"/>
        </w:rPr>
        <w:t> </w:t>
      </w:r>
      <w:r w:rsidRPr="00BD22FE">
        <w:rPr>
          <w:sz w:val="22"/>
          <w:szCs w:val="22"/>
          <w:lang w:val="pl-PL"/>
        </w:rPr>
        <w:t>związku czasowym z</w:t>
      </w:r>
      <w:r w:rsidR="00717A7B" w:rsidRPr="00BD22FE">
        <w:rPr>
          <w:sz w:val="22"/>
          <w:szCs w:val="22"/>
          <w:lang w:val="pl-PL"/>
        </w:rPr>
        <w:t> </w:t>
      </w:r>
      <w:r w:rsidRPr="00BD22FE">
        <w:rPr>
          <w:sz w:val="22"/>
          <w:szCs w:val="22"/>
          <w:lang w:val="pl-PL"/>
        </w:rPr>
        <w:t>przyjmowaniem telmisartanu. Nie ustalono jednak związku przyczynowego.</w:t>
      </w:r>
    </w:p>
    <w:p w14:paraId="6B0FC869" w14:textId="77777777" w:rsidR="000016E2" w:rsidRPr="00BD22FE" w:rsidRDefault="000016E2" w:rsidP="00941FBF">
      <w:pPr>
        <w:rPr>
          <w:sz w:val="22"/>
          <w:szCs w:val="22"/>
          <w:lang w:val="pl-PL"/>
        </w:rPr>
      </w:pPr>
    </w:p>
    <w:p w14:paraId="57885EF3" w14:textId="77777777" w:rsidR="000016E2" w:rsidRPr="00BD22FE" w:rsidRDefault="00104CA8" w:rsidP="00310DB8">
      <w:pPr>
        <w:keepNext/>
        <w:rPr>
          <w:sz w:val="22"/>
          <w:szCs w:val="22"/>
          <w:u w:val="single"/>
          <w:lang w:val="pl-PL"/>
        </w:rPr>
      </w:pPr>
      <w:r w:rsidRPr="00BD22FE">
        <w:rPr>
          <w:sz w:val="22"/>
          <w:szCs w:val="22"/>
          <w:u w:val="single"/>
          <w:lang w:val="pl-PL"/>
        </w:rPr>
        <w:t>Nieczerniakowe nowotwory złośliwe skóry</w:t>
      </w:r>
    </w:p>
    <w:p w14:paraId="25AF8564" w14:textId="5F50545F" w:rsidR="000016E2" w:rsidRPr="00BD22FE" w:rsidRDefault="00104CA8" w:rsidP="00941FBF">
      <w:pPr>
        <w:rPr>
          <w:sz w:val="22"/>
          <w:szCs w:val="22"/>
          <w:lang w:val="pl-PL"/>
        </w:rPr>
      </w:pPr>
      <w:r w:rsidRPr="00BD22FE">
        <w:rPr>
          <w:sz w:val="22"/>
          <w:szCs w:val="22"/>
          <w:lang w:val="pl-PL"/>
        </w:rPr>
        <w:t>Na podstawie danych dostępnych z</w:t>
      </w:r>
      <w:r w:rsidR="00717A7B" w:rsidRPr="00BD22FE">
        <w:rPr>
          <w:sz w:val="22"/>
          <w:szCs w:val="22"/>
          <w:lang w:val="pl-PL"/>
        </w:rPr>
        <w:t> </w:t>
      </w:r>
      <w:r w:rsidRPr="00BD22FE">
        <w:rPr>
          <w:sz w:val="22"/>
          <w:szCs w:val="22"/>
          <w:lang w:val="pl-PL"/>
        </w:rPr>
        <w:t>badań epidemiologicznych stwierdzono związek między łączną dawką HCTZ a</w:t>
      </w:r>
      <w:r w:rsidR="00717A7B" w:rsidRPr="00BD22FE">
        <w:rPr>
          <w:sz w:val="22"/>
          <w:szCs w:val="22"/>
          <w:lang w:val="pl-PL"/>
        </w:rPr>
        <w:t> </w:t>
      </w:r>
      <w:r w:rsidRPr="00BD22FE">
        <w:rPr>
          <w:sz w:val="22"/>
          <w:szCs w:val="22"/>
          <w:lang w:val="pl-PL"/>
        </w:rPr>
        <w:t>występowaniem NMSC (patrz również punkty 4.4 i</w:t>
      </w:r>
      <w:r w:rsidR="00717A7B" w:rsidRPr="00BD22FE">
        <w:rPr>
          <w:sz w:val="22"/>
          <w:szCs w:val="22"/>
          <w:lang w:val="pl-PL"/>
        </w:rPr>
        <w:t> </w:t>
      </w:r>
      <w:r w:rsidRPr="00BD22FE">
        <w:rPr>
          <w:sz w:val="22"/>
          <w:szCs w:val="22"/>
          <w:lang w:val="pl-PL"/>
        </w:rPr>
        <w:t>5.1).</w:t>
      </w:r>
    </w:p>
    <w:p w14:paraId="69EBAFF6" w14:textId="77777777" w:rsidR="002049D2" w:rsidRPr="009D16CE" w:rsidRDefault="002049D2" w:rsidP="002049D2">
      <w:pPr>
        <w:rPr>
          <w:bCs/>
          <w:sz w:val="22"/>
          <w:szCs w:val="22"/>
          <w:lang w:val="pl-PL"/>
        </w:rPr>
      </w:pPr>
      <w:bookmarkStart w:id="8" w:name="_Hlk183954025"/>
    </w:p>
    <w:p w14:paraId="11CA5D51" w14:textId="77777777" w:rsidR="002049D2" w:rsidRPr="00BD22FE" w:rsidRDefault="002049D2" w:rsidP="002049D2">
      <w:pPr>
        <w:keepNext/>
        <w:rPr>
          <w:bCs/>
          <w:sz w:val="22"/>
          <w:szCs w:val="22"/>
          <w:u w:val="single"/>
          <w:lang w:val="pl-PL"/>
        </w:rPr>
      </w:pPr>
      <w:r w:rsidRPr="00BD22FE">
        <w:rPr>
          <w:bCs/>
          <w:sz w:val="22"/>
          <w:szCs w:val="22"/>
          <w:u w:val="single"/>
          <w:lang w:val="pl-PL"/>
        </w:rPr>
        <w:t>Obrzęk naczynioruchowy jelit</w:t>
      </w:r>
    </w:p>
    <w:p w14:paraId="1B6AA3F3" w14:textId="51FCFAF4" w:rsidR="002049D2" w:rsidRPr="00BD22FE" w:rsidRDefault="002049D2" w:rsidP="002049D2">
      <w:pPr>
        <w:rPr>
          <w:bCs/>
          <w:sz w:val="22"/>
          <w:szCs w:val="22"/>
          <w:lang w:val="pl-PL"/>
        </w:rPr>
      </w:pPr>
      <w:r w:rsidRPr="00BD22FE">
        <w:rPr>
          <w:bCs/>
          <w:sz w:val="22"/>
          <w:szCs w:val="22"/>
          <w:lang w:val="pl-PL"/>
        </w:rPr>
        <w:t>Po zastosowaniu blokerów receptora angiotensyny II notowano przypadki wystąpienia obrzęku naczynioruchowego jelit (patrz punkt 4.4).</w:t>
      </w:r>
    </w:p>
    <w:bookmarkEnd w:id="8"/>
    <w:p w14:paraId="599D237F" w14:textId="77777777" w:rsidR="000016E2" w:rsidRPr="00BD22FE" w:rsidRDefault="000016E2" w:rsidP="00941FBF">
      <w:pPr>
        <w:rPr>
          <w:sz w:val="22"/>
          <w:szCs w:val="22"/>
          <w:lang w:val="pl-PL"/>
        </w:rPr>
      </w:pPr>
    </w:p>
    <w:p w14:paraId="7C6794A0" w14:textId="77777777" w:rsidR="000016E2" w:rsidRPr="00BD22FE" w:rsidRDefault="00104CA8" w:rsidP="00310DB8">
      <w:pPr>
        <w:keepNext/>
        <w:rPr>
          <w:sz w:val="22"/>
          <w:szCs w:val="22"/>
          <w:u w:val="single"/>
          <w:lang w:val="pl-PL"/>
        </w:rPr>
      </w:pPr>
      <w:r w:rsidRPr="00BD22FE">
        <w:rPr>
          <w:sz w:val="22"/>
          <w:szCs w:val="22"/>
          <w:u w:val="single"/>
          <w:lang w:val="pl-PL"/>
        </w:rPr>
        <w:t>Zgłaszanie podejrzewanych działań niepożądanych</w:t>
      </w:r>
    </w:p>
    <w:p w14:paraId="2CBDC7FF" w14:textId="4A2B7648" w:rsidR="000016E2" w:rsidRPr="00BD22FE" w:rsidRDefault="00104CA8" w:rsidP="00941FBF">
      <w:pPr>
        <w:rPr>
          <w:sz w:val="22"/>
          <w:szCs w:val="22"/>
          <w:highlight w:val="lightGray"/>
          <w:shd w:val="pct15" w:color="auto" w:fill="FFFFFF"/>
          <w:lang w:val="pl-PL" w:eastAsia="de-DE"/>
        </w:rPr>
      </w:pPr>
      <w:r w:rsidRPr="00BD22FE">
        <w:rPr>
          <w:sz w:val="22"/>
          <w:szCs w:val="22"/>
          <w:lang w:val="pl-PL"/>
        </w:rPr>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 </w:t>
      </w:r>
      <w:r w:rsidRPr="00BD22FE">
        <w:rPr>
          <w:sz w:val="22"/>
          <w:szCs w:val="22"/>
          <w:highlight w:val="lightGray"/>
          <w:shd w:val="pct15" w:color="auto" w:fill="FFFFFF"/>
          <w:lang w:val="pl-PL" w:eastAsia="de-DE"/>
        </w:rPr>
        <w:t>krajowego systemu zgłaszania wymienionego w</w:t>
      </w:r>
      <w:r w:rsidR="00717A7B" w:rsidRPr="00BD22FE">
        <w:rPr>
          <w:sz w:val="22"/>
          <w:szCs w:val="22"/>
          <w:highlight w:val="lightGray"/>
          <w:shd w:val="pct15" w:color="auto" w:fill="FFFFFF"/>
          <w:lang w:val="pl-PL" w:eastAsia="de-DE"/>
        </w:rPr>
        <w:t> </w:t>
      </w:r>
      <w:hyperlink r:id="rId11">
        <w:r w:rsidRPr="00BD22FE">
          <w:rPr>
            <w:rStyle w:val="Hyperlink"/>
            <w:sz w:val="22"/>
            <w:szCs w:val="22"/>
            <w:highlight w:val="lightGray"/>
            <w:lang w:val="pl-PL"/>
          </w:rPr>
          <w:t>załączniku V</w:t>
        </w:r>
      </w:hyperlink>
      <w:r w:rsidRPr="00BD22FE">
        <w:rPr>
          <w:sz w:val="22"/>
          <w:szCs w:val="22"/>
          <w:lang w:val="pl-PL" w:eastAsia="de-DE"/>
        </w:rPr>
        <w:t>.</w:t>
      </w:r>
    </w:p>
    <w:p w14:paraId="07AE3D82" w14:textId="77777777" w:rsidR="000016E2" w:rsidRPr="00BD22FE" w:rsidRDefault="000016E2" w:rsidP="00941FBF">
      <w:pPr>
        <w:pStyle w:val="BodyText"/>
        <w:spacing w:line="240" w:lineRule="auto"/>
        <w:jc w:val="left"/>
        <w:rPr>
          <w:sz w:val="22"/>
          <w:szCs w:val="22"/>
          <w:lang w:val="pl-PL"/>
        </w:rPr>
      </w:pPr>
    </w:p>
    <w:p w14:paraId="427A5CB9" w14:textId="77777777" w:rsidR="000016E2" w:rsidRPr="00BD22FE" w:rsidRDefault="00104CA8" w:rsidP="005E756D">
      <w:pPr>
        <w:pStyle w:val="BodyText"/>
        <w:keepNext/>
        <w:spacing w:line="240" w:lineRule="auto"/>
        <w:ind w:left="567" w:hanging="567"/>
        <w:jc w:val="left"/>
        <w:rPr>
          <w:b/>
          <w:sz w:val="22"/>
          <w:szCs w:val="22"/>
          <w:lang w:val="pl-PL"/>
        </w:rPr>
      </w:pPr>
      <w:r w:rsidRPr="00BD22FE">
        <w:rPr>
          <w:b/>
          <w:sz w:val="22"/>
          <w:szCs w:val="22"/>
          <w:lang w:val="pl-PL"/>
        </w:rPr>
        <w:t>4.9</w:t>
      </w:r>
      <w:r w:rsidRPr="00BD22FE">
        <w:rPr>
          <w:b/>
          <w:sz w:val="22"/>
          <w:szCs w:val="22"/>
          <w:lang w:val="pl-PL"/>
        </w:rPr>
        <w:tab/>
        <w:t>Przedawkowanie</w:t>
      </w:r>
    </w:p>
    <w:p w14:paraId="6B43FD65" w14:textId="77777777" w:rsidR="000016E2" w:rsidRPr="00BD22FE" w:rsidRDefault="000016E2" w:rsidP="00941FBF">
      <w:pPr>
        <w:pStyle w:val="BodyText"/>
        <w:keepNext/>
        <w:spacing w:line="240" w:lineRule="auto"/>
        <w:jc w:val="left"/>
        <w:rPr>
          <w:sz w:val="22"/>
          <w:szCs w:val="22"/>
          <w:lang w:val="pl-PL"/>
        </w:rPr>
      </w:pPr>
    </w:p>
    <w:p w14:paraId="0411DDA2" w14:textId="575BDD48" w:rsidR="003A7E3D" w:rsidRPr="00BD22FE" w:rsidRDefault="00104CA8" w:rsidP="00941FBF">
      <w:pPr>
        <w:pStyle w:val="BodyText"/>
        <w:spacing w:line="240" w:lineRule="auto"/>
        <w:jc w:val="left"/>
        <w:rPr>
          <w:sz w:val="22"/>
          <w:szCs w:val="22"/>
          <w:lang w:val="pl-PL"/>
        </w:rPr>
      </w:pPr>
      <w:r w:rsidRPr="00BD22FE">
        <w:rPr>
          <w:sz w:val="22"/>
          <w:szCs w:val="22"/>
          <w:lang w:val="pl-PL"/>
        </w:rPr>
        <w:t>Dane dotyczące przedawkowania telmisartanu u</w:t>
      </w:r>
      <w:r w:rsidR="00717A7B" w:rsidRPr="00BD22FE">
        <w:rPr>
          <w:sz w:val="22"/>
          <w:szCs w:val="22"/>
          <w:lang w:val="pl-PL"/>
        </w:rPr>
        <w:t> </w:t>
      </w:r>
      <w:r w:rsidRPr="00BD22FE">
        <w:rPr>
          <w:sz w:val="22"/>
          <w:szCs w:val="22"/>
          <w:lang w:val="pl-PL"/>
        </w:rPr>
        <w:t xml:space="preserve">ludzi są ograniczone. Nie </w:t>
      </w:r>
      <w:r w:rsidR="00E225A2" w:rsidRPr="00BD22FE">
        <w:rPr>
          <w:sz w:val="22"/>
          <w:szCs w:val="22"/>
          <w:lang w:val="pl-PL"/>
        </w:rPr>
        <w:t xml:space="preserve">określono </w:t>
      </w:r>
      <w:r w:rsidRPr="00BD22FE">
        <w:rPr>
          <w:sz w:val="22"/>
          <w:szCs w:val="22"/>
          <w:lang w:val="pl-PL"/>
        </w:rPr>
        <w:t>stopnia, w</w:t>
      </w:r>
      <w:r w:rsidR="00717A7B" w:rsidRPr="00BD22FE">
        <w:rPr>
          <w:sz w:val="22"/>
          <w:szCs w:val="22"/>
          <w:lang w:val="pl-PL"/>
        </w:rPr>
        <w:t> </w:t>
      </w:r>
      <w:r w:rsidRPr="00BD22FE">
        <w:rPr>
          <w:sz w:val="22"/>
          <w:szCs w:val="22"/>
          <w:lang w:val="pl-PL"/>
        </w:rPr>
        <w:t>jakim można usunąć HCTZ za pomocą hemodializy.</w:t>
      </w:r>
    </w:p>
    <w:p w14:paraId="4D6A8FB3" w14:textId="1890BF91" w:rsidR="000016E2" w:rsidRPr="00BD22FE" w:rsidRDefault="000016E2" w:rsidP="00941FBF">
      <w:pPr>
        <w:pStyle w:val="BodyText"/>
        <w:spacing w:line="240" w:lineRule="auto"/>
        <w:jc w:val="left"/>
        <w:rPr>
          <w:rFonts w:eastAsia="SimSun"/>
          <w:sz w:val="22"/>
          <w:szCs w:val="22"/>
          <w:lang w:val="pl-PL" w:eastAsia="zh-CN"/>
        </w:rPr>
      </w:pPr>
    </w:p>
    <w:p w14:paraId="5A2E33E0" w14:textId="7A44EA4B" w:rsidR="00375EA4" w:rsidRPr="00BD22FE" w:rsidRDefault="00104CA8" w:rsidP="003B2ACA">
      <w:pPr>
        <w:pStyle w:val="BodyText"/>
        <w:keepNext/>
        <w:spacing w:line="240" w:lineRule="auto"/>
        <w:jc w:val="left"/>
        <w:rPr>
          <w:sz w:val="22"/>
          <w:szCs w:val="22"/>
          <w:lang w:val="pl-PL"/>
        </w:rPr>
      </w:pPr>
      <w:r w:rsidRPr="00BD22FE">
        <w:rPr>
          <w:sz w:val="22"/>
          <w:szCs w:val="22"/>
          <w:u w:val="single"/>
          <w:lang w:val="pl-PL"/>
        </w:rPr>
        <w:t>Objawy</w:t>
      </w:r>
    </w:p>
    <w:p w14:paraId="0C17B261" w14:textId="045BA4A1" w:rsidR="000016E2" w:rsidRPr="00BD22FE" w:rsidRDefault="00E225A2" w:rsidP="00941FBF">
      <w:pPr>
        <w:pStyle w:val="BodyText"/>
        <w:spacing w:line="240" w:lineRule="auto"/>
        <w:jc w:val="left"/>
        <w:rPr>
          <w:sz w:val="22"/>
          <w:szCs w:val="22"/>
          <w:lang w:val="pl-PL"/>
        </w:rPr>
      </w:pPr>
      <w:r w:rsidRPr="00BD22FE">
        <w:rPr>
          <w:sz w:val="22"/>
          <w:szCs w:val="22"/>
          <w:lang w:val="pl-PL"/>
        </w:rPr>
        <w:t xml:space="preserve">Najważniejsze </w:t>
      </w:r>
      <w:r w:rsidR="00104CA8" w:rsidRPr="00BD22FE">
        <w:rPr>
          <w:sz w:val="22"/>
          <w:szCs w:val="22"/>
          <w:lang w:val="pl-PL"/>
        </w:rPr>
        <w:t>objaw</w:t>
      </w:r>
      <w:r w:rsidRPr="00BD22FE">
        <w:rPr>
          <w:sz w:val="22"/>
          <w:szCs w:val="22"/>
          <w:lang w:val="pl-PL"/>
        </w:rPr>
        <w:t>y</w:t>
      </w:r>
      <w:r w:rsidR="00104CA8" w:rsidRPr="00BD22FE">
        <w:rPr>
          <w:sz w:val="22"/>
          <w:szCs w:val="22"/>
          <w:lang w:val="pl-PL"/>
        </w:rPr>
        <w:t xml:space="preserve"> przedawkowania telmisartanu </w:t>
      </w:r>
      <w:r w:rsidRPr="00BD22FE">
        <w:rPr>
          <w:sz w:val="22"/>
          <w:szCs w:val="22"/>
          <w:lang w:val="pl-PL"/>
        </w:rPr>
        <w:t xml:space="preserve">to </w:t>
      </w:r>
      <w:r w:rsidR="00104CA8" w:rsidRPr="00BD22FE">
        <w:rPr>
          <w:sz w:val="22"/>
          <w:szCs w:val="22"/>
          <w:lang w:val="pl-PL"/>
        </w:rPr>
        <w:t>niedociśnienie</w:t>
      </w:r>
      <w:r w:rsidRPr="00BD22FE">
        <w:rPr>
          <w:sz w:val="22"/>
          <w:szCs w:val="22"/>
          <w:lang w:val="pl-PL"/>
        </w:rPr>
        <w:t xml:space="preserve"> tętnicze</w:t>
      </w:r>
      <w:r w:rsidR="00104CA8" w:rsidRPr="00BD22FE">
        <w:rPr>
          <w:sz w:val="22"/>
          <w:szCs w:val="22"/>
          <w:lang w:val="pl-PL"/>
        </w:rPr>
        <w:t xml:space="preserve"> i</w:t>
      </w:r>
      <w:r w:rsidR="00717A7B" w:rsidRPr="00BD22FE">
        <w:rPr>
          <w:sz w:val="22"/>
          <w:szCs w:val="22"/>
          <w:lang w:val="pl-PL"/>
        </w:rPr>
        <w:t> </w:t>
      </w:r>
      <w:r w:rsidR="00104CA8" w:rsidRPr="00BD22FE">
        <w:rPr>
          <w:sz w:val="22"/>
          <w:szCs w:val="22"/>
          <w:lang w:val="pl-PL"/>
        </w:rPr>
        <w:t xml:space="preserve">tachykardia; opisywano również bradykardię, zawroty głowy, wymioty, </w:t>
      </w:r>
      <w:r w:rsidR="000F65A6" w:rsidRPr="00BD22FE">
        <w:rPr>
          <w:sz w:val="22"/>
          <w:szCs w:val="22"/>
          <w:lang w:val="pl-PL"/>
        </w:rPr>
        <w:t xml:space="preserve">zwiększenie stężenia </w:t>
      </w:r>
      <w:r w:rsidR="00104CA8" w:rsidRPr="00BD22FE">
        <w:rPr>
          <w:sz w:val="22"/>
          <w:szCs w:val="22"/>
          <w:lang w:val="pl-PL"/>
        </w:rPr>
        <w:t xml:space="preserve">kreatyniny </w:t>
      </w:r>
      <w:r w:rsidR="000F65A6" w:rsidRPr="00BD22FE">
        <w:rPr>
          <w:sz w:val="22"/>
          <w:szCs w:val="22"/>
          <w:lang w:val="pl-PL"/>
        </w:rPr>
        <w:t xml:space="preserve">w surowicy </w:t>
      </w:r>
      <w:r w:rsidR="00104CA8" w:rsidRPr="00BD22FE">
        <w:rPr>
          <w:sz w:val="22"/>
          <w:szCs w:val="22"/>
          <w:lang w:val="pl-PL"/>
        </w:rPr>
        <w:t>oraz ostrą niewydolność nerek. Przedawkowanie HCTZ może wiązać się ze zmniejszeniem stężenia elektrolitów (hipokaliemia, hipochloremia) oraz hipowolemią wynikającą z</w:t>
      </w:r>
      <w:r w:rsidR="00717A7B" w:rsidRPr="00BD22FE">
        <w:rPr>
          <w:sz w:val="22"/>
          <w:szCs w:val="22"/>
          <w:lang w:val="pl-PL"/>
        </w:rPr>
        <w:t> </w:t>
      </w:r>
      <w:r w:rsidR="00104CA8" w:rsidRPr="00BD22FE">
        <w:rPr>
          <w:sz w:val="22"/>
          <w:szCs w:val="22"/>
          <w:lang w:val="pl-PL"/>
        </w:rPr>
        <w:t>nadmiernej diurezy. Najczęstszymi objawami przedmiotowymi i</w:t>
      </w:r>
      <w:r w:rsidR="00717A7B" w:rsidRPr="00BD22FE">
        <w:rPr>
          <w:sz w:val="22"/>
          <w:szCs w:val="22"/>
          <w:lang w:val="pl-PL"/>
        </w:rPr>
        <w:t> </w:t>
      </w:r>
      <w:r w:rsidR="00104CA8" w:rsidRPr="00BD22FE">
        <w:rPr>
          <w:sz w:val="22"/>
          <w:szCs w:val="22"/>
          <w:lang w:val="pl-PL"/>
        </w:rPr>
        <w:t>podmiotowymi przedawkowania są nudności i</w:t>
      </w:r>
      <w:r w:rsidR="00717A7B" w:rsidRPr="00BD22FE">
        <w:rPr>
          <w:sz w:val="22"/>
          <w:szCs w:val="22"/>
          <w:lang w:val="pl-PL"/>
        </w:rPr>
        <w:t> </w:t>
      </w:r>
      <w:r w:rsidR="00104CA8" w:rsidRPr="00BD22FE">
        <w:rPr>
          <w:sz w:val="22"/>
          <w:szCs w:val="22"/>
          <w:lang w:val="pl-PL"/>
        </w:rPr>
        <w:t>senność. Hipokaliemia może powodować skurcze mięśni i</w:t>
      </w:r>
      <w:r w:rsidR="007F6B0D" w:rsidRPr="00BD22FE">
        <w:rPr>
          <w:sz w:val="22"/>
          <w:szCs w:val="22"/>
          <w:lang w:val="pl-PL"/>
        </w:rPr>
        <w:t> </w:t>
      </w:r>
      <w:r w:rsidR="00104CA8" w:rsidRPr="00BD22FE">
        <w:rPr>
          <w:sz w:val="22"/>
          <w:szCs w:val="22"/>
          <w:lang w:val="pl-PL"/>
        </w:rPr>
        <w:t>(lub) przyspieszenie akcji serca związan</w:t>
      </w:r>
      <w:r w:rsidR="009C75E8" w:rsidRPr="00BD22FE">
        <w:rPr>
          <w:sz w:val="22"/>
          <w:szCs w:val="22"/>
          <w:lang w:val="pl-PL"/>
        </w:rPr>
        <w:t>e</w:t>
      </w:r>
      <w:r w:rsidR="00104CA8" w:rsidRPr="00BD22FE">
        <w:rPr>
          <w:sz w:val="22"/>
          <w:szCs w:val="22"/>
          <w:lang w:val="pl-PL"/>
        </w:rPr>
        <w:t xml:space="preserve"> z</w:t>
      </w:r>
      <w:r w:rsidR="00717A7B" w:rsidRPr="00BD22FE">
        <w:rPr>
          <w:sz w:val="22"/>
          <w:szCs w:val="22"/>
          <w:lang w:val="pl-PL"/>
        </w:rPr>
        <w:t> </w:t>
      </w:r>
      <w:r w:rsidR="00104CA8" w:rsidRPr="00BD22FE">
        <w:rPr>
          <w:sz w:val="22"/>
          <w:szCs w:val="22"/>
          <w:lang w:val="pl-PL"/>
        </w:rPr>
        <w:t xml:space="preserve">jednoczesnym </w:t>
      </w:r>
      <w:r w:rsidR="00816070" w:rsidRPr="00BD22FE">
        <w:rPr>
          <w:sz w:val="22"/>
          <w:szCs w:val="22"/>
          <w:lang w:val="pl-PL"/>
        </w:rPr>
        <w:t>stoso</w:t>
      </w:r>
      <w:r w:rsidR="00104CA8" w:rsidRPr="00BD22FE">
        <w:rPr>
          <w:sz w:val="22"/>
          <w:szCs w:val="22"/>
          <w:lang w:val="pl-PL"/>
        </w:rPr>
        <w:t>waniem glikozydów naparstnicy lub pewnych przeciwarytmicznych produktów leczniczych.</w:t>
      </w:r>
    </w:p>
    <w:p w14:paraId="0422D961" w14:textId="77777777" w:rsidR="000016E2" w:rsidRPr="00BD22FE" w:rsidRDefault="000016E2" w:rsidP="00941FBF">
      <w:pPr>
        <w:pStyle w:val="BodyText"/>
        <w:spacing w:line="240" w:lineRule="auto"/>
        <w:jc w:val="left"/>
        <w:rPr>
          <w:sz w:val="22"/>
          <w:szCs w:val="22"/>
          <w:lang w:val="pl-PL"/>
        </w:rPr>
      </w:pPr>
    </w:p>
    <w:p w14:paraId="202E866F" w14:textId="4AC7717B" w:rsidR="00375EA4" w:rsidRPr="00BD22FE" w:rsidRDefault="00104CA8" w:rsidP="003B2ACA">
      <w:pPr>
        <w:pStyle w:val="BodyText"/>
        <w:keepNext/>
        <w:spacing w:line="240" w:lineRule="auto"/>
        <w:jc w:val="left"/>
        <w:rPr>
          <w:sz w:val="22"/>
          <w:szCs w:val="22"/>
          <w:lang w:val="pl-PL"/>
        </w:rPr>
      </w:pPr>
      <w:r w:rsidRPr="00BD22FE">
        <w:rPr>
          <w:sz w:val="22"/>
          <w:szCs w:val="22"/>
          <w:u w:val="single"/>
          <w:lang w:val="pl-PL"/>
        </w:rPr>
        <w:t>Leczenie</w:t>
      </w:r>
    </w:p>
    <w:p w14:paraId="5EBA3396" w14:textId="3CFA1365" w:rsidR="003A7E3D" w:rsidRPr="00BD22FE" w:rsidRDefault="00104CA8" w:rsidP="00941FBF">
      <w:pPr>
        <w:pStyle w:val="BodyText"/>
        <w:spacing w:line="240" w:lineRule="auto"/>
        <w:jc w:val="left"/>
        <w:rPr>
          <w:sz w:val="22"/>
          <w:szCs w:val="22"/>
          <w:lang w:val="pl-PL"/>
        </w:rPr>
      </w:pPr>
      <w:r w:rsidRPr="00BD22FE">
        <w:rPr>
          <w:sz w:val="22"/>
          <w:szCs w:val="22"/>
          <w:lang w:val="pl-PL"/>
        </w:rPr>
        <w:t>Telmisartan nie jest usuwany przez hemofiltrację i nie podlega dializie. Pacjent</w:t>
      </w:r>
      <w:r w:rsidR="00BC7014" w:rsidRPr="00BD22FE">
        <w:rPr>
          <w:sz w:val="22"/>
          <w:szCs w:val="22"/>
          <w:lang w:val="pl-PL"/>
        </w:rPr>
        <w:t>a</w:t>
      </w:r>
      <w:r w:rsidRPr="00BD22FE">
        <w:rPr>
          <w:sz w:val="22"/>
          <w:szCs w:val="22"/>
          <w:lang w:val="pl-PL"/>
        </w:rPr>
        <w:t xml:space="preserve"> </w:t>
      </w:r>
      <w:r w:rsidR="00BC7014" w:rsidRPr="00BD22FE">
        <w:rPr>
          <w:sz w:val="22"/>
          <w:szCs w:val="22"/>
          <w:lang w:val="pl-PL"/>
        </w:rPr>
        <w:t xml:space="preserve">należy dokładnie </w:t>
      </w:r>
      <w:r w:rsidRPr="00BD22FE">
        <w:rPr>
          <w:sz w:val="22"/>
          <w:szCs w:val="22"/>
          <w:lang w:val="pl-PL"/>
        </w:rPr>
        <w:t>obserwowa</w:t>
      </w:r>
      <w:r w:rsidR="00BC7014" w:rsidRPr="00BD22FE">
        <w:rPr>
          <w:sz w:val="22"/>
          <w:szCs w:val="22"/>
          <w:lang w:val="pl-PL"/>
        </w:rPr>
        <w:t>ć</w:t>
      </w:r>
      <w:r w:rsidRPr="00BD22FE">
        <w:rPr>
          <w:sz w:val="22"/>
          <w:szCs w:val="22"/>
          <w:lang w:val="pl-PL"/>
        </w:rPr>
        <w:t xml:space="preserve"> </w:t>
      </w:r>
      <w:r w:rsidR="00BC7014" w:rsidRPr="00BD22FE">
        <w:rPr>
          <w:sz w:val="22"/>
          <w:szCs w:val="22"/>
          <w:lang w:val="pl-PL"/>
        </w:rPr>
        <w:t>i </w:t>
      </w:r>
      <w:r w:rsidRPr="00BD22FE">
        <w:rPr>
          <w:sz w:val="22"/>
          <w:szCs w:val="22"/>
          <w:lang w:val="pl-PL"/>
        </w:rPr>
        <w:t>zastosować leczenie objawowe i</w:t>
      </w:r>
      <w:r w:rsidR="00717A7B" w:rsidRPr="00BD22FE">
        <w:rPr>
          <w:sz w:val="22"/>
          <w:szCs w:val="22"/>
          <w:lang w:val="pl-PL"/>
        </w:rPr>
        <w:t> </w:t>
      </w:r>
      <w:r w:rsidRPr="00BD22FE">
        <w:rPr>
          <w:sz w:val="22"/>
          <w:szCs w:val="22"/>
          <w:lang w:val="pl-PL"/>
        </w:rPr>
        <w:t>podtrzymujące. Postępowanie zależy od czasu, jaki upłynął od przyjęcia leku</w:t>
      </w:r>
      <w:r w:rsidR="005E0E1A" w:rsidRPr="00BD22FE">
        <w:rPr>
          <w:sz w:val="22"/>
          <w:szCs w:val="22"/>
          <w:lang w:val="pl-PL"/>
        </w:rPr>
        <w:t>,</w:t>
      </w:r>
      <w:r w:rsidRPr="00BD22FE">
        <w:rPr>
          <w:sz w:val="22"/>
          <w:szCs w:val="22"/>
          <w:lang w:val="pl-PL"/>
        </w:rPr>
        <w:t xml:space="preserve"> i</w:t>
      </w:r>
      <w:r w:rsidR="00717A7B" w:rsidRPr="00BD22FE">
        <w:rPr>
          <w:sz w:val="22"/>
          <w:szCs w:val="22"/>
          <w:lang w:val="pl-PL"/>
        </w:rPr>
        <w:t> </w:t>
      </w:r>
      <w:r w:rsidR="005E0E1A" w:rsidRPr="00BD22FE">
        <w:rPr>
          <w:sz w:val="22"/>
          <w:szCs w:val="22"/>
          <w:lang w:val="pl-PL"/>
        </w:rPr>
        <w:t>nasilenia</w:t>
      </w:r>
      <w:r w:rsidRPr="00BD22FE">
        <w:rPr>
          <w:sz w:val="22"/>
          <w:szCs w:val="22"/>
          <w:lang w:val="pl-PL"/>
        </w:rPr>
        <w:t xml:space="preserve"> objawów. Zaleca się sprowokowanie wymiotów i</w:t>
      </w:r>
      <w:r w:rsidR="00E92979" w:rsidRPr="00BD22FE">
        <w:rPr>
          <w:sz w:val="22"/>
          <w:szCs w:val="22"/>
          <w:lang w:val="pl-PL"/>
        </w:rPr>
        <w:t> </w:t>
      </w:r>
      <w:r w:rsidRPr="00BD22FE">
        <w:rPr>
          <w:sz w:val="22"/>
          <w:szCs w:val="22"/>
          <w:lang w:val="pl-PL"/>
        </w:rPr>
        <w:t>(lub) płukanie żołądka. W</w:t>
      </w:r>
      <w:r w:rsidR="00717A7B" w:rsidRPr="00BD22FE">
        <w:rPr>
          <w:sz w:val="22"/>
          <w:szCs w:val="22"/>
          <w:lang w:val="pl-PL"/>
        </w:rPr>
        <w:t> </w:t>
      </w:r>
      <w:r w:rsidRPr="00BD22FE">
        <w:rPr>
          <w:sz w:val="22"/>
          <w:szCs w:val="22"/>
          <w:lang w:val="pl-PL"/>
        </w:rPr>
        <w:t>leczeniu przedawkowania pomocn</w:t>
      </w:r>
      <w:r w:rsidR="00BF5206" w:rsidRPr="00BD22FE">
        <w:rPr>
          <w:sz w:val="22"/>
          <w:szCs w:val="22"/>
          <w:lang w:val="pl-PL"/>
        </w:rPr>
        <w:t>e</w:t>
      </w:r>
      <w:r w:rsidRPr="00BD22FE">
        <w:rPr>
          <w:sz w:val="22"/>
          <w:szCs w:val="22"/>
          <w:lang w:val="pl-PL"/>
        </w:rPr>
        <w:t xml:space="preserve"> może </w:t>
      </w:r>
      <w:r w:rsidR="00BF5206" w:rsidRPr="00BD22FE">
        <w:rPr>
          <w:sz w:val="22"/>
          <w:szCs w:val="22"/>
          <w:lang w:val="pl-PL"/>
        </w:rPr>
        <w:t>być zastosowanie</w:t>
      </w:r>
      <w:r w:rsidRPr="00BD22FE">
        <w:rPr>
          <w:sz w:val="22"/>
          <w:szCs w:val="22"/>
          <w:lang w:val="pl-PL"/>
        </w:rPr>
        <w:t xml:space="preserve"> węg</w:t>
      </w:r>
      <w:r w:rsidR="00BF5206" w:rsidRPr="00BD22FE">
        <w:rPr>
          <w:sz w:val="22"/>
          <w:szCs w:val="22"/>
          <w:lang w:val="pl-PL"/>
        </w:rPr>
        <w:t>la</w:t>
      </w:r>
      <w:r w:rsidRPr="00BD22FE">
        <w:rPr>
          <w:sz w:val="22"/>
          <w:szCs w:val="22"/>
          <w:lang w:val="pl-PL"/>
        </w:rPr>
        <w:t xml:space="preserve"> aktywowan</w:t>
      </w:r>
      <w:r w:rsidR="00BF5206" w:rsidRPr="00BD22FE">
        <w:rPr>
          <w:sz w:val="22"/>
          <w:szCs w:val="22"/>
          <w:lang w:val="pl-PL"/>
        </w:rPr>
        <w:t>ego</w:t>
      </w:r>
      <w:r w:rsidRPr="00BD22FE">
        <w:rPr>
          <w:sz w:val="22"/>
          <w:szCs w:val="22"/>
          <w:lang w:val="pl-PL"/>
        </w:rPr>
        <w:t>. Należy często kontrolować stężenie elektrolitów i</w:t>
      </w:r>
      <w:r w:rsidR="00717A7B" w:rsidRPr="00BD22FE">
        <w:rPr>
          <w:sz w:val="22"/>
          <w:szCs w:val="22"/>
          <w:lang w:val="pl-PL"/>
        </w:rPr>
        <w:t> </w:t>
      </w:r>
      <w:r w:rsidRPr="00BD22FE">
        <w:rPr>
          <w:sz w:val="22"/>
          <w:szCs w:val="22"/>
          <w:lang w:val="pl-PL"/>
        </w:rPr>
        <w:t>kreatyniny w</w:t>
      </w:r>
      <w:r w:rsidR="00717A7B" w:rsidRPr="00BD22FE">
        <w:rPr>
          <w:sz w:val="22"/>
          <w:szCs w:val="22"/>
          <w:lang w:val="pl-PL"/>
        </w:rPr>
        <w:t> </w:t>
      </w:r>
      <w:r w:rsidRPr="00BD22FE">
        <w:rPr>
          <w:sz w:val="22"/>
          <w:szCs w:val="22"/>
          <w:lang w:val="pl-PL"/>
        </w:rPr>
        <w:t xml:space="preserve">surowicy. </w:t>
      </w:r>
      <w:r w:rsidR="00BF5206" w:rsidRPr="00BD22FE">
        <w:rPr>
          <w:sz w:val="22"/>
          <w:szCs w:val="22"/>
          <w:lang w:val="pl-PL"/>
        </w:rPr>
        <w:t xml:space="preserve">W przypadku wystąpienia </w:t>
      </w:r>
      <w:r w:rsidRPr="00BD22FE">
        <w:rPr>
          <w:sz w:val="22"/>
          <w:szCs w:val="22"/>
          <w:lang w:val="pl-PL"/>
        </w:rPr>
        <w:t>niedociśnieni</w:t>
      </w:r>
      <w:r w:rsidR="00BF5206" w:rsidRPr="00BD22FE">
        <w:rPr>
          <w:sz w:val="22"/>
          <w:szCs w:val="22"/>
          <w:lang w:val="pl-PL"/>
        </w:rPr>
        <w:t>a tętniczego</w:t>
      </w:r>
      <w:r w:rsidRPr="00BD22FE">
        <w:rPr>
          <w:sz w:val="22"/>
          <w:szCs w:val="22"/>
          <w:lang w:val="pl-PL"/>
        </w:rPr>
        <w:t xml:space="preserve"> pacjenta należy ułożyć w</w:t>
      </w:r>
      <w:r w:rsidR="00717A7B" w:rsidRPr="00BD22FE">
        <w:rPr>
          <w:sz w:val="22"/>
          <w:szCs w:val="22"/>
          <w:lang w:val="pl-PL"/>
        </w:rPr>
        <w:t> </w:t>
      </w:r>
      <w:r w:rsidRPr="00BD22FE">
        <w:rPr>
          <w:sz w:val="22"/>
          <w:szCs w:val="22"/>
          <w:lang w:val="pl-PL"/>
        </w:rPr>
        <w:t xml:space="preserve">pozycji na plecach, szybko </w:t>
      </w:r>
      <w:r w:rsidR="00BF5206" w:rsidRPr="00BD22FE">
        <w:rPr>
          <w:sz w:val="22"/>
          <w:szCs w:val="22"/>
          <w:lang w:val="pl-PL"/>
        </w:rPr>
        <w:t xml:space="preserve">uzupełniając </w:t>
      </w:r>
      <w:r w:rsidRPr="00BD22FE">
        <w:rPr>
          <w:sz w:val="22"/>
          <w:szCs w:val="22"/>
          <w:lang w:val="pl-PL"/>
        </w:rPr>
        <w:t xml:space="preserve">sole </w:t>
      </w:r>
      <w:r w:rsidR="00BF5206" w:rsidRPr="00BD22FE">
        <w:rPr>
          <w:sz w:val="22"/>
          <w:szCs w:val="22"/>
          <w:lang w:val="pl-PL"/>
        </w:rPr>
        <w:t>oraz objętość wewnątrznaczyniową</w:t>
      </w:r>
      <w:r w:rsidRPr="00BD22FE">
        <w:rPr>
          <w:sz w:val="22"/>
          <w:szCs w:val="22"/>
          <w:lang w:val="pl-PL"/>
        </w:rPr>
        <w:t>.</w:t>
      </w:r>
    </w:p>
    <w:p w14:paraId="62242D05" w14:textId="6787C5C0" w:rsidR="000016E2" w:rsidRPr="00BD22FE" w:rsidRDefault="000016E2" w:rsidP="00941FBF">
      <w:pPr>
        <w:pStyle w:val="BodyText"/>
        <w:spacing w:line="240" w:lineRule="auto"/>
        <w:jc w:val="left"/>
        <w:rPr>
          <w:sz w:val="22"/>
          <w:szCs w:val="22"/>
          <w:lang w:val="pl-PL"/>
        </w:rPr>
      </w:pPr>
    </w:p>
    <w:p w14:paraId="20DFF116" w14:textId="77777777" w:rsidR="000016E2" w:rsidRPr="00BD22FE" w:rsidRDefault="000016E2" w:rsidP="00941FBF">
      <w:pPr>
        <w:pStyle w:val="BodyText"/>
        <w:spacing w:line="240" w:lineRule="auto"/>
        <w:jc w:val="left"/>
        <w:rPr>
          <w:sz w:val="22"/>
          <w:szCs w:val="22"/>
          <w:lang w:val="pl-PL"/>
        </w:rPr>
      </w:pPr>
    </w:p>
    <w:p w14:paraId="4A308B6B" w14:textId="15EB5135" w:rsidR="000016E2" w:rsidRPr="00BD22FE" w:rsidRDefault="00104CA8" w:rsidP="005E756D">
      <w:pPr>
        <w:pStyle w:val="BodyText"/>
        <w:keepNext/>
        <w:spacing w:line="240" w:lineRule="auto"/>
        <w:ind w:left="567" w:hanging="567"/>
        <w:jc w:val="left"/>
        <w:rPr>
          <w:b/>
          <w:sz w:val="22"/>
          <w:szCs w:val="22"/>
          <w:lang w:val="pl-PL"/>
        </w:rPr>
      </w:pPr>
      <w:r w:rsidRPr="00BD22FE">
        <w:rPr>
          <w:b/>
          <w:sz w:val="22"/>
          <w:szCs w:val="22"/>
          <w:lang w:val="pl-PL"/>
        </w:rPr>
        <w:lastRenderedPageBreak/>
        <w:t>5.</w:t>
      </w:r>
      <w:r w:rsidRPr="00BD22FE">
        <w:rPr>
          <w:b/>
          <w:sz w:val="22"/>
          <w:szCs w:val="22"/>
          <w:lang w:val="pl-PL"/>
        </w:rPr>
        <w:tab/>
        <w:t>WŁAŚCIWOŚCI FARMAKOLOGICZNE</w:t>
      </w:r>
    </w:p>
    <w:p w14:paraId="43616B14" w14:textId="77777777" w:rsidR="000016E2" w:rsidRPr="00BD22FE" w:rsidRDefault="000016E2" w:rsidP="00825239">
      <w:pPr>
        <w:pStyle w:val="BodyText"/>
        <w:keepNext/>
        <w:spacing w:line="240" w:lineRule="auto"/>
        <w:jc w:val="left"/>
        <w:rPr>
          <w:sz w:val="22"/>
          <w:szCs w:val="22"/>
          <w:lang w:val="pl-PL"/>
        </w:rPr>
      </w:pPr>
    </w:p>
    <w:p w14:paraId="0B55A4A0" w14:textId="77777777" w:rsidR="000016E2" w:rsidRPr="00BD22FE" w:rsidRDefault="00104CA8" w:rsidP="005E756D">
      <w:pPr>
        <w:pStyle w:val="BodyText"/>
        <w:keepNext/>
        <w:spacing w:line="240" w:lineRule="auto"/>
        <w:ind w:left="567" w:hanging="567"/>
        <w:jc w:val="left"/>
        <w:rPr>
          <w:b/>
          <w:sz w:val="22"/>
          <w:szCs w:val="22"/>
          <w:lang w:val="pl-PL"/>
        </w:rPr>
      </w:pPr>
      <w:r w:rsidRPr="00BD22FE">
        <w:rPr>
          <w:b/>
          <w:sz w:val="22"/>
          <w:szCs w:val="22"/>
          <w:lang w:val="pl-PL"/>
        </w:rPr>
        <w:t>5.1</w:t>
      </w:r>
      <w:r w:rsidRPr="00BD22FE">
        <w:rPr>
          <w:b/>
          <w:sz w:val="22"/>
          <w:szCs w:val="22"/>
          <w:lang w:val="pl-PL"/>
        </w:rPr>
        <w:tab/>
        <w:t>Właściwości farmakodynamiczne</w:t>
      </w:r>
    </w:p>
    <w:p w14:paraId="6F99571A" w14:textId="77777777" w:rsidR="000016E2" w:rsidRPr="00BD22FE" w:rsidRDefault="000016E2" w:rsidP="00825239">
      <w:pPr>
        <w:pStyle w:val="BodyText"/>
        <w:keepNext/>
        <w:spacing w:line="240" w:lineRule="auto"/>
        <w:jc w:val="left"/>
        <w:rPr>
          <w:sz w:val="22"/>
          <w:szCs w:val="22"/>
          <w:lang w:val="pl-PL"/>
        </w:rPr>
      </w:pPr>
    </w:p>
    <w:p w14:paraId="68AF7D80" w14:textId="277091FD" w:rsidR="000016E2" w:rsidRPr="00BD22FE" w:rsidRDefault="00104CA8" w:rsidP="00941FBF">
      <w:pPr>
        <w:pStyle w:val="BodyText"/>
        <w:spacing w:line="240" w:lineRule="auto"/>
        <w:jc w:val="left"/>
        <w:rPr>
          <w:sz w:val="22"/>
          <w:szCs w:val="22"/>
          <w:lang w:val="pl-PL"/>
        </w:rPr>
      </w:pPr>
      <w:r w:rsidRPr="00BD22FE">
        <w:rPr>
          <w:sz w:val="22"/>
          <w:szCs w:val="22"/>
          <w:lang w:val="pl-PL"/>
        </w:rPr>
        <w:t>Grupa farmakoterapeutyczna: blokery receptora angiotensyny</w:t>
      </w:r>
      <w:r w:rsidR="001E0877" w:rsidRPr="00BD22FE">
        <w:rPr>
          <w:sz w:val="22"/>
          <w:szCs w:val="22"/>
          <w:lang w:val="pl-PL"/>
        </w:rPr>
        <w:t> </w:t>
      </w:r>
      <w:r w:rsidRPr="00BD22FE">
        <w:rPr>
          <w:sz w:val="22"/>
          <w:szCs w:val="22"/>
          <w:lang w:val="pl-PL"/>
        </w:rPr>
        <w:t>II i</w:t>
      </w:r>
      <w:r w:rsidR="00717A7B" w:rsidRPr="00BD22FE">
        <w:rPr>
          <w:sz w:val="22"/>
          <w:szCs w:val="22"/>
          <w:lang w:val="pl-PL"/>
        </w:rPr>
        <w:t> </w:t>
      </w:r>
      <w:r w:rsidRPr="00BD22FE">
        <w:rPr>
          <w:sz w:val="22"/>
          <w:szCs w:val="22"/>
          <w:lang w:val="pl-PL"/>
        </w:rPr>
        <w:t>diuretyki, kod ATC: C09DA07.</w:t>
      </w:r>
    </w:p>
    <w:p w14:paraId="2F6E777C" w14:textId="77777777" w:rsidR="000016E2" w:rsidRPr="00BD22FE" w:rsidRDefault="000016E2" w:rsidP="00941FBF">
      <w:pPr>
        <w:pStyle w:val="BodyText"/>
        <w:spacing w:line="240" w:lineRule="auto"/>
        <w:jc w:val="left"/>
        <w:rPr>
          <w:sz w:val="22"/>
          <w:szCs w:val="22"/>
          <w:lang w:val="pl-PL"/>
        </w:rPr>
      </w:pPr>
    </w:p>
    <w:p w14:paraId="4E01638A" w14:textId="477E3FE0" w:rsidR="003A7E3D" w:rsidRPr="00BD22FE" w:rsidRDefault="00104CA8" w:rsidP="00941FBF">
      <w:pPr>
        <w:pStyle w:val="BodyText"/>
        <w:spacing w:line="240" w:lineRule="auto"/>
        <w:jc w:val="left"/>
        <w:rPr>
          <w:sz w:val="22"/>
          <w:szCs w:val="22"/>
          <w:lang w:val="pl-PL"/>
        </w:rPr>
      </w:pPr>
      <w:r w:rsidRPr="00BD22FE">
        <w:rPr>
          <w:sz w:val="22"/>
          <w:szCs w:val="22"/>
          <w:lang w:val="pl-PL"/>
        </w:rPr>
        <w:t>Produkt leczniczy MicardisPlus jest produktem złożonym zawierającym bloker receptora angiotensyny</w:t>
      </w:r>
      <w:r w:rsidR="001E0877" w:rsidRPr="00BD22FE">
        <w:rPr>
          <w:sz w:val="22"/>
          <w:szCs w:val="22"/>
          <w:lang w:val="pl-PL"/>
        </w:rPr>
        <w:t> </w:t>
      </w:r>
      <w:r w:rsidRPr="00BD22FE">
        <w:rPr>
          <w:sz w:val="22"/>
          <w:szCs w:val="22"/>
          <w:lang w:val="pl-PL"/>
        </w:rPr>
        <w:t>II, telmisartan i</w:t>
      </w:r>
      <w:r w:rsidR="00717A7B" w:rsidRPr="00BD22FE">
        <w:rPr>
          <w:sz w:val="22"/>
          <w:szCs w:val="22"/>
          <w:lang w:val="pl-PL"/>
        </w:rPr>
        <w:t> </w:t>
      </w:r>
      <w:r w:rsidRPr="00BD22FE">
        <w:rPr>
          <w:sz w:val="22"/>
          <w:szCs w:val="22"/>
          <w:lang w:val="pl-PL"/>
        </w:rPr>
        <w:t xml:space="preserve">diuretyk tiazydowy, hydrochlorotiazyd. Połączenie takich składników ma sumujące się działanie przeciwnadciśnieniowe, powodujące zmniejszenie ciśnienia </w:t>
      </w:r>
      <w:r w:rsidR="00966B73" w:rsidRPr="00BD22FE">
        <w:rPr>
          <w:sz w:val="22"/>
          <w:szCs w:val="22"/>
          <w:lang w:val="pl-PL"/>
        </w:rPr>
        <w:t xml:space="preserve">tętniczego </w:t>
      </w:r>
      <w:r w:rsidRPr="00BD22FE">
        <w:rPr>
          <w:sz w:val="22"/>
          <w:szCs w:val="22"/>
          <w:lang w:val="pl-PL"/>
        </w:rPr>
        <w:t>krwi w</w:t>
      </w:r>
      <w:r w:rsidR="00717A7B" w:rsidRPr="00BD22FE">
        <w:rPr>
          <w:sz w:val="22"/>
          <w:szCs w:val="22"/>
          <w:lang w:val="pl-PL"/>
        </w:rPr>
        <w:t> </w:t>
      </w:r>
      <w:r w:rsidRPr="00BD22FE">
        <w:rPr>
          <w:sz w:val="22"/>
          <w:szCs w:val="22"/>
          <w:lang w:val="pl-PL"/>
        </w:rPr>
        <w:t xml:space="preserve">większym stopniu niż każdy składnik osobno. Produkt leczniczy MicardisPlus stosowany raz na dobę wywołuje </w:t>
      </w:r>
      <w:r w:rsidR="00BA618B" w:rsidRPr="00BD22FE">
        <w:rPr>
          <w:sz w:val="22"/>
          <w:szCs w:val="22"/>
          <w:lang w:val="pl-PL"/>
        </w:rPr>
        <w:t xml:space="preserve">skuteczne </w:t>
      </w:r>
      <w:r w:rsidRPr="00BD22FE">
        <w:rPr>
          <w:sz w:val="22"/>
          <w:szCs w:val="22"/>
          <w:lang w:val="pl-PL"/>
        </w:rPr>
        <w:t>i</w:t>
      </w:r>
      <w:r w:rsidR="00717A7B" w:rsidRPr="00BD22FE">
        <w:rPr>
          <w:sz w:val="22"/>
          <w:szCs w:val="22"/>
          <w:lang w:val="pl-PL"/>
        </w:rPr>
        <w:t> </w:t>
      </w:r>
      <w:r w:rsidRPr="00BD22FE">
        <w:rPr>
          <w:sz w:val="22"/>
          <w:szCs w:val="22"/>
          <w:lang w:val="pl-PL"/>
        </w:rPr>
        <w:t xml:space="preserve">regularne zmniejszenie ciśnienia </w:t>
      </w:r>
      <w:r w:rsidR="000C1B54" w:rsidRPr="00BD22FE">
        <w:rPr>
          <w:sz w:val="22"/>
          <w:szCs w:val="22"/>
          <w:lang w:val="pl-PL"/>
        </w:rPr>
        <w:t xml:space="preserve">tętniczego </w:t>
      </w:r>
      <w:r w:rsidRPr="00BD22FE">
        <w:rPr>
          <w:sz w:val="22"/>
          <w:szCs w:val="22"/>
          <w:lang w:val="pl-PL"/>
        </w:rPr>
        <w:t xml:space="preserve">krwi </w:t>
      </w:r>
      <w:r w:rsidR="00524547" w:rsidRPr="00BD22FE">
        <w:rPr>
          <w:sz w:val="22"/>
          <w:szCs w:val="22"/>
          <w:lang w:val="pl-PL"/>
        </w:rPr>
        <w:t>w</w:t>
      </w:r>
      <w:r w:rsidR="00BC6421" w:rsidRPr="00BD22FE">
        <w:rPr>
          <w:sz w:val="22"/>
          <w:szCs w:val="22"/>
          <w:lang w:val="pl-PL"/>
        </w:rPr>
        <w:t> zakresie</w:t>
      </w:r>
      <w:r w:rsidRPr="00BD22FE">
        <w:rPr>
          <w:sz w:val="22"/>
          <w:szCs w:val="22"/>
          <w:lang w:val="pl-PL"/>
        </w:rPr>
        <w:t xml:space="preserve"> daw</w:t>
      </w:r>
      <w:r w:rsidR="00BC6421" w:rsidRPr="00BD22FE">
        <w:rPr>
          <w:sz w:val="22"/>
          <w:szCs w:val="22"/>
          <w:lang w:val="pl-PL"/>
        </w:rPr>
        <w:t>e</w:t>
      </w:r>
      <w:r w:rsidRPr="00BD22FE">
        <w:rPr>
          <w:sz w:val="22"/>
          <w:szCs w:val="22"/>
          <w:lang w:val="pl-PL"/>
        </w:rPr>
        <w:t>k terapeutycznych.</w:t>
      </w:r>
    </w:p>
    <w:p w14:paraId="32AFB038" w14:textId="7233F315" w:rsidR="000016E2" w:rsidRPr="00BD22FE" w:rsidRDefault="000016E2" w:rsidP="00941FBF">
      <w:pPr>
        <w:pStyle w:val="BodyText"/>
        <w:spacing w:line="240" w:lineRule="auto"/>
        <w:jc w:val="left"/>
        <w:rPr>
          <w:sz w:val="22"/>
          <w:szCs w:val="22"/>
          <w:lang w:val="pl-PL"/>
        </w:rPr>
      </w:pPr>
    </w:p>
    <w:p w14:paraId="19081AEE" w14:textId="77777777" w:rsidR="000016E2" w:rsidRPr="00BD22FE" w:rsidRDefault="00104CA8" w:rsidP="00941FBF">
      <w:pPr>
        <w:pStyle w:val="BodyText"/>
        <w:keepNext/>
        <w:spacing w:line="240" w:lineRule="auto"/>
        <w:jc w:val="left"/>
        <w:rPr>
          <w:sz w:val="22"/>
          <w:szCs w:val="22"/>
          <w:u w:val="single"/>
          <w:lang w:val="pl-PL"/>
        </w:rPr>
      </w:pPr>
      <w:r w:rsidRPr="00BD22FE">
        <w:rPr>
          <w:sz w:val="22"/>
          <w:szCs w:val="22"/>
          <w:u w:val="single"/>
          <w:lang w:val="pl-PL"/>
        </w:rPr>
        <w:t>Mechanizm działania</w:t>
      </w:r>
    </w:p>
    <w:p w14:paraId="66FDD3FB" w14:textId="4F3DBDE9" w:rsidR="000016E2" w:rsidRPr="00BD22FE" w:rsidRDefault="00104CA8" w:rsidP="00941FBF">
      <w:pPr>
        <w:pStyle w:val="BodyText"/>
        <w:spacing w:line="240" w:lineRule="auto"/>
        <w:jc w:val="left"/>
        <w:rPr>
          <w:sz w:val="22"/>
          <w:szCs w:val="22"/>
          <w:lang w:val="pl-PL"/>
        </w:rPr>
      </w:pPr>
      <w:r w:rsidRPr="00BD22FE">
        <w:rPr>
          <w:sz w:val="22"/>
          <w:szCs w:val="22"/>
          <w:lang w:val="pl-PL"/>
        </w:rPr>
        <w:t xml:space="preserve">Telmisartan jest </w:t>
      </w:r>
      <w:r w:rsidR="008671E7" w:rsidRPr="00BD22FE">
        <w:rPr>
          <w:sz w:val="22"/>
          <w:szCs w:val="22"/>
          <w:lang w:val="pl-PL"/>
        </w:rPr>
        <w:t>czynnym po zastosowaniu doustnym</w:t>
      </w:r>
      <w:r w:rsidRPr="00BD22FE">
        <w:rPr>
          <w:sz w:val="22"/>
          <w:szCs w:val="22"/>
          <w:lang w:val="pl-PL"/>
        </w:rPr>
        <w:t>, wybiórczym blokerem receptora podtypu 1 dla angiotensyny</w:t>
      </w:r>
      <w:r w:rsidR="001E0877" w:rsidRPr="00BD22FE">
        <w:rPr>
          <w:sz w:val="22"/>
          <w:szCs w:val="22"/>
          <w:lang w:val="pl-PL"/>
        </w:rPr>
        <w:t> </w:t>
      </w:r>
      <w:r w:rsidRPr="00BD22FE">
        <w:rPr>
          <w:sz w:val="22"/>
          <w:szCs w:val="22"/>
          <w:lang w:val="pl-PL"/>
        </w:rPr>
        <w:t>II (AT</w:t>
      </w:r>
      <w:r w:rsidRPr="00BD22FE">
        <w:rPr>
          <w:sz w:val="22"/>
          <w:szCs w:val="22"/>
          <w:vertAlign w:val="subscript"/>
          <w:lang w:val="pl-PL"/>
        </w:rPr>
        <w:t>1</w:t>
      </w:r>
      <w:r w:rsidRPr="00BD22FE">
        <w:rPr>
          <w:sz w:val="22"/>
          <w:szCs w:val="22"/>
          <w:lang w:val="pl-PL"/>
        </w:rPr>
        <w:t xml:space="preserve">). Dzięki </w:t>
      </w:r>
      <w:r w:rsidR="008671E7" w:rsidRPr="00BD22FE">
        <w:rPr>
          <w:sz w:val="22"/>
          <w:szCs w:val="22"/>
          <w:lang w:val="pl-PL"/>
        </w:rPr>
        <w:t>wysokiemu</w:t>
      </w:r>
      <w:r w:rsidR="008671E7" w:rsidRPr="00BD22FE" w:rsidDel="008671E7">
        <w:rPr>
          <w:sz w:val="22"/>
          <w:szCs w:val="22"/>
          <w:lang w:val="pl-PL"/>
        </w:rPr>
        <w:t xml:space="preserve"> </w:t>
      </w:r>
      <w:r w:rsidRPr="00BD22FE">
        <w:rPr>
          <w:sz w:val="22"/>
          <w:szCs w:val="22"/>
          <w:lang w:val="pl-PL"/>
        </w:rPr>
        <w:t>powinowactwu telmisartan wypiera angiotensynę</w:t>
      </w:r>
      <w:r w:rsidR="001E0877" w:rsidRPr="00BD22FE">
        <w:rPr>
          <w:sz w:val="22"/>
          <w:szCs w:val="22"/>
          <w:lang w:val="pl-PL"/>
        </w:rPr>
        <w:t> </w:t>
      </w:r>
      <w:r w:rsidRPr="00BD22FE">
        <w:rPr>
          <w:sz w:val="22"/>
          <w:szCs w:val="22"/>
          <w:lang w:val="pl-PL"/>
        </w:rPr>
        <w:t>II z miejsc wiązania z</w:t>
      </w:r>
      <w:r w:rsidR="00717A7B" w:rsidRPr="00BD22FE">
        <w:rPr>
          <w:sz w:val="22"/>
          <w:szCs w:val="22"/>
          <w:lang w:val="pl-PL"/>
        </w:rPr>
        <w:t> </w:t>
      </w:r>
      <w:r w:rsidRPr="00BD22FE">
        <w:rPr>
          <w:sz w:val="22"/>
          <w:szCs w:val="22"/>
          <w:lang w:val="pl-PL"/>
        </w:rPr>
        <w:t>podtyp</w:t>
      </w:r>
      <w:r w:rsidR="00677559" w:rsidRPr="00BD22FE">
        <w:rPr>
          <w:sz w:val="22"/>
          <w:szCs w:val="22"/>
          <w:lang w:val="pl-PL"/>
        </w:rPr>
        <w:t>em</w:t>
      </w:r>
      <w:r w:rsidRPr="00BD22FE">
        <w:rPr>
          <w:sz w:val="22"/>
          <w:szCs w:val="22"/>
          <w:lang w:val="pl-PL"/>
        </w:rPr>
        <w:t xml:space="preserve"> AT</w:t>
      </w:r>
      <w:r w:rsidRPr="00BD22FE">
        <w:rPr>
          <w:sz w:val="22"/>
          <w:szCs w:val="22"/>
          <w:vertAlign w:val="subscript"/>
          <w:lang w:val="pl-PL"/>
        </w:rPr>
        <w:t>1</w:t>
      </w:r>
      <w:r w:rsidR="00677559" w:rsidRPr="00BD22FE">
        <w:rPr>
          <w:sz w:val="22"/>
          <w:szCs w:val="22"/>
          <w:lang w:val="pl-PL"/>
        </w:rPr>
        <w:t xml:space="preserve"> receptora</w:t>
      </w:r>
      <w:r w:rsidRPr="00BD22FE">
        <w:rPr>
          <w:sz w:val="22"/>
          <w:szCs w:val="22"/>
          <w:lang w:val="pl-PL"/>
        </w:rPr>
        <w:t xml:space="preserve">, który jest odpowiedzialny za </w:t>
      </w:r>
      <w:r w:rsidR="00677559" w:rsidRPr="00BD22FE">
        <w:rPr>
          <w:sz w:val="22"/>
          <w:szCs w:val="22"/>
          <w:lang w:val="pl-PL"/>
        </w:rPr>
        <w:t>po</w:t>
      </w:r>
      <w:r w:rsidRPr="00BD22FE">
        <w:rPr>
          <w:sz w:val="22"/>
          <w:szCs w:val="22"/>
          <w:lang w:val="pl-PL"/>
        </w:rPr>
        <w:t>znan</w:t>
      </w:r>
      <w:r w:rsidR="00677559" w:rsidRPr="00BD22FE">
        <w:rPr>
          <w:sz w:val="22"/>
          <w:szCs w:val="22"/>
          <w:lang w:val="pl-PL"/>
        </w:rPr>
        <w:t>y</w:t>
      </w:r>
      <w:r w:rsidRPr="00BD22FE">
        <w:rPr>
          <w:sz w:val="22"/>
          <w:szCs w:val="22"/>
          <w:lang w:val="pl-PL"/>
        </w:rPr>
        <w:t xml:space="preserve"> mechanizm działania angiotensyny</w:t>
      </w:r>
      <w:r w:rsidR="001E0877" w:rsidRPr="00BD22FE">
        <w:rPr>
          <w:sz w:val="22"/>
          <w:szCs w:val="22"/>
          <w:lang w:val="pl-PL"/>
        </w:rPr>
        <w:t> </w:t>
      </w:r>
      <w:r w:rsidRPr="00BD22FE">
        <w:rPr>
          <w:sz w:val="22"/>
          <w:szCs w:val="22"/>
          <w:lang w:val="pl-PL"/>
        </w:rPr>
        <w:t>II. Telmisartan nie wykazuje nawet częściow</w:t>
      </w:r>
      <w:r w:rsidR="00677559" w:rsidRPr="00BD22FE">
        <w:rPr>
          <w:sz w:val="22"/>
          <w:szCs w:val="22"/>
          <w:lang w:val="pl-PL"/>
        </w:rPr>
        <w:t>ego</w:t>
      </w:r>
      <w:r w:rsidRPr="00BD22FE">
        <w:rPr>
          <w:sz w:val="22"/>
          <w:szCs w:val="22"/>
          <w:lang w:val="pl-PL"/>
        </w:rPr>
        <w:t xml:space="preserve"> działa</w:t>
      </w:r>
      <w:r w:rsidR="00677559" w:rsidRPr="00BD22FE">
        <w:rPr>
          <w:sz w:val="22"/>
          <w:szCs w:val="22"/>
          <w:lang w:val="pl-PL"/>
        </w:rPr>
        <w:t>nia</w:t>
      </w:r>
      <w:r w:rsidRPr="00BD22FE">
        <w:rPr>
          <w:sz w:val="22"/>
          <w:szCs w:val="22"/>
          <w:lang w:val="pl-PL"/>
        </w:rPr>
        <w:t xml:space="preserve"> agonistyczn</w:t>
      </w:r>
      <w:r w:rsidR="00677559" w:rsidRPr="00BD22FE">
        <w:rPr>
          <w:sz w:val="22"/>
          <w:szCs w:val="22"/>
          <w:lang w:val="pl-PL"/>
        </w:rPr>
        <w:t>ego</w:t>
      </w:r>
      <w:r w:rsidRPr="00BD22FE">
        <w:rPr>
          <w:sz w:val="22"/>
          <w:szCs w:val="22"/>
          <w:lang w:val="pl-PL"/>
        </w:rPr>
        <w:t xml:space="preserve"> w stosunku do receptora AT</w:t>
      </w:r>
      <w:r w:rsidRPr="00BD22FE">
        <w:rPr>
          <w:sz w:val="22"/>
          <w:szCs w:val="22"/>
          <w:vertAlign w:val="subscript"/>
          <w:lang w:val="pl-PL"/>
        </w:rPr>
        <w:t>1</w:t>
      </w:r>
      <w:r w:rsidRPr="00BD22FE">
        <w:rPr>
          <w:sz w:val="22"/>
          <w:szCs w:val="22"/>
          <w:lang w:val="pl-PL"/>
        </w:rPr>
        <w:t>. Telmisartan selektywnie łączy się z</w:t>
      </w:r>
      <w:r w:rsidR="00717A7B" w:rsidRPr="00BD22FE">
        <w:rPr>
          <w:sz w:val="22"/>
          <w:szCs w:val="22"/>
          <w:lang w:val="pl-PL"/>
        </w:rPr>
        <w:t> </w:t>
      </w:r>
      <w:r w:rsidRPr="00BD22FE">
        <w:rPr>
          <w:sz w:val="22"/>
          <w:szCs w:val="22"/>
          <w:lang w:val="pl-PL"/>
        </w:rPr>
        <w:t>receptorem AT</w:t>
      </w:r>
      <w:r w:rsidRPr="00BD22FE">
        <w:rPr>
          <w:sz w:val="22"/>
          <w:szCs w:val="22"/>
          <w:vertAlign w:val="subscript"/>
          <w:lang w:val="pl-PL"/>
        </w:rPr>
        <w:t>1</w:t>
      </w:r>
      <w:r w:rsidRPr="00BD22FE">
        <w:rPr>
          <w:sz w:val="22"/>
          <w:szCs w:val="22"/>
          <w:lang w:val="pl-PL"/>
        </w:rPr>
        <w:t xml:space="preserve">. </w:t>
      </w:r>
      <w:r w:rsidR="00843B1C" w:rsidRPr="00BD22FE">
        <w:rPr>
          <w:sz w:val="22"/>
          <w:szCs w:val="22"/>
          <w:lang w:val="pl-PL"/>
        </w:rPr>
        <w:t>To połączenie</w:t>
      </w:r>
      <w:r w:rsidRPr="00BD22FE">
        <w:rPr>
          <w:sz w:val="22"/>
          <w:szCs w:val="22"/>
          <w:lang w:val="pl-PL"/>
        </w:rPr>
        <w:t xml:space="preserve"> jest długotrwałe. Telmisartan nie wykazuje powinowactwa do innych receptorów, w</w:t>
      </w:r>
      <w:r w:rsidR="00717A7B" w:rsidRPr="00BD22FE">
        <w:rPr>
          <w:sz w:val="22"/>
          <w:szCs w:val="22"/>
          <w:lang w:val="pl-PL"/>
        </w:rPr>
        <w:t> </w:t>
      </w:r>
      <w:r w:rsidRPr="00BD22FE">
        <w:rPr>
          <w:sz w:val="22"/>
          <w:szCs w:val="22"/>
          <w:lang w:val="pl-PL"/>
        </w:rPr>
        <w:t>tym do receptora AT</w:t>
      </w:r>
      <w:r w:rsidRPr="00BD22FE">
        <w:rPr>
          <w:sz w:val="22"/>
          <w:szCs w:val="22"/>
          <w:vertAlign w:val="subscript"/>
          <w:lang w:val="pl-PL"/>
        </w:rPr>
        <w:t>2</w:t>
      </w:r>
      <w:r w:rsidRPr="00BD22FE">
        <w:rPr>
          <w:sz w:val="22"/>
          <w:szCs w:val="22"/>
          <w:lang w:val="pl-PL"/>
        </w:rPr>
        <w:t xml:space="preserve"> oraz innych</w:t>
      </w:r>
      <w:r w:rsidR="00A3678B" w:rsidRPr="00BD22FE">
        <w:rPr>
          <w:sz w:val="22"/>
          <w:szCs w:val="22"/>
          <w:lang w:val="pl-PL"/>
        </w:rPr>
        <w:t>, mniej</w:t>
      </w:r>
      <w:r w:rsidR="00A3678B" w:rsidRPr="00BD22FE" w:rsidDel="00A3678B">
        <w:rPr>
          <w:sz w:val="22"/>
          <w:szCs w:val="22"/>
          <w:lang w:val="pl-PL"/>
        </w:rPr>
        <w:t xml:space="preserve"> </w:t>
      </w:r>
      <w:r w:rsidRPr="00BD22FE">
        <w:rPr>
          <w:sz w:val="22"/>
          <w:szCs w:val="22"/>
          <w:lang w:val="pl-PL"/>
        </w:rPr>
        <w:t xml:space="preserve">poznanych </w:t>
      </w:r>
      <w:r w:rsidR="00F24D7F" w:rsidRPr="00BD22FE">
        <w:rPr>
          <w:sz w:val="22"/>
          <w:szCs w:val="22"/>
          <w:lang w:val="pl-PL"/>
        </w:rPr>
        <w:t xml:space="preserve">podtypów </w:t>
      </w:r>
      <w:r w:rsidRPr="00BD22FE">
        <w:rPr>
          <w:sz w:val="22"/>
          <w:szCs w:val="22"/>
          <w:lang w:val="pl-PL"/>
        </w:rPr>
        <w:t>receptor</w:t>
      </w:r>
      <w:r w:rsidR="00F24D7F" w:rsidRPr="00BD22FE">
        <w:rPr>
          <w:sz w:val="22"/>
          <w:szCs w:val="22"/>
          <w:lang w:val="pl-PL"/>
        </w:rPr>
        <w:t>a</w:t>
      </w:r>
      <w:r w:rsidRPr="00BD22FE">
        <w:rPr>
          <w:sz w:val="22"/>
          <w:szCs w:val="22"/>
          <w:lang w:val="pl-PL"/>
        </w:rPr>
        <w:t xml:space="preserve"> AT. Funkcja tych receptorów nie jest znana</w:t>
      </w:r>
      <w:r w:rsidR="00D27AF8" w:rsidRPr="00BD22FE">
        <w:rPr>
          <w:sz w:val="22"/>
          <w:szCs w:val="22"/>
          <w:lang w:val="pl-PL"/>
        </w:rPr>
        <w:t>;</w:t>
      </w:r>
      <w:r w:rsidRPr="00BD22FE">
        <w:rPr>
          <w:sz w:val="22"/>
          <w:szCs w:val="22"/>
          <w:lang w:val="pl-PL"/>
        </w:rPr>
        <w:t xml:space="preserve"> </w:t>
      </w:r>
      <w:r w:rsidR="00D27AF8" w:rsidRPr="00BD22FE">
        <w:rPr>
          <w:sz w:val="22"/>
          <w:szCs w:val="22"/>
          <w:lang w:val="pl-PL"/>
        </w:rPr>
        <w:t xml:space="preserve">nie znane są też skutki </w:t>
      </w:r>
      <w:r w:rsidRPr="00BD22FE">
        <w:rPr>
          <w:sz w:val="22"/>
          <w:szCs w:val="22"/>
          <w:lang w:val="pl-PL"/>
        </w:rPr>
        <w:t>ich nadmierne</w:t>
      </w:r>
      <w:r w:rsidR="007B54E2" w:rsidRPr="00BD22FE">
        <w:rPr>
          <w:sz w:val="22"/>
          <w:szCs w:val="22"/>
          <w:lang w:val="pl-PL"/>
        </w:rPr>
        <w:t>go</w:t>
      </w:r>
      <w:r w:rsidRPr="00BD22FE">
        <w:rPr>
          <w:sz w:val="22"/>
          <w:szCs w:val="22"/>
          <w:lang w:val="pl-PL"/>
        </w:rPr>
        <w:t xml:space="preserve"> </w:t>
      </w:r>
      <w:r w:rsidR="007B54E2" w:rsidRPr="00BD22FE">
        <w:rPr>
          <w:sz w:val="22"/>
          <w:szCs w:val="22"/>
          <w:lang w:val="pl-PL"/>
        </w:rPr>
        <w:t xml:space="preserve">pobudzenia przez </w:t>
      </w:r>
      <w:r w:rsidRPr="00BD22FE">
        <w:rPr>
          <w:sz w:val="22"/>
          <w:szCs w:val="22"/>
          <w:lang w:val="pl-PL"/>
        </w:rPr>
        <w:t>angiotensyn</w:t>
      </w:r>
      <w:r w:rsidR="007B54E2" w:rsidRPr="00BD22FE">
        <w:rPr>
          <w:sz w:val="22"/>
          <w:szCs w:val="22"/>
          <w:lang w:val="pl-PL"/>
        </w:rPr>
        <w:t>ę</w:t>
      </w:r>
      <w:r w:rsidR="001E0877" w:rsidRPr="00BD22FE">
        <w:rPr>
          <w:sz w:val="22"/>
          <w:szCs w:val="22"/>
          <w:lang w:val="pl-PL"/>
        </w:rPr>
        <w:t> </w:t>
      </w:r>
      <w:r w:rsidRPr="00BD22FE">
        <w:rPr>
          <w:sz w:val="22"/>
          <w:szCs w:val="22"/>
          <w:lang w:val="pl-PL"/>
        </w:rPr>
        <w:t>II, której stężenie zwiększa się pod wpływem telmisartanu. Telmisartan zmniejsza stężenie aldosteronu w</w:t>
      </w:r>
      <w:r w:rsidR="00717A7B" w:rsidRPr="00BD22FE">
        <w:rPr>
          <w:sz w:val="22"/>
          <w:szCs w:val="22"/>
          <w:lang w:val="pl-PL"/>
        </w:rPr>
        <w:t> </w:t>
      </w:r>
      <w:r w:rsidRPr="00BD22FE">
        <w:rPr>
          <w:sz w:val="22"/>
          <w:szCs w:val="22"/>
          <w:lang w:val="pl-PL"/>
        </w:rPr>
        <w:t xml:space="preserve">osoczu. Telmisartan nie hamuje aktywności reninowej osocza oraz nie blokuje kanałów jonowych. Telmisartan nie hamuje </w:t>
      </w:r>
      <w:r w:rsidR="007B54E2" w:rsidRPr="00BD22FE">
        <w:rPr>
          <w:sz w:val="22"/>
          <w:szCs w:val="22"/>
          <w:lang w:val="pl-PL"/>
        </w:rPr>
        <w:t>aktywności</w:t>
      </w:r>
      <w:r w:rsidR="007B54E2" w:rsidRPr="00BD22FE" w:rsidDel="007B54E2">
        <w:rPr>
          <w:sz w:val="22"/>
          <w:szCs w:val="22"/>
          <w:lang w:val="pl-PL"/>
        </w:rPr>
        <w:t xml:space="preserve"> </w:t>
      </w:r>
      <w:r w:rsidRPr="00BD22FE">
        <w:rPr>
          <w:sz w:val="22"/>
          <w:szCs w:val="22"/>
          <w:lang w:val="pl-PL"/>
        </w:rPr>
        <w:t>konwert</w:t>
      </w:r>
      <w:r w:rsidR="007B54E2" w:rsidRPr="00BD22FE">
        <w:rPr>
          <w:sz w:val="22"/>
          <w:szCs w:val="22"/>
          <w:lang w:val="pl-PL"/>
        </w:rPr>
        <w:t>azy</w:t>
      </w:r>
      <w:r w:rsidRPr="00BD22FE">
        <w:rPr>
          <w:sz w:val="22"/>
          <w:szCs w:val="22"/>
          <w:lang w:val="pl-PL"/>
        </w:rPr>
        <w:t xml:space="preserve"> angiotensyn</w:t>
      </w:r>
      <w:r w:rsidR="007B54E2" w:rsidRPr="00BD22FE">
        <w:rPr>
          <w:sz w:val="22"/>
          <w:szCs w:val="22"/>
          <w:lang w:val="pl-PL"/>
        </w:rPr>
        <w:t>y</w:t>
      </w:r>
      <w:r w:rsidRPr="00BD22FE">
        <w:rPr>
          <w:sz w:val="22"/>
          <w:szCs w:val="22"/>
          <w:lang w:val="pl-PL"/>
        </w:rPr>
        <w:t xml:space="preserve"> (kininazy II), enzymu odpowiedzialnego także za rozkład bradykininy. Tak więc nie należy się spodziewać nasilenia działań niepożądanych związanych z</w:t>
      </w:r>
      <w:r w:rsidR="00717A7B" w:rsidRPr="00BD22FE">
        <w:rPr>
          <w:sz w:val="22"/>
          <w:szCs w:val="22"/>
          <w:lang w:val="pl-PL"/>
        </w:rPr>
        <w:t> </w:t>
      </w:r>
      <w:r w:rsidRPr="00BD22FE">
        <w:rPr>
          <w:sz w:val="22"/>
          <w:szCs w:val="22"/>
          <w:lang w:val="pl-PL"/>
        </w:rPr>
        <w:t>działaniem bradykininy.</w:t>
      </w:r>
    </w:p>
    <w:p w14:paraId="32BA34E0" w14:textId="5069B556" w:rsidR="000016E2" w:rsidRPr="00BD22FE" w:rsidRDefault="00AF774D" w:rsidP="00941FBF">
      <w:pPr>
        <w:pStyle w:val="BodyText"/>
        <w:spacing w:line="240" w:lineRule="auto"/>
        <w:jc w:val="left"/>
        <w:rPr>
          <w:sz w:val="22"/>
          <w:szCs w:val="22"/>
          <w:lang w:val="pl-PL"/>
        </w:rPr>
      </w:pPr>
      <w:r w:rsidRPr="00BD22FE">
        <w:rPr>
          <w:sz w:val="22"/>
          <w:szCs w:val="22"/>
          <w:lang w:val="pl-PL"/>
        </w:rPr>
        <w:t>D</w:t>
      </w:r>
      <w:r w:rsidR="00104CA8" w:rsidRPr="00BD22FE">
        <w:rPr>
          <w:sz w:val="22"/>
          <w:szCs w:val="22"/>
          <w:lang w:val="pl-PL"/>
        </w:rPr>
        <w:t xml:space="preserve">awka 80 mg </w:t>
      </w:r>
      <w:r w:rsidRPr="00BD22FE">
        <w:rPr>
          <w:sz w:val="22"/>
          <w:szCs w:val="22"/>
          <w:lang w:val="pl-PL"/>
        </w:rPr>
        <w:t xml:space="preserve">telmisartanu podana zdrowym ochotnikom </w:t>
      </w:r>
      <w:r w:rsidR="00104CA8" w:rsidRPr="00BD22FE">
        <w:rPr>
          <w:sz w:val="22"/>
          <w:szCs w:val="22"/>
          <w:lang w:val="pl-PL"/>
        </w:rPr>
        <w:t xml:space="preserve">prawie całkowicie hamuje </w:t>
      </w:r>
      <w:r w:rsidRPr="00BD22FE">
        <w:rPr>
          <w:sz w:val="22"/>
          <w:szCs w:val="22"/>
          <w:lang w:val="pl-PL"/>
        </w:rPr>
        <w:t>zwiększenie</w:t>
      </w:r>
      <w:r w:rsidRPr="00BD22FE" w:rsidDel="00AF774D">
        <w:rPr>
          <w:sz w:val="22"/>
          <w:szCs w:val="22"/>
          <w:lang w:val="pl-PL"/>
        </w:rPr>
        <w:t xml:space="preserve"> </w:t>
      </w:r>
      <w:r w:rsidR="00104CA8" w:rsidRPr="00BD22FE">
        <w:rPr>
          <w:sz w:val="22"/>
          <w:szCs w:val="22"/>
          <w:lang w:val="pl-PL"/>
        </w:rPr>
        <w:t xml:space="preserve">ciśnienia tętniczego </w:t>
      </w:r>
      <w:r w:rsidRPr="00BD22FE">
        <w:rPr>
          <w:sz w:val="22"/>
          <w:szCs w:val="22"/>
          <w:lang w:val="pl-PL"/>
        </w:rPr>
        <w:t xml:space="preserve">krwi </w:t>
      </w:r>
      <w:r w:rsidR="00104CA8" w:rsidRPr="00BD22FE">
        <w:rPr>
          <w:sz w:val="22"/>
          <w:szCs w:val="22"/>
          <w:lang w:val="pl-PL"/>
        </w:rPr>
        <w:t>wywołan</w:t>
      </w:r>
      <w:r w:rsidRPr="00BD22FE">
        <w:rPr>
          <w:sz w:val="22"/>
          <w:szCs w:val="22"/>
          <w:lang w:val="pl-PL"/>
        </w:rPr>
        <w:t>e przez</w:t>
      </w:r>
      <w:r w:rsidR="00104CA8" w:rsidRPr="00BD22FE">
        <w:rPr>
          <w:i/>
          <w:sz w:val="22"/>
          <w:szCs w:val="22"/>
          <w:lang w:val="pl-PL"/>
        </w:rPr>
        <w:t xml:space="preserve"> </w:t>
      </w:r>
      <w:r w:rsidR="00104CA8" w:rsidRPr="00BD22FE">
        <w:rPr>
          <w:sz w:val="22"/>
          <w:szCs w:val="22"/>
          <w:lang w:val="pl-PL"/>
        </w:rPr>
        <w:t>angiotensyn</w:t>
      </w:r>
      <w:r w:rsidRPr="00BD22FE">
        <w:rPr>
          <w:sz w:val="22"/>
          <w:szCs w:val="22"/>
          <w:lang w:val="pl-PL"/>
        </w:rPr>
        <w:t>ę</w:t>
      </w:r>
      <w:r w:rsidR="00104CA8" w:rsidRPr="00BD22FE">
        <w:rPr>
          <w:sz w:val="22"/>
          <w:szCs w:val="22"/>
          <w:lang w:val="pl-PL"/>
        </w:rPr>
        <w:t xml:space="preserve"> II. To hamujące działanie utrzymuje się </w:t>
      </w:r>
      <w:r w:rsidR="008B00AF" w:rsidRPr="00BD22FE">
        <w:rPr>
          <w:sz w:val="22"/>
          <w:szCs w:val="22"/>
          <w:lang w:val="pl-PL"/>
        </w:rPr>
        <w:t>przez </w:t>
      </w:r>
      <w:r w:rsidR="00104CA8" w:rsidRPr="00BD22FE">
        <w:rPr>
          <w:sz w:val="22"/>
          <w:szCs w:val="22"/>
          <w:lang w:val="pl-PL"/>
        </w:rPr>
        <w:t>24 godz</w:t>
      </w:r>
      <w:r w:rsidR="008B00AF" w:rsidRPr="00BD22FE">
        <w:rPr>
          <w:sz w:val="22"/>
          <w:szCs w:val="22"/>
          <w:lang w:val="pl-PL"/>
        </w:rPr>
        <w:t>iny</w:t>
      </w:r>
      <w:r w:rsidR="00104CA8" w:rsidRPr="00BD22FE">
        <w:rPr>
          <w:sz w:val="22"/>
          <w:szCs w:val="22"/>
          <w:lang w:val="pl-PL"/>
        </w:rPr>
        <w:t xml:space="preserve"> i</w:t>
      </w:r>
      <w:r w:rsidR="00717A7B" w:rsidRPr="00BD22FE">
        <w:rPr>
          <w:sz w:val="22"/>
          <w:szCs w:val="22"/>
          <w:lang w:val="pl-PL"/>
        </w:rPr>
        <w:t> </w:t>
      </w:r>
      <w:r w:rsidR="00B73BD8" w:rsidRPr="00BD22FE">
        <w:rPr>
          <w:sz w:val="22"/>
          <w:szCs w:val="22"/>
          <w:lang w:val="pl-PL"/>
        </w:rPr>
        <w:t xml:space="preserve">można je stwierdzić w dalszym ciągu </w:t>
      </w:r>
      <w:r w:rsidR="00104CA8" w:rsidRPr="00BD22FE">
        <w:rPr>
          <w:sz w:val="22"/>
          <w:szCs w:val="22"/>
          <w:lang w:val="pl-PL"/>
        </w:rPr>
        <w:t>do 48 godzin.</w:t>
      </w:r>
    </w:p>
    <w:p w14:paraId="2C8B5669" w14:textId="77777777" w:rsidR="000016E2" w:rsidRPr="00BD22FE" w:rsidRDefault="000016E2" w:rsidP="00941FBF">
      <w:pPr>
        <w:pStyle w:val="BodyText"/>
        <w:spacing w:line="240" w:lineRule="auto"/>
        <w:jc w:val="left"/>
        <w:rPr>
          <w:sz w:val="22"/>
          <w:szCs w:val="22"/>
          <w:lang w:val="pl-PL"/>
        </w:rPr>
      </w:pPr>
    </w:p>
    <w:p w14:paraId="787EB63C" w14:textId="48C18DAE" w:rsidR="000016E2" w:rsidRPr="00BD22FE" w:rsidRDefault="00104CA8" w:rsidP="00941FBF">
      <w:pPr>
        <w:pStyle w:val="BodyText"/>
        <w:spacing w:line="240" w:lineRule="auto"/>
        <w:jc w:val="left"/>
        <w:rPr>
          <w:sz w:val="22"/>
          <w:szCs w:val="22"/>
          <w:lang w:val="pl-PL"/>
        </w:rPr>
      </w:pPr>
      <w:r w:rsidRPr="00BD22FE">
        <w:rPr>
          <w:sz w:val="22"/>
          <w:szCs w:val="22"/>
          <w:lang w:val="pl-PL"/>
        </w:rPr>
        <w:t>Hydrochlorotiazyd jest diuretykiem tiazydowym. Mechanizm działania przeciwnadciśnieniowego tiazydów nie został do końca poznany. Tiazydy wpływają na wchłanianie zwrotne elektrolitów w</w:t>
      </w:r>
      <w:r w:rsidR="00717A7B" w:rsidRPr="00BD22FE">
        <w:rPr>
          <w:sz w:val="22"/>
          <w:szCs w:val="22"/>
          <w:lang w:val="pl-PL"/>
        </w:rPr>
        <w:t> </w:t>
      </w:r>
      <w:r w:rsidRPr="00BD22FE">
        <w:rPr>
          <w:sz w:val="22"/>
          <w:szCs w:val="22"/>
          <w:lang w:val="pl-PL"/>
        </w:rPr>
        <w:t>kanalikach nerkowych, bezpośrednio zwiększając wydalanie sodu i</w:t>
      </w:r>
      <w:r w:rsidR="00717A7B" w:rsidRPr="00BD22FE">
        <w:rPr>
          <w:sz w:val="22"/>
          <w:szCs w:val="22"/>
          <w:lang w:val="pl-PL"/>
        </w:rPr>
        <w:t> </w:t>
      </w:r>
      <w:r w:rsidRPr="00BD22FE">
        <w:rPr>
          <w:sz w:val="22"/>
          <w:szCs w:val="22"/>
          <w:lang w:val="pl-PL"/>
        </w:rPr>
        <w:t>chlorku w</w:t>
      </w:r>
      <w:r w:rsidR="00717A7B" w:rsidRPr="00BD22FE">
        <w:rPr>
          <w:sz w:val="22"/>
          <w:szCs w:val="22"/>
          <w:lang w:val="pl-PL"/>
        </w:rPr>
        <w:t> </w:t>
      </w:r>
      <w:r w:rsidRPr="00BD22FE">
        <w:rPr>
          <w:sz w:val="22"/>
          <w:szCs w:val="22"/>
          <w:lang w:val="pl-PL"/>
        </w:rPr>
        <w:t>przybliżeniu w</w:t>
      </w:r>
      <w:r w:rsidR="00717A7B" w:rsidRPr="00BD22FE">
        <w:rPr>
          <w:sz w:val="22"/>
          <w:szCs w:val="22"/>
          <w:lang w:val="pl-PL"/>
        </w:rPr>
        <w:t> </w:t>
      </w:r>
      <w:r w:rsidRPr="00BD22FE">
        <w:rPr>
          <w:sz w:val="22"/>
          <w:szCs w:val="22"/>
          <w:lang w:val="pl-PL"/>
        </w:rPr>
        <w:t>podobnych ilościach. Działanie diuretyczne HCTZ powoduje zmniejszenie objętości osocza, zwiększenie aktywności reniny w</w:t>
      </w:r>
      <w:r w:rsidR="00717A7B" w:rsidRPr="00BD22FE">
        <w:rPr>
          <w:sz w:val="22"/>
          <w:szCs w:val="22"/>
          <w:lang w:val="pl-PL"/>
        </w:rPr>
        <w:t> </w:t>
      </w:r>
      <w:r w:rsidRPr="00BD22FE">
        <w:rPr>
          <w:sz w:val="22"/>
          <w:szCs w:val="22"/>
          <w:lang w:val="pl-PL"/>
        </w:rPr>
        <w:t>osoczu, zwiększenie wydzielania aldosteronu, co prowadzi do zwiększenia utraty potasu i</w:t>
      </w:r>
      <w:r w:rsidR="00717A7B" w:rsidRPr="00BD22FE">
        <w:rPr>
          <w:sz w:val="22"/>
          <w:szCs w:val="22"/>
          <w:lang w:val="pl-PL"/>
        </w:rPr>
        <w:t> </w:t>
      </w:r>
      <w:r w:rsidRPr="00BD22FE">
        <w:rPr>
          <w:sz w:val="22"/>
          <w:szCs w:val="22"/>
          <w:lang w:val="pl-PL"/>
        </w:rPr>
        <w:t>wodorowęglanów z</w:t>
      </w:r>
      <w:r w:rsidR="00717A7B" w:rsidRPr="00BD22FE">
        <w:rPr>
          <w:sz w:val="22"/>
          <w:szCs w:val="22"/>
          <w:lang w:val="pl-PL"/>
        </w:rPr>
        <w:t> </w:t>
      </w:r>
      <w:r w:rsidRPr="00BD22FE">
        <w:rPr>
          <w:sz w:val="22"/>
          <w:szCs w:val="22"/>
          <w:lang w:val="pl-PL"/>
        </w:rPr>
        <w:t>moczem oraz zmniejszenia stężenia potasu w</w:t>
      </w:r>
      <w:r w:rsidR="00717A7B" w:rsidRPr="00BD22FE">
        <w:rPr>
          <w:sz w:val="22"/>
          <w:szCs w:val="22"/>
          <w:lang w:val="pl-PL"/>
        </w:rPr>
        <w:t> </w:t>
      </w:r>
      <w:r w:rsidRPr="00BD22FE">
        <w:rPr>
          <w:sz w:val="22"/>
          <w:szCs w:val="22"/>
          <w:lang w:val="pl-PL"/>
        </w:rPr>
        <w:t>surowicy. Przyjmuje się, że jednoczesne podawanie telmisartanu powoduje, poprzez blokadę układu renina-angiotensyna-aldosteron, zatrzymanie utraty potasu związane z</w:t>
      </w:r>
      <w:r w:rsidR="00717A7B" w:rsidRPr="00BD22FE">
        <w:rPr>
          <w:sz w:val="22"/>
          <w:szCs w:val="22"/>
          <w:lang w:val="pl-PL"/>
        </w:rPr>
        <w:t> </w:t>
      </w:r>
      <w:r w:rsidRPr="00BD22FE">
        <w:rPr>
          <w:sz w:val="22"/>
          <w:szCs w:val="22"/>
          <w:lang w:val="pl-PL"/>
        </w:rPr>
        <w:t>działaniem diuretyków. W</w:t>
      </w:r>
      <w:r w:rsidR="00717A7B" w:rsidRPr="00BD22FE">
        <w:rPr>
          <w:sz w:val="22"/>
          <w:szCs w:val="22"/>
          <w:lang w:val="pl-PL"/>
        </w:rPr>
        <w:t> </w:t>
      </w:r>
      <w:r w:rsidRPr="00BD22FE">
        <w:rPr>
          <w:sz w:val="22"/>
          <w:szCs w:val="22"/>
          <w:lang w:val="pl-PL"/>
        </w:rPr>
        <w:t>przypadku stosowania HCTZ, diureza rozpoczyna się po 2 godzinach, a</w:t>
      </w:r>
      <w:r w:rsidR="00717A7B" w:rsidRPr="00BD22FE">
        <w:rPr>
          <w:sz w:val="22"/>
          <w:szCs w:val="22"/>
          <w:lang w:val="pl-PL"/>
        </w:rPr>
        <w:t> </w:t>
      </w:r>
      <w:r w:rsidRPr="00BD22FE">
        <w:rPr>
          <w:sz w:val="22"/>
          <w:szCs w:val="22"/>
          <w:lang w:val="pl-PL"/>
        </w:rPr>
        <w:t>maksymalny efekt zostaje osiągnięty po około 4 godzinach,</w:t>
      </w:r>
      <w:r w:rsidR="00561AEB" w:rsidRPr="00BD22FE">
        <w:rPr>
          <w:sz w:val="22"/>
          <w:szCs w:val="22"/>
          <w:lang w:val="pl-PL"/>
        </w:rPr>
        <w:t xml:space="preserve"> podczas gdy</w:t>
      </w:r>
      <w:r w:rsidRPr="00BD22FE">
        <w:rPr>
          <w:sz w:val="22"/>
          <w:szCs w:val="22"/>
          <w:lang w:val="pl-PL"/>
        </w:rPr>
        <w:t xml:space="preserve"> działanie utrzymuje się przez 6</w:t>
      </w:r>
      <w:r w:rsidRPr="00BD22FE">
        <w:rPr>
          <w:sz w:val="22"/>
          <w:szCs w:val="22"/>
          <w:lang w:val="pl-PL"/>
        </w:rPr>
        <w:noBreakHyphen/>
        <w:t>12 godzin.</w:t>
      </w:r>
    </w:p>
    <w:p w14:paraId="30220F90" w14:textId="77777777" w:rsidR="000016E2" w:rsidRPr="00BD22FE" w:rsidRDefault="000016E2" w:rsidP="00941FBF">
      <w:pPr>
        <w:pStyle w:val="BodyText"/>
        <w:spacing w:line="240" w:lineRule="auto"/>
        <w:jc w:val="left"/>
        <w:rPr>
          <w:sz w:val="22"/>
          <w:szCs w:val="22"/>
          <w:lang w:val="pl-PL"/>
        </w:rPr>
      </w:pPr>
    </w:p>
    <w:p w14:paraId="25BBD337" w14:textId="77777777" w:rsidR="000016E2" w:rsidRPr="00BD22FE" w:rsidRDefault="00104CA8" w:rsidP="00941FBF">
      <w:pPr>
        <w:pStyle w:val="BodyText"/>
        <w:keepNext/>
        <w:spacing w:line="240" w:lineRule="auto"/>
        <w:jc w:val="left"/>
        <w:rPr>
          <w:sz w:val="22"/>
          <w:szCs w:val="22"/>
          <w:u w:val="single"/>
          <w:lang w:val="pl-PL"/>
        </w:rPr>
      </w:pPr>
      <w:r w:rsidRPr="00BD22FE">
        <w:rPr>
          <w:sz w:val="22"/>
          <w:szCs w:val="22"/>
          <w:u w:val="single"/>
          <w:lang w:val="pl-PL"/>
        </w:rPr>
        <w:t>Działanie farmakodynamiczne</w:t>
      </w:r>
    </w:p>
    <w:p w14:paraId="4B822FD5" w14:textId="5A5DCB3C" w:rsidR="000016E2" w:rsidRPr="00BD22FE" w:rsidRDefault="00104CA8" w:rsidP="00941FBF">
      <w:pPr>
        <w:pStyle w:val="BodyText"/>
        <w:keepNext/>
        <w:spacing w:line="240" w:lineRule="auto"/>
        <w:jc w:val="left"/>
        <w:rPr>
          <w:sz w:val="22"/>
          <w:szCs w:val="22"/>
          <w:lang w:val="pl-PL"/>
        </w:rPr>
      </w:pPr>
      <w:r w:rsidRPr="00BD22FE">
        <w:rPr>
          <w:sz w:val="22"/>
          <w:szCs w:val="22"/>
          <w:lang w:val="pl-PL"/>
        </w:rPr>
        <w:t xml:space="preserve">Leczenie </w:t>
      </w:r>
      <w:r w:rsidR="008D3B84" w:rsidRPr="00BD22FE">
        <w:rPr>
          <w:sz w:val="22"/>
          <w:szCs w:val="22"/>
          <w:lang w:val="pl-PL"/>
        </w:rPr>
        <w:t>pierwotnego</w:t>
      </w:r>
      <w:r w:rsidRPr="00BD22FE">
        <w:rPr>
          <w:sz w:val="22"/>
          <w:szCs w:val="22"/>
          <w:lang w:val="pl-PL"/>
        </w:rPr>
        <w:t xml:space="preserve"> nadciśnienia tętniczego</w:t>
      </w:r>
    </w:p>
    <w:p w14:paraId="15D155E8" w14:textId="0202B770" w:rsidR="000016E2" w:rsidRPr="00BD22FE" w:rsidRDefault="00104CA8" w:rsidP="00941FBF">
      <w:pPr>
        <w:pStyle w:val="BodyText"/>
        <w:spacing w:line="240" w:lineRule="auto"/>
        <w:jc w:val="left"/>
        <w:rPr>
          <w:sz w:val="22"/>
          <w:szCs w:val="22"/>
          <w:lang w:val="pl-PL"/>
        </w:rPr>
      </w:pPr>
      <w:r w:rsidRPr="00BD22FE">
        <w:rPr>
          <w:sz w:val="22"/>
          <w:szCs w:val="22"/>
          <w:lang w:val="pl-PL"/>
        </w:rPr>
        <w:t xml:space="preserve">Po podaniu pierwszej dawki telmisartanu działanie </w:t>
      </w:r>
      <w:bookmarkStart w:id="9" w:name="_Hlk66443571"/>
      <w:r w:rsidR="00905B62" w:rsidRPr="00BD22FE">
        <w:rPr>
          <w:sz w:val="22"/>
          <w:szCs w:val="22"/>
          <w:lang w:val="pl-PL"/>
        </w:rPr>
        <w:t>przeciwnadciśnieniow</w:t>
      </w:r>
      <w:bookmarkEnd w:id="9"/>
      <w:r w:rsidR="00905B62" w:rsidRPr="00BD22FE">
        <w:rPr>
          <w:sz w:val="22"/>
          <w:szCs w:val="22"/>
          <w:lang w:val="pl-PL"/>
        </w:rPr>
        <w:t xml:space="preserve">e występuje </w:t>
      </w:r>
      <w:r w:rsidRPr="00BD22FE">
        <w:rPr>
          <w:sz w:val="22"/>
          <w:szCs w:val="22"/>
          <w:lang w:val="pl-PL"/>
        </w:rPr>
        <w:t>stopniowo w</w:t>
      </w:r>
      <w:r w:rsidR="00717A7B" w:rsidRPr="00BD22FE">
        <w:rPr>
          <w:sz w:val="22"/>
          <w:szCs w:val="22"/>
          <w:lang w:val="pl-PL"/>
        </w:rPr>
        <w:t> </w:t>
      </w:r>
      <w:r w:rsidRPr="00BD22FE">
        <w:rPr>
          <w:sz w:val="22"/>
          <w:szCs w:val="22"/>
          <w:lang w:val="pl-PL"/>
        </w:rPr>
        <w:t>ciągu 3 godz</w:t>
      </w:r>
      <w:r w:rsidR="00905B62" w:rsidRPr="00BD22FE">
        <w:rPr>
          <w:sz w:val="22"/>
          <w:szCs w:val="22"/>
          <w:lang w:val="pl-PL"/>
        </w:rPr>
        <w:t>in</w:t>
      </w:r>
      <w:r w:rsidRPr="00BD22FE">
        <w:rPr>
          <w:sz w:val="22"/>
          <w:szCs w:val="22"/>
          <w:lang w:val="pl-PL"/>
        </w:rPr>
        <w:t xml:space="preserve">. Maksymalne obniżenie ciśnienia </w:t>
      </w:r>
      <w:r w:rsidR="005870EC" w:rsidRPr="00BD22FE">
        <w:rPr>
          <w:sz w:val="22"/>
          <w:szCs w:val="22"/>
          <w:lang w:val="pl-PL"/>
        </w:rPr>
        <w:t xml:space="preserve">tętniczego </w:t>
      </w:r>
      <w:r w:rsidRPr="00BD22FE">
        <w:rPr>
          <w:sz w:val="22"/>
          <w:szCs w:val="22"/>
          <w:lang w:val="pl-PL"/>
        </w:rPr>
        <w:t>krwi jest osiągane zwykle po upływie 4</w:t>
      </w:r>
      <w:r w:rsidR="005870EC" w:rsidRPr="00BD22FE">
        <w:rPr>
          <w:sz w:val="22"/>
          <w:szCs w:val="22"/>
          <w:lang w:val="pl-PL"/>
        </w:rPr>
        <w:t> </w:t>
      </w:r>
      <w:r w:rsidRPr="00BD22FE">
        <w:rPr>
          <w:sz w:val="22"/>
          <w:szCs w:val="22"/>
          <w:lang w:val="pl-PL"/>
        </w:rPr>
        <w:t>do 8 tygodni od rozpoczęcia leczenia i</w:t>
      </w:r>
      <w:r w:rsidR="00717A7B" w:rsidRPr="00BD22FE">
        <w:rPr>
          <w:sz w:val="22"/>
          <w:szCs w:val="22"/>
          <w:lang w:val="pl-PL"/>
        </w:rPr>
        <w:t> </w:t>
      </w:r>
      <w:r w:rsidRPr="00BD22FE">
        <w:rPr>
          <w:sz w:val="22"/>
          <w:szCs w:val="22"/>
          <w:lang w:val="pl-PL"/>
        </w:rPr>
        <w:t xml:space="preserve">utrzymuje się </w:t>
      </w:r>
      <w:r w:rsidR="005870EC" w:rsidRPr="00BD22FE">
        <w:rPr>
          <w:sz w:val="22"/>
          <w:szCs w:val="22"/>
          <w:lang w:val="pl-PL"/>
        </w:rPr>
        <w:t xml:space="preserve">podczas długotrwałego </w:t>
      </w:r>
      <w:r w:rsidRPr="00BD22FE">
        <w:rPr>
          <w:sz w:val="22"/>
          <w:szCs w:val="22"/>
          <w:lang w:val="pl-PL"/>
        </w:rPr>
        <w:t>leczenia.</w:t>
      </w:r>
      <w:r w:rsidR="009E54D2" w:rsidRPr="00BD22FE">
        <w:rPr>
          <w:sz w:val="22"/>
          <w:szCs w:val="22"/>
          <w:lang w:val="pl-PL"/>
        </w:rPr>
        <w:t xml:space="preserve"> </w:t>
      </w:r>
      <w:r w:rsidRPr="00BD22FE">
        <w:rPr>
          <w:sz w:val="22"/>
          <w:szCs w:val="22"/>
          <w:lang w:val="pl-PL"/>
        </w:rPr>
        <w:t xml:space="preserve">Ambulatoryjne pomiary ciśnienia </w:t>
      </w:r>
      <w:r w:rsidR="009E54D2" w:rsidRPr="00BD22FE">
        <w:rPr>
          <w:sz w:val="22"/>
          <w:szCs w:val="22"/>
          <w:lang w:val="pl-PL"/>
        </w:rPr>
        <w:t xml:space="preserve">tętniczego krwi </w:t>
      </w:r>
      <w:r w:rsidR="00913DF2" w:rsidRPr="00BD22FE">
        <w:rPr>
          <w:sz w:val="22"/>
          <w:szCs w:val="22"/>
          <w:lang w:val="pl-PL"/>
        </w:rPr>
        <w:t>wykaza</w:t>
      </w:r>
      <w:r w:rsidRPr="00BD22FE">
        <w:rPr>
          <w:sz w:val="22"/>
          <w:szCs w:val="22"/>
          <w:lang w:val="pl-PL"/>
        </w:rPr>
        <w:t xml:space="preserve">ły, że działanie </w:t>
      </w:r>
      <w:r w:rsidR="00087752" w:rsidRPr="00BD22FE">
        <w:rPr>
          <w:sz w:val="22"/>
          <w:szCs w:val="22"/>
          <w:lang w:val="pl-PL"/>
        </w:rPr>
        <w:t>przeciwnadciśnieniowe</w:t>
      </w:r>
      <w:r w:rsidRPr="00BD22FE">
        <w:rPr>
          <w:sz w:val="22"/>
          <w:szCs w:val="22"/>
          <w:lang w:val="pl-PL"/>
        </w:rPr>
        <w:t xml:space="preserve"> utrzymuje się na stałym poziomie w</w:t>
      </w:r>
      <w:r w:rsidR="00717A7B" w:rsidRPr="00BD22FE">
        <w:rPr>
          <w:sz w:val="22"/>
          <w:szCs w:val="22"/>
          <w:lang w:val="pl-PL"/>
        </w:rPr>
        <w:t> </w:t>
      </w:r>
      <w:r w:rsidRPr="00BD22FE">
        <w:rPr>
          <w:sz w:val="22"/>
          <w:szCs w:val="22"/>
          <w:lang w:val="pl-PL"/>
        </w:rPr>
        <w:t xml:space="preserve">okresie 24 godzin od przyjęcia </w:t>
      </w:r>
      <w:r w:rsidR="000712A5">
        <w:rPr>
          <w:sz w:val="22"/>
          <w:szCs w:val="22"/>
          <w:lang w:val="pl-PL"/>
        </w:rPr>
        <w:t>produktu leczniczego</w:t>
      </w:r>
      <w:r w:rsidRPr="00BD22FE">
        <w:rPr>
          <w:sz w:val="22"/>
          <w:szCs w:val="22"/>
          <w:lang w:val="pl-PL"/>
        </w:rPr>
        <w:t>, obejmując również okres ostatnich 4 godzin przed przyjęciem następnej dawki</w:t>
      </w:r>
      <w:r w:rsidR="000712A5">
        <w:rPr>
          <w:sz w:val="22"/>
          <w:szCs w:val="22"/>
          <w:lang w:val="pl-PL"/>
        </w:rPr>
        <w:t xml:space="preserve"> produktu leczniczego</w:t>
      </w:r>
      <w:r w:rsidRPr="00BD22FE">
        <w:rPr>
          <w:sz w:val="22"/>
          <w:szCs w:val="22"/>
          <w:lang w:val="pl-PL"/>
        </w:rPr>
        <w:t xml:space="preserve">. Potwierdzają to pomiary </w:t>
      </w:r>
      <w:r w:rsidR="00DE7027" w:rsidRPr="00BD22FE">
        <w:rPr>
          <w:sz w:val="22"/>
          <w:szCs w:val="22"/>
          <w:lang w:val="pl-PL"/>
        </w:rPr>
        <w:t xml:space="preserve">wykonywane w momencie </w:t>
      </w:r>
      <w:r w:rsidRPr="00BD22FE">
        <w:rPr>
          <w:sz w:val="22"/>
          <w:szCs w:val="22"/>
          <w:lang w:val="pl-PL"/>
        </w:rPr>
        <w:t>maksymalnego obniżenia ciśnienia tętniczego</w:t>
      </w:r>
      <w:r w:rsidR="00DE7027" w:rsidRPr="00BD22FE">
        <w:rPr>
          <w:sz w:val="22"/>
          <w:szCs w:val="22"/>
          <w:lang w:val="pl-PL"/>
        </w:rPr>
        <w:t xml:space="preserve"> krwi</w:t>
      </w:r>
      <w:r w:rsidRPr="00BD22FE">
        <w:rPr>
          <w:sz w:val="22"/>
          <w:szCs w:val="22"/>
          <w:lang w:val="pl-PL"/>
        </w:rPr>
        <w:t xml:space="preserve"> i</w:t>
      </w:r>
      <w:r w:rsidR="00717A7B" w:rsidRPr="00BD22FE">
        <w:rPr>
          <w:sz w:val="22"/>
          <w:szCs w:val="22"/>
          <w:lang w:val="pl-PL"/>
        </w:rPr>
        <w:t> </w:t>
      </w:r>
      <w:r w:rsidRPr="00BD22FE">
        <w:rPr>
          <w:sz w:val="22"/>
          <w:szCs w:val="22"/>
          <w:lang w:val="pl-PL"/>
        </w:rPr>
        <w:t>bezpośrednio przed przyjęciem kolejnej dawki leku (parametr określany jako „through to peak ratio” wynosił stale powyżej 80%, zarówno po podaniu dawki 40 mg jak i</w:t>
      </w:r>
      <w:r w:rsidR="00717A7B" w:rsidRPr="00BD22FE">
        <w:rPr>
          <w:sz w:val="22"/>
          <w:szCs w:val="22"/>
          <w:lang w:val="pl-PL"/>
        </w:rPr>
        <w:t> </w:t>
      </w:r>
      <w:r w:rsidRPr="00BD22FE">
        <w:rPr>
          <w:sz w:val="22"/>
          <w:szCs w:val="22"/>
          <w:lang w:val="pl-PL"/>
        </w:rPr>
        <w:t>80 mg</w:t>
      </w:r>
      <w:r w:rsidR="000D44D1" w:rsidRPr="00BD22FE">
        <w:rPr>
          <w:sz w:val="22"/>
          <w:szCs w:val="22"/>
          <w:lang w:val="pl-PL"/>
        </w:rPr>
        <w:t xml:space="preserve"> telmisartanu w badaniach klinicznych kontrolowanych</w:t>
      </w:r>
      <w:r w:rsidR="00B014B5" w:rsidRPr="00BD22FE">
        <w:rPr>
          <w:sz w:val="22"/>
          <w:szCs w:val="22"/>
          <w:lang w:val="pl-PL"/>
        </w:rPr>
        <w:t xml:space="preserve"> </w:t>
      </w:r>
      <w:r w:rsidR="000D44D1" w:rsidRPr="00BD22FE">
        <w:rPr>
          <w:sz w:val="22"/>
          <w:szCs w:val="22"/>
          <w:lang w:val="pl-PL"/>
        </w:rPr>
        <w:t>placebo</w:t>
      </w:r>
      <w:r w:rsidRPr="00BD22FE">
        <w:rPr>
          <w:sz w:val="22"/>
          <w:szCs w:val="22"/>
          <w:lang w:val="pl-PL"/>
        </w:rPr>
        <w:t>).</w:t>
      </w:r>
    </w:p>
    <w:p w14:paraId="1AD96D84" w14:textId="77777777" w:rsidR="000016E2" w:rsidRPr="00BD22FE" w:rsidRDefault="000016E2" w:rsidP="00941FBF">
      <w:pPr>
        <w:pStyle w:val="BodyText"/>
        <w:spacing w:line="240" w:lineRule="auto"/>
        <w:jc w:val="left"/>
        <w:rPr>
          <w:sz w:val="22"/>
          <w:szCs w:val="22"/>
          <w:lang w:val="pl-PL"/>
        </w:rPr>
      </w:pPr>
    </w:p>
    <w:p w14:paraId="224B1854" w14:textId="6A4FF84C" w:rsidR="000016E2" w:rsidRPr="00BD22FE" w:rsidRDefault="00104CA8" w:rsidP="00941FBF">
      <w:pPr>
        <w:pStyle w:val="BodyText"/>
        <w:spacing w:line="240" w:lineRule="auto"/>
        <w:jc w:val="left"/>
        <w:rPr>
          <w:sz w:val="22"/>
          <w:szCs w:val="22"/>
          <w:lang w:val="pl-PL"/>
        </w:rPr>
      </w:pPr>
      <w:r w:rsidRPr="00BD22FE">
        <w:rPr>
          <w:sz w:val="22"/>
          <w:szCs w:val="22"/>
          <w:lang w:val="pl-PL"/>
        </w:rPr>
        <w:t xml:space="preserve">Telmisartan podany </w:t>
      </w:r>
      <w:r w:rsidR="008D6670" w:rsidRPr="00BD22FE">
        <w:rPr>
          <w:sz w:val="22"/>
          <w:szCs w:val="22"/>
          <w:lang w:val="pl-PL"/>
        </w:rPr>
        <w:t>pacjentom</w:t>
      </w:r>
      <w:r w:rsidRPr="00BD22FE">
        <w:rPr>
          <w:sz w:val="22"/>
          <w:szCs w:val="22"/>
          <w:lang w:val="pl-PL"/>
        </w:rPr>
        <w:t xml:space="preserve"> z</w:t>
      </w:r>
      <w:r w:rsidR="00717A7B" w:rsidRPr="00BD22FE">
        <w:rPr>
          <w:sz w:val="22"/>
          <w:szCs w:val="22"/>
          <w:lang w:val="pl-PL"/>
        </w:rPr>
        <w:t> </w:t>
      </w:r>
      <w:r w:rsidRPr="00BD22FE">
        <w:rPr>
          <w:sz w:val="22"/>
          <w:szCs w:val="22"/>
          <w:lang w:val="pl-PL"/>
        </w:rPr>
        <w:t xml:space="preserve">nadciśnieniem tętniczym obniża </w:t>
      </w:r>
      <w:r w:rsidR="008D6670" w:rsidRPr="00BD22FE">
        <w:rPr>
          <w:sz w:val="22"/>
          <w:szCs w:val="22"/>
          <w:lang w:val="pl-PL"/>
        </w:rPr>
        <w:t xml:space="preserve">zarówno </w:t>
      </w:r>
      <w:r w:rsidRPr="00BD22FE">
        <w:rPr>
          <w:sz w:val="22"/>
          <w:szCs w:val="22"/>
          <w:lang w:val="pl-PL"/>
        </w:rPr>
        <w:t xml:space="preserve">ciśnienie </w:t>
      </w:r>
      <w:r w:rsidR="00FD3592" w:rsidRPr="00BD22FE">
        <w:rPr>
          <w:sz w:val="22"/>
          <w:szCs w:val="22"/>
          <w:lang w:val="pl-PL"/>
        </w:rPr>
        <w:t>s</w:t>
      </w:r>
      <w:r w:rsidRPr="00BD22FE">
        <w:rPr>
          <w:sz w:val="22"/>
          <w:szCs w:val="22"/>
          <w:lang w:val="pl-PL"/>
        </w:rPr>
        <w:t>kurczowe</w:t>
      </w:r>
      <w:r w:rsidR="00FD3592" w:rsidRPr="00BD22FE">
        <w:rPr>
          <w:sz w:val="22"/>
          <w:szCs w:val="22"/>
          <w:lang w:val="pl-PL"/>
        </w:rPr>
        <w:t>, jak</w:t>
      </w:r>
      <w:r w:rsidRPr="00BD22FE">
        <w:rPr>
          <w:sz w:val="22"/>
          <w:szCs w:val="22"/>
          <w:lang w:val="pl-PL"/>
        </w:rPr>
        <w:t xml:space="preserve"> i</w:t>
      </w:r>
      <w:r w:rsidR="00717A7B" w:rsidRPr="00BD22FE">
        <w:rPr>
          <w:sz w:val="22"/>
          <w:szCs w:val="22"/>
          <w:lang w:val="pl-PL"/>
        </w:rPr>
        <w:t> </w:t>
      </w:r>
      <w:r w:rsidR="00FD3592" w:rsidRPr="00BD22FE">
        <w:rPr>
          <w:sz w:val="22"/>
          <w:szCs w:val="22"/>
          <w:lang w:val="pl-PL"/>
        </w:rPr>
        <w:t>roz</w:t>
      </w:r>
      <w:r w:rsidRPr="00BD22FE">
        <w:rPr>
          <w:sz w:val="22"/>
          <w:szCs w:val="22"/>
          <w:lang w:val="pl-PL"/>
        </w:rPr>
        <w:t>kurczowe</w:t>
      </w:r>
      <w:r w:rsidR="00FD3592" w:rsidRPr="00BD22FE">
        <w:rPr>
          <w:sz w:val="22"/>
          <w:szCs w:val="22"/>
          <w:lang w:val="pl-PL"/>
        </w:rPr>
        <w:t xml:space="preserve"> krwi</w:t>
      </w:r>
      <w:r w:rsidRPr="00BD22FE">
        <w:rPr>
          <w:sz w:val="22"/>
          <w:szCs w:val="22"/>
          <w:lang w:val="pl-PL"/>
        </w:rPr>
        <w:t xml:space="preserve">, nie wpływając na częstość akcji serca. Skuteczność </w:t>
      </w:r>
      <w:r w:rsidR="00A14F4B" w:rsidRPr="00BD22FE">
        <w:rPr>
          <w:sz w:val="22"/>
          <w:szCs w:val="22"/>
          <w:lang w:val="pl-PL"/>
        </w:rPr>
        <w:t>przeciwnadciśnieniowa</w:t>
      </w:r>
      <w:r w:rsidRPr="00BD22FE">
        <w:rPr>
          <w:sz w:val="22"/>
          <w:szCs w:val="22"/>
          <w:lang w:val="pl-PL"/>
        </w:rPr>
        <w:t xml:space="preserve"> </w:t>
      </w:r>
      <w:r w:rsidRPr="00BD22FE">
        <w:rPr>
          <w:sz w:val="22"/>
          <w:szCs w:val="22"/>
          <w:lang w:val="pl-PL"/>
        </w:rPr>
        <w:lastRenderedPageBreak/>
        <w:t xml:space="preserve">telmisartanu jest porównywalna </w:t>
      </w:r>
      <w:r w:rsidR="00867D69" w:rsidRPr="00BD22FE">
        <w:rPr>
          <w:sz w:val="22"/>
          <w:szCs w:val="22"/>
          <w:lang w:val="pl-PL"/>
        </w:rPr>
        <w:t>z </w:t>
      </w:r>
      <w:r w:rsidRPr="00BD22FE">
        <w:rPr>
          <w:sz w:val="22"/>
          <w:szCs w:val="22"/>
          <w:lang w:val="pl-PL"/>
        </w:rPr>
        <w:t>inny</w:t>
      </w:r>
      <w:r w:rsidR="00867D69" w:rsidRPr="00BD22FE">
        <w:rPr>
          <w:sz w:val="22"/>
          <w:szCs w:val="22"/>
          <w:lang w:val="pl-PL"/>
        </w:rPr>
        <w:t>mi</w:t>
      </w:r>
      <w:r w:rsidRPr="00BD22FE">
        <w:rPr>
          <w:sz w:val="22"/>
          <w:szCs w:val="22"/>
          <w:lang w:val="pl-PL"/>
        </w:rPr>
        <w:t xml:space="preserve"> </w:t>
      </w:r>
      <w:r w:rsidR="00867D69" w:rsidRPr="00BD22FE">
        <w:rPr>
          <w:sz w:val="22"/>
          <w:szCs w:val="22"/>
          <w:lang w:val="pl-PL"/>
        </w:rPr>
        <w:t xml:space="preserve">produktami leczniczymi </w:t>
      </w:r>
      <w:r w:rsidRPr="00BD22FE">
        <w:rPr>
          <w:sz w:val="22"/>
          <w:szCs w:val="22"/>
          <w:lang w:val="pl-PL"/>
        </w:rPr>
        <w:t>przeciwnadciśnieniowy</w:t>
      </w:r>
      <w:r w:rsidR="00867D69" w:rsidRPr="00BD22FE">
        <w:rPr>
          <w:sz w:val="22"/>
          <w:szCs w:val="22"/>
          <w:lang w:val="pl-PL"/>
        </w:rPr>
        <w:t>mi</w:t>
      </w:r>
      <w:r w:rsidRPr="00BD22FE">
        <w:rPr>
          <w:sz w:val="22"/>
          <w:szCs w:val="22"/>
          <w:lang w:val="pl-PL"/>
        </w:rPr>
        <w:t xml:space="preserve"> (co wykazano w </w:t>
      </w:r>
      <w:r w:rsidR="00867D69" w:rsidRPr="00BD22FE">
        <w:rPr>
          <w:sz w:val="22"/>
          <w:szCs w:val="22"/>
          <w:lang w:val="pl-PL"/>
        </w:rPr>
        <w:t xml:space="preserve">badaniach </w:t>
      </w:r>
      <w:r w:rsidRPr="00BD22FE">
        <w:rPr>
          <w:sz w:val="22"/>
          <w:szCs w:val="22"/>
          <w:lang w:val="pl-PL"/>
        </w:rPr>
        <w:t>klinicznych</w:t>
      </w:r>
      <w:r w:rsidR="00867D69" w:rsidRPr="00BD22FE">
        <w:rPr>
          <w:sz w:val="22"/>
          <w:szCs w:val="22"/>
          <w:lang w:val="pl-PL"/>
        </w:rPr>
        <w:t>, w których porównywano</w:t>
      </w:r>
      <w:r w:rsidRPr="00BD22FE">
        <w:rPr>
          <w:sz w:val="22"/>
          <w:szCs w:val="22"/>
          <w:lang w:val="pl-PL"/>
        </w:rPr>
        <w:t xml:space="preserve"> telmisartan z</w:t>
      </w:r>
      <w:r w:rsidR="00717A7B" w:rsidRPr="00BD22FE">
        <w:rPr>
          <w:sz w:val="22"/>
          <w:szCs w:val="22"/>
          <w:lang w:val="pl-PL"/>
        </w:rPr>
        <w:t> </w:t>
      </w:r>
      <w:r w:rsidRPr="00BD22FE">
        <w:rPr>
          <w:sz w:val="22"/>
          <w:szCs w:val="22"/>
          <w:lang w:val="pl-PL"/>
        </w:rPr>
        <w:t>amlodypiną, atenololem, enalaprylem, hydrochlorotiazydem i</w:t>
      </w:r>
      <w:r w:rsidR="00717A7B" w:rsidRPr="00BD22FE">
        <w:rPr>
          <w:sz w:val="22"/>
          <w:szCs w:val="22"/>
          <w:lang w:val="pl-PL"/>
        </w:rPr>
        <w:t> </w:t>
      </w:r>
      <w:r w:rsidRPr="00BD22FE">
        <w:rPr>
          <w:sz w:val="22"/>
          <w:szCs w:val="22"/>
          <w:lang w:val="pl-PL"/>
        </w:rPr>
        <w:t>lizynoprylem).</w:t>
      </w:r>
    </w:p>
    <w:p w14:paraId="35F10AE9" w14:textId="51421E9F" w:rsidR="000016E2" w:rsidRPr="00BD22FE" w:rsidRDefault="000016E2" w:rsidP="00941FBF">
      <w:pPr>
        <w:pStyle w:val="BodyText"/>
        <w:spacing w:line="240" w:lineRule="auto"/>
        <w:jc w:val="left"/>
        <w:rPr>
          <w:sz w:val="22"/>
          <w:szCs w:val="22"/>
          <w:lang w:val="pl-PL"/>
        </w:rPr>
      </w:pPr>
    </w:p>
    <w:p w14:paraId="7B3C4F8D" w14:textId="5947964E" w:rsidR="000016E2" w:rsidRPr="00BD22FE" w:rsidRDefault="00104CA8" w:rsidP="00941FBF">
      <w:pPr>
        <w:pStyle w:val="BodyText"/>
        <w:spacing w:line="240" w:lineRule="auto"/>
        <w:jc w:val="left"/>
        <w:rPr>
          <w:sz w:val="22"/>
          <w:szCs w:val="22"/>
          <w:lang w:val="pl-PL"/>
        </w:rPr>
      </w:pPr>
      <w:r w:rsidRPr="00BD22FE">
        <w:rPr>
          <w:sz w:val="22"/>
          <w:szCs w:val="22"/>
          <w:lang w:val="pl-PL"/>
        </w:rPr>
        <w:t>W</w:t>
      </w:r>
      <w:r w:rsidR="00717A7B" w:rsidRPr="00BD22FE">
        <w:rPr>
          <w:sz w:val="22"/>
          <w:szCs w:val="22"/>
          <w:lang w:val="pl-PL"/>
        </w:rPr>
        <w:t> </w:t>
      </w:r>
      <w:r w:rsidRPr="00BD22FE">
        <w:rPr>
          <w:sz w:val="22"/>
          <w:szCs w:val="22"/>
          <w:lang w:val="pl-PL"/>
        </w:rPr>
        <w:t xml:space="preserve">przypadku nagłego przerwania leczenia telmisartanem ciśnienie tętnicze </w:t>
      </w:r>
      <w:r w:rsidR="00964639" w:rsidRPr="00BD22FE">
        <w:rPr>
          <w:sz w:val="22"/>
          <w:szCs w:val="22"/>
          <w:lang w:val="pl-PL"/>
        </w:rPr>
        <w:t xml:space="preserve">krwi </w:t>
      </w:r>
      <w:r w:rsidRPr="00BD22FE">
        <w:rPr>
          <w:sz w:val="22"/>
          <w:szCs w:val="22"/>
          <w:lang w:val="pl-PL"/>
        </w:rPr>
        <w:t>powraca stopniowo, w</w:t>
      </w:r>
      <w:r w:rsidR="00717A7B" w:rsidRPr="00BD22FE">
        <w:rPr>
          <w:sz w:val="22"/>
          <w:szCs w:val="22"/>
          <w:lang w:val="pl-PL"/>
        </w:rPr>
        <w:t> </w:t>
      </w:r>
      <w:r w:rsidRPr="00BD22FE">
        <w:rPr>
          <w:sz w:val="22"/>
          <w:szCs w:val="22"/>
          <w:lang w:val="pl-PL"/>
        </w:rPr>
        <w:t xml:space="preserve">ciągu kilku dni, </w:t>
      </w:r>
      <w:r w:rsidR="00964639" w:rsidRPr="00BD22FE">
        <w:rPr>
          <w:sz w:val="22"/>
          <w:szCs w:val="22"/>
          <w:lang w:val="pl-PL"/>
        </w:rPr>
        <w:t xml:space="preserve">do wartości sprzed rozpoczęcia leczenia, </w:t>
      </w:r>
      <w:r w:rsidRPr="00BD22FE">
        <w:rPr>
          <w:sz w:val="22"/>
          <w:szCs w:val="22"/>
          <w:lang w:val="pl-PL"/>
        </w:rPr>
        <w:t>bez zjawiska odbicia.</w:t>
      </w:r>
      <w:r w:rsidR="00E41411" w:rsidRPr="00BD22FE">
        <w:rPr>
          <w:sz w:val="22"/>
          <w:szCs w:val="22"/>
          <w:lang w:val="pl-PL"/>
        </w:rPr>
        <w:t xml:space="preserve"> </w:t>
      </w:r>
      <w:r w:rsidRPr="00BD22FE">
        <w:rPr>
          <w:sz w:val="22"/>
          <w:szCs w:val="22"/>
          <w:lang w:val="pl-PL"/>
        </w:rPr>
        <w:t>W</w:t>
      </w:r>
      <w:r w:rsidR="00717A7B" w:rsidRPr="00BD22FE">
        <w:rPr>
          <w:sz w:val="22"/>
          <w:szCs w:val="22"/>
          <w:lang w:val="pl-PL"/>
        </w:rPr>
        <w:t> </w:t>
      </w:r>
      <w:r w:rsidRPr="00BD22FE">
        <w:rPr>
          <w:sz w:val="22"/>
          <w:szCs w:val="22"/>
          <w:lang w:val="pl-PL"/>
        </w:rPr>
        <w:t xml:space="preserve">badaniach klinicznych bezpośrednio porównujących dwie metody leczenia </w:t>
      </w:r>
      <w:r w:rsidR="00993626" w:rsidRPr="00BD22FE">
        <w:rPr>
          <w:sz w:val="22"/>
          <w:szCs w:val="22"/>
          <w:lang w:val="pl-PL"/>
        </w:rPr>
        <w:t>przeciwnadciśnieniowego</w:t>
      </w:r>
      <w:r w:rsidRPr="00BD22FE">
        <w:rPr>
          <w:sz w:val="22"/>
          <w:szCs w:val="22"/>
          <w:lang w:val="pl-PL"/>
        </w:rPr>
        <w:t xml:space="preserve"> częstość występowania suchego kaszlu </w:t>
      </w:r>
      <w:r w:rsidR="00993626" w:rsidRPr="00BD22FE">
        <w:rPr>
          <w:sz w:val="22"/>
          <w:szCs w:val="22"/>
          <w:lang w:val="pl-PL"/>
        </w:rPr>
        <w:t>u pacjentów leczonych</w:t>
      </w:r>
      <w:r w:rsidRPr="00BD22FE">
        <w:rPr>
          <w:sz w:val="22"/>
          <w:szCs w:val="22"/>
          <w:lang w:val="pl-PL"/>
        </w:rPr>
        <w:t xml:space="preserve"> telmisartane</w:t>
      </w:r>
      <w:r w:rsidR="00993626" w:rsidRPr="00BD22FE">
        <w:rPr>
          <w:sz w:val="22"/>
          <w:szCs w:val="22"/>
          <w:lang w:val="pl-PL"/>
        </w:rPr>
        <w:t>m</w:t>
      </w:r>
      <w:r w:rsidRPr="00BD22FE">
        <w:rPr>
          <w:sz w:val="22"/>
          <w:szCs w:val="22"/>
          <w:lang w:val="pl-PL"/>
        </w:rPr>
        <w:t xml:space="preserve"> była </w:t>
      </w:r>
      <w:r w:rsidR="00993626" w:rsidRPr="00BD22FE">
        <w:rPr>
          <w:sz w:val="22"/>
          <w:szCs w:val="22"/>
          <w:lang w:val="pl-PL"/>
        </w:rPr>
        <w:t xml:space="preserve">znacząco </w:t>
      </w:r>
      <w:r w:rsidRPr="00BD22FE">
        <w:rPr>
          <w:sz w:val="22"/>
          <w:szCs w:val="22"/>
          <w:lang w:val="pl-PL"/>
        </w:rPr>
        <w:t xml:space="preserve">mniejsza niż </w:t>
      </w:r>
      <w:r w:rsidR="00993626" w:rsidRPr="00BD22FE">
        <w:rPr>
          <w:sz w:val="22"/>
          <w:szCs w:val="22"/>
          <w:lang w:val="pl-PL"/>
        </w:rPr>
        <w:t xml:space="preserve">u pacjentów leczonych </w:t>
      </w:r>
      <w:r w:rsidRPr="00BD22FE">
        <w:rPr>
          <w:sz w:val="22"/>
          <w:szCs w:val="22"/>
          <w:lang w:val="pl-PL"/>
        </w:rPr>
        <w:t>inhibitora</w:t>
      </w:r>
      <w:r w:rsidR="00993626" w:rsidRPr="00BD22FE">
        <w:rPr>
          <w:sz w:val="22"/>
          <w:szCs w:val="22"/>
          <w:lang w:val="pl-PL"/>
        </w:rPr>
        <w:t>mi</w:t>
      </w:r>
      <w:r w:rsidRPr="00BD22FE">
        <w:rPr>
          <w:sz w:val="22"/>
          <w:szCs w:val="22"/>
          <w:lang w:val="pl-PL"/>
        </w:rPr>
        <w:t xml:space="preserve"> </w:t>
      </w:r>
      <w:r w:rsidR="00993626" w:rsidRPr="00BD22FE">
        <w:rPr>
          <w:sz w:val="22"/>
          <w:szCs w:val="22"/>
          <w:lang w:val="pl-PL"/>
        </w:rPr>
        <w:t xml:space="preserve">konwertazy </w:t>
      </w:r>
      <w:r w:rsidRPr="00BD22FE">
        <w:rPr>
          <w:sz w:val="22"/>
          <w:szCs w:val="22"/>
          <w:lang w:val="pl-PL"/>
        </w:rPr>
        <w:t>angiotensyn</w:t>
      </w:r>
      <w:r w:rsidR="00993626" w:rsidRPr="00BD22FE">
        <w:rPr>
          <w:sz w:val="22"/>
          <w:szCs w:val="22"/>
          <w:lang w:val="pl-PL"/>
        </w:rPr>
        <w:t>y</w:t>
      </w:r>
      <w:r w:rsidRPr="00BD22FE">
        <w:rPr>
          <w:sz w:val="22"/>
          <w:szCs w:val="22"/>
          <w:lang w:val="pl-PL"/>
        </w:rPr>
        <w:t>.</w:t>
      </w:r>
    </w:p>
    <w:p w14:paraId="53C4DC4B" w14:textId="77777777" w:rsidR="000016E2" w:rsidRPr="00BD22FE" w:rsidRDefault="000016E2" w:rsidP="00941FBF">
      <w:pPr>
        <w:pStyle w:val="BodyText"/>
        <w:spacing w:line="240" w:lineRule="auto"/>
        <w:jc w:val="left"/>
        <w:rPr>
          <w:sz w:val="22"/>
          <w:szCs w:val="22"/>
          <w:u w:val="single"/>
          <w:lang w:val="pl-PL"/>
        </w:rPr>
      </w:pPr>
    </w:p>
    <w:p w14:paraId="4243FDB1" w14:textId="77777777" w:rsidR="000016E2" w:rsidRPr="00BD22FE" w:rsidRDefault="00104CA8" w:rsidP="00941FBF">
      <w:pPr>
        <w:keepNext/>
        <w:rPr>
          <w:sz w:val="22"/>
          <w:szCs w:val="22"/>
          <w:u w:val="single"/>
          <w:lang w:val="pl-PL"/>
        </w:rPr>
      </w:pPr>
      <w:r w:rsidRPr="00BD22FE">
        <w:rPr>
          <w:sz w:val="22"/>
          <w:szCs w:val="22"/>
          <w:u w:val="single"/>
          <w:lang w:val="pl-PL"/>
        </w:rPr>
        <w:t>Skuteczność kliniczna i bezpieczeństwo stosowania</w:t>
      </w:r>
    </w:p>
    <w:p w14:paraId="45683DFA" w14:textId="754CADEE" w:rsidR="000016E2" w:rsidRPr="00BD22FE" w:rsidRDefault="00104CA8" w:rsidP="00941FBF">
      <w:pPr>
        <w:pStyle w:val="BodyText"/>
        <w:keepNext/>
        <w:spacing w:line="240" w:lineRule="auto"/>
        <w:jc w:val="left"/>
        <w:rPr>
          <w:sz w:val="22"/>
          <w:szCs w:val="22"/>
          <w:lang w:val="pl-PL"/>
        </w:rPr>
      </w:pPr>
      <w:r w:rsidRPr="00BD22FE">
        <w:rPr>
          <w:sz w:val="22"/>
          <w:szCs w:val="22"/>
          <w:lang w:val="pl-PL"/>
        </w:rPr>
        <w:t>Zapobieganie chorobom sercowo-naczyniow</w:t>
      </w:r>
      <w:r w:rsidR="00004662" w:rsidRPr="00BD22FE">
        <w:rPr>
          <w:sz w:val="22"/>
          <w:szCs w:val="22"/>
          <w:lang w:val="pl-PL"/>
        </w:rPr>
        <w:t>ym</w:t>
      </w:r>
    </w:p>
    <w:p w14:paraId="141ED68B" w14:textId="644EFB83" w:rsidR="003A7E3D" w:rsidRPr="00BD22FE" w:rsidRDefault="00104CA8" w:rsidP="00941FBF">
      <w:pPr>
        <w:pStyle w:val="BodyText"/>
        <w:spacing w:line="240" w:lineRule="auto"/>
        <w:jc w:val="left"/>
        <w:rPr>
          <w:sz w:val="22"/>
          <w:szCs w:val="22"/>
          <w:lang w:val="pl-PL"/>
        </w:rPr>
      </w:pPr>
      <w:r w:rsidRPr="00BD22FE">
        <w:rPr>
          <w:sz w:val="22"/>
          <w:szCs w:val="22"/>
          <w:lang w:val="pl-PL"/>
        </w:rPr>
        <w:t>W</w:t>
      </w:r>
      <w:r w:rsidR="00717A7B" w:rsidRPr="00BD22FE">
        <w:rPr>
          <w:sz w:val="22"/>
          <w:szCs w:val="22"/>
          <w:lang w:val="pl-PL"/>
        </w:rPr>
        <w:t> </w:t>
      </w:r>
      <w:r w:rsidRPr="00BD22FE">
        <w:rPr>
          <w:sz w:val="22"/>
          <w:szCs w:val="22"/>
          <w:lang w:val="pl-PL"/>
        </w:rPr>
        <w:t>badaniu ONTARGET (</w:t>
      </w:r>
      <w:r w:rsidRPr="00BD22FE">
        <w:rPr>
          <w:i/>
          <w:sz w:val="22"/>
          <w:szCs w:val="22"/>
          <w:lang w:val="pl-PL"/>
        </w:rPr>
        <w:t>ONgoing Telmisartan Alone and in Combination with Ramipril Global Endpoint Trial</w:t>
      </w:r>
      <w:r w:rsidRPr="00BD22FE">
        <w:rPr>
          <w:sz w:val="22"/>
          <w:szCs w:val="22"/>
          <w:lang w:val="pl-PL"/>
        </w:rPr>
        <w:t xml:space="preserve">) porównano wpływ telmisartanu, ramiprylu </w:t>
      </w:r>
      <w:r w:rsidR="006817E5" w:rsidRPr="00BD22FE">
        <w:rPr>
          <w:sz w:val="22"/>
          <w:szCs w:val="22"/>
          <w:lang w:val="pl-PL"/>
        </w:rPr>
        <w:t>i leczenia skojarzonego</w:t>
      </w:r>
      <w:r w:rsidRPr="00BD22FE">
        <w:rPr>
          <w:sz w:val="22"/>
          <w:szCs w:val="22"/>
          <w:lang w:val="pl-PL"/>
        </w:rPr>
        <w:t xml:space="preserve"> telmisartan</w:t>
      </w:r>
      <w:r w:rsidR="006817E5" w:rsidRPr="00BD22FE">
        <w:rPr>
          <w:sz w:val="22"/>
          <w:szCs w:val="22"/>
          <w:lang w:val="pl-PL"/>
        </w:rPr>
        <w:t>em</w:t>
      </w:r>
      <w:r w:rsidRPr="00BD22FE">
        <w:rPr>
          <w:sz w:val="22"/>
          <w:szCs w:val="22"/>
          <w:lang w:val="pl-PL"/>
        </w:rPr>
        <w:t xml:space="preserve"> </w:t>
      </w:r>
      <w:r w:rsidR="006817E5" w:rsidRPr="00BD22FE">
        <w:rPr>
          <w:sz w:val="22"/>
          <w:szCs w:val="22"/>
          <w:lang w:val="pl-PL"/>
        </w:rPr>
        <w:t>z</w:t>
      </w:r>
      <w:r w:rsidR="00717A7B" w:rsidRPr="00BD22FE">
        <w:rPr>
          <w:sz w:val="22"/>
          <w:szCs w:val="22"/>
          <w:lang w:val="pl-PL"/>
        </w:rPr>
        <w:t> </w:t>
      </w:r>
      <w:r w:rsidRPr="00BD22FE">
        <w:rPr>
          <w:sz w:val="22"/>
          <w:szCs w:val="22"/>
          <w:lang w:val="pl-PL"/>
        </w:rPr>
        <w:t>ramipryl</w:t>
      </w:r>
      <w:r w:rsidR="006817E5" w:rsidRPr="00BD22FE">
        <w:rPr>
          <w:sz w:val="22"/>
          <w:szCs w:val="22"/>
          <w:lang w:val="pl-PL"/>
        </w:rPr>
        <w:t>em</w:t>
      </w:r>
      <w:r w:rsidRPr="00BD22FE">
        <w:rPr>
          <w:sz w:val="22"/>
          <w:szCs w:val="22"/>
          <w:lang w:val="pl-PL"/>
        </w:rPr>
        <w:t xml:space="preserve"> na </w:t>
      </w:r>
      <w:r w:rsidR="00941A73" w:rsidRPr="00BD22FE">
        <w:rPr>
          <w:sz w:val="22"/>
          <w:szCs w:val="22"/>
          <w:lang w:val="pl-PL"/>
        </w:rPr>
        <w:t xml:space="preserve">częstość występowania zdarzeń </w:t>
      </w:r>
      <w:r w:rsidRPr="00BD22FE">
        <w:rPr>
          <w:sz w:val="22"/>
          <w:szCs w:val="22"/>
          <w:lang w:val="pl-PL"/>
        </w:rPr>
        <w:t>sercowo-naczyniow</w:t>
      </w:r>
      <w:r w:rsidR="00941A73" w:rsidRPr="00BD22FE">
        <w:rPr>
          <w:sz w:val="22"/>
          <w:szCs w:val="22"/>
          <w:lang w:val="pl-PL"/>
        </w:rPr>
        <w:t>ych</w:t>
      </w:r>
      <w:r w:rsidRPr="00BD22FE">
        <w:rPr>
          <w:sz w:val="22"/>
          <w:szCs w:val="22"/>
          <w:lang w:val="pl-PL"/>
        </w:rPr>
        <w:t xml:space="preserve"> u</w:t>
      </w:r>
      <w:r w:rsidR="00717A7B" w:rsidRPr="00BD22FE">
        <w:rPr>
          <w:sz w:val="22"/>
          <w:szCs w:val="22"/>
          <w:lang w:val="pl-PL"/>
        </w:rPr>
        <w:t> </w:t>
      </w:r>
      <w:r w:rsidRPr="00BD22FE">
        <w:rPr>
          <w:sz w:val="22"/>
          <w:szCs w:val="22"/>
          <w:lang w:val="pl-PL"/>
        </w:rPr>
        <w:t>25 620 pacjentów w</w:t>
      </w:r>
      <w:r w:rsidR="00717A7B" w:rsidRPr="00BD22FE">
        <w:rPr>
          <w:sz w:val="22"/>
          <w:szCs w:val="22"/>
          <w:lang w:val="pl-PL"/>
        </w:rPr>
        <w:t> </w:t>
      </w:r>
      <w:r w:rsidRPr="00BD22FE">
        <w:rPr>
          <w:sz w:val="22"/>
          <w:szCs w:val="22"/>
          <w:lang w:val="pl-PL"/>
        </w:rPr>
        <w:t xml:space="preserve">wieku 55 lat </w:t>
      </w:r>
      <w:r w:rsidR="00941A73" w:rsidRPr="00BD22FE">
        <w:rPr>
          <w:sz w:val="22"/>
          <w:szCs w:val="22"/>
          <w:lang w:val="pl-PL"/>
        </w:rPr>
        <w:t>i </w:t>
      </w:r>
      <w:r w:rsidRPr="00BD22FE">
        <w:rPr>
          <w:sz w:val="22"/>
          <w:szCs w:val="22"/>
          <w:lang w:val="pl-PL"/>
        </w:rPr>
        <w:t>starszych</w:t>
      </w:r>
      <w:r w:rsidR="00941A73" w:rsidRPr="00BD22FE">
        <w:rPr>
          <w:sz w:val="22"/>
          <w:szCs w:val="22"/>
          <w:lang w:val="pl-PL"/>
        </w:rPr>
        <w:t xml:space="preserve"> z </w:t>
      </w:r>
      <w:r w:rsidRPr="00BD22FE">
        <w:rPr>
          <w:sz w:val="22"/>
          <w:szCs w:val="22"/>
          <w:lang w:val="pl-PL"/>
        </w:rPr>
        <w:t>chorob</w:t>
      </w:r>
      <w:r w:rsidR="00941A73" w:rsidRPr="00BD22FE">
        <w:rPr>
          <w:sz w:val="22"/>
          <w:szCs w:val="22"/>
          <w:lang w:val="pl-PL"/>
        </w:rPr>
        <w:t>ą</w:t>
      </w:r>
      <w:r w:rsidRPr="00BD22FE">
        <w:rPr>
          <w:sz w:val="22"/>
          <w:szCs w:val="22"/>
          <w:lang w:val="pl-PL"/>
        </w:rPr>
        <w:t xml:space="preserve"> </w:t>
      </w:r>
      <w:r w:rsidR="00941A73" w:rsidRPr="00BD22FE">
        <w:rPr>
          <w:sz w:val="22"/>
          <w:szCs w:val="22"/>
          <w:lang w:val="pl-PL"/>
        </w:rPr>
        <w:t>niedokrwienną serca</w:t>
      </w:r>
      <w:r w:rsidRPr="00BD22FE">
        <w:rPr>
          <w:sz w:val="22"/>
          <w:szCs w:val="22"/>
          <w:lang w:val="pl-PL"/>
        </w:rPr>
        <w:t>, udar</w:t>
      </w:r>
      <w:r w:rsidR="00941A73" w:rsidRPr="00BD22FE">
        <w:rPr>
          <w:sz w:val="22"/>
          <w:szCs w:val="22"/>
          <w:lang w:val="pl-PL"/>
        </w:rPr>
        <w:t>em</w:t>
      </w:r>
      <w:r w:rsidRPr="00BD22FE">
        <w:rPr>
          <w:sz w:val="22"/>
          <w:szCs w:val="22"/>
          <w:lang w:val="pl-PL"/>
        </w:rPr>
        <w:t xml:space="preserve"> mózgu, przemijający</w:t>
      </w:r>
      <w:r w:rsidR="00941A73" w:rsidRPr="00BD22FE">
        <w:rPr>
          <w:sz w:val="22"/>
          <w:szCs w:val="22"/>
          <w:lang w:val="pl-PL"/>
        </w:rPr>
        <w:t>m</w:t>
      </w:r>
      <w:r w:rsidRPr="00BD22FE">
        <w:rPr>
          <w:sz w:val="22"/>
          <w:szCs w:val="22"/>
          <w:lang w:val="pl-PL"/>
        </w:rPr>
        <w:t xml:space="preserve"> </w:t>
      </w:r>
      <w:r w:rsidR="00941A73" w:rsidRPr="00BD22FE">
        <w:rPr>
          <w:sz w:val="22"/>
          <w:szCs w:val="22"/>
          <w:lang w:val="pl-PL"/>
        </w:rPr>
        <w:t xml:space="preserve">napadem </w:t>
      </w:r>
      <w:r w:rsidRPr="00BD22FE">
        <w:rPr>
          <w:sz w:val="22"/>
          <w:szCs w:val="22"/>
          <w:lang w:val="pl-PL"/>
        </w:rPr>
        <w:t>niedokrwienny</w:t>
      </w:r>
      <w:r w:rsidR="00941A73" w:rsidRPr="00BD22FE">
        <w:rPr>
          <w:sz w:val="22"/>
          <w:szCs w:val="22"/>
          <w:lang w:val="pl-PL"/>
        </w:rPr>
        <w:t>m,</w:t>
      </w:r>
      <w:r w:rsidRPr="00BD22FE">
        <w:rPr>
          <w:sz w:val="22"/>
          <w:szCs w:val="22"/>
          <w:lang w:val="pl-PL"/>
        </w:rPr>
        <w:t xml:space="preserve"> chorob</w:t>
      </w:r>
      <w:r w:rsidR="00941A73" w:rsidRPr="00BD22FE">
        <w:rPr>
          <w:sz w:val="22"/>
          <w:szCs w:val="22"/>
          <w:lang w:val="pl-PL"/>
        </w:rPr>
        <w:t>ą</w:t>
      </w:r>
      <w:r w:rsidRPr="00BD22FE">
        <w:rPr>
          <w:sz w:val="22"/>
          <w:szCs w:val="22"/>
          <w:lang w:val="pl-PL"/>
        </w:rPr>
        <w:t xml:space="preserve"> tętnic obwodowych lub cukrzyc</w:t>
      </w:r>
      <w:r w:rsidR="00941A73" w:rsidRPr="00BD22FE">
        <w:rPr>
          <w:sz w:val="22"/>
          <w:szCs w:val="22"/>
          <w:lang w:val="pl-PL"/>
        </w:rPr>
        <w:t>ą</w:t>
      </w:r>
      <w:r w:rsidRPr="00BD22FE">
        <w:rPr>
          <w:sz w:val="22"/>
          <w:szCs w:val="22"/>
          <w:lang w:val="pl-PL"/>
        </w:rPr>
        <w:t xml:space="preserve"> typu 2 z</w:t>
      </w:r>
      <w:r w:rsidR="00717A7B" w:rsidRPr="00BD22FE">
        <w:rPr>
          <w:sz w:val="22"/>
          <w:szCs w:val="22"/>
          <w:lang w:val="pl-PL"/>
        </w:rPr>
        <w:t> </w:t>
      </w:r>
      <w:r w:rsidR="00941A73" w:rsidRPr="00BD22FE">
        <w:rPr>
          <w:sz w:val="22"/>
          <w:szCs w:val="22"/>
          <w:lang w:val="pl-PL"/>
        </w:rPr>
        <w:t xml:space="preserve">powikłaniami </w:t>
      </w:r>
      <w:r w:rsidRPr="00BD22FE">
        <w:rPr>
          <w:sz w:val="22"/>
          <w:szCs w:val="22"/>
          <w:lang w:val="pl-PL"/>
        </w:rPr>
        <w:t>narządowym</w:t>
      </w:r>
      <w:r w:rsidR="00941A73" w:rsidRPr="00BD22FE">
        <w:rPr>
          <w:sz w:val="22"/>
          <w:szCs w:val="22"/>
          <w:lang w:val="pl-PL"/>
        </w:rPr>
        <w:t>i</w:t>
      </w:r>
      <w:r w:rsidRPr="00BD22FE">
        <w:rPr>
          <w:sz w:val="22"/>
          <w:szCs w:val="22"/>
          <w:lang w:val="pl-PL"/>
        </w:rPr>
        <w:t xml:space="preserve"> (np.</w:t>
      </w:r>
      <w:r w:rsidR="003B2ACA" w:rsidRPr="00BD22FE">
        <w:rPr>
          <w:sz w:val="22"/>
          <w:szCs w:val="22"/>
          <w:lang w:val="pl-PL"/>
        </w:rPr>
        <w:t> </w:t>
      </w:r>
      <w:r w:rsidR="00941A73" w:rsidRPr="00BD22FE">
        <w:rPr>
          <w:sz w:val="22"/>
          <w:szCs w:val="22"/>
          <w:lang w:val="pl-PL"/>
        </w:rPr>
        <w:t>z</w:t>
      </w:r>
      <w:r w:rsidR="003B2ACA" w:rsidRPr="00BD22FE">
        <w:rPr>
          <w:sz w:val="22"/>
          <w:szCs w:val="22"/>
          <w:lang w:val="pl-PL"/>
        </w:rPr>
        <w:t> </w:t>
      </w:r>
      <w:r w:rsidRPr="00BD22FE">
        <w:rPr>
          <w:sz w:val="22"/>
          <w:szCs w:val="22"/>
          <w:lang w:val="pl-PL"/>
        </w:rPr>
        <w:t xml:space="preserve">retinopatią, przerostem lewej komory serca, makro- </w:t>
      </w:r>
      <w:r w:rsidR="00941A73" w:rsidRPr="00BD22FE">
        <w:rPr>
          <w:sz w:val="22"/>
          <w:szCs w:val="22"/>
          <w:lang w:val="pl-PL"/>
        </w:rPr>
        <w:t>lub</w:t>
      </w:r>
      <w:r w:rsidR="00717A7B" w:rsidRPr="00BD22FE">
        <w:rPr>
          <w:sz w:val="22"/>
          <w:szCs w:val="22"/>
          <w:lang w:val="pl-PL"/>
        </w:rPr>
        <w:t> </w:t>
      </w:r>
      <w:r w:rsidRPr="00BD22FE">
        <w:rPr>
          <w:sz w:val="22"/>
          <w:szCs w:val="22"/>
          <w:lang w:val="pl-PL"/>
        </w:rPr>
        <w:t>mikroalbuminurią)</w:t>
      </w:r>
      <w:r w:rsidR="003B2ACA" w:rsidRPr="00BD22FE">
        <w:rPr>
          <w:sz w:val="22"/>
          <w:szCs w:val="22"/>
          <w:lang w:val="pl-PL"/>
        </w:rPr>
        <w:t xml:space="preserve"> w wywiadzie. </w:t>
      </w:r>
      <w:r w:rsidR="00941A73" w:rsidRPr="00BD22FE">
        <w:rPr>
          <w:sz w:val="22"/>
          <w:szCs w:val="22"/>
          <w:lang w:val="pl-PL"/>
        </w:rPr>
        <w:t>Jest to grupa pacjentów</w:t>
      </w:r>
      <w:r w:rsidR="00723A4D" w:rsidRPr="00BD22FE">
        <w:rPr>
          <w:sz w:val="22"/>
          <w:szCs w:val="22"/>
          <w:lang w:val="pl-PL"/>
        </w:rPr>
        <w:t xml:space="preserve"> </w:t>
      </w:r>
      <w:r w:rsidR="00941A73" w:rsidRPr="00BD22FE">
        <w:rPr>
          <w:sz w:val="22"/>
          <w:szCs w:val="22"/>
          <w:lang w:val="pl-PL"/>
        </w:rPr>
        <w:t>z </w:t>
      </w:r>
      <w:r w:rsidRPr="00BD22FE">
        <w:rPr>
          <w:sz w:val="22"/>
          <w:szCs w:val="22"/>
          <w:lang w:val="pl-PL"/>
        </w:rPr>
        <w:t xml:space="preserve">ryzykiem wystąpienia </w:t>
      </w:r>
      <w:r w:rsidR="00941A73" w:rsidRPr="00BD22FE">
        <w:rPr>
          <w:sz w:val="22"/>
          <w:szCs w:val="22"/>
          <w:lang w:val="pl-PL"/>
        </w:rPr>
        <w:t xml:space="preserve">chorób </w:t>
      </w:r>
      <w:r w:rsidRPr="00BD22FE">
        <w:rPr>
          <w:sz w:val="22"/>
          <w:szCs w:val="22"/>
          <w:lang w:val="pl-PL"/>
        </w:rPr>
        <w:t>sercowo-naczyniowych.</w:t>
      </w:r>
    </w:p>
    <w:p w14:paraId="6995EC6E" w14:textId="2654892A" w:rsidR="000016E2" w:rsidRPr="00BD22FE" w:rsidRDefault="000016E2" w:rsidP="00941FBF">
      <w:pPr>
        <w:pStyle w:val="BodyText"/>
        <w:spacing w:line="240" w:lineRule="auto"/>
        <w:jc w:val="left"/>
        <w:rPr>
          <w:sz w:val="22"/>
          <w:szCs w:val="22"/>
          <w:lang w:val="pl-PL"/>
        </w:rPr>
      </w:pPr>
    </w:p>
    <w:p w14:paraId="379C1B18" w14:textId="57843E1D" w:rsidR="000016E2" w:rsidRPr="00BD22FE" w:rsidRDefault="00104CA8" w:rsidP="00941FBF">
      <w:pPr>
        <w:pStyle w:val="BodyText"/>
        <w:spacing w:line="240" w:lineRule="auto"/>
        <w:jc w:val="left"/>
        <w:rPr>
          <w:sz w:val="22"/>
          <w:szCs w:val="22"/>
          <w:lang w:val="pl-PL"/>
        </w:rPr>
      </w:pPr>
      <w:r w:rsidRPr="00BD22FE">
        <w:rPr>
          <w:sz w:val="22"/>
          <w:szCs w:val="22"/>
          <w:lang w:val="pl-PL"/>
        </w:rPr>
        <w:t>Pacjen</w:t>
      </w:r>
      <w:r w:rsidR="00AD0200" w:rsidRPr="00BD22FE">
        <w:rPr>
          <w:sz w:val="22"/>
          <w:szCs w:val="22"/>
          <w:lang w:val="pl-PL"/>
        </w:rPr>
        <w:t>ci</w:t>
      </w:r>
      <w:r w:rsidRPr="00BD22FE">
        <w:rPr>
          <w:sz w:val="22"/>
          <w:szCs w:val="22"/>
          <w:lang w:val="pl-PL"/>
        </w:rPr>
        <w:t xml:space="preserve"> </w:t>
      </w:r>
      <w:r w:rsidR="00AD0200" w:rsidRPr="00BD22FE">
        <w:rPr>
          <w:sz w:val="22"/>
          <w:szCs w:val="22"/>
          <w:lang w:val="pl-PL"/>
        </w:rPr>
        <w:t xml:space="preserve">zostali </w:t>
      </w:r>
      <w:r w:rsidRPr="00BD22FE">
        <w:rPr>
          <w:sz w:val="22"/>
          <w:szCs w:val="22"/>
          <w:lang w:val="pl-PL"/>
        </w:rPr>
        <w:t>losowo przydziel</w:t>
      </w:r>
      <w:r w:rsidR="00AD0200" w:rsidRPr="00BD22FE">
        <w:rPr>
          <w:sz w:val="22"/>
          <w:szCs w:val="22"/>
          <w:lang w:val="pl-PL"/>
        </w:rPr>
        <w:t>eni</w:t>
      </w:r>
      <w:r w:rsidRPr="00BD22FE">
        <w:rPr>
          <w:sz w:val="22"/>
          <w:szCs w:val="22"/>
          <w:lang w:val="pl-PL"/>
        </w:rPr>
        <w:t xml:space="preserve"> do jednej z</w:t>
      </w:r>
      <w:r w:rsidR="00717A7B" w:rsidRPr="00BD22FE">
        <w:rPr>
          <w:sz w:val="22"/>
          <w:szCs w:val="22"/>
          <w:lang w:val="pl-PL"/>
        </w:rPr>
        <w:t> </w:t>
      </w:r>
      <w:r w:rsidRPr="00BD22FE">
        <w:rPr>
          <w:sz w:val="22"/>
          <w:szCs w:val="22"/>
          <w:lang w:val="pl-PL"/>
        </w:rPr>
        <w:t xml:space="preserve">następujących </w:t>
      </w:r>
      <w:r w:rsidR="00AD0200" w:rsidRPr="00BD22FE">
        <w:rPr>
          <w:sz w:val="22"/>
          <w:szCs w:val="22"/>
          <w:lang w:val="pl-PL"/>
        </w:rPr>
        <w:t xml:space="preserve">trzech badanych </w:t>
      </w:r>
      <w:r w:rsidRPr="00BD22FE">
        <w:rPr>
          <w:sz w:val="22"/>
          <w:szCs w:val="22"/>
          <w:lang w:val="pl-PL"/>
        </w:rPr>
        <w:t>grup: telmisartan 80 mg (n</w:t>
      </w:r>
      <w:r w:rsidR="001E0877" w:rsidRPr="00BD22FE">
        <w:rPr>
          <w:sz w:val="22"/>
          <w:szCs w:val="22"/>
          <w:lang w:val="pl-PL"/>
        </w:rPr>
        <w:t> </w:t>
      </w:r>
      <w:r w:rsidRPr="00BD22FE">
        <w:rPr>
          <w:sz w:val="22"/>
          <w:szCs w:val="22"/>
          <w:lang w:val="pl-PL"/>
        </w:rPr>
        <w:t>=</w:t>
      </w:r>
      <w:r w:rsidR="001E0877" w:rsidRPr="00BD22FE">
        <w:rPr>
          <w:sz w:val="22"/>
          <w:szCs w:val="22"/>
          <w:lang w:val="pl-PL"/>
        </w:rPr>
        <w:t> </w:t>
      </w:r>
      <w:r w:rsidRPr="00BD22FE">
        <w:rPr>
          <w:sz w:val="22"/>
          <w:szCs w:val="22"/>
          <w:lang w:val="pl-PL"/>
        </w:rPr>
        <w:t>8 542), ramipryl 10 mg (n</w:t>
      </w:r>
      <w:r w:rsidR="001E0877" w:rsidRPr="00BD22FE">
        <w:rPr>
          <w:sz w:val="22"/>
          <w:szCs w:val="22"/>
          <w:lang w:val="pl-PL"/>
        </w:rPr>
        <w:t> </w:t>
      </w:r>
      <w:r w:rsidRPr="00BD22FE">
        <w:rPr>
          <w:sz w:val="22"/>
          <w:szCs w:val="22"/>
          <w:lang w:val="pl-PL"/>
        </w:rPr>
        <w:t>=</w:t>
      </w:r>
      <w:r w:rsidR="001E0877" w:rsidRPr="00BD22FE">
        <w:rPr>
          <w:sz w:val="22"/>
          <w:szCs w:val="22"/>
          <w:lang w:val="pl-PL"/>
        </w:rPr>
        <w:t> </w:t>
      </w:r>
      <w:r w:rsidRPr="00BD22FE">
        <w:rPr>
          <w:sz w:val="22"/>
          <w:szCs w:val="22"/>
          <w:lang w:val="pl-PL"/>
        </w:rPr>
        <w:t>8 576)</w:t>
      </w:r>
      <w:r w:rsidR="00AD0200" w:rsidRPr="00BD22FE">
        <w:rPr>
          <w:sz w:val="22"/>
          <w:szCs w:val="22"/>
          <w:lang w:val="pl-PL"/>
        </w:rPr>
        <w:t>, terapia skojarzona</w:t>
      </w:r>
      <w:r w:rsidRPr="00BD22FE">
        <w:rPr>
          <w:sz w:val="22"/>
          <w:szCs w:val="22"/>
          <w:lang w:val="pl-PL"/>
        </w:rPr>
        <w:t xml:space="preserve"> </w:t>
      </w:r>
      <w:r w:rsidR="00AD0200" w:rsidRPr="00BD22FE">
        <w:rPr>
          <w:sz w:val="22"/>
          <w:szCs w:val="22"/>
          <w:lang w:val="pl-PL"/>
        </w:rPr>
        <w:t xml:space="preserve">w postaci </w:t>
      </w:r>
      <w:r w:rsidRPr="00BD22FE">
        <w:rPr>
          <w:sz w:val="22"/>
          <w:szCs w:val="22"/>
          <w:lang w:val="pl-PL"/>
        </w:rPr>
        <w:t>telmisartan</w:t>
      </w:r>
      <w:r w:rsidR="00AD0200" w:rsidRPr="00BD22FE">
        <w:rPr>
          <w:sz w:val="22"/>
          <w:szCs w:val="22"/>
          <w:lang w:val="pl-PL"/>
        </w:rPr>
        <w:t>u</w:t>
      </w:r>
      <w:r w:rsidRPr="00BD22FE">
        <w:rPr>
          <w:sz w:val="22"/>
          <w:szCs w:val="22"/>
          <w:lang w:val="pl-PL"/>
        </w:rPr>
        <w:t xml:space="preserve"> 80 mg </w:t>
      </w:r>
      <w:r w:rsidR="00AD0200" w:rsidRPr="00BD22FE">
        <w:rPr>
          <w:sz w:val="22"/>
          <w:szCs w:val="22"/>
          <w:lang w:val="pl-PL"/>
        </w:rPr>
        <w:t>z</w:t>
      </w:r>
      <w:r w:rsidR="00717A7B" w:rsidRPr="00BD22FE">
        <w:rPr>
          <w:sz w:val="22"/>
          <w:szCs w:val="22"/>
          <w:lang w:val="pl-PL"/>
        </w:rPr>
        <w:t> </w:t>
      </w:r>
      <w:r w:rsidRPr="00BD22FE">
        <w:rPr>
          <w:sz w:val="22"/>
          <w:szCs w:val="22"/>
          <w:lang w:val="pl-PL"/>
        </w:rPr>
        <w:t>ramipryl</w:t>
      </w:r>
      <w:r w:rsidR="00AD0200" w:rsidRPr="00BD22FE">
        <w:rPr>
          <w:sz w:val="22"/>
          <w:szCs w:val="22"/>
          <w:lang w:val="pl-PL"/>
        </w:rPr>
        <w:t>em</w:t>
      </w:r>
      <w:r w:rsidRPr="00BD22FE">
        <w:rPr>
          <w:sz w:val="22"/>
          <w:szCs w:val="22"/>
          <w:lang w:val="pl-PL"/>
        </w:rPr>
        <w:t xml:space="preserve"> 10 mg (n</w:t>
      </w:r>
      <w:r w:rsidR="001E0877" w:rsidRPr="00BD22FE">
        <w:rPr>
          <w:sz w:val="22"/>
          <w:szCs w:val="22"/>
          <w:lang w:val="pl-PL"/>
        </w:rPr>
        <w:t> </w:t>
      </w:r>
      <w:r w:rsidRPr="00BD22FE">
        <w:rPr>
          <w:sz w:val="22"/>
          <w:szCs w:val="22"/>
          <w:lang w:val="pl-PL"/>
        </w:rPr>
        <w:t>=</w:t>
      </w:r>
      <w:r w:rsidR="001E0877" w:rsidRPr="00BD22FE">
        <w:rPr>
          <w:sz w:val="22"/>
          <w:szCs w:val="22"/>
          <w:lang w:val="pl-PL"/>
        </w:rPr>
        <w:t> </w:t>
      </w:r>
      <w:r w:rsidRPr="00BD22FE">
        <w:rPr>
          <w:sz w:val="22"/>
          <w:szCs w:val="22"/>
          <w:lang w:val="pl-PL"/>
        </w:rPr>
        <w:t>8 502)</w:t>
      </w:r>
      <w:r w:rsidR="00AD0200" w:rsidRPr="00BD22FE">
        <w:rPr>
          <w:sz w:val="22"/>
          <w:szCs w:val="22"/>
          <w:lang w:val="pl-PL"/>
        </w:rPr>
        <w:t>, a następnie</w:t>
      </w:r>
      <w:r w:rsidRPr="00BD22FE">
        <w:rPr>
          <w:sz w:val="22"/>
          <w:szCs w:val="22"/>
          <w:lang w:val="pl-PL"/>
        </w:rPr>
        <w:t xml:space="preserve"> </w:t>
      </w:r>
      <w:r w:rsidR="00AD0200" w:rsidRPr="00BD22FE">
        <w:rPr>
          <w:sz w:val="22"/>
          <w:szCs w:val="22"/>
          <w:lang w:val="pl-PL"/>
        </w:rPr>
        <w:t>byli</w:t>
      </w:r>
      <w:r w:rsidRPr="00BD22FE">
        <w:rPr>
          <w:sz w:val="22"/>
          <w:szCs w:val="22"/>
          <w:lang w:val="pl-PL"/>
        </w:rPr>
        <w:t xml:space="preserve"> obserw</w:t>
      </w:r>
      <w:r w:rsidR="00AD0200" w:rsidRPr="00BD22FE">
        <w:rPr>
          <w:sz w:val="22"/>
          <w:szCs w:val="22"/>
          <w:lang w:val="pl-PL"/>
        </w:rPr>
        <w:t>owani</w:t>
      </w:r>
      <w:r w:rsidRPr="00BD22FE">
        <w:rPr>
          <w:sz w:val="22"/>
          <w:szCs w:val="22"/>
          <w:lang w:val="pl-PL"/>
        </w:rPr>
        <w:t xml:space="preserve"> </w:t>
      </w:r>
      <w:r w:rsidR="00AD0200" w:rsidRPr="00BD22FE">
        <w:rPr>
          <w:sz w:val="22"/>
          <w:szCs w:val="22"/>
          <w:lang w:val="pl-PL"/>
        </w:rPr>
        <w:t xml:space="preserve">przez średni okres </w:t>
      </w:r>
      <w:r w:rsidRPr="00BD22FE">
        <w:rPr>
          <w:sz w:val="22"/>
          <w:szCs w:val="22"/>
          <w:lang w:val="pl-PL"/>
        </w:rPr>
        <w:t>4,5 roku.</w:t>
      </w:r>
    </w:p>
    <w:p w14:paraId="7AC8271B" w14:textId="77777777" w:rsidR="000016E2" w:rsidRPr="00BD22FE" w:rsidRDefault="000016E2" w:rsidP="00941FBF">
      <w:pPr>
        <w:rPr>
          <w:sz w:val="22"/>
          <w:szCs w:val="22"/>
          <w:lang w:val="pl-PL"/>
        </w:rPr>
      </w:pPr>
    </w:p>
    <w:p w14:paraId="2CCBDA0B" w14:textId="48036491" w:rsidR="003A7E3D" w:rsidRPr="00BD22FE" w:rsidRDefault="00E3298B" w:rsidP="00941FBF">
      <w:pPr>
        <w:pStyle w:val="BodyText"/>
        <w:spacing w:line="240" w:lineRule="auto"/>
        <w:jc w:val="left"/>
        <w:rPr>
          <w:sz w:val="22"/>
          <w:szCs w:val="22"/>
          <w:lang w:val="pl-PL"/>
        </w:rPr>
      </w:pPr>
      <w:r w:rsidRPr="00BD22FE">
        <w:rPr>
          <w:sz w:val="22"/>
          <w:szCs w:val="22"/>
          <w:lang w:val="pl-PL"/>
        </w:rPr>
        <w:t>T</w:t>
      </w:r>
      <w:r w:rsidR="00104CA8" w:rsidRPr="00BD22FE">
        <w:rPr>
          <w:sz w:val="22"/>
          <w:szCs w:val="22"/>
          <w:lang w:val="pl-PL"/>
        </w:rPr>
        <w:t>elmisartan</w:t>
      </w:r>
      <w:r w:rsidRPr="00BD22FE">
        <w:rPr>
          <w:sz w:val="22"/>
          <w:szCs w:val="22"/>
          <w:lang w:val="pl-PL"/>
        </w:rPr>
        <w:t xml:space="preserve"> wykazał podobną skuteczność</w:t>
      </w:r>
      <w:r w:rsidR="00104CA8" w:rsidRPr="00BD22FE">
        <w:rPr>
          <w:sz w:val="22"/>
          <w:szCs w:val="22"/>
          <w:lang w:val="pl-PL"/>
        </w:rPr>
        <w:t xml:space="preserve"> </w:t>
      </w:r>
      <w:r w:rsidRPr="00BD22FE">
        <w:rPr>
          <w:sz w:val="22"/>
          <w:szCs w:val="22"/>
          <w:lang w:val="pl-PL"/>
        </w:rPr>
        <w:t>do</w:t>
      </w:r>
      <w:r w:rsidR="00717A7B" w:rsidRPr="00BD22FE">
        <w:rPr>
          <w:sz w:val="22"/>
          <w:szCs w:val="22"/>
          <w:lang w:val="pl-PL"/>
        </w:rPr>
        <w:t> </w:t>
      </w:r>
      <w:r w:rsidR="00104CA8" w:rsidRPr="00BD22FE">
        <w:rPr>
          <w:sz w:val="22"/>
          <w:szCs w:val="22"/>
          <w:lang w:val="pl-PL"/>
        </w:rPr>
        <w:t>ramiprylu w</w:t>
      </w:r>
      <w:r w:rsidR="00717A7B" w:rsidRPr="00BD22FE">
        <w:rPr>
          <w:sz w:val="22"/>
          <w:szCs w:val="22"/>
          <w:lang w:val="pl-PL"/>
        </w:rPr>
        <w:t> </w:t>
      </w:r>
      <w:r w:rsidR="00104CA8" w:rsidRPr="00BD22FE">
        <w:rPr>
          <w:sz w:val="22"/>
          <w:szCs w:val="22"/>
          <w:lang w:val="pl-PL"/>
        </w:rPr>
        <w:t>zmniejsz</w:t>
      </w:r>
      <w:r w:rsidRPr="00BD22FE">
        <w:rPr>
          <w:sz w:val="22"/>
          <w:szCs w:val="22"/>
          <w:lang w:val="pl-PL"/>
        </w:rPr>
        <w:t>aniu</w:t>
      </w:r>
      <w:r w:rsidR="00104CA8" w:rsidRPr="00BD22FE">
        <w:rPr>
          <w:sz w:val="22"/>
          <w:szCs w:val="22"/>
          <w:lang w:val="pl-PL"/>
        </w:rPr>
        <w:t xml:space="preserve"> częstości występowania pierwszorzędowego złożonego punktu końcowego</w:t>
      </w:r>
      <w:r w:rsidR="00B121B9" w:rsidRPr="00BD22FE">
        <w:rPr>
          <w:sz w:val="22"/>
          <w:szCs w:val="22"/>
          <w:lang w:val="pl-PL"/>
        </w:rPr>
        <w:t>, na który składał się</w:t>
      </w:r>
      <w:r w:rsidR="003B2ACA" w:rsidRPr="00BD22FE">
        <w:rPr>
          <w:sz w:val="22"/>
          <w:szCs w:val="22"/>
          <w:lang w:val="pl-PL"/>
        </w:rPr>
        <w:t xml:space="preserve"> </w:t>
      </w:r>
      <w:r w:rsidR="00104CA8" w:rsidRPr="00BD22FE">
        <w:rPr>
          <w:sz w:val="22"/>
          <w:szCs w:val="22"/>
          <w:lang w:val="pl-PL"/>
        </w:rPr>
        <w:t>zgon z</w:t>
      </w:r>
      <w:r w:rsidR="00717A7B" w:rsidRPr="00BD22FE">
        <w:rPr>
          <w:sz w:val="22"/>
          <w:szCs w:val="22"/>
          <w:lang w:val="pl-PL"/>
        </w:rPr>
        <w:t> </w:t>
      </w:r>
      <w:r w:rsidR="00104CA8" w:rsidRPr="00BD22FE">
        <w:rPr>
          <w:sz w:val="22"/>
          <w:szCs w:val="22"/>
          <w:lang w:val="pl-PL"/>
        </w:rPr>
        <w:t xml:space="preserve">przyczyn sercowo-naczyniowych, zawał </w:t>
      </w:r>
      <w:r w:rsidR="00B121B9" w:rsidRPr="00BD22FE">
        <w:rPr>
          <w:sz w:val="22"/>
          <w:szCs w:val="22"/>
          <w:lang w:val="pl-PL"/>
        </w:rPr>
        <w:t>serca</w:t>
      </w:r>
      <w:r w:rsidR="00104CA8" w:rsidRPr="00BD22FE">
        <w:rPr>
          <w:sz w:val="22"/>
          <w:szCs w:val="22"/>
          <w:lang w:val="pl-PL"/>
        </w:rPr>
        <w:t xml:space="preserve"> niezakończony zgonem, udar mózgu niezakończony zgonem lub hospitalizacja z</w:t>
      </w:r>
      <w:r w:rsidR="00717A7B" w:rsidRPr="00BD22FE">
        <w:rPr>
          <w:sz w:val="22"/>
          <w:szCs w:val="22"/>
          <w:lang w:val="pl-PL"/>
        </w:rPr>
        <w:t> </w:t>
      </w:r>
      <w:r w:rsidR="00104CA8" w:rsidRPr="00BD22FE">
        <w:rPr>
          <w:sz w:val="22"/>
          <w:szCs w:val="22"/>
          <w:lang w:val="pl-PL"/>
        </w:rPr>
        <w:t xml:space="preserve">powodu zastoinowej niewydolności serca. </w:t>
      </w:r>
      <w:r w:rsidR="00974063" w:rsidRPr="00BD22FE">
        <w:rPr>
          <w:sz w:val="22"/>
          <w:szCs w:val="22"/>
          <w:lang w:val="pl-PL"/>
        </w:rPr>
        <w:t>Częstość występowania p</w:t>
      </w:r>
      <w:r w:rsidR="00104CA8" w:rsidRPr="00BD22FE">
        <w:rPr>
          <w:sz w:val="22"/>
          <w:szCs w:val="22"/>
          <w:lang w:val="pl-PL"/>
        </w:rPr>
        <w:t>ierwszorzędow</w:t>
      </w:r>
      <w:r w:rsidR="00974063" w:rsidRPr="00BD22FE">
        <w:rPr>
          <w:sz w:val="22"/>
          <w:szCs w:val="22"/>
          <w:lang w:val="pl-PL"/>
        </w:rPr>
        <w:t>ego</w:t>
      </w:r>
      <w:r w:rsidR="00104CA8" w:rsidRPr="00BD22FE">
        <w:rPr>
          <w:sz w:val="22"/>
          <w:szCs w:val="22"/>
          <w:lang w:val="pl-PL"/>
        </w:rPr>
        <w:t xml:space="preserve"> punkt</w:t>
      </w:r>
      <w:r w:rsidR="00974063" w:rsidRPr="00BD22FE">
        <w:rPr>
          <w:sz w:val="22"/>
          <w:szCs w:val="22"/>
          <w:lang w:val="pl-PL"/>
        </w:rPr>
        <w:t>u</w:t>
      </w:r>
      <w:r w:rsidR="00104CA8" w:rsidRPr="00BD22FE">
        <w:rPr>
          <w:sz w:val="22"/>
          <w:szCs w:val="22"/>
          <w:lang w:val="pl-PL"/>
        </w:rPr>
        <w:t xml:space="preserve"> końcow</w:t>
      </w:r>
      <w:r w:rsidR="00974063" w:rsidRPr="00BD22FE">
        <w:rPr>
          <w:sz w:val="22"/>
          <w:szCs w:val="22"/>
          <w:lang w:val="pl-PL"/>
        </w:rPr>
        <w:t>ego</w:t>
      </w:r>
      <w:r w:rsidR="00104CA8" w:rsidRPr="00BD22FE">
        <w:rPr>
          <w:sz w:val="22"/>
          <w:szCs w:val="22"/>
          <w:lang w:val="pl-PL"/>
        </w:rPr>
        <w:t xml:space="preserve"> </w:t>
      </w:r>
      <w:r w:rsidR="00974063" w:rsidRPr="00BD22FE">
        <w:rPr>
          <w:sz w:val="22"/>
          <w:szCs w:val="22"/>
          <w:lang w:val="pl-PL"/>
        </w:rPr>
        <w:t>była porównywalna w grupie</w:t>
      </w:r>
      <w:r w:rsidR="00104CA8" w:rsidRPr="00BD22FE">
        <w:rPr>
          <w:sz w:val="22"/>
          <w:szCs w:val="22"/>
          <w:lang w:val="pl-PL"/>
        </w:rPr>
        <w:t xml:space="preserve"> telmisartan</w:t>
      </w:r>
      <w:r w:rsidR="00974063" w:rsidRPr="00BD22FE">
        <w:rPr>
          <w:sz w:val="22"/>
          <w:szCs w:val="22"/>
          <w:lang w:val="pl-PL"/>
        </w:rPr>
        <w:t>u</w:t>
      </w:r>
      <w:r w:rsidR="00104CA8" w:rsidRPr="00BD22FE">
        <w:rPr>
          <w:sz w:val="22"/>
          <w:szCs w:val="22"/>
          <w:lang w:val="pl-PL"/>
        </w:rPr>
        <w:t xml:space="preserve"> (16,7%) i</w:t>
      </w:r>
      <w:r w:rsidR="00717A7B" w:rsidRPr="00BD22FE">
        <w:rPr>
          <w:sz w:val="22"/>
          <w:szCs w:val="22"/>
          <w:lang w:val="pl-PL"/>
        </w:rPr>
        <w:t> </w:t>
      </w:r>
      <w:r w:rsidR="00104CA8" w:rsidRPr="00BD22FE">
        <w:rPr>
          <w:sz w:val="22"/>
          <w:szCs w:val="22"/>
          <w:lang w:val="pl-PL"/>
        </w:rPr>
        <w:t>ramipryl</w:t>
      </w:r>
      <w:r w:rsidR="00974063" w:rsidRPr="00BD22FE">
        <w:rPr>
          <w:sz w:val="22"/>
          <w:szCs w:val="22"/>
          <w:lang w:val="pl-PL"/>
        </w:rPr>
        <w:t>u</w:t>
      </w:r>
      <w:r w:rsidR="00104CA8" w:rsidRPr="00BD22FE">
        <w:rPr>
          <w:sz w:val="22"/>
          <w:szCs w:val="22"/>
          <w:lang w:val="pl-PL"/>
        </w:rPr>
        <w:t xml:space="preserve"> (16,5%). Współczynnik ryzyka dla telmisartanu </w:t>
      </w:r>
      <w:r w:rsidR="007A1267" w:rsidRPr="00BD22FE">
        <w:rPr>
          <w:sz w:val="22"/>
          <w:szCs w:val="22"/>
          <w:lang w:val="pl-PL"/>
        </w:rPr>
        <w:t xml:space="preserve">względem </w:t>
      </w:r>
      <w:r w:rsidR="00104CA8" w:rsidRPr="00BD22FE">
        <w:rPr>
          <w:sz w:val="22"/>
          <w:szCs w:val="22"/>
          <w:lang w:val="pl-PL"/>
        </w:rPr>
        <w:t>ramiprylu wyn</w:t>
      </w:r>
      <w:r w:rsidR="007A1267" w:rsidRPr="00BD22FE">
        <w:rPr>
          <w:sz w:val="22"/>
          <w:szCs w:val="22"/>
          <w:lang w:val="pl-PL"/>
        </w:rPr>
        <w:t>iós</w:t>
      </w:r>
      <w:r w:rsidR="00104CA8" w:rsidRPr="00BD22FE">
        <w:rPr>
          <w:sz w:val="22"/>
          <w:szCs w:val="22"/>
          <w:lang w:val="pl-PL"/>
        </w:rPr>
        <w:t>ł 1,</w:t>
      </w:r>
      <w:r w:rsidR="007A1267" w:rsidRPr="00BD22FE">
        <w:rPr>
          <w:sz w:val="22"/>
          <w:szCs w:val="22"/>
          <w:lang w:val="pl-PL"/>
        </w:rPr>
        <w:t>01 </w:t>
      </w:r>
      <w:r w:rsidR="00104CA8" w:rsidRPr="00BD22FE">
        <w:rPr>
          <w:sz w:val="22"/>
          <w:szCs w:val="22"/>
          <w:lang w:val="pl-PL"/>
        </w:rPr>
        <w:t>(97,5% CI 0,93</w:t>
      </w:r>
      <w:r w:rsidR="00104CA8" w:rsidRPr="00BD22FE">
        <w:rPr>
          <w:sz w:val="22"/>
          <w:szCs w:val="22"/>
          <w:lang w:val="pl-PL"/>
        </w:rPr>
        <w:noBreakHyphen/>
        <w:t>1,10), p (</w:t>
      </w:r>
      <w:r w:rsidR="007A1267" w:rsidRPr="00BD22FE">
        <w:rPr>
          <w:sz w:val="22"/>
          <w:szCs w:val="22"/>
          <w:lang w:val="pl-PL"/>
        </w:rPr>
        <w:t>nie gorszy niż</w:t>
      </w:r>
      <w:r w:rsidR="00104CA8" w:rsidRPr="00BD22FE">
        <w:rPr>
          <w:sz w:val="22"/>
          <w:szCs w:val="22"/>
          <w:lang w:val="pl-PL"/>
        </w:rPr>
        <w:t>) = 0,0019 z</w:t>
      </w:r>
      <w:r w:rsidR="00717A7B" w:rsidRPr="00BD22FE">
        <w:rPr>
          <w:sz w:val="22"/>
          <w:szCs w:val="22"/>
          <w:lang w:val="pl-PL"/>
        </w:rPr>
        <w:t> </w:t>
      </w:r>
      <w:r w:rsidR="00104CA8" w:rsidRPr="00BD22FE">
        <w:rPr>
          <w:sz w:val="22"/>
          <w:szCs w:val="22"/>
          <w:lang w:val="pl-PL"/>
        </w:rPr>
        <w:t xml:space="preserve">marginesem 1,13). </w:t>
      </w:r>
      <w:r w:rsidR="008F0B62" w:rsidRPr="00BD22FE">
        <w:rPr>
          <w:sz w:val="22"/>
          <w:szCs w:val="22"/>
          <w:lang w:val="pl-PL"/>
        </w:rPr>
        <w:t xml:space="preserve">Wskaźnik śmiertelności z przyczyn ogólnych wyniósł 11,6% i 11,8% odpowiednio w grupie </w:t>
      </w:r>
      <w:r w:rsidR="00104CA8" w:rsidRPr="00BD22FE">
        <w:rPr>
          <w:sz w:val="22"/>
          <w:szCs w:val="22"/>
          <w:lang w:val="pl-PL"/>
        </w:rPr>
        <w:t xml:space="preserve">pacjentów </w:t>
      </w:r>
      <w:r w:rsidR="008F0B62" w:rsidRPr="00BD22FE">
        <w:rPr>
          <w:sz w:val="22"/>
          <w:szCs w:val="22"/>
          <w:lang w:val="pl-PL"/>
        </w:rPr>
        <w:t xml:space="preserve">otrzymujących </w:t>
      </w:r>
      <w:r w:rsidR="00104CA8" w:rsidRPr="00BD22FE">
        <w:rPr>
          <w:sz w:val="22"/>
          <w:szCs w:val="22"/>
          <w:lang w:val="pl-PL"/>
        </w:rPr>
        <w:t>telmisartan i</w:t>
      </w:r>
      <w:r w:rsidR="00717A7B" w:rsidRPr="00BD22FE">
        <w:rPr>
          <w:sz w:val="22"/>
          <w:szCs w:val="22"/>
          <w:lang w:val="pl-PL"/>
        </w:rPr>
        <w:t> </w:t>
      </w:r>
      <w:r w:rsidR="00104CA8" w:rsidRPr="00BD22FE">
        <w:rPr>
          <w:sz w:val="22"/>
          <w:szCs w:val="22"/>
          <w:lang w:val="pl-PL"/>
        </w:rPr>
        <w:t>ramipryl</w:t>
      </w:r>
      <w:r w:rsidR="003B2ACA" w:rsidRPr="00BD22FE">
        <w:rPr>
          <w:sz w:val="22"/>
          <w:szCs w:val="22"/>
          <w:lang w:val="pl-PL"/>
        </w:rPr>
        <w:t>.</w:t>
      </w:r>
    </w:p>
    <w:p w14:paraId="3B0F95D3" w14:textId="44D9CC02" w:rsidR="000016E2" w:rsidRPr="00BD22FE" w:rsidRDefault="000016E2" w:rsidP="00941FBF">
      <w:pPr>
        <w:rPr>
          <w:sz w:val="22"/>
          <w:szCs w:val="22"/>
          <w:lang w:val="pl-PL"/>
        </w:rPr>
      </w:pPr>
    </w:p>
    <w:p w14:paraId="1A8DBA10" w14:textId="2238551B" w:rsidR="003A7E3D" w:rsidRPr="00BD22FE" w:rsidRDefault="008F0B62" w:rsidP="00941FBF">
      <w:pPr>
        <w:pStyle w:val="BodyText"/>
        <w:spacing w:line="240" w:lineRule="auto"/>
        <w:jc w:val="left"/>
        <w:rPr>
          <w:sz w:val="22"/>
          <w:szCs w:val="22"/>
          <w:lang w:val="pl-PL"/>
        </w:rPr>
      </w:pPr>
      <w:r w:rsidRPr="00BD22FE">
        <w:rPr>
          <w:sz w:val="22"/>
          <w:szCs w:val="22"/>
          <w:lang w:val="pl-PL"/>
        </w:rPr>
        <w:t xml:space="preserve">Telmisartan okazał się podobnie skuteczny jak </w:t>
      </w:r>
      <w:r w:rsidR="00104CA8" w:rsidRPr="00BD22FE">
        <w:rPr>
          <w:sz w:val="22"/>
          <w:szCs w:val="22"/>
          <w:lang w:val="pl-PL"/>
        </w:rPr>
        <w:t xml:space="preserve">ramipryl </w:t>
      </w:r>
      <w:r w:rsidRPr="00BD22FE">
        <w:rPr>
          <w:sz w:val="22"/>
          <w:szCs w:val="22"/>
          <w:lang w:val="pl-PL"/>
        </w:rPr>
        <w:t>pod względem zapobiegania wcześniej ustalonemu</w:t>
      </w:r>
      <w:r w:rsidRPr="00BD22FE" w:rsidDel="008F0B62">
        <w:rPr>
          <w:sz w:val="22"/>
          <w:szCs w:val="22"/>
          <w:lang w:val="pl-PL"/>
        </w:rPr>
        <w:t xml:space="preserve"> </w:t>
      </w:r>
      <w:r w:rsidR="00104CA8" w:rsidRPr="00BD22FE">
        <w:rPr>
          <w:sz w:val="22"/>
          <w:szCs w:val="22"/>
          <w:lang w:val="pl-PL"/>
        </w:rPr>
        <w:t>drugorzędowe</w:t>
      </w:r>
      <w:r w:rsidRPr="00BD22FE">
        <w:rPr>
          <w:sz w:val="22"/>
          <w:szCs w:val="22"/>
          <w:lang w:val="pl-PL"/>
        </w:rPr>
        <w:t>mu</w:t>
      </w:r>
      <w:r w:rsidR="00104CA8" w:rsidRPr="00BD22FE">
        <w:rPr>
          <w:sz w:val="22"/>
          <w:szCs w:val="22"/>
          <w:lang w:val="pl-PL"/>
        </w:rPr>
        <w:t xml:space="preserve"> punkt</w:t>
      </w:r>
      <w:r w:rsidRPr="00BD22FE">
        <w:rPr>
          <w:sz w:val="22"/>
          <w:szCs w:val="22"/>
          <w:lang w:val="pl-PL"/>
        </w:rPr>
        <w:t>owi</w:t>
      </w:r>
      <w:r w:rsidR="00104CA8" w:rsidRPr="00BD22FE">
        <w:rPr>
          <w:sz w:val="22"/>
          <w:szCs w:val="22"/>
          <w:lang w:val="pl-PL"/>
        </w:rPr>
        <w:t xml:space="preserve"> końcowe</w:t>
      </w:r>
      <w:r w:rsidRPr="00BD22FE">
        <w:rPr>
          <w:sz w:val="22"/>
          <w:szCs w:val="22"/>
          <w:lang w:val="pl-PL"/>
        </w:rPr>
        <w:t>mu, składającemu się ze</w:t>
      </w:r>
      <w:r w:rsidR="00104CA8" w:rsidRPr="00BD22FE">
        <w:rPr>
          <w:sz w:val="22"/>
          <w:szCs w:val="22"/>
          <w:lang w:val="pl-PL"/>
        </w:rPr>
        <w:t xml:space="preserve"> zgon</w:t>
      </w:r>
      <w:r w:rsidRPr="00BD22FE">
        <w:rPr>
          <w:sz w:val="22"/>
          <w:szCs w:val="22"/>
          <w:lang w:val="pl-PL"/>
        </w:rPr>
        <w:t>u</w:t>
      </w:r>
      <w:r w:rsidR="00104CA8" w:rsidRPr="00BD22FE">
        <w:rPr>
          <w:sz w:val="22"/>
          <w:szCs w:val="22"/>
          <w:lang w:val="pl-PL"/>
        </w:rPr>
        <w:t xml:space="preserve"> z</w:t>
      </w:r>
      <w:r w:rsidR="00717A7B" w:rsidRPr="00BD22FE">
        <w:rPr>
          <w:sz w:val="22"/>
          <w:szCs w:val="22"/>
          <w:lang w:val="pl-PL"/>
        </w:rPr>
        <w:t> </w:t>
      </w:r>
      <w:r w:rsidR="00104CA8" w:rsidRPr="00BD22FE">
        <w:rPr>
          <w:sz w:val="22"/>
          <w:szCs w:val="22"/>
          <w:lang w:val="pl-PL"/>
        </w:rPr>
        <w:t>przyczyn sercowo-naczyniowych, zawał</w:t>
      </w:r>
      <w:r w:rsidRPr="00BD22FE">
        <w:rPr>
          <w:sz w:val="22"/>
          <w:szCs w:val="22"/>
          <w:lang w:val="pl-PL"/>
        </w:rPr>
        <w:t>u</w:t>
      </w:r>
      <w:r w:rsidR="00104CA8" w:rsidRPr="00BD22FE">
        <w:rPr>
          <w:sz w:val="22"/>
          <w:szCs w:val="22"/>
          <w:lang w:val="pl-PL"/>
        </w:rPr>
        <w:t xml:space="preserve"> serc</w:t>
      </w:r>
      <w:r w:rsidRPr="00BD22FE">
        <w:rPr>
          <w:sz w:val="22"/>
          <w:szCs w:val="22"/>
          <w:lang w:val="pl-PL"/>
        </w:rPr>
        <w:t>a</w:t>
      </w:r>
      <w:r w:rsidR="00104CA8" w:rsidRPr="00BD22FE">
        <w:rPr>
          <w:sz w:val="22"/>
          <w:szCs w:val="22"/>
          <w:lang w:val="pl-PL"/>
        </w:rPr>
        <w:t xml:space="preserve"> niezakończon</w:t>
      </w:r>
      <w:r w:rsidRPr="00BD22FE">
        <w:rPr>
          <w:sz w:val="22"/>
          <w:szCs w:val="22"/>
          <w:lang w:val="pl-PL"/>
        </w:rPr>
        <w:t>ego</w:t>
      </w:r>
      <w:r w:rsidR="00104CA8" w:rsidRPr="00BD22FE">
        <w:rPr>
          <w:sz w:val="22"/>
          <w:szCs w:val="22"/>
          <w:lang w:val="pl-PL"/>
        </w:rPr>
        <w:t xml:space="preserve"> zgonem i</w:t>
      </w:r>
      <w:r w:rsidR="00717A7B" w:rsidRPr="00BD22FE">
        <w:rPr>
          <w:sz w:val="22"/>
          <w:szCs w:val="22"/>
          <w:lang w:val="pl-PL"/>
        </w:rPr>
        <w:t> </w:t>
      </w:r>
      <w:r w:rsidR="00104CA8" w:rsidRPr="00BD22FE">
        <w:rPr>
          <w:sz w:val="22"/>
          <w:szCs w:val="22"/>
          <w:lang w:val="pl-PL"/>
        </w:rPr>
        <w:t>udar</w:t>
      </w:r>
      <w:r w:rsidRPr="00BD22FE">
        <w:rPr>
          <w:sz w:val="22"/>
          <w:szCs w:val="22"/>
          <w:lang w:val="pl-PL"/>
        </w:rPr>
        <w:t>u</w:t>
      </w:r>
      <w:r w:rsidR="00104CA8" w:rsidRPr="00BD22FE">
        <w:rPr>
          <w:sz w:val="22"/>
          <w:szCs w:val="22"/>
          <w:lang w:val="pl-PL"/>
        </w:rPr>
        <w:t xml:space="preserve"> mózgu niezakończon</w:t>
      </w:r>
      <w:r w:rsidRPr="00BD22FE">
        <w:rPr>
          <w:sz w:val="22"/>
          <w:szCs w:val="22"/>
          <w:lang w:val="pl-PL"/>
        </w:rPr>
        <w:t>ego</w:t>
      </w:r>
      <w:r w:rsidR="00104CA8" w:rsidRPr="00BD22FE">
        <w:rPr>
          <w:sz w:val="22"/>
          <w:szCs w:val="22"/>
          <w:lang w:val="pl-PL"/>
        </w:rPr>
        <w:t xml:space="preserve"> zgonem [0,99 (97,5% CI 0,90</w:t>
      </w:r>
      <w:r w:rsidR="00104CA8" w:rsidRPr="00BD22FE">
        <w:rPr>
          <w:sz w:val="22"/>
          <w:szCs w:val="22"/>
          <w:lang w:val="pl-PL"/>
        </w:rPr>
        <w:noBreakHyphen/>
        <w:t>1,08), p (</w:t>
      </w:r>
      <w:r w:rsidRPr="00BD22FE">
        <w:rPr>
          <w:iCs/>
          <w:sz w:val="22"/>
          <w:szCs w:val="22"/>
          <w:lang w:val="pl-PL"/>
        </w:rPr>
        <w:t>nie gorszy niż</w:t>
      </w:r>
      <w:r w:rsidR="00104CA8" w:rsidRPr="00BD22FE">
        <w:rPr>
          <w:sz w:val="22"/>
          <w:szCs w:val="22"/>
          <w:lang w:val="pl-PL"/>
        </w:rPr>
        <w:t xml:space="preserve">) = 0,0004], </w:t>
      </w:r>
      <w:r w:rsidRPr="00BD22FE">
        <w:rPr>
          <w:sz w:val="22"/>
          <w:szCs w:val="22"/>
          <w:lang w:val="pl-PL"/>
        </w:rPr>
        <w:t xml:space="preserve">będącego </w:t>
      </w:r>
      <w:r w:rsidR="00104CA8" w:rsidRPr="00BD22FE">
        <w:rPr>
          <w:sz w:val="22"/>
          <w:szCs w:val="22"/>
          <w:lang w:val="pl-PL"/>
        </w:rPr>
        <w:t>pierwszorzędowy</w:t>
      </w:r>
      <w:r w:rsidRPr="00BD22FE">
        <w:rPr>
          <w:sz w:val="22"/>
          <w:szCs w:val="22"/>
          <w:lang w:val="pl-PL"/>
        </w:rPr>
        <w:t>m</w:t>
      </w:r>
      <w:r w:rsidR="00104CA8" w:rsidRPr="00BD22FE">
        <w:rPr>
          <w:sz w:val="22"/>
          <w:szCs w:val="22"/>
          <w:lang w:val="pl-PL"/>
        </w:rPr>
        <w:t xml:space="preserve"> punkt</w:t>
      </w:r>
      <w:r w:rsidRPr="00BD22FE">
        <w:rPr>
          <w:sz w:val="22"/>
          <w:szCs w:val="22"/>
          <w:lang w:val="pl-PL"/>
        </w:rPr>
        <w:t>em</w:t>
      </w:r>
      <w:r w:rsidR="00104CA8" w:rsidRPr="00BD22FE">
        <w:rPr>
          <w:sz w:val="22"/>
          <w:szCs w:val="22"/>
          <w:lang w:val="pl-PL"/>
        </w:rPr>
        <w:t xml:space="preserve"> końcowy</w:t>
      </w:r>
      <w:r w:rsidRPr="00BD22FE">
        <w:rPr>
          <w:sz w:val="22"/>
          <w:szCs w:val="22"/>
          <w:lang w:val="pl-PL"/>
        </w:rPr>
        <w:t>m</w:t>
      </w:r>
      <w:r w:rsidR="00104CA8" w:rsidRPr="00BD22FE">
        <w:rPr>
          <w:sz w:val="22"/>
          <w:szCs w:val="22"/>
          <w:lang w:val="pl-PL"/>
        </w:rPr>
        <w:t xml:space="preserve"> </w:t>
      </w:r>
      <w:r w:rsidR="00E465B5" w:rsidRPr="00BD22FE">
        <w:rPr>
          <w:sz w:val="22"/>
          <w:szCs w:val="22"/>
          <w:lang w:val="pl-PL"/>
        </w:rPr>
        <w:t xml:space="preserve">referencyjnego </w:t>
      </w:r>
      <w:r w:rsidR="00104CA8" w:rsidRPr="00BD22FE">
        <w:rPr>
          <w:sz w:val="22"/>
          <w:szCs w:val="22"/>
          <w:lang w:val="pl-PL"/>
        </w:rPr>
        <w:t>badani</w:t>
      </w:r>
      <w:r w:rsidR="00E465B5" w:rsidRPr="00BD22FE">
        <w:rPr>
          <w:sz w:val="22"/>
          <w:szCs w:val="22"/>
          <w:lang w:val="pl-PL"/>
        </w:rPr>
        <w:t>a</w:t>
      </w:r>
      <w:r w:rsidR="00104CA8" w:rsidRPr="00BD22FE">
        <w:rPr>
          <w:sz w:val="22"/>
          <w:szCs w:val="22"/>
          <w:lang w:val="pl-PL"/>
        </w:rPr>
        <w:t xml:space="preserve"> HOPE (</w:t>
      </w:r>
      <w:r w:rsidR="00104CA8" w:rsidRPr="00BD22FE">
        <w:rPr>
          <w:i/>
          <w:sz w:val="22"/>
          <w:szCs w:val="22"/>
          <w:lang w:val="pl-PL"/>
        </w:rPr>
        <w:t>The Heart Outcomes Prevention Evaluation Study</w:t>
      </w:r>
      <w:r w:rsidR="00104CA8" w:rsidRPr="00BD22FE">
        <w:rPr>
          <w:sz w:val="22"/>
          <w:szCs w:val="22"/>
          <w:lang w:val="pl-PL"/>
        </w:rPr>
        <w:t>), w</w:t>
      </w:r>
      <w:r w:rsidR="00717A7B" w:rsidRPr="00BD22FE">
        <w:rPr>
          <w:sz w:val="22"/>
          <w:szCs w:val="22"/>
          <w:lang w:val="pl-PL"/>
        </w:rPr>
        <w:t> </w:t>
      </w:r>
      <w:r w:rsidR="00104CA8" w:rsidRPr="00BD22FE">
        <w:rPr>
          <w:sz w:val="22"/>
          <w:szCs w:val="22"/>
          <w:lang w:val="pl-PL"/>
        </w:rPr>
        <w:t xml:space="preserve">którym porównywano działanie ramiprylu </w:t>
      </w:r>
      <w:r w:rsidR="00E465B5" w:rsidRPr="00BD22FE">
        <w:rPr>
          <w:sz w:val="22"/>
          <w:szCs w:val="22"/>
          <w:lang w:val="pl-PL"/>
        </w:rPr>
        <w:t>z </w:t>
      </w:r>
      <w:r w:rsidR="00104CA8" w:rsidRPr="00BD22FE">
        <w:rPr>
          <w:sz w:val="22"/>
          <w:szCs w:val="22"/>
          <w:lang w:val="pl-PL"/>
        </w:rPr>
        <w:t>placebo.</w:t>
      </w:r>
    </w:p>
    <w:p w14:paraId="1C12ADF4" w14:textId="2859DD5B" w:rsidR="000016E2" w:rsidRPr="00BD22FE" w:rsidRDefault="000016E2" w:rsidP="00941FBF">
      <w:pPr>
        <w:rPr>
          <w:sz w:val="22"/>
          <w:szCs w:val="22"/>
          <w:lang w:val="pl-PL"/>
        </w:rPr>
      </w:pPr>
    </w:p>
    <w:p w14:paraId="13A82284" w14:textId="7F21F249" w:rsidR="000016E2" w:rsidRPr="00BD22FE" w:rsidRDefault="00104CA8" w:rsidP="00941FBF">
      <w:pPr>
        <w:pStyle w:val="BodyText"/>
        <w:spacing w:line="240" w:lineRule="auto"/>
        <w:jc w:val="left"/>
        <w:rPr>
          <w:sz w:val="22"/>
          <w:szCs w:val="22"/>
          <w:lang w:val="pl-PL"/>
        </w:rPr>
      </w:pPr>
      <w:r w:rsidRPr="00BD22FE">
        <w:rPr>
          <w:sz w:val="22"/>
          <w:szCs w:val="22"/>
          <w:lang w:val="pl-PL"/>
        </w:rPr>
        <w:t>W</w:t>
      </w:r>
      <w:r w:rsidR="00717A7B" w:rsidRPr="00BD22FE">
        <w:rPr>
          <w:sz w:val="22"/>
          <w:szCs w:val="22"/>
          <w:lang w:val="pl-PL"/>
        </w:rPr>
        <w:t> </w:t>
      </w:r>
      <w:r w:rsidRPr="00BD22FE">
        <w:rPr>
          <w:sz w:val="22"/>
          <w:szCs w:val="22"/>
          <w:lang w:val="pl-PL"/>
        </w:rPr>
        <w:t>badaniu TRANSCEND pacjen</w:t>
      </w:r>
      <w:r w:rsidR="00DD6294" w:rsidRPr="00BD22FE">
        <w:rPr>
          <w:sz w:val="22"/>
          <w:szCs w:val="22"/>
          <w:lang w:val="pl-PL"/>
        </w:rPr>
        <w:t>ci</w:t>
      </w:r>
      <w:r w:rsidRPr="00BD22FE">
        <w:rPr>
          <w:sz w:val="22"/>
          <w:szCs w:val="22"/>
          <w:lang w:val="pl-PL"/>
        </w:rPr>
        <w:t xml:space="preserve"> z</w:t>
      </w:r>
      <w:r w:rsidR="00717A7B" w:rsidRPr="00BD22FE">
        <w:rPr>
          <w:sz w:val="22"/>
          <w:szCs w:val="22"/>
          <w:lang w:val="pl-PL"/>
        </w:rPr>
        <w:t> </w:t>
      </w:r>
      <w:r w:rsidRPr="00BD22FE">
        <w:rPr>
          <w:sz w:val="22"/>
          <w:szCs w:val="22"/>
          <w:lang w:val="pl-PL"/>
        </w:rPr>
        <w:t>nietolerancją inhibitorów ACE</w:t>
      </w:r>
      <w:r w:rsidR="003B3B44" w:rsidRPr="00BD22FE">
        <w:rPr>
          <w:sz w:val="22"/>
          <w:szCs w:val="22"/>
          <w:lang w:val="pl-PL"/>
        </w:rPr>
        <w:t xml:space="preserve"> zostali przydzieleni losowo według</w:t>
      </w:r>
      <w:r w:rsidRPr="00BD22FE">
        <w:rPr>
          <w:sz w:val="22"/>
          <w:szCs w:val="22"/>
          <w:lang w:val="pl-PL"/>
        </w:rPr>
        <w:t xml:space="preserve"> </w:t>
      </w:r>
      <w:r w:rsidR="003B3B44" w:rsidRPr="00BD22FE">
        <w:rPr>
          <w:sz w:val="22"/>
          <w:szCs w:val="22"/>
          <w:lang w:val="pl-PL"/>
        </w:rPr>
        <w:t>podobnych</w:t>
      </w:r>
      <w:r w:rsidRPr="00BD22FE">
        <w:rPr>
          <w:sz w:val="22"/>
          <w:szCs w:val="22"/>
          <w:lang w:val="pl-PL"/>
        </w:rPr>
        <w:t xml:space="preserve"> kryteri</w:t>
      </w:r>
      <w:r w:rsidR="003B3B44" w:rsidRPr="00BD22FE">
        <w:rPr>
          <w:sz w:val="22"/>
          <w:szCs w:val="22"/>
          <w:lang w:val="pl-PL"/>
        </w:rPr>
        <w:t>ów</w:t>
      </w:r>
      <w:r w:rsidRPr="00BD22FE">
        <w:rPr>
          <w:sz w:val="22"/>
          <w:szCs w:val="22"/>
          <w:lang w:val="pl-PL"/>
        </w:rPr>
        <w:t xml:space="preserve"> włączenia </w:t>
      </w:r>
      <w:r w:rsidR="003B3B44" w:rsidRPr="00BD22FE">
        <w:rPr>
          <w:sz w:val="22"/>
          <w:szCs w:val="22"/>
          <w:lang w:val="pl-PL"/>
        </w:rPr>
        <w:t xml:space="preserve">co </w:t>
      </w:r>
      <w:r w:rsidRPr="00BD22FE">
        <w:rPr>
          <w:sz w:val="22"/>
          <w:szCs w:val="22"/>
          <w:lang w:val="pl-PL"/>
        </w:rPr>
        <w:t xml:space="preserve">do badania ONTARGET do grupy </w:t>
      </w:r>
      <w:r w:rsidR="003B3B44" w:rsidRPr="00BD22FE">
        <w:rPr>
          <w:sz w:val="22"/>
          <w:szCs w:val="22"/>
          <w:lang w:val="pl-PL"/>
        </w:rPr>
        <w:t>stos</w:t>
      </w:r>
      <w:r w:rsidRPr="00BD22FE">
        <w:rPr>
          <w:sz w:val="22"/>
          <w:szCs w:val="22"/>
          <w:lang w:val="pl-PL"/>
        </w:rPr>
        <w:t>ującej telmisartan 80 mg (n</w:t>
      </w:r>
      <w:r w:rsidR="001E0877" w:rsidRPr="00BD22FE">
        <w:rPr>
          <w:sz w:val="22"/>
          <w:szCs w:val="22"/>
          <w:lang w:val="pl-PL"/>
        </w:rPr>
        <w:t> </w:t>
      </w:r>
      <w:r w:rsidRPr="00BD22FE">
        <w:rPr>
          <w:sz w:val="22"/>
          <w:szCs w:val="22"/>
          <w:lang w:val="pl-PL"/>
        </w:rPr>
        <w:t>=</w:t>
      </w:r>
      <w:r w:rsidR="001E0877" w:rsidRPr="00BD22FE">
        <w:rPr>
          <w:sz w:val="22"/>
          <w:szCs w:val="22"/>
          <w:lang w:val="pl-PL"/>
        </w:rPr>
        <w:t> </w:t>
      </w:r>
      <w:r w:rsidRPr="00BD22FE">
        <w:rPr>
          <w:sz w:val="22"/>
          <w:szCs w:val="22"/>
          <w:lang w:val="pl-PL"/>
        </w:rPr>
        <w:t>2 954) lub placebo (n</w:t>
      </w:r>
      <w:r w:rsidR="001E0877" w:rsidRPr="00BD22FE">
        <w:rPr>
          <w:sz w:val="22"/>
          <w:szCs w:val="22"/>
          <w:lang w:val="pl-PL"/>
        </w:rPr>
        <w:t> </w:t>
      </w:r>
      <w:r w:rsidRPr="00BD22FE">
        <w:rPr>
          <w:sz w:val="22"/>
          <w:szCs w:val="22"/>
          <w:lang w:val="pl-PL"/>
        </w:rPr>
        <w:t>=</w:t>
      </w:r>
      <w:r w:rsidR="001E0877" w:rsidRPr="00BD22FE">
        <w:rPr>
          <w:sz w:val="22"/>
          <w:szCs w:val="22"/>
          <w:lang w:val="pl-PL"/>
        </w:rPr>
        <w:t> </w:t>
      </w:r>
      <w:r w:rsidRPr="00BD22FE">
        <w:rPr>
          <w:sz w:val="22"/>
          <w:szCs w:val="22"/>
          <w:lang w:val="pl-PL"/>
        </w:rPr>
        <w:t xml:space="preserve">2 972), </w:t>
      </w:r>
      <w:r w:rsidR="003B3B44" w:rsidRPr="00BD22FE">
        <w:rPr>
          <w:sz w:val="22"/>
          <w:szCs w:val="22"/>
          <w:lang w:val="pl-PL"/>
        </w:rPr>
        <w:t>oba dodane</w:t>
      </w:r>
      <w:r w:rsidRPr="00BD22FE">
        <w:rPr>
          <w:sz w:val="22"/>
          <w:szCs w:val="22"/>
          <w:lang w:val="pl-PL"/>
        </w:rPr>
        <w:t xml:space="preserve"> </w:t>
      </w:r>
      <w:r w:rsidR="003B3B44" w:rsidRPr="00BD22FE">
        <w:rPr>
          <w:sz w:val="22"/>
          <w:szCs w:val="22"/>
          <w:lang w:val="pl-PL"/>
        </w:rPr>
        <w:t>do </w:t>
      </w:r>
      <w:r w:rsidRPr="00BD22FE">
        <w:rPr>
          <w:sz w:val="22"/>
          <w:szCs w:val="22"/>
          <w:lang w:val="pl-PL"/>
        </w:rPr>
        <w:t>standardow</w:t>
      </w:r>
      <w:r w:rsidR="003B3B44" w:rsidRPr="00BD22FE">
        <w:rPr>
          <w:sz w:val="22"/>
          <w:szCs w:val="22"/>
          <w:lang w:val="pl-PL"/>
        </w:rPr>
        <w:t>ej</w:t>
      </w:r>
      <w:r w:rsidRPr="00BD22FE">
        <w:rPr>
          <w:sz w:val="22"/>
          <w:szCs w:val="22"/>
          <w:lang w:val="pl-PL"/>
        </w:rPr>
        <w:t xml:space="preserve"> </w:t>
      </w:r>
      <w:r w:rsidR="003B3B44" w:rsidRPr="00BD22FE">
        <w:rPr>
          <w:sz w:val="22"/>
          <w:szCs w:val="22"/>
          <w:lang w:val="pl-PL"/>
        </w:rPr>
        <w:t>terapii</w:t>
      </w:r>
      <w:r w:rsidRPr="00BD22FE">
        <w:rPr>
          <w:sz w:val="22"/>
          <w:szCs w:val="22"/>
          <w:lang w:val="pl-PL"/>
        </w:rPr>
        <w:t xml:space="preserve">. </w:t>
      </w:r>
      <w:r w:rsidR="006D64C0" w:rsidRPr="00BD22FE">
        <w:rPr>
          <w:sz w:val="22"/>
          <w:szCs w:val="22"/>
          <w:lang w:val="pl-PL"/>
        </w:rPr>
        <w:t xml:space="preserve">Średni </w:t>
      </w:r>
      <w:r w:rsidRPr="00BD22FE">
        <w:rPr>
          <w:sz w:val="22"/>
          <w:szCs w:val="22"/>
          <w:lang w:val="pl-PL"/>
        </w:rPr>
        <w:t>okres obserwacji wyn</w:t>
      </w:r>
      <w:r w:rsidR="006D64C0" w:rsidRPr="00BD22FE">
        <w:rPr>
          <w:sz w:val="22"/>
          <w:szCs w:val="22"/>
          <w:lang w:val="pl-PL"/>
        </w:rPr>
        <w:t>osił</w:t>
      </w:r>
      <w:r w:rsidRPr="00BD22FE">
        <w:rPr>
          <w:sz w:val="22"/>
          <w:szCs w:val="22"/>
          <w:lang w:val="pl-PL"/>
        </w:rPr>
        <w:t xml:space="preserve"> 4 lata i</w:t>
      </w:r>
      <w:r w:rsidR="00717A7B" w:rsidRPr="00BD22FE">
        <w:rPr>
          <w:sz w:val="22"/>
          <w:szCs w:val="22"/>
          <w:lang w:val="pl-PL"/>
        </w:rPr>
        <w:t> </w:t>
      </w:r>
      <w:r w:rsidRPr="00BD22FE">
        <w:rPr>
          <w:sz w:val="22"/>
          <w:szCs w:val="22"/>
          <w:lang w:val="pl-PL"/>
        </w:rPr>
        <w:t xml:space="preserve">8 miesięcy. Nie </w:t>
      </w:r>
      <w:r w:rsidR="006B5BCA" w:rsidRPr="00BD22FE">
        <w:rPr>
          <w:sz w:val="22"/>
          <w:szCs w:val="22"/>
          <w:lang w:val="pl-PL"/>
        </w:rPr>
        <w:t>wykazano</w:t>
      </w:r>
      <w:r w:rsidRPr="00BD22FE">
        <w:rPr>
          <w:sz w:val="22"/>
          <w:szCs w:val="22"/>
          <w:lang w:val="pl-PL"/>
        </w:rPr>
        <w:t xml:space="preserve"> istotn</w:t>
      </w:r>
      <w:r w:rsidR="006B5BCA" w:rsidRPr="00BD22FE">
        <w:rPr>
          <w:sz w:val="22"/>
          <w:szCs w:val="22"/>
          <w:lang w:val="pl-PL"/>
        </w:rPr>
        <w:t>ych</w:t>
      </w:r>
      <w:r w:rsidRPr="00BD22FE">
        <w:rPr>
          <w:sz w:val="22"/>
          <w:szCs w:val="22"/>
          <w:lang w:val="pl-PL"/>
        </w:rPr>
        <w:t xml:space="preserve"> </w:t>
      </w:r>
      <w:r w:rsidR="006B5BCA" w:rsidRPr="00BD22FE">
        <w:rPr>
          <w:sz w:val="22"/>
          <w:szCs w:val="22"/>
          <w:lang w:val="pl-PL"/>
        </w:rPr>
        <w:t xml:space="preserve">statystycznie </w:t>
      </w:r>
      <w:r w:rsidRPr="00BD22FE">
        <w:rPr>
          <w:sz w:val="22"/>
          <w:szCs w:val="22"/>
          <w:lang w:val="pl-PL"/>
        </w:rPr>
        <w:t>różnic częstości występowania pierwszorzędowego punktu końcowego (zgon z</w:t>
      </w:r>
      <w:r w:rsidR="00717A7B" w:rsidRPr="00BD22FE">
        <w:rPr>
          <w:sz w:val="22"/>
          <w:szCs w:val="22"/>
          <w:lang w:val="pl-PL"/>
        </w:rPr>
        <w:t> </w:t>
      </w:r>
      <w:r w:rsidRPr="00BD22FE">
        <w:rPr>
          <w:sz w:val="22"/>
          <w:szCs w:val="22"/>
          <w:lang w:val="pl-PL"/>
        </w:rPr>
        <w:t>przyczyn sercowo-naczyniowych, zawał serc</w:t>
      </w:r>
      <w:r w:rsidR="008A104B" w:rsidRPr="00BD22FE">
        <w:rPr>
          <w:sz w:val="22"/>
          <w:szCs w:val="22"/>
          <w:lang w:val="pl-PL"/>
        </w:rPr>
        <w:t>a</w:t>
      </w:r>
      <w:r w:rsidRPr="00BD22FE">
        <w:rPr>
          <w:sz w:val="22"/>
          <w:szCs w:val="22"/>
          <w:lang w:val="pl-PL"/>
        </w:rPr>
        <w:t xml:space="preserve"> niezakończony zgonem, udar mózgu niezakończony zgonem lub hospitalizacja z</w:t>
      </w:r>
      <w:r w:rsidR="00717A7B" w:rsidRPr="00BD22FE">
        <w:rPr>
          <w:sz w:val="22"/>
          <w:szCs w:val="22"/>
          <w:lang w:val="pl-PL"/>
        </w:rPr>
        <w:t> </w:t>
      </w:r>
      <w:r w:rsidRPr="00BD22FE">
        <w:rPr>
          <w:sz w:val="22"/>
          <w:szCs w:val="22"/>
          <w:lang w:val="pl-PL"/>
        </w:rPr>
        <w:t>powodu zastoinowej niewydolności serca) [15,7% w</w:t>
      </w:r>
      <w:r w:rsidR="00717A7B" w:rsidRPr="00BD22FE">
        <w:rPr>
          <w:sz w:val="22"/>
          <w:szCs w:val="22"/>
          <w:lang w:val="pl-PL"/>
        </w:rPr>
        <w:t> </w:t>
      </w:r>
      <w:r w:rsidRPr="00BD22FE">
        <w:rPr>
          <w:sz w:val="22"/>
          <w:szCs w:val="22"/>
          <w:lang w:val="pl-PL"/>
        </w:rPr>
        <w:t>grupie telmisartan</w:t>
      </w:r>
      <w:r w:rsidR="009C568C" w:rsidRPr="00BD22FE">
        <w:rPr>
          <w:sz w:val="22"/>
          <w:szCs w:val="22"/>
          <w:lang w:val="pl-PL"/>
        </w:rPr>
        <w:t>u</w:t>
      </w:r>
      <w:r w:rsidRPr="00BD22FE">
        <w:rPr>
          <w:sz w:val="22"/>
          <w:szCs w:val="22"/>
          <w:lang w:val="pl-PL"/>
        </w:rPr>
        <w:t xml:space="preserve"> i</w:t>
      </w:r>
      <w:r w:rsidR="00717A7B" w:rsidRPr="00BD22FE">
        <w:rPr>
          <w:sz w:val="22"/>
          <w:szCs w:val="22"/>
          <w:lang w:val="pl-PL"/>
        </w:rPr>
        <w:t> </w:t>
      </w:r>
      <w:r w:rsidRPr="00BD22FE">
        <w:rPr>
          <w:sz w:val="22"/>
          <w:szCs w:val="22"/>
          <w:lang w:val="pl-PL"/>
        </w:rPr>
        <w:t>17,0% w</w:t>
      </w:r>
      <w:r w:rsidR="00717A7B" w:rsidRPr="00BD22FE">
        <w:rPr>
          <w:sz w:val="22"/>
          <w:szCs w:val="22"/>
          <w:lang w:val="pl-PL"/>
        </w:rPr>
        <w:t> </w:t>
      </w:r>
      <w:r w:rsidRPr="00BD22FE">
        <w:rPr>
          <w:sz w:val="22"/>
          <w:szCs w:val="22"/>
          <w:lang w:val="pl-PL"/>
        </w:rPr>
        <w:t xml:space="preserve">grupie placebo </w:t>
      </w:r>
      <w:r w:rsidR="009C568C" w:rsidRPr="00BD22FE">
        <w:rPr>
          <w:sz w:val="22"/>
          <w:szCs w:val="22"/>
          <w:lang w:val="pl-PL"/>
        </w:rPr>
        <w:t>ze </w:t>
      </w:r>
      <w:r w:rsidRPr="00BD22FE">
        <w:rPr>
          <w:sz w:val="22"/>
          <w:szCs w:val="22"/>
          <w:lang w:val="pl-PL"/>
        </w:rPr>
        <w:t>współczynnik</w:t>
      </w:r>
      <w:r w:rsidR="009C568C" w:rsidRPr="00BD22FE">
        <w:rPr>
          <w:sz w:val="22"/>
          <w:szCs w:val="22"/>
          <w:lang w:val="pl-PL"/>
        </w:rPr>
        <w:t>iem</w:t>
      </w:r>
      <w:r w:rsidRPr="00BD22FE">
        <w:rPr>
          <w:sz w:val="22"/>
          <w:szCs w:val="22"/>
          <w:lang w:val="pl-PL"/>
        </w:rPr>
        <w:t xml:space="preserve"> ryzyka 0,92 (95% CI 0,81</w:t>
      </w:r>
      <w:r w:rsidRPr="00BD22FE">
        <w:rPr>
          <w:sz w:val="22"/>
          <w:szCs w:val="22"/>
          <w:lang w:val="pl-PL"/>
        </w:rPr>
        <w:noBreakHyphen/>
        <w:t>1,05; p</w:t>
      </w:r>
      <w:r w:rsidR="001E0877" w:rsidRPr="00BD22FE">
        <w:rPr>
          <w:sz w:val="22"/>
          <w:szCs w:val="22"/>
          <w:lang w:val="pl-PL"/>
        </w:rPr>
        <w:t> </w:t>
      </w:r>
      <w:r w:rsidRPr="00BD22FE">
        <w:rPr>
          <w:sz w:val="22"/>
          <w:szCs w:val="22"/>
          <w:lang w:val="pl-PL"/>
        </w:rPr>
        <w:t>=</w:t>
      </w:r>
      <w:r w:rsidR="001E0877" w:rsidRPr="00BD22FE">
        <w:rPr>
          <w:sz w:val="22"/>
          <w:szCs w:val="22"/>
          <w:lang w:val="pl-PL"/>
        </w:rPr>
        <w:t> </w:t>
      </w:r>
      <w:r w:rsidRPr="00BD22FE">
        <w:rPr>
          <w:sz w:val="22"/>
          <w:szCs w:val="22"/>
          <w:lang w:val="pl-PL"/>
        </w:rPr>
        <w:t xml:space="preserve">0,22]. </w:t>
      </w:r>
      <w:r w:rsidR="0084784E" w:rsidRPr="00BD22FE">
        <w:rPr>
          <w:sz w:val="22"/>
          <w:szCs w:val="22"/>
          <w:lang w:val="pl-PL"/>
        </w:rPr>
        <w:t>Wykazano korzyści stosowania telmisartanu w porównaniu z placebo pod względem wcześniej ustalonego</w:t>
      </w:r>
      <w:r w:rsidRPr="00BD22FE">
        <w:rPr>
          <w:sz w:val="22"/>
          <w:szCs w:val="22"/>
          <w:lang w:val="pl-PL"/>
        </w:rPr>
        <w:t xml:space="preserve"> drugorzędowego złożonego punktu końcowego</w:t>
      </w:r>
      <w:r w:rsidR="0084784E" w:rsidRPr="00BD22FE">
        <w:rPr>
          <w:sz w:val="22"/>
          <w:szCs w:val="22"/>
          <w:lang w:val="pl-PL"/>
        </w:rPr>
        <w:t xml:space="preserve">, składającego się ze </w:t>
      </w:r>
      <w:r w:rsidRPr="00BD22FE">
        <w:rPr>
          <w:sz w:val="22"/>
          <w:szCs w:val="22"/>
          <w:lang w:val="pl-PL"/>
        </w:rPr>
        <w:t>zgon</w:t>
      </w:r>
      <w:r w:rsidR="0084784E" w:rsidRPr="00BD22FE">
        <w:rPr>
          <w:sz w:val="22"/>
          <w:szCs w:val="22"/>
          <w:lang w:val="pl-PL"/>
        </w:rPr>
        <w:t>u</w:t>
      </w:r>
      <w:r w:rsidRPr="00BD22FE">
        <w:rPr>
          <w:sz w:val="22"/>
          <w:szCs w:val="22"/>
          <w:lang w:val="pl-PL"/>
        </w:rPr>
        <w:t xml:space="preserve"> z</w:t>
      </w:r>
      <w:r w:rsidR="00717A7B" w:rsidRPr="00BD22FE">
        <w:rPr>
          <w:sz w:val="22"/>
          <w:szCs w:val="22"/>
          <w:lang w:val="pl-PL"/>
        </w:rPr>
        <w:t> </w:t>
      </w:r>
      <w:r w:rsidRPr="00BD22FE">
        <w:rPr>
          <w:sz w:val="22"/>
          <w:szCs w:val="22"/>
          <w:lang w:val="pl-PL"/>
        </w:rPr>
        <w:t>przyczyn sercowo-naczyniowych, zawał</w:t>
      </w:r>
      <w:r w:rsidR="0084784E" w:rsidRPr="00BD22FE">
        <w:rPr>
          <w:sz w:val="22"/>
          <w:szCs w:val="22"/>
          <w:lang w:val="pl-PL"/>
        </w:rPr>
        <w:t>u</w:t>
      </w:r>
      <w:r w:rsidRPr="00BD22FE">
        <w:rPr>
          <w:sz w:val="22"/>
          <w:szCs w:val="22"/>
          <w:lang w:val="pl-PL"/>
        </w:rPr>
        <w:t xml:space="preserve"> serca niezakończon</w:t>
      </w:r>
      <w:r w:rsidR="0084784E" w:rsidRPr="00BD22FE">
        <w:rPr>
          <w:sz w:val="22"/>
          <w:szCs w:val="22"/>
          <w:lang w:val="pl-PL"/>
        </w:rPr>
        <w:t>ego</w:t>
      </w:r>
      <w:r w:rsidRPr="00BD22FE">
        <w:rPr>
          <w:sz w:val="22"/>
          <w:szCs w:val="22"/>
          <w:lang w:val="pl-PL"/>
        </w:rPr>
        <w:t xml:space="preserve"> zgonem</w:t>
      </w:r>
      <w:r w:rsidR="0084784E" w:rsidRPr="00BD22FE">
        <w:rPr>
          <w:sz w:val="22"/>
          <w:szCs w:val="22"/>
          <w:lang w:val="pl-PL"/>
        </w:rPr>
        <w:t>,</w:t>
      </w:r>
      <w:r w:rsidRPr="00BD22FE">
        <w:rPr>
          <w:sz w:val="22"/>
          <w:szCs w:val="22"/>
          <w:lang w:val="pl-PL"/>
        </w:rPr>
        <w:t xml:space="preserve"> udar</w:t>
      </w:r>
      <w:r w:rsidR="0084784E" w:rsidRPr="00BD22FE">
        <w:rPr>
          <w:sz w:val="22"/>
          <w:szCs w:val="22"/>
          <w:lang w:val="pl-PL"/>
        </w:rPr>
        <w:t>u</w:t>
      </w:r>
      <w:r w:rsidRPr="00BD22FE">
        <w:rPr>
          <w:sz w:val="22"/>
          <w:szCs w:val="22"/>
          <w:lang w:val="pl-PL"/>
        </w:rPr>
        <w:t xml:space="preserve"> mózgu niezakończon</w:t>
      </w:r>
      <w:r w:rsidR="0084784E" w:rsidRPr="00BD22FE">
        <w:rPr>
          <w:sz w:val="22"/>
          <w:szCs w:val="22"/>
          <w:lang w:val="pl-PL"/>
        </w:rPr>
        <w:t>ego</w:t>
      </w:r>
      <w:r w:rsidRPr="00BD22FE">
        <w:rPr>
          <w:sz w:val="22"/>
          <w:szCs w:val="22"/>
          <w:lang w:val="pl-PL"/>
        </w:rPr>
        <w:t xml:space="preserve"> zgonem</w:t>
      </w:r>
      <w:r w:rsidR="0084784E" w:rsidRPr="00BD22FE">
        <w:rPr>
          <w:sz w:val="22"/>
          <w:szCs w:val="22"/>
          <w:lang w:val="pl-PL"/>
        </w:rPr>
        <w:t xml:space="preserve"> </w:t>
      </w:r>
      <w:r w:rsidRPr="00BD22FE">
        <w:rPr>
          <w:sz w:val="22"/>
          <w:szCs w:val="22"/>
          <w:lang w:val="pl-PL"/>
        </w:rPr>
        <w:t>[0,87 (95% CI 0,76</w:t>
      </w:r>
      <w:r w:rsidRPr="00BD22FE">
        <w:rPr>
          <w:sz w:val="22"/>
          <w:szCs w:val="22"/>
          <w:lang w:val="pl-PL"/>
        </w:rPr>
        <w:noBreakHyphen/>
        <w:t>1,00, p</w:t>
      </w:r>
      <w:r w:rsidR="001E0877" w:rsidRPr="00BD22FE">
        <w:rPr>
          <w:sz w:val="22"/>
          <w:szCs w:val="22"/>
          <w:lang w:val="pl-PL"/>
        </w:rPr>
        <w:t> </w:t>
      </w:r>
      <w:r w:rsidRPr="00BD22FE">
        <w:rPr>
          <w:sz w:val="22"/>
          <w:szCs w:val="22"/>
          <w:lang w:val="pl-PL"/>
        </w:rPr>
        <w:t>=</w:t>
      </w:r>
      <w:r w:rsidR="001E0877" w:rsidRPr="00BD22FE">
        <w:rPr>
          <w:sz w:val="22"/>
          <w:szCs w:val="22"/>
          <w:lang w:val="pl-PL"/>
        </w:rPr>
        <w:t> </w:t>
      </w:r>
      <w:r w:rsidRPr="00BD22FE">
        <w:rPr>
          <w:sz w:val="22"/>
          <w:szCs w:val="22"/>
          <w:lang w:val="pl-PL"/>
        </w:rPr>
        <w:t xml:space="preserve">0,048)]. </w:t>
      </w:r>
      <w:r w:rsidR="0084784E" w:rsidRPr="00BD22FE">
        <w:rPr>
          <w:sz w:val="22"/>
          <w:szCs w:val="22"/>
          <w:lang w:val="pl-PL"/>
        </w:rPr>
        <w:t xml:space="preserve">Wykazano brak korzystnego wpływu terapii telmisartanem na częstość występowania zgonów </w:t>
      </w:r>
      <w:r w:rsidRPr="00BD22FE">
        <w:rPr>
          <w:sz w:val="22"/>
          <w:szCs w:val="22"/>
          <w:lang w:val="pl-PL"/>
        </w:rPr>
        <w:t>z</w:t>
      </w:r>
      <w:r w:rsidR="00717A7B" w:rsidRPr="00BD22FE">
        <w:rPr>
          <w:sz w:val="22"/>
          <w:szCs w:val="22"/>
          <w:lang w:val="pl-PL"/>
        </w:rPr>
        <w:t> </w:t>
      </w:r>
      <w:r w:rsidRPr="00BD22FE">
        <w:rPr>
          <w:sz w:val="22"/>
          <w:szCs w:val="22"/>
          <w:lang w:val="pl-PL"/>
        </w:rPr>
        <w:t>przyczyn sercowo-naczyniowych (współczynnik ryzyka 1,03; 95% CI 0,85</w:t>
      </w:r>
      <w:r w:rsidRPr="00BD22FE">
        <w:rPr>
          <w:sz w:val="22"/>
          <w:szCs w:val="22"/>
          <w:lang w:val="pl-PL"/>
        </w:rPr>
        <w:noBreakHyphen/>
        <w:t>1,24).</w:t>
      </w:r>
    </w:p>
    <w:p w14:paraId="3440D043" w14:textId="77777777" w:rsidR="000016E2" w:rsidRPr="00BD22FE" w:rsidRDefault="000016E2" w:rsidP="00941FBF">
      <w:pPr>
        <w:rPr>
          <w:sz w:val="22"/>
          <w:szCs w:val="22"/>
          <w:lang w:val="pl-PL"/>
        </w:rPr>
      </w:pPr>
    </w:p>
    <w:p w14:paraId="3582578F" w14:textId="432B34C8" w:rsidR="000016E2" w:rsidRPr="00BD22FE" w:rsidRDefault="0084784E" w:rsidP="00941FBF">
      <w:pPr>
        <w:pStyle w:val="BodyText"/>
        <w:spacing w:line="240" w:lineRule="auto"/>
        <w:jc w:val="left"/>
        <w:rPr>
          <w:sz w:val="22"/>
          <w:szCs w:val="22"/>
          <w:lang w:val="pl-PL"/>
        </w:rPr>
      </w:pPr>
      <w:r w:rsidRPr="00BD22FE">
        <w:rPr>
          <w:sz w:val="22"/>
          <w:szCs w:val="22"/>
          <w:lang w:val="pl-PL"/>
        </w:rPr>
        <w:lastRenderedPageBreak/>
        <w:t>Kaszel i </w:t>
      </w:r>
      <w:r w:rsidR="00104CA8" w:rsidRPr="00BD22FE">
        <w:rPr>
          <w:sz w:val="22"/>
          <w:szCs w:val="22"/>
          <w:lang w:val="pl-PL"/>
        </w:rPr>
        <w:t>obrzęk naczynioruchow</w:t>
      </w:r>
      <w:r w:rsidRPr="00BD22FE">
        <w:rPr>
          <w:sz w:val="22"/>
          <w:szCs w:val="22"/>
          <w:lang w:val="pl-PL"/>
        </w:rPr>
        <w:t>y</w:t>
      </w:r>
      <w:r w:rsidR="00104CA8" w:rsidRPr="00BD22FE">
        <w:rPr>
          <w:sz w:val="22"/>
          <w:szCs w:val="22"/>
          <w:lang w:val="pl-PL"/>
        </w:rPr>
        <w:t xml:space="preserve"> </w:t>
      </w:r>
      <w:r w:rsidRPr="00BD22FE">
        <w:rPr>
          <w:sz w:val="22"/>
          <w:szCs w:val="22"/>
          <w:lang w:val="pl-PL"/>
        </w:rPr>
        <w:t xml:space="preserve">występowały rzadziej u pacjentów leczonych telmisartanem </w:t>
      </w:r>
      <w:r w:rsidR="00104CA8" w:rsidRPr="00BD22FE">
        <w:rPr>
          <w:sz w:val="22"/>
          <w:szCs w:val="22"/>
          <w:lang w:val="pl-PL"/>
        </w:rPr>
        <w:t>niż u</w:t>
      </w:r>
      <w:r w:rsidR="00717A7B" w:rsidRPr="00BD22FE">
        <w:rPr>
          <w:sz w:val="22"/>
          <w:szCs w:val="22"/>
          <w:lang w:val="pl-PL"/>
        </w:rPr>
        <w:t> </w:t>
      </w:r>
      <w:r w:rsidR="00104CA8" w:rsidRPr="00BD22FE">
        <w:rPr>
          <w:sz w:val="22"/>
          <w:szCs w:val="22"/>
          <w:lang w:val="pl-PL"/>
        </w:rPr>
        <w:t xml:space="preserve">pacjentów </w:t>
      </w:r>
      <w:r w:rsidRPr="00BD22FE">
        <w:rPr>
          <w:sz w:val="22"/>
          <w:szCs w:val="22"/>
          <w:lang w:val="pl-PL"/>
        </w:rPr>
        <w:t>leczonych</w:t>
      </w:r>
      <w:r w:rsidR="00104CA8" w:rsidRPr="00BD22FE">
        <w:rPr>
          <w:sz w:val="22"/>
          <w:szCs w:val="22"/>
          <w:lang w:val="pl-PL"/>
        </w:rPr>
        <w:t xml:space="preserve"> ramipryl</w:t>
      </w:r>
      <w:r w:rsidRPr="00BD22FE">
        <w:rPr>
          <w:sz w:val="22"/>
          <w:szCs w:val="22"/>
          <w:lang w:val="pl-PL"/>
        </w:rPr>
        <w:t>em</w:t>
      </w:r>
      <w:r w:rsidR="00104CA8" w:rsidRPr="00BD22FE">
        <w:rPr>
          <w:sz w:val="22"/>
          <w:szCs w:val="22"/>
          <w:lang w:val="pl-PL"/>
        </w:rPr>
        <w:t xml:space="preserve">, </w:t>
      </w:r>
      <w:r w:rsidRPr="00BD22FE">
        <w:rPr>
          <w:sz w:val="22"/>
          <w:szCs w:val="22"/>
          <w:lang w:val="pl-PL"/>
        </w:rPr>
        <w:t xml:space="preserve">podczas gdy </w:t>
      </w:r>
      <w:r w:rsidR="00104CA8" w:rsidRPr="00BD22FE">
        <w:rPr>
          <w:sz w:val="22"/>
          <w:szCs w:val="22"/>
          <w:lang w:val="pl-PL"/>
        </w:rPr>
        <w:t>niedociśnieni</w:t>
      </w:r>
      <w:r w:rsidRPr="00BD22FE">
        <w:rPr>
          <w:sz w:val="22"/>
          <w:szCs w:val="22"/>
          <w:lang w:val="pl-PL"/>
        </w:rPr>
        <w:t>e tętnicze zgłaszane było częściej u osób otrzymujących telmisartan</w:t>
      </w:r>
      <w:r w:rsidR="00104CA8" w:rsidRPr="00BD22FE">
        <w:rPr>
          <w:sz w:val="22"/>
          <w:szCs w:val="22"/>
          <w:lang w:val="pl-PL"/>
        </w:rPr>
        <w:t>.</w:t>
      </w:r>
    </w:p>
    <w:p w14:paraId="6465CBC9" w14:textId="77777777" w:rsidR="000016E2" w:rsidRPr="00BD22FE" w:rsidRDefault="000016E2" w:rsidP="00941FBF">
      <w:pPr>
        <w:pStyle w:val="BodyText"/>
        <w:spacing w:line="240" w:lineRule="auto"/>
        <w:jc w:val="left"/>
        <w:rPr>
          <w:sz w:val="22"/>
          <w:szCs w:val="22"/>
          <w:lang w:val="pl-PL"/>
        </w:rPr>
      </w:pPr>
    </w:p>
    <w:p w14:paraId="3047B8C2" w14:textId="4AEB1370" w:rsidR="000016E2" w:rsidRPr="00BD22FE" w:rsidRDefault="000916AF" w:rsidP="00941FBF">
      <w:pPr>
        <w:pStyle w:val="BodyText"/>
        <w:spacing w:line="240" w:lineRule="auto"/>
        <w:jc w:val="left"/>
        <w:rPr>
          <w:sz w:val="22"/>
          <w:szCs w:val="22"/>
          <w:lang w:val="pl-PL"/>
        </w:rPr>
      </w:pPr>
      <w:r w:rsidRPr="00BD22FE">
        <w:rPr>
          <w:sz w:val="22"/>
          <w:szCs w:val="22"/>
          <w:lang w:val="pl-PL"/>
        </w:rPr>
        <w:t>Stosowanie</w:t>
      </w:r>
      <w:r w:rsidR="00104CA8" w:rsidRPr="00BD22FE">
        <w:rPr>
          <w:sz w:val="22"/>
          <w:szCs w:val="22"/>
          <w:lang w:val="pl-PL"/>
        </w:rPr>
        <w:t xml:space="preserve"> telmisartanu</w:t>
      </w:r>
      <w:r w:rsidRPr="00BD22FE">
        <w:rPr>
          <w:sz w:val="22"/>
          <w:szCs w:val="22"/>
          <w:lang w:val="pl-PL"/>
        </w:rPr>
        <w:t xml:space="preserve"> w</w:t>
      </w:r>
      <w:r w:rsidR="00717A7B" w:rsidRPr="00BD22FE">
        <w:rPr>
          <w:sz w:val="22"/>
          <w:szCs w:val="22"/>
          <w:lang w:val="pl-PL"/>
        </w:rPr>
        <w:t> </w:t>
      </w:r>
      <w:r w:rsidRPr="00BD22FE">
        <w:rPr>
          <w:sz w:val="22"/>
          <w:szCs w:val="22"/>
          <w:lang w:val="pl-PL"/>
        </w:rPr>
        <w:t>skojarzeniu z </w:t>
      </w:r>
      <w:r w:rsidR="00104CA8" w:rsidRPr="00BD22FE">
        <w:rPr>
          <w:sz w:val="22"/>
          <w:szCs w:val="22"/>
          <w:lang w:val="pl-PL"/>
        </w:rPr>
        <w:t>ramipryl</w:t>
      </w:r>
      <w:r w:rsidRPr="00BD22FE">
        <w:rPr>
          <w:sz w:val="22"/>
          <w:szCs w:val="22"/>
          <w:lang w:val="pl-PL"/>
        </w:rPr>
        <w:t>em</w:t>
      </w:r>
      <w:r w:rsidR="00104CA8" w:rsidRPr="00BD22FE">
        <w:rPr>
          <w:sz w:val="22"/>
          <w:szCs w:val="22"/>
          <w:lang w:val="pl-PL"/>
        </w:rPr>
        <w:t xml:space="preserve"> nie </w:t>
      </w:r>
      <w:r w:rsidRPr="00BD22FE">
        <w:rPr>
          <w:sz w:val="22"/>
          <w:szCs w:val="22"/>
          <w:lang w:val="pl-PL"/>
        </w:rPr>
        <w:t xml:space="preserve">powoduje uzyskania </w:t>
      </w:r>
      <w:r w:rsidR="00104CA8" w:rsidRPr="00BD22FE">
        <w:rPr>
          <w:sz w:val="22"/>
          <w:szCs w:val="22"/>
          <w:lang w:val="pl-PL"/>
        </w:rPr>
        <w:t>dodatkowych korzyści w</w:t>
      </w:r>
      <w:r w:rsidR="00717A7B" w:rsidRPr="00BD22FE">
        <w:rPr>
          <w:sz w:val="22"/>
          <w:szCs w:val="22"/>
          <w:lang w:val="pl-PL"/>
        </w:rPr>
        <w:t> </w:t>
      </w:r>
      <w:r w:rsidR="00104CA8" w:rsidRPr="00BD22FE">
        <w:rPr>
          <w:sz w:val="22"/>
          <w:szCs w:val="22"/>
          <w:lang w:val="pl-PL"/>
        </w:rPr>
        <w:t>porównaniu ze stosowaniem ramiprylu lub telmisartanu w</w:t>
      </w:r>
      <w:r w:rsidR="00717A7B" w:rsidRPr="00BD22FE">
        <w:rPr>
          <w:sz w:val="22"/>
          <w:szCs w:val="22"/>
          <w:lang w:val="pl-PL"/>
        </w:rPr>
        <w:t> </w:t>
      </w:r>
      <w:r w:rsidR="00104CA8" w:rsidRPr="00BD22FE">
        <w:rPr>
          <w:sz w:val="22"/>
          <w:szCs w:val="22"/>
          <w:lang w:val="pl-PL"/>
        </w:rPr>
        <w:t xml:space="preserve">monoterapii. </w:t>
      </w:r>
      <w:r w:rsidRPr="00BD22FE">
        <w:rPr>
          <w:sz w:val="22"/>
          <w:szCs w:val="22"/>
          <w:lang w:val="pl-PL"/>
        </w:rPr>
        <w:t xml:space="preserve">Śmiertelność </w:t>
      </w:r>
      <w:r w:rsidR="00104CA8" w:rsidRPr="00BD22FE">
        <w:rPr>
          <w:sz w:val="22"/>
          <w:szCs w:val="22"/>
          <w:lang w:val="pl-PL"/>
        </w:rPr>
        <w:t>z</w:t>
      </w:r>
      <w:r w:rsidR="00717A7B" w:rsidRPr="00BD22FE">
        <w:rPr>
          <w:sz w:val="22"/>
          <w:szCs w:val="22"/>
          <w:lang w:val="pl-PL"/>
        </w:rPr>
        <w:t> </w:t>
      </w:r>
      <w:r w:rsidR="00104CA8" w:rsidRPr="00BD22FE">
        <w:rPr>
          <w:sz w:val="22"/>
          <w:szCs w:val="22"/>
          <w:lang w:val="pl-PL"/>
        </w:rPr>
        <w:t xml:space="preserve">przyczyn sercowo-naczyniowych </w:t>
      </w:r>
      <w:r w:rsidRPr="00BD22FE">
        <w:rPr>
          <w:sz w:val="22"/>
          <w:szCs w:val="22"/>
          <w:lang w:val="pl-PL"/>
        </w:rPr>
        <w:t xml:space="preserve">i śmiertelność ogólna </w:t>
      </w:r>
      <w:r w:rsidR="00104CA8" w:rsidRPr="00BD22FE">
        <w:rPr>
          <w:sz w:val="22"/>
          <w:szCs w:val="22"/>
          <w:lang w:val="pl-PL"/>
        </w:rPr>
        <w:t>był</w:t>
      </w:r>
      <w:r w:rsidRPr="00BD22FE">
        <w:rPr>
          <w:sz w:val="22"/>
          <w:szCs w:val="22"/>
          <w:lang w:val="pl-PL"/>
        </w:rPr>
        <w:t>y znacząco</w:t>
      </w:r>
      <w:r w:rsidR="00104CA8" w:rsidRPr="00BD22FE">
        <w:rPr>
          <w:sz w:val="22"/>
          <w:szCs w:val="22"/>
          <w:lang w:val="pl-PL"/>
        </w:rPr>
        <w:t xml:space="preserve"> </w:t>
      </w:r>
      <w:r w:rsidRPr="00BD22FE">
        <w:rPr>
          <w:sz w:val="22"/>
          <w:szCs w:val="22"/>
          <w:lang w:val="pl-PL"/>
        </w:rPr>
        <w:t>wyższe w przypadku stosowania leczenia skojarzonego</w:t>
      </w:r>
      <w:r w:rsidR="00104CA8" w:rsidRPr="00BD22FE">
        <w:rPr>
          <w:sz w:val="22"/>
          <w:szCs w:val="22"/>
          <w:lang w:val="pl-PL"/>
        </w:rPr>
        <w:t>. Ponadto w</w:t>
      </w:r>
      <w:r w:rsidR="00717A7B" w:rsidRPr="00BD22FE">
        <w:rPr>
          <w:sz w:val="22"/>
          <w:szCs w:val="22"/>
          <w:lang w:val="pl-PL"/>
        </w:rPr>
        <w:t> </w:t>
      </w:r>
      <w:r w:rsidR="00104CA8" w:rsidRPr="00BD22FE">
        <w:rPr>
          <w:sz w:val="22"/>
          <w:szCs w:val="22"/>
          <w:lang w:val="pl-PL"/>
        </w:rPr>
        <w:t xml:space="preserve">grupie </w:t>
      </w:r>
      <w:r w:rsidRPr="00BD22FE">
        <w:rPr>
          <w:sz w:val="22"/>
          <w:szCs w:val="22"/>
          <w:lang w:val="pl-PL"/>
        </w:rPr>
        <w:t xml:space="preserve">otrzymującej leczenie skojarzone zaobserwowano </w:t>
      </w:r>
      <w:r w:rsidR="00104CA8" w:rsidRPr="00BD22FE">
        <w:rPr>
          <w:sz w:val="22"/>
          <w:szCs w:val="22"/>
          <w:lang w:val="pl-PL"/>
        </w:rPr>
        <w:t>znacz</w:t>
      </w:r>
      <w:r w:rsidRPr="00BD22FE">
        <w:rPr>
          <w:sz w:val="22"/>
          <w:szCs w:val="22"/>
          <w:lang w:val="pl-PL"/>
        </w:rPr>
        <w:t>ąco</w:t>
      </w:r>
      <w:r w:rsidR="00104CA8" w:rsidRPr="00BD22FE">
        <w:rPr>
          <w:sz w:val="22"/>
          <w:szCs w:val="22"/>
          <w:lang w:val="pl-PL"/>
        </w:rPr>
        <w:t xml:space="preserve"> czę</w:t>
      </w:r>
      <w:r w:rsidRPr="00BD22FE">
        <w:rPr>
          <w:sz w:val="22"/>
          <w:szCs w:val="22"/>
          <w:lang w:val="pl-PL"/>
        </w:rPr>
        <w:t>stsze</w:t>
      </w:r>
      <w:r w:rsidR="00104CA8" w:rsidRPr="00BD22FE">
        <w:rPr>
          <w:sz w:val="22"/>
          <w:szCs w:val="22"/>
          <w:lang w:val="pl-PL"/>
        </w:rPr>
        <w:t xml:space="preserve"> występowa</w:t>
      </w:r>
      <w:r w:rsidRPr="00BD22FE">
        <w:rPr>
          <w:sz w:val="22"/>
          <w:szCs w:val="22"/>
          <w:lang w:val="pl-PL"/>
        </w:rPr>
        <w:t>nie</w:t>
      </w:r>
      <w:r w:rsidR="00104CA8" w:rsidRPr="00BD22FE">
        <w:rPr>
          <w:sz w:val="22"/>
          <w:szCs w:val="22"/>
          <w:lang w:val="pl-PL"/>
        </w:rPr>
        <w:t xml:space="preserve"> hiperkaliemi</w:t>
      </w:r>
      <w:r w:rsidRPr="00BD22FE">
        <w:rPr>
          <w:sz w:val="22"/>
          <w:szCs w:val="22"/>
          <w:lang w:val="pl-PL"/>
        </w:rPr>
        <w:t>i</w:t>
      </w:r>
      <w:r w:rsidR="00104CA8" w:rsidRPr="00BD22FE">
        <w:rPr>
          <w:sz w:val="22"/>
          <w:szCs w:val="22"/>
          <w:lang w:val="pl-PL"/>
        </w:rPr>
        <w:t>, niewydolnoś</w:t>
      </w:r>
      <w:r w:rsidRPr="00BD22FE">
        <w:rPr>
          <w:sz w:val="22"/>
          <w:szCs w:val="22"/>
          <w:lang w:val="pl-PL"/>
        </w:rPr>
        <w:t>ci</w:t>
      </w:r>
      <w:r w:rsidR="00104CA8" w:rsidRPr="00BD22FE">
        <w:rPr>
          <w:sz w:val="22"/>
          <w:szCs w:val="22"/>
          <w:lang w:val="pl-PL"/>
        </w:rPr>
        <w:t xml:space="preserve"> nerek, niedociśnieni</w:t>
      </w:r>
      <w:r w:rsidRPr="00BD22FE">
        <w:rPr>
          <w:sz w:val="22"/>
          <w:szCs w:val="22"/>
          <w:lang w:val="pl-PL"/>
        </w:rPr>
        <w:t>a tętniczego</w:t>
      </w:r>
      <w:r w:rsidR="00104CA8" w:rsidRPr="00BD22FE">
        <w:rPr>
          <w:sz w:val="22"/>
          <w:szCs w:val="22"/>
          <w:lang w:val="pl-PL"/>
        </w:rPr>
        <w:t xml:space="preserve"> </w:t>
      </w:r>
      <w:r w:rsidRPr="00BD22FE">
        <w:rPr>
          <w:sz w:val="22"/>
          <w:szCs w:val="22"/>
          <w:lang w:val="pl-PL"/>
        </w:rPr>
        <w:t>i </w:t>
      </w:r>
      <w:r w:rsidR="00104CA8" w:rsidRPr="00BD22FE">
        <w:rPr>
          <w:sz w:val="22"/>
          <w:szCs w:val="22"/>
          <w:lang w:val="pl-PL"/>
        </w:rPr>
        <w:t>omdle</w:t>
      </w:r>
      <w:r w:rsidRPr="00BD22FE">
        <w:rPr>
          <w:sz w:val="22"/>
          <w:szCs w:val="22"/>
          <w:lang w:val="pl-PL"/>
        </w:rPr>
        <w:t>ń</w:t>
      </w:r>
      <w:r w:rsidR="00104CA8" w:rsidRPr="00BD22FE">
        <w:rPr>
          <w:sz w:val="22"/>
          <w:szCs w:val="22"/>
          <w:lang w:val="pl-PL"/>
        </w:rPr>
        <w:t>. Z</w:t>
      </w:r>
      <w:r w:rsidR="00717A7B" w:rsidRPr="00BD22FE">
        <w:rPr>
          <w:sz w:val="22"/>
          <w:szCs w:val="22"/>
          <w:lang w:val="pl-PL"/>
        </w:rPr>
        <w:t> </w:t>
      </w:r>
      <w:r w:rsidR="00104CA8" w:rsidRPr="00BD22FE">
        <w:rPr>
          <w:sz w:val="22"/>
          <w:szCs w:val="22"/>
          <w:lang w:val="pl-PL"/>
        </w:rPr>
        <w:t xml:space="preserve">tego </w:t>
      </w:r>
      <w:r w:rsidR="009239CD" w:rsidRPr="00BD22FE">
        <w:rPr>
          <w:sz w:val="22"/>
          <w:szCs w:val="22"/>
          <w:lang w:val="pl-PL"/>
        </w:rPr>
        <w:t xml:space="preserve">powodu </w:t>
      </w:r>
      <w:r w:rsidR="00104CA8" w:rsidRPr="00BD22FE">
        <w:rPr>
          <w:sz w:val="22"/>
          <w:szCs w:val="22"/>
          <w:lang w:val="pl-PL"/>
        </w:rPr>
        <w:t>nie zaleca się jednoczesnego stosowania telmisartanu i</w:t>
      </w:r>
      <w:r w:rsidR="00717A7B" w:rsidRPr="00BD22FE">
        <w:rPr>
          <w:sz w:val="22"/>
          <w:szCs w:val="22"/>
          <w:lang w:val="pl-PL"/>
        </w:rPr>
        <w:t> </w:t>
      </w:r>
      <w:r w:rsidR="00104CA8" w:rsidRPr="00BD22FE">
        <w:rPr>
          <w:sz w:val="22"/>
          <w:szCs w:val="22"/>
          <w:lang w:val="pl-PL"/>
        </w:rPr>
        <w:t>ramiprylu w</w:t>
      </w:r>
      <w:r w:rsidR="00717A7B" w:rsidRPr="00BD22FE">
        <w:rPr>
          <w:sz w:val="22"/>
          <w:szCs w:val="22"/>
          <w:lang w:val="pl-PL"/>
        </w:rPr>
        <w:t> </w:t>
      </w:r>
      <w:r w:rsidR="00104CA8" w:rsidRPr="00BD22FE">
        <w:rPr>
          <w:sz w:val="22"/>
          <w:szCs w:val="22"/>
          <w:lang w:val="pl-PL"/>
        </w:rPr>
        <w:t>t</w:t>
      </w:r>
      <w:r w:rsidR="009239CD" w:rsidRPr="00BD22FE">
        <w:rPr>
          <w:sz w:val="22"/>
          <w:szCs w:val="22"/>
          <w:lang w:val="pl-PL"/>
        </w:rPr>
        <w:t>aki</w:t>
      </w:r>
      <w:r w:rsidR="00104CA8" w:rsidRPr="00BD22FE">
        <w:rPr>
          <w:sz w:val="22"/>
          <w:szCs w:val="22"/>
          <w:lang w:val="pl-PL"/>
        </w:rPr>
        <w:t xml:space="preserve">ej </w:t>
      </w:r>
      <w:r w:rsidR="009239CD" w:rsidRPr="00BD22FE">
        <w:rPr>
          <w:sz w:val="22"/>
          <w:szCs w:val="22"/>
          <w:lang w:val="pl-PL"/>
        </w:rPr>
        <w:t xml:space="preserve">grupie </w:t>
      </w:r>
      <w:r w:rsidR="00104CA8" w:rsidRPr="00BD22FE">
        <w:rPr>
          <w:sz w:val="22"/>
          <w:szCs w:val="22"/>
          <w:lang w:val="pl-PL"/>
        </w:rPr>
        <w:t>pacjentów.</w:t>
      </w:r>
    </w:p>
    <w:p w14:paraId="4A87C30B" w14:textId="77777777" w:rsidR="000016E2" w:rsidRPr="00BD22FE" w:rsidRDefault="000016E2" w:rsidP="00941FBF">
      <w:pPr>
        <w:pStyle w:val="BodyText"/>
        <w:spacing w:line="240" w:lineRule="auto"/>
        <w:jc w:val="left"/>
        <w:rPr>
          <w:sz w:val="22"/>
          <w:szCs w:val="22"/>
          <w:lang w:val="pl-PL"/>
        </w:rPr>
      </w:pPr>
    </w:p>
    <w:p w14:paraId="4FE14C5F" w14:textId="7363E351" w:rsidR="003A7E3D" w:rsidRPr="00BD22FE" w:rsidRDefault="00104CA8" w:rsidP="00941FBF">
      <w:pPr>
        <w:pStyle w:val="BodyText"/>
        <w:spacing w:line="240" w:lineRule="auto"/>
        <w:jc w:val="left"/>
        <w:rPr>
          <w:sz w:val="22"/>
          <w:szCs w:val="22"/>
          <w:lang w:val="pl-PL"/>
        </w:rPr>
      </w:pPr>
      <w:r w:rsidRPr="00BD22FE">
        <w:rPr>
          <w:sz w:val="22"/>
          <w:szCs w:val="22"/>
          <w:lang w:val="pl-PL"/>
        </w:rPr>
        <w:t>W</w:t>
      </w:r>
      <w:r w:rsidR="00717A7B" w:rsidRPr="00BD22FE">
        <w:rPr>
          <w:sz w:val="22"/>
          <w:szCs w:val="22"/>
          <w:lang w:val="pl-PL"/>
        </w:rPr>
        <w:t> </w:t>
      </w:r>
      <w:r w:rsidRPr="00BD22FE">
        <w:rPr>
          <w:sz w:val="22"/>
          <w:szCs w:val="22"/>
          <w:lang w:val="pl-PL"/>
        </w:rPr>
        <w:t>badaniu PRoFESS (</w:t>
      </w:r>
      <w:r w:rsidRPr="00BD22FE">
        <w:rPr>
          <w:i/>
          <w:sz w:val="22"/>
          <w:szCs w:val="22"/>
          <w:lang w:val="pl-PL"/>
        </w:rPr>
        <w:t>Prevention Regimen For Effectively avoiding Second Strokes</w:t>
      </w:r>
      <w:r w:rsidRPr="00BD22FE">
        <w:rPr>
          <w:sz w:val="22"/>
          <w:szCs w:val="22"/>
          <w:lang w:val="pl-PL"/>
        </w:rPr>
        <w:t>) z</w:t>
      </w:r>
      <w:r w:rsidR="00717A7B" w:rsidRPr="00BD22FE">
        <w:rPr>
          <w:sz w:val="22"/>
          <w:szCs w:val="22"/>
          <w:lang w:val="pl-PL"/>
        </w:rPr>
        <w:t> </w:t>
      </w:r>
      <w:r w:rsidRPr="00BD22FE">
        <w:rPr>
          <w:sz w:val="22"/>
          <w:szCs w:val="22"/>
          <w:lang w:val="pl-PL"/>
        </w:rPr>
        <w:t>udziałem pacjentów w</w:t>
      </w:r>
      <w:r w:rsidR="00717A7B" w:rsidRPr="00BD22FE">
        <w:rPr>
          <w:sz w:val="22"/>
          <w:szCs w:val="22"/>
          <w:lang w:val="pl-PL"/>
        </w:rPr>
        <w:t> </w:t>
      </w:r>
      <w:r w:rsidRPr="00BD22FE">
        <w:rPr>
          <w:sz w:val="22"/>
          <w:szCs w:val="22"/>
          <w:lang w:val="pl-PL"/>
        </w:rPr>
        <w:t>wieku 50 lat i</w:t>
      </w:r>
      <w:r w:rsidR="00717A7B" w:rsidRPr="00BD22FE">
        <w:rPr>
          <w:sz w:val="22"/>
          <w:szCs w:val="22"/>
          <w:lang w:val="pl-PL"/>
        </w:rPr>
        <w:t> </w:t>
      </w:r>
      <w:r w:rsidRPr="00BD22FE">
        <w:rPr>
          <w:sz w:val="22"/>
          <w:szCs w:val="22"/>
          <w:lang w:val="pl-PL"/>
        </w:rPr>
        <w:t>starszych, którzy ostatnio przebyli udar, odnotowano zwiększoną częstość występowania posocznicy w</w:t>
      </w:r>
      <w:r w:rsidR="00717A7B" w:rsidRPr="00BD22FE">
        <w:rPr>
          <w:sz w:val="22"/>
          <w:szCs w:val="22"/>
          <w:lang w:val="pl-PL"/>
        </w:rPr>
        <w:t> </w:t>
      </w:r>
      <w:r w:rsidRPr="00BD22FE">
        <w:rPr>
          <w:sz w:val="22"/>
          <w:szCs w:val="22"/>
          <w:lang w:val="pl-PL"/>
        </w:rPr>
        <w:t>odniesieniu do telmisartanu w</w:t>
      </w:r>
      <w:r w:rsidR="00717A7B" w:rsidRPr="00BD22FE">
        <w:rPr>
          <w:sz w:val="22"/>
          <w:szCs w:val="22"/>
          <w:lang w:val="pl-PL"/>
        </w:rPr>
        <w:t> </w:t>
      </w:r>
      <w:r w:rsidRPr="00BD22FE">
        <w:rPr>
          <w:sz w:val="22"/>
          <w:szCs w:val="22"/>
          <w:lang w:val="pl-PL"/>
        </w:rPr>
        <w:t xml:space="preserve">porównaniu </w:t>
      </w:r>
      <w:r w:rsidR="009239CD" w:rsidRPr="00BD22FE">
        <w:rPr>
          <w:sz w:val="22"/>
          <w:szCs w:val="22"/>
          <w:lang w:val="pl-PL"/>
        </w:rPr>
        <w:t>z </w:t>
      </w:r>
      <w:r w:rsidRPr="00BD22FE">
        <w:rPr>
          <w:sz w:val="22"/>
          <w:szCs w:val="22"/>
          <w:lang w:val="pl-PL"/>
        </w:rPr>
        <w:t>placebo, 0,70% vs. 0,49% [ryzyk</w:t>
      </w:r>
      <w:r w:rsidR="001D1DEF" w:rsidRPr="00BD22FE">
        <w:rPr>
          <w:sz w:val="22"/>
          <w:szCs w:val="22"/>
          <w:lang w:val="pl-PL"/>
        </w:rPr>
        <w:t>o względne</w:t>
      </w:r>
      <w:r w:rsidRPr="00BD22FE">
        <w:rPr>
          <w:sz w:val="22"/>
          <w:szCs w:val="22"/>
          <w:lang w:val="pl-PL"/>
        </w:rPr>
        <w:t> 1,43 (95% przedział ufności 1,00</w:t>
      </w:r>
      <w:r w:rsidRPr="00BD22FE">
        <w:rPr>
          <w:sz w:val="22"/>
          <w:szCs w:val="22"/>
          <w:lang w:val="pl-PL"/>
        </w:rPr>
        <w:noBreakHyphen/>
        <w:t>2,06)]; częstość występowania posocznicy zakończonej zgonem była zwiększona u</w:t>
      </w:r>
      <w:r w:rsidR="00717A7B" w:rsidRPr="00BD22FE">
        <w:rPr>
          <w:sz w:val="22"/>
          <w:szCs w:val="22"/>
          <w:lang w:val="pl-PL"/>
        </w:rPr>
        <w:t> </w:t>
      </w:r>
      <w:r w:rsidRPr="00BD22FE">
        <w:rPr>
          <w:sz w:val="22"/>
          <w:szCs w:val="22"/>
          <w:lang w:val="pl-PL"/>
        </w:rPr>
        <w:t>pacjentów przyjmujących telmisartan (0,33%) w</w:t>
      </w:r>
      <w:r w:rsidR="00717A7B" w:rsidRPr="00BD22FE">
        <w:rPr>
          <w:sz w:val="22"/>
          <w:szCs w:val="22"/>
          <w:lang w:val="pl-PL"/>
        </w:rPr>
        <w:t> </w:t>
      </w:r>
      <w:r w:rsidRPr="00BD22FE">
        <w:rPr>
          <w:sz w:val="22"/>
          <w:szCs w:val="22"/>
          <w:lang w:val="pl-PL"/>
        </w:rPr>
        <w:t>porównaniu do pacjentów przyjmujących placebo (0,16%) [ryzyk</w:t>
      </w:r>
      <w:r w:rsidR="00F36FB5" w:rsidRPr="00BD22FE">
        <w:rPr>
          <w:sz w:val="22"/>
          <w:szCs w:val="22"/>
          <w:lang w:val="pl-PL"/>
        </w:rPr>
        <w:t>o względne</w:t>
      </w:r>
      <w:r w:rsidRPr="00BD22FE">
        <w:rPr>
          <w:sz w:val="22"/>
          <w:szCs w:val="22"/>
          <w:lang w:val="pl-PL"/>
        </w:rPr>
        <w:t> 2,07 (95% przedział ufności 1,14</w:t>
      </w:r>
      <w:r w:rsidRPr="00BD22FE">
        <w:rPr>
          <w:sz w:val="22"/>
          <w:szCs w:val="22"/>
          <w:lang w:val="pl-PL"/>
        </w:rPr>
        <w:noBreakHyphen/>
        <w:t>3,76)]. Zaobserwowane zwiększenie częstości występowania posocznicy związane ze stosowaniem telmisartanu może być albo przypadkowe, albo spowodowane aktualnie nieznanym mechanizmem.</w:t>
      </w:r>
    </w:p>
    <w:p w14:paraId="511F7554" w14:textId="57A0D391" w:rsidR="000016E2" w:rsidRPr="00BD22FE" w:rsidRDefault="000016E2" w:rsidP="00941FBF">
      <w:pPr>
        <w:pStyle w:val="BodyText"/>
        <w:spacing w:line="240" w:lineRule="auto"/>
        <w:jc w:val="left"/>
        <w:rPr>
          <w:sz w:val="22"/>
          <w:szCs w:val="22"/>
          <w:lang w:val="pl-PL"/>
        </w:rPr>
      </w:pPr>
    </w:p>
    <w:p w14:paraId="3EE505BC" w14:textId="01E531CA" w:rsidR="000016E2" w:rsidRPr="00DE4C52" w:rsidRDefault="004972A5" w:rsidP="00941FBF">
      <w:pPr>
        <w:autoSpaceDE w:val="0"/>
        <w:autoSpaceDN w:val="0"/>
        <w:adjustRightInd w:val="0"/>
        <w:rPr>
          <w:sz w:val="22"/>
          <w:szCs w:val="22"/>
          <w:lang w:val="pl-PL"/>
        </w:rPr>
      </w:pPr>
      <w:r w:rsidRPr="00BD22FE">
        <w:rPr>
          <w:sz w:val="22"/>
          <w:szCs w:val="22"/>
          <w:lang w:val="pl-PL"/>
        </w:rPr>
        <w:t>W d</w:t>
      </w:r>
      <w:r w:rsidR="00104CA8" w:rsidRPr="00BD22FE">
        <w:rPr>
          <w:sz w:val="22"/>
          <w:szCs w:val="22"/>
          <w:lang w:val="pl-PL"/>
        </w:rPr>
        <w:t>w</w:t>
      </w:r>
      <w:r w:rsidRPr="00BD22FE">
        <w:rPr>
          <w:sz w:val="22"/>
          <w:szCs w:val="22"/>
          <w:lang w:val="pl-PL"/>
        </w:rPr>
        <w:t>óch</w:t>
      </w:r>
      <w:r w:rsidR="00104CA8" w:rsidRPr="00BD22FE">
        <w:rPr>
          <w:sz w:val="22"/>
          <w:szCs w:val="22"/>
          <w:lang w:val="pl-PL"/>
        </w:rPr>
        <w:t xml:space="preserve"> duż</w:t>
      </w:r>
      <w:r w:rsidRPr="00BD22FE">
        <w:rPr>
          <w:sz w:val="22"/>
          <w:szCs w:val="22"/>
          <w:lang w:val="pl-PL"/>
        </w:rPr>
        <w:t>ych</w:t>
      </w:r>
      <w:r w:rsidR="00104CA8" w:rsidRPr="00BD22FE">
        <w:rPr>
          <w:sz w:val="22"/>
          <w:szCs w:val="22"/>
          <w:lang w:val="pl-PL"/>
        </w:rPr>
        <w:t xml:space="preserve"> randomizowan</w:t>
      </w:r>
      <w:r w:rsidRPr="00BD22FE">
        <w:rPr>
          <w:sz w:val="22"/>
          <w:szCs w:val="22"/>
          <w:lang w:val="pl-PL"/>
        </w:rPr>
        <w:t>ych</w:t>
      </w:r>
      <w:r w:rsidR="00104CA8" w:rsidRPr="00BD22FE">
        <w:rPr>
          <w:sz w:val="22"/>
          <w:szCs w:val="22"/>
          <w:lang w:val="pl-PL"/>
        </w:rPr>
        <w:t>, kontrolowan</w:t>
      </w:r>
      <w:r w:rsidRPr="00BD22FE">
        <w:rPr>
          <w:sz w:val="22"/>
          <w:szCs w:val="22"/>
          <w:lang w:val="pl-PL"/>
        </w:rPr>
        <w:t>ych</w:t>
      </w:r>
      <w:r w:rsidR="00104CA8" w:rsidRPr="00BD22FE">
        <w:rPr>
          <w:sz w:val="22"/>
          <w:szCs w:val="22"/>
          <w:lang w:val="pl-PL"/>
        </w:rPr>
        <w:t xml:space="preserve"> badania</w:t>
      </w:r>
      <w:r w:rsidRPr="00BD22FE">
        <w:rPr>
          <w:sz w:val="22"/>
          <w:szCs w:val="22"/>
          <w:lang w:val="pl-PL"/>
        </w:rPr>
        <w:t>ch</w:t>
      </w:r>
      <w:r w:rsidR="00104CA8" w:rsidRPr="00BD22FE">
        <w:rPr>
          <w:sz w:val="22"/>
          <w:szCs w:val="22"/>
          <w:lang w:val="pl-PL"/>
        </w:rPr>
        <w:t xml:space="preserve"> kliniczn</w:t>
      </w:r>
      <w:r w:rsidRPr="00BD22FE">
        <w:rPr>
          <w:sz w:val="22"/>
          <w:szCs w:val="22"/>
          <w:lang w:val="pl-PL"/>
        </w:rPr>
        <w:t>ych</w:t>
      </w:r>
      <w:r w:rsidR="00104CA8" w:rsidRPr="00BD22FE">
        <w:rPr>
          <w:sz w:val="22"/>
          <w:szCs w:val="22"/>
          <w:lang w:val="pl-PL"/>
        </w:rPr>
        <w:t xml:space="preserve"> ONTARGET (ang.</w:t>
      </w:r>
      <w:r w:rsidR="003B2ACA" w:rsidRPr="00BD22FE">
        <w:rPr>
          <w:sz w:val="22"/>
          <w:szCs w:val="22"/>
          <w:lang w:val="pl-PL"/>
        </w:rPr>
        <w:t> </w:t>
      </w:r>
      <w:proofErr w:type="spellStart"/>
      <w:r w:rsidR="00104CA8" w:rsidRPr="00166B77">
        <w:rPr>
          <w:sz w:val="22"/>
          <w:szCs w:val="22"/>
          <w:lang w:val="en-GB"/>
        </w:rPr>
        <w:t>ONgoing</w:t>
      </w:r>
      <w:proofErr w:type="spellEnd"/>
      <w:r w:rsidR="00104CA8" w:rsidRPr="00166B77">
        <w:rPr>
          <w:sz w:val="22"/>
          <w:szCs w:val="22"/>
          <w:lang w:val="en-GB"/>
        </w:rPr>
        <w:t xml:space="preserve"> </w:t>
      </w:r>
      <w:proofErr w:type="spellStart"/>
      <w:r w:rsidR="00104CA8" w:rsidRPr="00166B77">
        <w:rPr>
          <w:sz w:val="22"/>
          <w:szCs w:val="22"/>
          <w:lang w:val="en-GB"/>
        </w:rPr>
        <w:t>Telmistartan</w:t>
      </w:r>
      <w:proofErr w:type="spellEnd"/>
      <w:r w:rsidR="00104CA8" w:rsidRPr="00166B77">
        <w:rPr>
          <w:sz w:val="22"/>
          <w:szCs w:val="22"/>
          <w:lang w:val="en-GB"/>
        </w:rPr>
        <w:t xml:space="preserve"> Alone and in combination with Ramipril Global Endpoint Trial) </w:t>
      </w:r>
      <w:proofErr w:type="spellStart"/>
      <w:r w:rsidR="00104CA8" w:rsidRPr="00166B77">
        <w:rPr>
          <w:sz w:val="22"/>
          <w:szCs w:val="22"/>
          <w:lang w:val="en-GB"/>
        </w:rPr>
        <w:t>i</w:t>
      </w:r>
      <w:proofErr w:type="spellEnd"/>
      <w:r w:rsidR="00717A7B" w:rsidRPr="00166B77">
        <w:rPr>
          <w:sz w:val="22"/>
          <w:szCs w:val="22"/>
          <w:lang w:val="en-GB"/>
        </w:rPr>
        <w:t> </w:t>
      </w:r>
      <w:r w:rsidR="00104CA8" w:rsidRPr="00166B77">
        <w:rPr>
          <w:sz w:val="22"/>
          <w:szCs w:val="22"/>
          <w:lang w:val="en-GB"/>
        </w:rPr>
        <w:t>VA NEPHRON</w:t>
      </w:r>
      <w:r w:rsidR="00C15D43" w:rsidRPr="00166B77">
        <w:rPr>
          <w:sz w:val="22"/>
          <w:szCs w:val="22"/>
          <w:lang w:val="en-GB"/>
        </w:rPr>
        <w:noBreakHyphen/>
      </w:r>
      <w:r w:rsidR="00104CA8" w:rsidRPr="00166B77">
        <w:rPr>
          <w:sz w:val="22"/>
          <w:szCs w:val="22"/>
          <w:lang w:val="en-GB"/>
        </w:rPr>
        <w:t>D (ang.</w:t>
      </w:r>
      <w:r w:rsidR="003B2ACA" w:rsidRPr="00166B77">
        <w:rPr>
          <w:sz w:val="22"/>
          <w:szCs w:val="22"/>
          <w:lang w:val="en-GB"/>
        </w:rPr>
        <w:t> </w:t>
      </w:r>
      <w:r w:rsidR="00104CA8" w:rsidRPr="00DE4C52">
        <w:rPr>
          <w:sz w:val="22"/>
          <w:szCs w:val="22"/>
          <w:lang w:val="pl-PL"/>
        </w:rPr>
        <w:t xml:space="preserve">The Veterans Affairs Nefropathy in Diabetes) </w:t>
      </w:r>
      <w:r w:rsidR="00B9395C" w:rsidRPr="00DE4C52">
        <w:rPr>
          <w:sz w:val="22"/>
          <w:szCs w:val="22"/>
          <w:lang w:val="pl-PL"/>
        </w:rPr>
        <w:t xml:space="preserve">oceniono </w:t>
      </w:r>
      <w:r w:rsidR="00104CA8" w:rsidRPr="00DE4C52">
        <w:rPr>
          <w:sz w:val="22"/>
          <w:szCs w:val="22"/>
          <w:lang w:val="pl-PL"/>
        </w:rPr>
        <w:t>jednoczesne zastosowanie inhibitora ACE z</w:t>
      </w:r>
      <w:r w:rsidR="00717A7B" w:rsidRPr="00DE4C52">
        <w:rPr>
          <w:sz w:val="22"/>
          <w:szCs w:val="22"/>
          <w:lang w:val="pl-PL"/>
        </w:rPr>
        <w:t> </w:t>
      </w:r>
      <w:r w:rsidR="00104CA8" w:rsidRPr="00DE4C52">
        <w:rPr>
          <w:sz w:val="22"/>
          <w:szCs w:val="22"/>
          <w:lang w:val="pl-PL"/>
        </w:rPr>
        <w:t>blokerami receptora angiotensyny</w:t>
      </w:r>
      <w:r w:rsidR="001E0877" w:rsidRPr="00DE4C52">
        <w:rPr>
          <w:sz w:val="22"/>
          <w:szCs w:val="22"/>
          <w:lang w:val="pl-PL"/>
        </w:rPr>
        <w:t> </w:t>
      </w:r>
      <w:r w:rsidR="00104CA8" w:rsidRPr="00DE4C52">
        <w:rPr>
          <w:sz w:val="22"/>
          <w:szCs w:val="22"/>
          <w:lang w:val="pl-PL"/>
        </w:rPr>
        <w:t>II.</w:t>
      </w:r>
    </w:p>
    <w:p w14:paraId="56C1EF30" w14:textId="1C3E94A6" w:rsidR="00BD1F82" w:rsidRPr="00BD22FE" w:rsidRDefault="00104CA8" w:rsidP="00941FBF">
      <w:pPr>
        <w:rPr>
          <w:sz w:val="22"/>
          <w:szCs w:val="22"/>
          <w:lang w:val="pl-PL"/>
        </w:rPr>
      </w:pPr>
      <w:r w:rsidRPr="00BD22FE">
        <w:rPr>
          <w:sz w:val="22"/>
          <w:szCs w:val="22"/>
          <w:lang w:val="pl-PL"/>
        </w:rPr>
        <w:t>Badanie ONTARGET było przeprowadzone z</w:t>
      </w:r>
      <w:r w:rsidR="00717A7B" w:rsidRPr="00BD22FE">
        <w:rPr>
          <w:sz w:val="22"/>
          <w:szCs w:val="22"/>
          <w:lang w:val="pl-PL"/>
        </w:rPr>
        <w:t> </w:t>
      </w:r>
      <w:r w:rsidRPr="00BD22FE">
        <w:rPr>
          <w:sz w:val="22"/>
          <w:szCs w:val="22"/>
          <w:lang w:val="pl-PL"/>
        </w:rPr>
        <w:t>udziałem pacjentów z</w:t>
      </w:r>
      <w:r w:rsidR="00717A7B" w:rsidRPr="00BD22FE">
        <w:rPr>
          <w:sz w:val="22"/>
          <w:szCs w:val="22"/>
          <w:lang w:val="pl-PL"/>
        </w:rPr>
        <w:t> </w:t>
      </w:r>
      <w:r w:rsidRPr="00BD22FE">
        <w:rPr>
          <w:sz w:val="22"/>
          <w:szCs w:val="22"/>
          <w:lang w:val="pl-PL"/>
        </w:rPr>
        <w:t>chorobami układu sercowo-naczyniowego, chorobami naczyń mózgowych w</w:t>
      </w:r>
      <w:r w:rsidR="00717A7B" w:rsidRPr="00BD22FE">
        <w:rPr>
          <w:sz w:val="22"/>
          <w:szCs w:val="22"/>
          <w:lang w:val="pl-PL"/>
        </w:rPr>
        <w:t> </w:t>
      </w:r>
      <w:r w:rsidRPr="00BD22FE">
        <w:rPr>
          <w:sz w:val="22"/>
          <w:szCs w:val="22"/>
          <w:lang w:val="pl-PL"/>
        </w:rPr>
        <w:t>wywiadzie lub cukrzycą typu 2 z towarzyszącymi, udowodnionymi uszkodzeniami narządów docelowych. W</w:t>
      </w:r>
      <w:r w:rsidR="00717A7B" w:rsidRPr="00BD22FE">
        <w:rPr>
          <w:sz w:val="22"/>
          <w:szCs w:val="22"/>
          <w:lang w:val="pl-PL"/>
        </w:rPr>
        <w:t> </w:t>
      </w:r>
      <w:r w:rsidRPr="00BD22FE">
        <w:rPr>
          <w:sz w:val="22"/>
          <w:szCs w:val="22"/>
          <w:lang w:val="pl-PL"/>
        </w:rPr>
        <w:t>celu uzyskania bardziej szczegółowych informacji patrz pod</w:t>
      </w:r>
      <w:r w:rsidR="004A7A0B" w:rsidRPr="00BD22FE">
        <w:rPr>
          <w:sz w:val="22"/>
          <w:szCs w:val="22"/>
          <w:lang w:val="pl-PL"/>
        </w:rPr>
        <w:t>punkt</w:t>
      </w:r>
      <w:r w:rsidRPr="00BD22FE">
        <w:rPr>
          <w:sz w:val="22"/>
          <w:szCs w:val="22"/>
          <w:lang w:val="pl-PL"/>
        </w:rPr>
        <w:t xml:space="preserve"> „Zapobieganie chorobom sercowo-naczyniowym”.</w:t>
      </w:r>
    </w:p>
    <w:p w14:paraId="7319DE8D" w14:textId="7568F668" w:rsidR="000016E2" w:rsidRPr="00BD22FE" w:rsidRDefault="00104CA8" w:rsidP="00941FBF">
      <w:pPr>
        <w:rPr>
          <w:sz w:val="22"/>
          <w:szCs w:val="22"/>
          <w:lang w:val="pl-PL"/>
        </w:rPr>
      </w:pPr>
      <w:r w:rsidRPr="00BD22FE">
        <w:rPr>
          <w:sz w:val="22"/>
          <w:szCs w:val="22"/>
          <w:lang w:val="pl-PL"/>
        </w:rPr>
        <w:t>Badanie VA NEPHRON</w:t>
      </w:r>
      <w:r w:rsidR="00C15D43" w:rsidRPr="00BD22FE">
        <w:rPr>
          <w:sz w:val="22"/>
          <w:szCs w:val="22"/>
          <w:lang w:val="pl-PL"/>
        </w:rPr>
        <w:noBreakHyphen/>
      </w:r>
      <w:r w:rsidRPr="00BD22FE">
        <w:rPr>
          <w:sz w:val="22"/>
          <w:szCs w:val="22"/>
          <w:lang w:val="pl-PL"/>
        </w:rPr>
        <w:t>D było przeprowadzone z</w:t>
      </w:r>
      <w:r w:rsidR="00717A7B" w:rsidRPr="00BD22FE">
        <w:rPr>
          <w:sz w:val="22"/>
          <w:szCs w:val="22"/>
          <w:lang w:val="pl-PL"/>
        </w:rPr>
        <w:t> </w:t>
      </w:r>
      <w:r w:rsidRPr="00BD22FE">
        <w:rPr>
          <w:sz w:val="22"/>
          <w:szCs w:val="22"/>
          <w:lang w:val="pl-PL"/>
        </w:rPr>
        <w:t>udziałem pacjentów z</w:t>
      </w:r>
      <w:r w:rsidR="00717A7B" w:rsidRPr="00BD22FE">
        <w:rPr>
          <w:sz w:val="22"/>
          <w:szCs w:val="22"/>
          <w:lang w:val="pl-PL"/>
        </w:rPr>
        <w:t> </w:t>
      </w:r>
      <w:r w:rsidRPr="00BD22FE">
        <w:rPr>
          <w:sz w:val="22"/>
          <w:szCs w:val="22"/>
          <w:lang w:val="pl-PL"/>
        </w:rPr>
        <w:t>cukrzycą typu 2 oraz z nefropatią cukrzycową.</w:t>
      </w:r>
    </w:p>
    <w:p w14:paraId="427BBE95" w14:textId="5FB553DC" w:rsidR="000016E2" w:rsidRPr="00BD22FE" w:rsidRDefault="00104CA8" w:rsidP="00941FBF">
      <w:pPr>
        <w:autoSpaceDE w:val="0"/>
        <w:autoSpaceDN w:val="0"/>
        <w:adjustRightInd w:val="0"/>
        <w:rPr>
          <w:sz w:val="22"/>
          <w:szCs w:val="22"/>
          <w:lang w:val="pl-PL"/>
        </w:rPr>
      </w:pPr>
      <w:r w:rsidRPr="00BD22FE">
        <w:rPr>
          <w:sz w:val="22"/>
          <w:szCs w:val="22"/>
          <w:lang w:val="pl-PL"/>
        </w:rPr>
        <w:t>Badania te wykazały brak istotnego korzystnego wpływu na parametry nerkowe i</w:t>
      </w:r>
      <w:r w:rsidR="00B15C46" w:rsidRPr="00BD22FE">
        <w:rPr>
          <w:sz w:val="22"/>
          <w:szCs w:val="22"/>
          <w:lang w:val="pl-PL"/>
        </w:rPr>
        <w:t> </w:t>
      </w:r>
      <w:r w:rsidRPr="00BD22FE">
        <w:rPr>
          <w:sz w:val="22"/>
          <w:szCs w:val="22"/>
          <w:lang w:val="pl-PL"/>
        </w:rPr>
        <w:t>(lub) wyniki w zakresie chorobowości oraz śmiertelności sercowo-naczyniowej, podczas gdy zaobserwowano zwiększone ryzyko hiperkaliemii, ostrego uszkodzenia nerek i</w:t>
      </w:r>
      <w:r w:rsidR="00B15C46" w:rsidRPr="00BD22FE">
        <w:rPr>
          <w:sz w:val="22"/>
          <w:szCs w:val="22"/>
          <w:lang w:val="pl-PL"/>
        </w:rPr>
        <w:t> </w:t>
      </w:r>
      <w:r w:rsidRPr="00BD22FE">
        <w:rPr>
          <w:sz w:val="22"/>
          <w:szCs w:val="22"/>
          <w:lang w:val="pl-PL"/>
        </w:rPr>
        <w:t>(lub) niedociśnienia, w</w:t>
      </w:r>
      <w:r w:rsidR="00717A7B" w:rsidRPr="00BD22FE">
        <w:rPr>
          <w:sz w:val="22"/>
          <w:szCs w:val="22"/>
          <w:lang w:val="pl-PL"/>
        </w:rPr>
        <w:t> </w:t>
      </w:r>
      <w:r w:rsidRPr="00BD22FE">
        <w:rPr>
          <w:sz w:val="22"/>
          <w:szCs w:val="22"/>
          <w:lang w:val="pl-PL"/>
        </w:rPr>
        <w:t>porównaniu z monoterapią. Ze względu na podobieństwa w</w:t>
      </w:r>
      <w:r w:rsidR="00717A7B" w:rsidRPr="00BD22FE">
        <w:rPr>
          <w:sz w:val="22"/>
          <w:szCs w:val="22"/>
          <w:lang w:val="pl-PL"/>
        </w:rPr>
        <w:t> </w:t>
      </w:r>
      <w:r w:rsidRPr="00BD22FE">
        <w:rPr>
          <w:sz w:val="22"/>
          <w:szCs w:val="22"/>
          <w:lang w:val="pl-PL"/>
        </w:rPr>
        <w:t>zakresie właściwości farmakodynamicznych tych leków, przytoczone wyniki również mają znaczenie w</w:t>
      </w:r>
      <w:r w:rsidR="00717A7B" w:rsidRPr="00BD22FE">
        <w:rPr>
          <w:sz w:val="22"/>
          <w:szCs w:val="22"/>
          <w:lang w:val="pl-PL"/>
        </w:rPr>
        <w:t> </w:t>
      </w:r>
      <w:r w:rsidRPr="00BD22FE">
        <w:rPr>
          <w:sz w:val="22"/>
          <w:szCs w:val="22"/>
          <w:lang w:val="pl-PL"/>
        </w:rPr>
        <w:t>przypadku innych inhibitorów ACE oraz blokerów receptora angiotensyny</w:t>
      </w:r>
      <w:r w:rsidR="001E0877" w:rsidRPr="00BD22FE">
        <w:rPr>
          <w:sz w:val="22"/>
          <w:szCs w:val="22"/>
          <w:lang w:val="pl-PL"/>
        </w:rPr>
        <w:t> </w:t>
      </w:r>
      <w:r w:rsidRPr="00BD22FE">
        <w:rPr>
          <w:sz w:val="22"/>
          <w:szCs w:val="22"/>
          <w:lang w:val="pl-PL"/>
        </w:rPr>
        <w:t>II.</w:t>
      </w:r>
    </w:p>
    <w:p w14:paraId="204B419B" w14:textId="39ABFF20" w:rsidR="000016E2" w:rsidRPr="00BD22FE" w:rsidRDefault="00104CA8" w:rsidP="00941FBF">
      <w:pPr>
        <w:rPr>
          <w:sz w:val="22"/>
          <w:szCs w:val="22"/>
          <w:lang w:val="pl-PL"/>
        </w:rPr>
      </w:pPr>
      <w:r w:rsidRPr="00BD22FE">
        <w:rPr>
          <w:sz w:val="22"/>
          <w:szCs w:val="22"/>
          <w:lang w:val="pl-PL"/>
        </w:rPr>
        <w:t>Dlatego też u</w:t>
      </w:r>
      <w:r w:rsidR="00717A7B" w:rsidRPr="00BD22FE">
        <w:rPr>
          <w:sz w:val="22"/>
          <w:szCs w:val="22"/>
          <w:lang w:val="pl-PL"/>
        </w:rPr>
        <w:t> </w:t>
      </w:r>
      <w:r w:rsidRPr="00BD22FE">
        <w:rPr>
          <w:sz w:val="22"/>
          <w:szCs w:val="22"/>
          <w:lang w:val="pl-PL"/>
        </w:rPr>
        <w:t>pacjentów z</w:t>
      </w:r>
      <w:r w:rsidR="00717A7B" w:rsidRPr="00BD22FE">
        <w:rPr>
          <w:sz w:val="22"/>
          <w:szCs w:val="22"/>
          <w:lang w:val="pl-PL"/>
        </w:rPr>
        <w:t> </w:t>
      </w:r>
      <w:r w:rsidRPr="00BD22FE">
        <w:rPr>
          <w:sz w:val="22"/>
          <w:szCs w:val="22"/>
          <w:lang w:val="pl-PL"/>
        </w:rPr>
        <w:t>nefropatią cukrzycową nie należy jednocześnie stosować inhibitorów ACE oraz blokerów receptora angiotensyny</w:t>
      </w:r>
      <w:r w:rsidR="001E0877" w:rsidRPr="00BD22FE">
        <w:rPr>
          <w:sz w:val="22"/>
          <w:szCs w:val="22"/>
          <w:lang w:val="pl-PL"/>
        </w:rPr>
        <w:t> </w:t>
      </w:r>
      <w:r w:rsidRPr="00BD22FE">
        <w:rPr>
          <w:sz w:val="22"/>
          <w:szCs w:val="22"/>
          <w:lang w:val="pl-PL"/>
        </w:rPr>
        <w:t>II.</w:t>
      </w:r>
    </w:p>
    <w:p w14:paraId="0220AB3B" w14:textId="77777777" w:rsidR="000016E2" w:rsidRPr="00BD22FE" w:rsidRDefault="000016E2" w:rsidP="001C5750">
      <w:pPr>
        <w:rPr>
          <w:sz w:val="22"/>
          <w:szCs w:val="22"/>
          <w:lang w:val="pl-PL"/>
        </w:rPr>
      </w:pPr>
    </w:p>
    <w:p w14:paraId="3A55BAB2" w14:textId="27D97095" w:rsidR="000016E2" w:rsidRPr="00BD22FE" w:rsidRDefault="00104CA8" w:rsidP="001C5750">
      <w:pPr>
        <w:rPr>
          <w:sz w:val="22"/>
          <w:szCs w:val="22"/>
          <w:lang w:val="pl-PL"/>
        </w:rPr>
      </w:pPr>
      <w:r w:rsidRPr="00BD22FE">
        <w:rPr>
          <w:sz w:val="22"/>
          <w:szCs w:val="22"/>
          <w:lang w:val="pl-PL"/>
        </w:rPr>
        <w:t>Badanie ALTITUDE (ang.</w:t>
      </w:r>
      <w:r w:rsidR="003B2ACA" w:rsidRPr="00BD22FE">
        <w:rPr>
          <w:sz w:val="22"/>
          <w:szCs w:val="22"/>
          <w:lang w:val="pl-PL"/>
        </w:rPr>
        <w:t> </w:t>
      </w:r>
      <w:r w:rsidRPr="00BD22FE">
        <w:rPr>
          <w:sz w:val="22"/>
          <w:szCs w:val="22"/>
          <w:lang w:val="pl-PL"/>
        </w:rPr>
        <w:t>Aliskiren Trial in Type 2 Diabetes Using Cardiovascular and Renal Disease Endpoints) było zaprojektowane w</w:t>
      </w:r>
      <w:r w:rsidR="00717A7B" w:rsidRPr="00BD22FE">
        <w:rPr>
          <w:sz w:val="22"/>
          <w:szCs w:val="22"/>
          <w:lang w:val="pl-PL"/>
        </w:rPr>
        <w:t> </w:t>
      </w:r>
      <w:r w:rsidRPr="00BD22FE">
        <w:rPr>
          <w:sz w:val="22"/>
          <w:szCs w:val="22"/>
          <w:lang w:val="pl-PL"/>
        </w:rPr>
        <w:t>celu zbadania korzyści z</w:t>
      </w:r>
      <w:r w:rsidR="00717A7B" w:rsidRPr="00BD22FE">
        <w:rPr>
          <w:sz w:val="22"/>
          <w:szCs w:val="22"/>
          <w:lang w:val="pl-PL"/>
        </w:rPr>
        <w:t> </w:t>
      </w:r>
      <w:r w:rsidRPr="00BD22FE">
        <w:rPr>
          <w:sz w:val="22"/>
          <w:szCs w:val="22"/>
          <w:lang w:val="pl-PL"/>
        </w:rPr>
        <w:t>dodania aliskirenu do standardowego leczenia inhibitorem ACE lub blokerem receptora angiotensyny</w:t>
      </w:r>
      <w:r w:rsidR="001E0877" w:rsidRPr="00BD22FE">
        <w:rPr>
          <w:sz w:val="22"/>
          <w:szCs w:val="22"/>
          <w:lang w:val="pl-PL"/>
        </w:rPr>
        <w:t> </w:t>
      </w:r>
      <w:r w:rsidRPr="00BD22FE">
        <w:rPr>
          <w:sz w:val="22"/>
          <w:szCs w:val="22"/>
          <w:lang w:val="pl-PL"/>
        </w:rPr>
        <w:t>II u pacjentów z</w:t>
      </w:r>
      <w:r w:rsidR="00717A7B" w:rsidRPr="00BD22FE">
        <w:rPr>
          <w:sz w:val="22"/>
          <w:szCs w:val="22"/>
          <w:lang w:val="pl-PL"/>
        </w:rPr>
        <w:t> </w:t>
      </w:r>
      <w:r w:rsidRPr="00BD22FE">
        <w:rPr>
          <w:sz w:val="22"/>
          <w:szCs w:val="22"/>
          <w:lang w:val="pl-PL"/>
        </w:rPr>
        <w:t xml:space="preserve">cukrzycą typu 2 i przewlekłą chorobą nerek </w:t>
      </w:r>
      <w:r w:rsidR="0029156F" w:rsidRPr="00BD22FE">
        <w:rPr>
          <w:sz w:val="22"/>
          <w:szCs w:val="22"/>
          <w:lang w:val="pl-PL"/>
        </w:rPr>
        <w:t>i (</w:t>
      </w:r>
      <w:r w:rsidRPr="00BD22FE">
        <w:rPr>
          <w:sz w:val="22"/>
          <w:szCs w:val="22"/>
          <w:lang w:val="pl-PL"/>
        </w:rPr>
        <w:t>lub</w:t>
      </w:r>
      <w:r w:rsidR="0029156F" w:rsidRPr="00BD22FE">
        <w:rPr>
          <w:sz w:val="22"/>
          <w:szCs w:val="22"/>
          <w:lang w:val="pl-PL"/>
        </w:rPr>
        <w:t>)</w:t>
      </w:r>
      <w:r w:rsidRPr="00BD22FE">
        <w:rPr>
          <w:sz w:val="22"/>
          <w:szCs w:val="22"/>
          <w:lang w:val="pl-PL"/>
        </w:rPr>
        <w:t xml:space="preserve"> z</w:t>
      </w:r>
      <w:r w:rsidR="00717A7B" w:rsidRPr="00BD22FE">
        <w:rPr>
          <w:sz w:val="22"/>
          <w:szCs w:val="22"/>
          <w:lang w:val="pl-PL"/>
        </w:rPr>
        <w:t> </w:t>
      </w:r>
      <w:r w:rsidRPr="00BD22FE">
        <w:rPr>
          <w:sz w:val="22"/>
          <w:szCs w:val="22"/>
          <w:lang w:val="pl-PL"/>
        </w:rPr>
        <w:t>chorobą układu sercowo-naczyniowego. Badanie zostało przedwcześnie przerwane z powodu zwiększonego ryzyka działań niepożądanych. Zgony sercowo-naczyniowe i</w:t>
      </w:r>
      <w:r w:rsidR="00717A7B" w:rsidRPr="00BD22FE">
        <w:rPr>
          <w:sz w:val="22"/>
          <w:szCs w:val="22"/>
          <w:lang w:val="pl-PL"/>
        </w:rPr>
        <w:t> </w:t>
      </w:r>
      <w:r w:rsidRPr="00BD22FE">
        <w:rPr>
          <w:sz w:val="22"/>
          <w:szCs w:val="22"/>
          <w:lang w:val="pl-PL"/>
        </w:rPr>
        <w:t>udary mózgu występowały częściej w</w:t>
      </w:r>
      <w:r w:rsidR="00717A7B" w:rsidRPr="00BD22FE">
        <w:rPr>
          <w:sz w:val="22"/>
          <w:szCs w:val="22"/>
          <w:lang w:val="pl-PL"/>
        </w:rPr>
        <w:t> </w:t>
      </w:r>
      <w:r w:rsidRPr="00BD22FE">
        <w:rPr>
          <w:sz w:val="22"/>
          <w:szCs w:val="22"/>
          <w:lang w:val="pl-PL"/>
        </w:rPr>
        <w:t>grupie otrzymującej aliskiren w odniesieniu do grupy placebo. W grupie otrzymującej aliskiren odnotowano również częstsze występowanie zdarzeń niepożądanych, w</w:t>
      </w:r>
      <w:r w:rsidR="00717A7B" w:rsidRPr="00BD22FE">
        <w:rPr>
          <w:sz w:val="22"/>
          <w:szCs w:val="22"/>
          <w:lang w:val="pl-PL"/>
        </w:rPr>
        <w:t> </w:t>
      </w:r>
      <w:r w:rsidRPr="00BD22FE">
        <w:rPr>
          <w:sz w:val="22"/>
          <w:szCs w:val="22"/>
          <w:lang w:val="pl-PL"/>
        </w:rPr>
        <w:t xml:space="preserve">tym ciężkich zdarzeń niepożądanych (hiperkaliemia, niedociśnienie </w:t>
      </w:r>
      <w:r w:rsidR="0029156F" w:rsidRPr="00BD22FE">
        <w:rPr>
          <w:sz w:val="22"/>
          <w:szCs w:val="22"/>
          <w:lang w:val="pl-PL"/>
        </w:rPr>
        <w:t xml:space="preserve">tętnicze </w:t>
      </w:r>
      <w:r w:rsidRPr="00BD22FE">
        <w:rPr>
          <w:sz w:val="22"/>
          <w:szCs w:val="22"/>
          <w:lang w:val="pl-PL"/>
        </w:rPr>
        <w:t>i niewydolność nerek) względem grupy placebo.</w:t>
      </w:r>
    </w:p>
    <w:p w14:paraId="05E8045B" w14:textId="77777777" w:rsidR="000016E2" w:rsidRPr="00BD22FE" w:rsidRDefault="000016E2" w:rsidP="00941FBF">
      <w:pPr>
        <w:pStyle w:val="BodyText"/>
        <w:spacing w:line="240" w:lineRule="auto"/>
        <w:jc w:val="left"/>
        <w:rPr>
          <w:sz w:val="22"/>
          <w:szCs w:val="22"/>
          <w:lang w:val="pl-PL"/>
        </w:rPr>
      </w:pPr>
    </w:p>
    <w:p w14:paraId="3DFBCCEA" w14:textId="2A1FAE5C" w:rsidR="003A7E3D" w:rsidRPr="00BD22FE" w:rsidRDefault="00104CA8" w:rsidP="00941FBF">
      <w:pPr>
        <w:pStyle w:val="BodyText"/>
        <w:spacing w:line="240" w:lineRule="auto"/>
        <w:jc w:val="left"/>
        <w:rPr>
          <w:sz w:val="22"/>
          <w:szCs w:val="22"/>
          <w:lang w:val="pl-PL"/>
        </w:rPr>
      </w:pPr>
      <w:r w:rsidRPr="00BD22FE">
        <w:rPr>
          <w:sz w:val="22"/>
          <w:szCs w:val="22"/>
          <w:lang w:val="pl-PL"/>
        </w:rPr>
        <w:t>Badania epidemiologiczne nad długotrwałym stosowaniem HCTZ wykazały, że redukuje on ryzyko śmiertelności i</w:t>
      </w:r>
      <w:r w:rsidR="00717A7B" w:rsidRPr="00BD22FE">
        <w:rPr>
          <w:sz w:val="22"/>
          <w:szCs w:val="22"/>
          <w:lang w:val="pl-PL"/>
        </w:rPr>
        <w:t> </w:t>
      </w:r>
      <w:r w:rsidRPr="00BD22FE">
        <w:rPr>
          <w:sz w:val="22"/>
          <w:szCs w:val="22"/>
          <w:lang w:val="pl-PL"/>
        </w:rPr>
        <w:t xml:space="preserve">zachorowalności </w:t>
      </w:r>
      <w:r w:rsidR="004E26DC" w:rsidRPr="00BD22FE">
        <w:rPr>
          <w:sz w:val="22"/>
          <w:szCs w:val="22"/>
          <w:lang w:val="pl-PL"/>
        </w:rPr>
        <w:t>z przyczyn sercowo-naczyniowych</w:t>
      </w:r>
      <w:r w:rsidRPr="00BD22FE">
        <w:rPr>
          <w:sz w:val="22"/>
          <w:szCs w:val="22"/>
          <w:lang w:val="pl-PL"/>
        </w:rPr>
        <w:t>.</w:t>
      </w:r>
    </w:p>
    <w:p w14:paraId="43DB3ADE" w14:textId="6F47F080" w:rsidR="000016E2" w:rsidRPr="00BD22FE" w:rsidRDefault="000016E2" w:rsidP="00941FBF">
      <w:pPr>
        <w:pStyle w:val="BodyText"/>
        <w:spacing w:line="240" w:lineRule="auto"/>
        <w:jc w:val="left"/>
        <w:rPr>
          <w:sz w:val="22"/>
          <w:szCs w:val="22"/>
          <w:lang w:val="pl-PL"/>
        </w:rPr>
      </w:pPr>
    </w:p>
    <w:p w14:paraId="4C6E3402" w14:textId="1976BF47" w:rsidR="000016E2" w:rsidRPr="00BD22FE" w:rsidRDefault="00104CA8" w:rsidP="00941FBF">
      <w:pPr>
        <w:pStyle w:val="BodyText"/>
        <w:spacing w:line="240" w:lineRule="auto"/>
        <w:jc w:val="left"/>
        <w:rPr>
          <w:sz w:val="22"/>
          <w:szCs w:val="22"/>
          <w:lang w:val="pl-PL"/>
        </w:rPr>
      </w:pPr>
      <w:r w:rsidRPr="00BD22FE">
        <w:rPr>
          <w:sz w:val="22"/>
          <w:szCs w:val="22"/>
          <w:lang w:val="pl-PL"/>
        </w:rPr>
        <w:t>Wpływ połączenia stałych dawek telmisartanu i</w:t>
      </w:r>
      <w:r w:rsidR="00717A7B" w:rsidRPr="00BD22FE">
        <w:rPr>
          <w:sz w:val="22"/>
          <w:szCs w:val="22"/>
          <w:lang w:val="pl-PL"/>
        </w:rPr>
        <w:t> </w:t>
      </w:r>
      <w:r w:rsidRPr="00BD22FE">
        <w:rPr>
          <w:sz w:val="22"/>
          <w:szCs w:val="22"/>
          <w:lang w:val="pl-PL"/>
        </w:rPr>
        <w:t>hydrochlorotiazydu na śmiertelność i</w:t>
      </w:r>
      <w:r w:rsidR="00717A7B" w:rsidRPr="00BD22FE">
        <w:rPr>
          <w:sz w:val="22"/>
          <w:szCs w:val="22"/>
          <w:lang w:val="pl-PL"/>
        </w:rPr>
        <w:t> </w:t>
      </w:r>
      <w:r w:rsidRPr="00BD22FE">
        <w:rPr>
          <w:sz w:val="22"/>
          <w:szCs w:val="22"/>
          <w:lang w:val="pl-PL"/>
        </w:rPr>
        <w:t xml:space="preserve">zachorowalność </w:t>
      </w:r>
      <w:r w:rsidR="0061326E" w:rsidRPr="00BD22FE">
        <w:rPr>
          <w:sz w:val="22"/>
          <w:szCs w:val="22"/>
          <w:lang w:val="pl-PL"/>
        </w:rPr>
        <w:t>z przyczyn sercowo-naczyniowych</w:t>
      </w:r>
      <w:r w:rsidRPr="00BD22FE">
        <w:rPr>
          <w:sz w:val="22"/>
          <w:szCs w:val="22"/>
          <w:lang w:val="pl-PL"/>
        </w:rPr>
        <w:t xml:space="preserve"> jest dotychczas niepoznany.</w:t>
      </w:r>
    </w:p>
    <w:p w14:paraId="3ACE1701" w14:textId="77777777" w:rsidR="000016E2" w:rsidRPr="00BD22FE" w:rsidRDefault="000016E2" w:rsidP="00941FBF">
      <w:pPr>
        <w:pStyle w:val="BodyText"/>
        <w:spacing w:line="240" w:lineRule="auto"/>
        <w:jc w:val="left"/>
        <w:rPr>
          <w:sz w:val="22"/>
          <w:szCs w:val="22"/>
          <w:lang w:val="pl-PL"/>
        </w:rPr>
      </w:pPr>
    </w:p>
    <w:p w14:paraId="0F5558E2" w14:textId="77777777" w:rsidR="000016E2" w:rsidRPr="00BD22FE" w:rsidRDefault="00104CA8" w:rsidP="00941FBF">
      <w:pPr>
        <w:pStyle w:val="BodyText"/>
        <w:spacing w:line="240" w:lineRule="auto"/>
        <w:jc w:val="left"/>
        <w:rPr>
          <w:sz w:val="22"/>
          <w:szCs w:val="22"/>
          <w:lang w:val="pl-PL"/>
        </w:rPr>
      </w:pPr>
      <w:r w:rsidRPr="00BD22FE">
        <w:rPr>
          <w:sz w:val="22"/>
          <w:szCs w:val="22"/>
          <w:lang w:val="pl-PL"/>
        </w:rPr>
        <w:t>Nieczerniakowe nowotwory złośliwe skóry</w:t>
      </w:r>
    </w:p>
    <w:p w14:paraId="583F8F92" w14:textId="1B1A27DC" w:rsidR="000016E2" w:rsidRPr="00BD22FE" w:rsidRDefault="00104CA8" w:rsidP="00941FBF">
      <w:pPr>
        <w:pStyle w:val="BodyText"/>
        <w:spacing w:line="240" w:lineRule="auto"/>
        <w:jc w:val="left"/>
        <w:rPr>
          <w:sz w:val="22"/>
          <w:szCs w:val="22"/>
          <w:lang w:val="pl-PL"/>
        </w:rPr>
      </w:pPr>
      <w:r w:rsidRPr="00BD22FE">
        <w:rPr>
          <w:sz w:val="22"/>
          <w:szCs w:val="22"/>
          <w:lang w:val="pl-PL"/>
        </w:rPr>
        <w:lastRenderedPageBreak/>
        <w:t>Na podstawie danych dostępnych z</w:t>
      </w:r>
      <w:r w:rsidR="00717A7B" w:rsidRPr="00BD22FE">
        <w:rPr>
          <w:sz w:val="22"/>
          <w:szCs w:val="22"/>
          <w:lang w:val="pl-PL"/>
        </w:rPr>
        <w:t> </w:t>
      </w:r>
      <w:r w:rsidRPr="00BD22FE">
        <w:rPr>
          <w:sz w:val="22"/>
          <w:szCs w:val="22"/>
          <w:lang w:val="pl-PL"/>
        </w:rPr>
        <w:t xml:space="preserve">badań epidemiologicznych stwierdzono związek między </w:t>
      </w:r>
      <w:r w:rsidR="000C7862" w:rsidRPr="00BD22FE">
        <w:rPr>
          <w:sz w:val="22"/>
          <w:szCs w:val="22"/>
          <w:lang w:val="pl-PL"/>
        </w:rPr>
        <w:t xml:space="preserve">skumulowaną </w:t>
      </w:r>
      <w:r w:rsidRPr="00BD22FE">
        <w:rPr>
          <w:sz w:val="22"/>
          <w:szCs w:val="22"/>
          <w:lang w:val="pl-PL"/>
        </w:rPr>
        <w:t>dawką HCTZ a</w:t>
      </w:r>
      <w:r w:rsidR="00717A7B" w:rsidRPr="00BD22FE">
        <w:rPr>
          <w:sz w:val="22"/>
          <w:szCs w:val="22"/>
          <w:lang w:val="pl-PL"/>
        </w:rPr>
        <w:t> </w:t>
      </w:r>
      <w:r w:rsidRPr="00BD22FE">
        <w:rPr>
          <w:sz w:val="22"/>
          <w:szCs w:val="22"/>
          <w:lang w:val="pl-PL"/>
        </w:rPr>
        <w:t xml:space="preserve">występowaniem NMSC. </w:t>
      </w:r>
      <w:r w:rsidR="00EE3238" w:rsidRPr="00BD22FE">
        <w:rPr>
          <w:sz w:val="22"/>
          <w:szCs w:val="22"/>
          <w:lang w:val="pl-PL"/>
        </w:rPr>
        <w:t>Jedno badanie obejmowało</w:t>
      </w:r>
      <w:r w:rsidRPr="00BD22FE">
        <w:rPr>
          <w:sz w:val="22"/>
          <w:szCs w:val="22"/>
          <w:lang w:val="pl-PL"/>
        </w:rPr>
        <w:t xml:space="preserve"> 71 533 </w:t>
      </w:r>
      <w:r w:rsidR="00EE3238" w:rsidRPr="00BD22FE">
        <w:rPr>
          <w:sz w:val="22"/>
          <w:szCs w:val="22"/>
          <w:lang w:val="pl-PL"/>
        </w:rPr>
        <w:t>przypadki</w:t>
      </w:r>
      <w:r w:rsidRPr="00BD22FE">
        <w:rPr>
          <w:sz w:val="22"/>
          <w:szCs w:val="22"/>
          <w:lang w:val="pl-PL"/>
        </w:rPr>
        <w:t xml:space="preserve"> z</w:t>
      </w:r>
      <w:r w:rsidR="00717A7B" w:rsidRPr="00BD22FE">
        <w:rPr>
          <w:sz w:val="22"/>
          <w:szCs w:val="22"/>
          <w:lang w:val="pl-PL"/>
        </w:rPr>
        <w:t> </w:t>
      </w:r>
      <w:r w:rsidRPr="00BD22FE">
        <w:rPr>
          <w:sz w:val="22"/>
          <w:szCs w:val="22"/>
          <w:lang w:val="pl-PL"/>
        </w:rPr>
        <w:t>BCC i 8 629 </w:t>
      </w:r>
      <w:r w:rsidR="00EE3238" w:rsidRPr="00BD22FE">
        <w:rPr>
          <w:sz w:val="22"/>
          <w:szCs w:val="22"/>
          <w:lang w:val="pl-PL"/>
        </w:rPr>
        <w:t xml:space="preserve">przypadków </w:t>
      </w:r>
      <w:r w:rsidRPr="00BD22FE">
        <w:rPr>
          <w:sz w:val="22"/>
          <w:szCs w:val="22"/>
          <w:lang w:val="pl-PL"/>
        </w:rPr>
        <w:t>z</w:t>
      </w:r>
      <w:r w:rsidR="00717A7B" w:rsidRPr="00BD22FE">
        <w:rPr>
          <w:sz w:val="22"/>
          <w:szCs w:val="22"/>
          <w:lang w:val="pl-PL"/>
        </w:rPr>
        <w:t> </w:t>
      </w:r>
      <w:r w:rsidRPr="00BD22FE">
        <w:rPr>
          <w:sz w:val="22"/>
          <w:szCs w:val="22"/>
          <w:lang w:val="pl-PL"/>
        </w:rPr>
        <w:t>SCC, które porównywano z</w:t>
      </w:r>
      <w:r w:rsidR="00717A7B" w:rsidRPr="00BD22FE">
        <w:rPr>
          <w:sz w:val="22"/>
          <w:szCs w:val="22"/>
          <w:lang w:val="pl-PL"/>
        </w:rPr>
        <w:t> </w:t>
      </w:r>
      <w:r w:rsidRPr="00BD22FE">
        <w:rPr>
          <w:sz w:val="22"/>
          <w:szCs w:val="22"/>
          <w:lang w:val="pl-PL"/>
        </w:rPr>
        <w:t>grupami kontrolnymi z</w:t>
      </w:r>
      <w:r w:rsidR="00717A7B" w:rsidRPr="00BD22FE">
        <w:rPr>
          <w:sz w:val="22"/>
          <w:szCs w:val="22"/>
          <w:lang w:val="pl-PL"/>
        </w:rPr>
        <w:t> </w:t>
      </w:r>
      <w:r w:rsidRPr="00BD22FE">
        <w:rPr>
          <w:sz w:val="22"/>
          <w:szCs w:val="22"/>
          <w:lang w:val="pl-PL"/>
        </w:rPr>
        <w:t>tej samej populacji obejmującymi odpowiednio 1 430 833 i</w:t>
      </w:r>
      <w:r w:rsidR="00717A7B" w:rsidRPr="00BD22FE">
        <w:rPr>
          <w:sz w:val="22"/>
          <w:szCs w:val="22"/>
          <w:lang w:val="pl-PL"/>
        </w:rPr>
        <w:t> </w:t>
      </w:r>
      <w:r w:rsidRPr="00BD22FE">
        <w:rPr>
          <w:sz w:val="22"/>
          <w:szCs w:val="22"/>
          <w:lang w:val="pl-PL"/>
        </w:rPr>
        <w:t>172 462 osoby. Duży stopień narażenia na HCTZ (</w:t>
      </w:r>
      <w:r w:rsidR="00EE3238" w:rsidRPr="00BD22FE">
        <w:rPr>
          <w:sz w:val="22"/>
          <w:szCs w:val="22"/>
          <w:lang w:val="pl-PL"/>
        </w:rPr>
        <w:t xml:space="preserve">skumulowana </w:t>
      </w:r>
      <w:r w:rsidRPr="00BD22FE">
        <w:rPr>
          <w:sz w:val="22"/>
          <w:szCs w:val="22"/>
          <w:lang w:val="pl-PL"/>
        </w:rPr>
        <w:t>dawka ≥</w:t>
      </w:r>
      <w:r w:rsidR="008C51AC" w:rsidRPr="00BD22FE">
        <w:rPr>
          <w:sz w:val="22"/>
          <w:szCs w:val="22"/>
          <w:lang w:val="pl-PL"/>
        </w:rPr>
        <w:t> </w:t>
      </w:r>
      <w:r w:rsidRPr="00BD22FE">
        <w:rPr>
          <w:sz w:val="22"/>
          <w:szCs w:val="22"/>
          <w:lang w:val="pl-PL"/>
        </w:rPr>
        <w:t>50 000 mg) wiązał się ze skorygowanym OR dla BCC rzędu 1,29 (95% CI: 1,23</w:t>
      </w:r>
      <w:r w:rsidRPr="00BD22FE">
        <w:rPr>
          <w:sz w:val="22"/>
          <w:szCs w:val="22"/>
          <w:lang w:val="pl-PL"/>
        </w:rPr>
        <w:noBreakHyphen/>
        <w:t>1,35), a</w:t>
      </w:r>
      <w:r w:rsidR="00717A7B" w:rsidRPr="00BD22FE">
        <w:rPr>
          <w:sz w:val="22"/>
          <w:szCs w:val="22"/>
          <w:lang w:val="pl-PL"/>
        </w:rPr>
        <w:t> </w:t>
      </w:r>
      <w:r w:rsidRPr="00BD22FE">
        <w:rPr>
          <w:sz w:val="22"/>
          <w:szCs w:val="22"/>
          <w:lang w:val="pl-PL"/>
        </w:rPr>
        <w:t>dla SCC rzędu 3,98 (95% CI: 3,68</w:t>
      </w:r>
      <w:r w:rsidRPr="00BD22FE">
        <w:rPr>
          <w:sz w:val="22"/>
          <w:szCs w:val="22"/>
          <w:lang w:val="pl-PL"/>
        </w:rPr>
        <w:noBreakHyphen/>
        <w:t xml:space="preserve">4,31). Stwierdzono wyraźną zależność między </w:t>
      </w:r>
      <w:r w:rsidR="003E1F53" w:rsidRPr="00BD22FE">
        <w:rPr>
          <w:sz w:val="22"/>
          <w:szCs w:val="22"/>
          <w:lang w:val="pl-PL"/>
        </w:rPr>
        <w:t xml:space="preserve">skumulowaną </w:t>
      </w:r>
      <w:r w:rsidRPr="00BD22FE">
        <w:rPr>
          <w:sz w:val="22"/>
          <w:szCs w:val="22"/>
          <w:lang w:val="pl-PL"/>
        </w:rPr>
        <w:t>dawką a</w:t>
      </w:r>
      <w:r w:rsidR="00717A7B" w:rsidRPr="00BD22FE">
        <w:rPr>
          <w:sz w:val="22"/>
          <w:szCs w:val="22"/>
          <w:lang w:val="pl-PL"/>
        </w:rPr>
        <w:t> </w:t>
      </w:r>
      <w:r w:rsidR="005A7B43" w:rsidRPr="00BD22FE">
        <w:rPr>
          <w:sz w:val="22"/>
          <w:szCs w:val="22"/>
          <w:lang w:val="pl-PL"/>
        </w:rPr>
        <w:t>odpowiedzią</w:t>
      </w:r>
      <w:r w:rsidRPr="00BD22FE">
        <w:rPr>
          <w:sz w:val="22"/>
          <w:szCs w:val="22"/>
          <w:lang w:val="pl-PL"/>
        </w:rPr>
        <w:t xml:space="preserve"> zarówno w</w:t>
      </w:r>
      <w:r w:rsidR="00717A7B" w:rsidRPr="00BD22FE">
        <w:rPr>
          <w:sz w:val="22"/>
          <w:szCs w:val="22"/>
          <w:lang w:val="pl-PL"/>
        </w:rPr>
        <w:t> </w:t>
      </w:r>
      <w:r w:rsidRPr="00BD22FE">
        <w:rPr>
          <w:sz w:val="22"/>
          <w:szCs w:val="22"/>
          <w:lang w:val="pl-PL"/>
        </w:rPr>
        <w:t>przypadku BCC, jak i</w:t>
      </w:r>
      <w:r w:rsidR="00717A7B" w:rsidRPr="00BD22FE">
        <w:rPr>
          <w:sz w:val="22"/>
          <w:szCs w:val="22"/>
          <w:lang w:val="pl-PL"/>
        </w:rPr>
        <w:t> </w:t>
      </w:r>
      <w:r w:rsidRPr="00BD22FE">
        <w:rPr>
          <w:sz w:val="22"/>
          <w:szCs w:val="22"/>
          <w:lang w:val="pl-PL"/>
        </w:rPr>
        <w:t>SCC. W</w:t>
      </w:r>
      <w:r w:rsidR="00717A7B" w:rsidRPr="00BD22FE">
        <w:rPr>
          <w:sz w:val="22"/>
          <w:szCs w:val="22"/>
          <w:lang w:val="pl-PL"/>
        </w:rPr>
        <w:t> </w:t>
      </w:r>
      <w:r w:rsidRPr="00BD22FE">
        <w:rPr>
          <w:sz w:val="22"/>
          <w:szCs w:val="22"/>
          <w:lang w:val="pl-PL"/>
        </w:rPr>
        <w:t>innym badaniu wykazano możliwy związek stopnia narażenia na HCTZ z</w:t>
      </w:r>
      <w:r w:rsidR="00717A7B" w:rsidRPr="00BD22FE">
        <w:rPr>
          <w:sz w:val="22"/>
          <w:szCs w:val="22"/>
          <w:lang w:val="pl-PL"/>
        </w:rPr>
        <w:t> </w:t>
      </w:r>
      <w:r w:rsidRPr="00BD22FE">
        <w:rPr>
          <w:sz w:val="22"/>
          <w:szCs w:val="22"/>
          <w:lang w:val="pl-PL"/>
        </w:rPr>
        <w:t>występowaniem nowotworów złośliwych warg (SCC): w</w:t>
      </w:r>
      <w:r w:rsidR="00717A7B" w:rsidRPr="00BD22FE">
        <w:rPr>
          <w:sz w:val="22"/>
          <w:szCs w:val="22"/>
          <w:lang w:val="pl-PL"/>
        </w:rPr>
        <w:t> </w:t>
      </w:r>
      <w:r w:rsidRPr="00BD22FE">
        <w:rPr>
          <w:sz w:val="22"/>
          <w:szCs w:val="22"/>
          <w:lang w:val="pl-PL"/>
        </w:rPr>
        <w:t>badaniu porównywano 633 przypadki nowotworów złośliwych warg i</w:t>
      </w:r>
      <w:r w:rsidR="00717A7B" w:rsidRPr="00BD22FE">
        <w:rPr>
          <w:sz w:val="22"/>
          <w:szCs w:val="22"/>
          <w:lang w:val="pl-PL"/>
        </w:rPr>
        <w:t> </w:t>
      </w:r>
      <w:r w:rsidRPr="00BD22FE">
        <w:rPr>
          <w:sz w:val="22"/>
          <w:szCs w:val="22"/>
          <w:lang w:val="pl-PL"/>
        </w:rPr>
        <w:t>63 067 osób z</w:t>
      </w:r>
      <w:r w:rsidR="00717A7B" w:rsidRPr="00BD22FE">
        <w:rPr>
          <w:sz w:val="22"/>
          <w:szCs w:val="22"/>
          <w:lang w:val="pl-PL"/>
        </w:rPr>
        <w:t> </w:t>
      </w:r>
      <w:r w:rsidRPr="00BD22FE">
        <w:rPr>
          <w:sz w:val="22"/>
          <w:szCs w:val="22"/>
          <w:lang w:val="pl-PL"/>
        </w:rPr>
        <w:t>tej samej populacji tworzących grupę kontrolną z</w:t>
      </w:r>
      <w:r w:rsidR="00717A7B" w:rsidRPr="00BD22FE">
        <w:rPr>
          <w:sz w:val="22"/>
          <w:szCs w:val="22"/>
          <w:lang w:val="pl-PL"/>
        </w:rPr>
        <w:t> </w:t>
      </w:r>
      <w:r w:rsidRPr="00BD22FE">
        <w:rPr>
          <w:sz w:val="22"/>
          <w:szCs w:val="22"/>
          <w:lang w:val="pl-PL"/>
        </w:rPr>
        <w:t xml:space="preserve">zastosowaniem strategii jednoczesnego zbioru ryzyka. Stwierdzono zależność między </w:t>
      </w:r>
      <w:r w:rsidR="00D119D3" w:rsidRPr="00BD22FE">
        <w:rPr>
          <w:sz w:val="22"/>
          <w:szCs w:val="22"/>
          <w:lang w:val="pl-PL"/>
        </w:rPr>
        <w:t xml:space="preserve">skumulowaną </w:t>
      </w:r>
      <w:r w:rsidRPr="00BD22FE">
        <w:rPr>
          <w:sz w:val="22"/>
          <w:szCs w:val="22"/>
          <w:lang w:val="pl-PL"/>
        </w:rPr>
        <w:t>dawką a</w:t>
      </w:r>
      <w:r w:rsidR="00717A7B" w:rsidRPr="00BD22FE">
        <w:rPr>
          <w:sz w:val="22"/>
          <w:szCs w:val="22"/>
          <w:lang w:val="pl-PL"/>
        </w:rPr>
        <w:t> </w:t>
      </w:r>
      <w:r w:rsidRPr="00BD22FE">
        <w:rPr>
          <w:sz w:val="22"/>
          <w:szCs w:val="22"/>
          <w:lang w:val="pl-PL"/>
        </w:rPr>
        <w:t>odpowiedzią ze skorygowanym OR rzędu 2,1 (95% CI: 1,7</w:t>
      </w:r>
      <w:r w:rsidRPr="00BD22FE">
        <w:rPr>
          <w:sz w:val="22"/>
          <w:szCs w:val="22"/>
          <w:lang w:val="pl-PL"/>
        </w:rPr>
        <w:noBreakHyphen/>
        <w:t>2,6), które wzrastało do OR 3,9 (3,0</w:t>
      </w:r>
      <w:r w:rsidRPr="00BD22FE">
        <w:rPr>
          <w:sz w:val="22"/>
          <w:szCs w:val="22"/>
          <w:lang w:val="pl-PL"/>
        </w:rPr>
        <w:noBreakHyphen/>
        <w:t>4,9) w</w:t>
      </w:r>
      <w:r w:rsidR="00717A7B" w:rsidRPr="00BD22FE">
        <w:rPr>
          <w:sz w:val="22"/>
          <w:szCs w:val="22"/>
          <w:lang w:val="pl-PL"/>
        </w:rPr>
        <w:t> </w:t>
      </w:r>
      <w:r w:rsidRPr="00BD22FE">
        <w:rPr>
          <w:sz w:val="22"/>
          <w:szCs w:val="22"/>
          <w:lang w:val="pl-PL"/>
        </w:rPr>
        <w:t>przypadku dużego stopnia narażenia (~25 000 mg) i</w:t>
      </w:r>
      <w:r w:rsidR="00717A7B" w:rsidRPr="00BD22FE">
        <w:rPr>
          <w:sz w:val="22"/>
          <w:szCs w:val="22"/>
          <w:lang w:val="pl-PL"/>
        </w:rPr>
        <w:t> </w:t>
      </w:r>
      <w:r w:rsidRPr="00BD22FE">
        <w:rPr>
          <w:sz w:val="22"/>
          <w:szCs w:val="22"/>
          <w:lang w:val="pl-PL"/>
        </w:rPr>
        <w:t>OR 7,7 (5,7</w:t>
      </w:r>
      <w:r w:rsidRPr="00BD22FE">
        <w:rPr>
          <w:sz w:val="22"/>
          <w:szCs w:val="22"/>
          <w:lang w:val="pl-PL"/>
        </w:rPr>
        <w:noBreakHyphen/>
        <w:t xml:space="preserve">10,5) dla największych </w:t>
      </w:r>
      <w:r w:rsidR="005A7B43" w:rsidRPr="00BD22FE">
        <w:rPr>
          <w:sz w:val="22"/>
          <w:szCs w:val="22"/>
          <w:lang w:val="pl-PL"/>
        </w:rPr>
        <w:t xml:space="preserve">skumulowanych </w:t>
      </w:r>
      <w:r w:rsidRPr="00BD22FE">
        <w:rPr>
          <w:sz w:val="22"/>
          <w:szCs w:val="22"/>
          <w:lang w:val="pl-PL"/>
        </w:rPr>
        <w:t>dawek (~100 000 mg) (patrz również punkt 4.4).</w:t>
      </w:r>
    </w:p>
    <w:p w14:paraId="1973BA18" w14:textId="77777777" w:rsidR="000016E2" w:rsidRPr="00BD22FE" w:rsidRDefault="000016E2" w:rsidP="00941FBF">
      <w:pPr>
        <w:pStyle w:val="BodyText"/>
        <w:spacing w:line="240" w:lineRule="auto"/>
        <w:jc w:val="left"/>
        <w:rPr>
          <w:sz w:val="22"/>
          <w:szCs w:val="22"/>
          <w:lang w:val="pl-PL"/>
        </w:rPr>
      </w:pPr>
    </w:p>
    <w:p w14:paraId="07B6ED55" w14:textId="03F8835F" w:rsidR="000016E2" w:rsidRPr="00BD22FE" w:rsidRDefault="00104CA8" w:rsidP="00213764">
      <w:pPr>
        <w:pStyle w:val="BodyText"/>
        <w:keepNext/>
        <w:spacing w:line="240" w:lineRule="auto"/>
        <w:jc w:val="left"/>
        <w:rPr>
          <w:sz w:val="22"/>
          <w:szCs w:val="22"/>
          <w:u w:val="single"/>
          <w:lang w:val="pl-PL"/>
        </w:rPr>
      </w:pPr>
      <w:r w:rsidRPr="00BD22FE">
        <w:rPr>
          <w:sz w:val="22"/>
          <w:szCs w:val="22"/>
          <w:u w:val="single"/>
          <w:lang w:val="pl-PL"/>
        </w:rPr>
        <w:t>Dzieci i</w:t>
      </w:r>
      <w:r w:rsidR="00717A7B" w:rsidRPr="00BD22FE">
        <w:rPr>
          <w:sz w:val="22"/>
          <w:szCs w:val="22"/>
          <w:u w:val="single"/>
          <w:lang w:val="pl-PL"/>
        </w:rPr>
        <w:t> </w:t>
      </w:r>
      <w:r w:rsidRPr="00BD22FE">
        <w:rPr>
          <w:sz w:val="22"/>
          <w:szCs w:val="22"/>
          <w:u w:val="single"/>
          <w:lang w:val="pl-PL"/>
        </w:rPr>
        <w:t>młodzież</w:t>
      </w:r>
    </w:p>
    <w:p w14:paraId="0FBB9BB7" w14:textId="258CB4CD" w:rsidR="000016E2" w:rsidRPr="00BD22FE" w:rsidRDefault="00104CA8" w:rsidP="00941FBF">
      <w:pPr>
        <w:pStyle w:val="BodyText"/>
        <w:spacing w:line="240" w:lineRule="auto"/>
        <w:jc w:val="left"/>
        <w:rPr>
          <w:sz w:val="22"/>
          <w:szCs w:val="22"/>
          <w:lang w:val="pl-PL"/>
        </w:rPr>
      </w:pPr>
      <w:r w:rsidRPr="00BD22FE">
        <w:rPr>
          <w:sz w:val="22"/>
          <w:szCs w:val="22"/>
          <w:lang w:val="pl-PL"/>
        </w:rPr>
        <w:t>Europejska Agencja Leków uchyliła obowiązek dołączania wyników badań produktu leczniczego MicardisPlus we wszystkich podgrupach populacji dzieci i</w:t>
      </w:r>
      <w:r w:rsidR="00717A7B" w:rsidRPr="00BD22FE">
        <w:rPr>
          <w:sz w:val="22"/>
          <w:szCs w:val="22"/>
          <w:lang w:val="pl-PL"/>
        </w:rPr>
        <w:t> </w:t>
      </w:r>
      <w:r w:rsidRPr="00BD22FE">
        <w:rPr>
          <w:sz w:val="22"/>
          <w:szCs w:val="22"/>
          <w:lang w:val="pl-PL"/>
        </w:rPr>
        <w:t>młodzieży w</w:t>
      </w:r>
      <w:r w:rsidR="00717A7B" w:rsidRPr="00BD22FE">
        <w:rPr>
          <w:sz w:val="22"/>
          <w:szCs w:val="22"/>
          <w:lang w:val="pl-PL"/>
        </w:rPr>
        <w:t> </w:t>
      </w:r>
      <w:r w:rsidRPr="00BD22FE">
        <w:rPr>
          <w:sz w:val="22"/>
          <w:szCs w:val="22"/>
          <w:lang w:val="pl-PL"/>
        </w:rPr>
        <w:t xml:space="preserve">nadciśnieniu </w:t>
      </w:r>
      <w:r w:rsidR="00D00612" w:rsidRPr="00BD22FE">
        <w:rPr>
          <w:sz w:val="22"/>
          <w:szCs w:val="22"/>
          <w:lang w:val="pl-PL"/>
        </w:rPr>
        <w:t xml:space="preserve">tętniczym </w:t>
      </w:r>
      <w:r w:rsidRPr="00BD22FE">
        <w:rPr>
          <w:sz w:val="22"/>
          <w:szCs w:val="22"/>
          <w:lang w:val="pl-PL"/>
        </w:rPr>
        <w:t>(stosowanie u</w:t>
      </w:r>
      <w:r w:rsidR="00717A7B" w:rsidRPr="00BD22FE">
        <w:rPr>
          <w:sz w:val="22"/>
          <w:szCs w:val="22"/>
          <w:lang w:val="pl-PL"/>
        </w:rPr>
        <w:t> </w:t>
      </w:r>
      <w:r w:rsidRPr="00BD22FE">
        <w:rPr>
          <w:sz w:val="22"/>
          <w:szCs w:val="22"/>
          <w:lang w:val="pl-PL"/>
        </w:rPr>
        <w:t>dzieci i</w:t>
      </w:r>
      <w:r w:rsidR="00717A7B" w:rsidRPr="00BD22FE">
        <w:rPr>
          <w:sz w:val="22"/>
          <w:szCs w:val="22"/>
          <w:lang w:val="pl-PL"/>
        </w:rPr>
        <w:t> </w:t>
      </w:r>
      <w:r w:rsidRPr="00BD22FE">
        <w:rPr>
          <w:sz w:val="22"/>
          <w:szCs w:val="22"/>
          <w:lang w:val="pl-PL"/>
        </w:rPr>
        <w:t>młodzieży, patrz punkt 4.2).</w:t>
      </w:r>
    </w:p>
    <w:p w14:paraId="2B517A0C" w14:textId="77777777" w:rsidR="000016E2" w:rsidRPr="00BD22FE" w:rsidRDefault="000016E2" w:rsidP="00941FBF">
      <w:pPr>
        <w:pStyle w:val="BodyText"/>
        <w:spacing w:line="240" w:lineRule="auto"/>
        <w:jc w:val="left"/>
        <w:rPr>
          <w:sz w:val="22"/>
          <w:szCs w:val="22"/>
          <w:lang w:val="pl-PL"/>
        </w:rPr>
      </w:pPr>
    </w:p>
    <w:p w14:paraId="6FC3EB88" w14:textId="77777777" w:rsidR="000016E2" w:rsidRPr="00BD22FE" w:rsidRDefault="00104CA8" w:rsidP="005E756D">
      <w:pPr>
        <w:pStyle w:val="BodyText"/>
        <w:keepNext/>
        <w:spacing w:line="240" w:lineRule="auto"/>
        <w:ind w:left="567" w:hanging="567"/>
        <w:jc w:val="left"/>
        <w:rPr>
          <w:b/>
          <w:sz w:val="22"/>
          <w:szCs w:val="22"/>
          <w:lang w:val="pl-PL"/>
        </w:rPr>
      </w:pPr>
      <w:r w:rsidRPr="00BD22FE">
        <w:rPr>
          <w:b/>
          <w:sz w:val="22"/>
          <w:szCs w:val="22"/>
          <w:lang w:val="pl-PL"/>
        </w:rPr>
        <w:t>5.2</w:t>
      </w:r>
      <w:r w:rsidRPr="00BD22FE">
        <w:rPr>
          <w:b/>
          <w:sz w:val="22"/>
          <w:szCs w:val="22"/>
          <w:lang w:val="pl-PL"/>
        </w:rPr>
        <w:tab/>
        <w:t>Właściwości farmakokinetyczne</w:t>
      </w:r>
    </w:p>
    <w:p w14:paraId="4A2FC40E" w14:textId="77777777" w:rsidR="000016E2" w:rsidRPr="00BD22FE" w:rsidRDefault="000016E2" w:rsidP="0003061E">
      <w:pPr>
        <w:pStyle w:val="BodyText"/>
        <w:keepNext/>
        <w:spacing w:line="240" w:lineRule="auto"/>
        <w:jc w:val="left"/>
        <w:rPr>
          <w:sz w:val="22"/>
          <w:szCs w:val="22"/>
          <w:lang w:val="pl-PL"/>
        </w:rPr>
      </w:pPr>
    </w:p>
    <w:p w14:paraId="5C054B7C" w14:textId="5577EB9A" w:rsidR="003A7E3D" w:rsidRPr="00BD22FE" w:rsidRDefault="00C52E70" w:rsidP="00941FBF">
      <w:pPr>
        <w:pStyle w:val="BodyText"/>
        <w:spacing w:line="240" w:lineRule="auto"/>
        <w:jc w:val="left"/>
        <w:rPr>
          <w:sz w:val="22"/>
          <w:szCs w:val="22"/>
          <w:lang w:val="pl-PL"/>
        </w:rPr>
      </w:pPr>
      <w:r w:rsidRPr="00BD22FE">
        <w:rPr>
          <w:sz w:val="22"/>
          <w:szCs w:val="22"/>
          <w:lang w:val="pl-PL"/>
        </w:rPr>
        <w:t xml:space="preserve">Jednoczesne </w:t>
      </w:r>
      <w:r w:rsidR="00104CA8" w:rsidRPr="00BD22FE">
        <w:rPr>
          <w:sz w:val="22"/>
          <w:szCs w:val="22"/>
          <w:lang w:val="pl-PL"/>
        </w:rPr>
        <w:t>podawanie HCTZ i</w:t>
      </w:r>
      <w:r w:rsidR="00717A7B" w:rsidRPr="00BD22FE">
        <w:rPr>
          <w:sz w:val="22"/>
          <w:szCs w:val="22"/>
          <w:lang w:val="pl-PL"/>
        </w:rPr>
        <w:t> </w:t>
      </w:r>
      <w:r w:rsidR="00104CA8" w:rsidRPr="00BD22FE">
        <w:rPr>
          <w:sz w:val="22"/>
          <w:szCs w:val="22"/>
          <w:lang w:val="pl-PL"/>
        </w:rPr>
        <w:t>telmisartanu zdaje się nie wpływać u</w:t>
      </w:r>
      <w:r w:rsidR="00717A7B" w:rsidRPr="00BD22FE">
        <w:rPr>
          <w:sz w:val="22"/>
          <w:szCs w:val="22"/>
          <w:lang w:val="pl-PL"/>
        </w:rPr>
        <w:t> </w:t>
      </w:r>
      <w:r w:rsidR="00104CA8" w:rsidRPr="00BD22FE">
        <w:rPr>
          <w:sz w:val="22"/>
          <w:szCs w:val="22"/>
          <w:lang w:val="pl-PL"/>
        </w:rPr>
        <w:t>zdrowych pacjentów na farmakokinetykę żadnej z</w:t>
      </w:r>
      <w:r w:rsidR="00717A7B" w:rsidRPr="00BD22FE">
        <w:rPr>
          <w:sz w:val="22"/>
          <w:szCs w:val="22"/>
          <w:lang w:val="pl-PL"/>
        </w:rPr>
        <w:t> </w:t>
      </w:r>
      <w:r w:rsidR="00104CA8" w:rsidRPr="00BD22FE">
        <w:rPr>
          <w:sz w:val="22"/>
          <w:szCs w:val="22"/>
          <w:lang w:val="pl-PL"/>
        </w:rPr>
        <w:t>substancji.</w:t>
      </w:r>
    </w:p>
    <w:p w14:paraId="6793DA33" w14:textId="7FF102CC" w:rsidR="000016E2" w:rsidRPr="00BD22FE" w:rsidRDefault="000016E2" w:rsidP="00941FBF">
      <w:pPr>
        <w:pStyle w:val="BodyText"/>
        <w:spacing w:line="240" w:lineRule="auto"/>
        <w:jc w:val="left"/>
        <w:rPr>
          <w:sz w:val="22"/>
          <w:szCs w:val="22"/>
          <w:lang w:val="pl-PL"/>
        </w:rPr>
      </w:pPr>
    </w:p>
    <w:p w14:paraId="2E26B1DE" w14:textId="77777777" w:rsidR="000016E2" w:rsidRPr="00BD22FE" w:rsidRDefault="00104CA8" w:rsidP="00941FBF">
      <w:pPr>
        <w:pStyle w:val="BodyText"/>
        <w:keepNext/>
        <w:spacing w:line="240" w:lineRule="auto"/>
        <w:jc w:val="left"/>
        <w:rPr>
          <w:sz w:val="22"/>
          <w:szCs w:val="22"/>
          <w:lang w:val="pl-PL"/>
        </w:rPr>
      </w:pPr>
      <w:r w:rsidRPr="00BD22FE">
        <w:rPr>
          <w:sz w:val="22"/>
          <w:szCs w:val="22"/>
          <w:u w:val="single"/>
          <w:lang w:val="pl-PL"/>
        </w:rPr>
        <w:t>Wchłanianie</w:t>
      </w:r>
    </w:p>
    <w:p w14:paraId="1D82553C" w14:textId="4472C4FA" w:rsidR="000016E2" w:rsidRPr="00BD22FE" w:rsidRDefault="00104CA8" w:rsidP="00941FBF">
      <w:pPr>
        <w:pStyle w:val="BodyText"/>
        <w:spacing w:line="240" w:lineRule="auto"/>
        <w:jc w:val="left"/>
        <w:rPr>
          <w:sz w:val="22"/>
          <w:szCs w:val="22"/>
          <w:lang w:val="pl-PL"/>
        </w:rPr>
      </w:pPr>
      <w:r w:rsidRPr="00BD22FE">
        <w:rPr>
          <w:sz w:val="22"/>
          <w:szCs w:val="22"/>
          <w:lang w:val="pl-PL"/>
        </w:rPr>
        <w:t>Telmisartan: Po podaniu doustnym maksymalne stężenie</w:t>
      </w:r>
      <w:r w:rsidR="0084327A" w:rsidRPr="00BD22FE">
        <w:rPr>
          <w:sz w:val="22"/>
          <w:szCs w:val="22"/>
          <w:lang w:val="pl-PL"/>
        </w:rPr>
        <w:t xml:space="preserve"> telmisartanu</w:t>
      </w:r>
      <w:r w:rsidRPr="00BD22FE">
        <w:rPr>
          <w:sz w:val="22"/>
          <w:szCs w:val="22"/>
          <w:lang w:val="pl-PL"/>
        </w:rPr>
        <w:t xml:space="preserve"> jest osiągane po 0,5</w:t>
      </w:r>
      <w:r w:rsidR="005566BA" w:rsidRPr="00BD22FE">
        <w:rPr>
          <w:sz w:val="22"/>
          <w:szCs w:val="22"/>
          <w:lang w:val="pl-PL"/>
        </w:rPr>
        <w:t> </w:t>
      </w:r>
      <w:r w:rsidRPr="00BD22FE">
        <w:rPr>
          <w:sz w:val="22"/>
          <w:szCs w:val="22"/>
          <w:lang w:val="pl-PL"/>
        </w:rPr>
        <w:t>do</w:t>
      </w:r>
      <w:r w:rsidR="005566BA" w:rsidRPr="00BD22FE">
        <w:rPr>
          <w:sz w:val="22"/>
          <w:szCs w:val="22"/>
          <w:lang w:val="pl-PL"/>
        </w:rPr>
        <w:t> </w:t>
      </w:r>
      <w:r w:rsidRPr="00BD22FE">
        <w:rPr>
          <w:sz w:val="22"/>
          <w:szCs w:val="22"/>
          <w:lang w:val="pl-PL"/>
        </w:rPr>
        <w:t xml:space="preserve">1,5 godziny. </w:t>
      </w:r>
      <w:r w:rsidR="00044A19" w:rsidRPr="00BD22FE">
        <w:rPr>
          <w:sz w:val="22"/>
          <w:szCs w:val="22"/>
          <w:lang w:val="pl-PL"/>
        </w:rPr>
        <w:t>B</w:t>
      </w:r>
      <w:r w:rsidRPr="00BD22FE">
        <w:rPr>
          <w:sz w:val="22"/>
          <w:szCs w:val="22"/>
          <w:lang w:val="pl-PL"/>
        </w:rPr>
        <w:t xml:space="preserve">iodostępność </w:t>
      </w:r>
      <w:r w:rsidR="00044A19" w:rsidRPr="00BD22FE">
        <w:rPr>
          <w:sz w:val="22"/>
          <w:szCs w:val="22"/>
          <w:lang w:val="pl-PL"/>
        </w:rPr>
        <w:t xml:space="preserve">bezwzględna </w:t>
      </w:r>
      <w:r w:rsidRPr="00BD22FE">
        <w:rPr>
          <w:sz w:val="22"/>
          <w:szCs w:val="22"/>
          <w:lang w:val="pl-PL"/>
        </w:rPr>
        <w:t>telmisartanu w</w:t>
      </w:r>
      <w:r w:rsidR="00717A7B" w:rsidRPr="00BD22FE">
        <w:rPr>
          <w:sz w:val="22"/>
          <w:szCs w:val="22"/>
          <w:lang w:val="pl-PL"/>
        </w:rPr>
        <w:t> </w:t>
      </w:r>
      <w:r w:rsidRPr="00BD22FE">
        <w:rPr>
          <w:sz w:val="22"/>
          <w:szCs w:val="22"/>
          <w:lang w:val="pl-PL"/>
        </w:rPr>
        <w:t>dawkach 40 mg i</w:t>
      </w:r>
      <w:r w:rsidR="00717A7B" w:rsidRPr="00BD22FE">
        <w:rPr>
          <w:sz w:val="22"/>
          <w:szCs w:val="22"/>
          <w:lang w:val="pl-PL"/>
        </w:rPr>
        <w:t> </w:t>
      </w:r>
      <w:r w:rsidRPr="00BD22FE">
        <w:rPr>
          <w:sz w:val="22"/>
          <w:szCs w:val="22"/>
          <w:lang w:val="pl-PL"/>
        </w:rPr>
        <w:t>160 mg wynosiła odpowiednio 42% i</w:t>
      </w:r>
      <w:r w:rsidR="00717A7B" w:rsidRPr="00BD22FE">
        <w:rPr>
          <w:sz w:val="22"/>
          <w:szCs w:val="22"/>
          <w:lang w:val="pl-PL"/>
        </w:rPr>
        <w:t> </w:t>
      </w:r>
      <w:r w:rsidRPr="00BD22FE">
        <w:rPr>
          <w:sz w:val="22"/>
          <w:szCs w:val="22"/>
          <w:lang w:val="pl-PL"/>
        </w:rPr>
        <w:t>58%. Pokarm nieznacznie zmniejsza biodostępność telmisartanu, pole pod krzywą zależności stężenia w</w:t>
      </w:r>
      <w:r w:rsidR="00717A7B" w:rsidRPr="00BD22FE">
        <w:rPr>
          <w:sz w:val="22"/>
          <w:szCs w:val="22"/>
          <w:lang w:val="pl-PL"/>
        </w:rPr>
        <w:t> </w:t>
      </w:r>
      <w:r w:rsidRPr="00BD22FE">
        <w:rPr>
          <w:sz w:val="22"/>
          <w:szCs w:val="22"/>
          <w:lang w:val="pl-PL"/>
        </w:rPr>
        <w:t>osoczu od czasu (AUC) zmniejsza się o</w:t>
      </w:r>
      <w:r w:rsidR="00717A7B" w:rsidRPr="00BD22FE">
        <w:rPr>
          <w:sz w:val="22"/>
          <w:szCs w:val="22"/>
          <w:lang w:val="pl-PL"/>
        </w:rPr>
        <w:t> </w:t>
      </w:r>
      <w:r w:rsidRPr="00BD22FE">
        <w:rPr>
          <w:sz w:val="22"/>
          <w:szCs w:val="22"/>
          <w:lang w:val="pl-PL"/>
        </w:rPr>
        <w:t>około 6% po podaniu tabletki 40 mg i</w:t>
      </w:r>
      <w:r w:rsidR="00717A7B" w:rsidRPr="00BD22FE">
        <w:rPr>
          <w:sz w:val="22"/>
          <w:szCs w:val="22"/>
          <w:lang w:val="pl-PL"/>
        </w:rPr>
        <w:t> </w:t>
      </w:r>
      <w:r w:rsidRPr="00BD22FE">
        <w:rPr>
          <w:sz w:val="22"/>
          <w:szCs w:val="22"/>
          <w:lang w:val="pl-PL"/>
        </w:rPr>
        <w:t>o</w:t>
      </w:r>
      <w:r w:rsidR="00717A7B" w:rsidRPr="00BD22FE">
        <w:rPr>
          <w:sz w:val="22"/>
          <w:szCs w:val="22"/>
          <w:lang w:val="pl-PL"/>
        </w:rPr>
        <w:t> </w:t>
      </w:r>
      <w:r w:rsidRPr="00BD22FE">
        <w:rPr>
          <w:sz w:val="22"/>
          <w:szCs w:val="22"/>
          <w:lang w:val="pl-PL"/>
        </w:rPr>
        <w:t xml:space="preserve">około 19% po dawce 160 mg. Po </w:t>
      </w:r>
      <w:r w:rsidR="007D4CA0" w:rsidRPr="00BD22FE">
        <w:rPr>
          <w:sz w:val="22"/>
          <w:szCs w:val="22"/>
          <w:lang w:val="pl-PL"/>
        </w:rPr>
        <w:t>3 </w:t>
      </w:r>
      <w:r w:rsidRPr="00BD22FE">
        <w:rPr>
          <w:sz w:val="22"/>
          <w:szCs w:val="22"/>
          <w:lang w:val="pl-PL"/>
        </w:rPr>
        <w:t>godzinach od podania stężenie telmisartanu w</w:t>
      </w:r>
      <w:r w:rsidR="00717A7B" w:rsidRPr="00BD22FE">
        <w:rPr>
          <w:sz w:val="22"/>
          <w:szCs w:val="22"/>
          <w:lang w:val="pl-PL"/>
        </w:rPr>
        <w:t> </w:t>
      </w:r>
      <w:r w:rsidRPr="00BD22FE">
        <w:rPr>
          <w:sz w:val="22"/>
          <w:szCs w:val="22"/>
          <w:lang w:val="pl-PL"/>
        </w:rPr>
        <w:t xml:space="preserve">osoczu osiąga podobny poziom, niezależnie od tego czy telmisartan był przyjęty na czczo czy po posiłku. Niewielkie zmniejszenie pola pod krzywą (AUC) nie powinno powodować zmniejszenia skuteczności terapeutycznej. </w:t>
      </w:r>
      <w:bookmarkStart w:id="10" w:name="_Hlk151608525"/>
      <w:r w:rsidRPr="00BD22FE">
        <w:rPr>
          <w:sz w:val="22"/>
          <w:szCs w:val="22"/>
          <w:lang w:val="pl-PL"/>
        </w:rPr>
        <w:t>Podczas powtarzanego podawania telmisartan nie kumuluje się znacząco w</w:t>
      </w:r>
      <w:r w:rsidR="00717A7B" w:rsidRPr="00BD22FE">
        <w:rPr>
          <w:sz w:val="22"/>
          <w:szCs w:val="22"/>
          <w:lang w:val="pl-PL"/>
        </w:rPr>
        <w:t> </w:t>
      </w:r>
      <w:r w:rsidRPr="00BD22FE">
        <w:rPr>
          <w:sz w:val="22"/>
          <w:szCs w:val="22"/>
          <w:lang w:val="pl-PL"/>
        </w:rPr>
        <w:t>osoczu.</w:t>
      </w:r>
    </w:p>
    <w:bookmarkEnd w:id="10"/>
    <w:p w14:paraId="2C0CB27E" w14:textId="27204FF5" w:rsidR="000016E2" w:rsidRPr="00BD22FE" w:rsidRDefault="00104CA8" w:rsidP="00941FBF">
      <w:pPr>
        <w:pStyle w:val="BodyText"/>
        <w:spacing w:line="240" w:lineRule="auto"/>
        <w:jc w:val="left"/>
        <w:rPr>
          <w:sz w:val="22"/>
          <w:szCs w:val="22"/>
          <w:lang w:val="pl-PL"/>
        </w:rPr>
      </w:pPr>
      <w:r w:rsidRPr="00BD22FE">
        <w:rPr>
          <w:sz w:val="22"/>
          <w:szCs w:val="22"/>
          <w:lang w:val="pl-PL"/>
        </w:rPr>
        <w:t xml:space="preserve">Hydrochlorotiazyd: Po doustnym podaniu złożonego produktu leczniczego o ustalonej dawce maksymalne stężenie HCTZ zostaje osiągnięte po </w:t>
      </w:r>
      <w:r w:rsidR="00331483" w:rsidRPr="00BD22FE">
        <w:rPr>
          <w:sz w:val="22"/>
          <w:szCs w:val="22"/>
          <w:lang w:val="pl-PL"/>
        </w:rPr>
        <w:t xml:space="preserve">około </w:t>
      </w:r>
      <w:r w:rsidRPr="00BD22FE">
        <w:rPr>
          <w:sz w:val="22"/>
          <w:szCs w:val="22"/>
          <w:lang w:val="pl-PL"/>
        </w:rPr>
        <w:t>1</w:t>
      </w:r>
      <w:r w:rsidR="00331483" w:rsidRPr="00BD22FE">
        <w:rPr>
          <w:sz w:val="22"/>
          <w:szCs w:val="22"/>
          <w:lang w:val="pl-PL"/>
        </w:rPr>
        <w:t> </w:t>
      </w:r>
      <w:r w:rsidRPr="00BD22FE">
        <w:rPr>
          <w:sz w:val="22"/>
          <w:szCs w:val="22"/>
          <w:lang w:val="pl-PL"/>
        </w:rPr>
        <w:t>do</w:t>
      </w:r>
      <w:r w:rsidR="00331483" w:rsidRPr="00BD22FE">
        <w:rPr>
          <w:sz w:val="22"/>
          <w:szCs w:val="22"/>
          <w:lang w:val="pl-PL"/>
        </w:rPr>
        <w:t> </w:t>
      </w:r>
      <w:r w:rsidRPr="00BD22FE">
        <w:rPr>
          <w:sz w:val="22"/>
          <w:szCs w:val="22"/>
          <w:lang w:val="pl-PL"/>
        </w:rPr>
        <w:t xml:space="preserve">3 godzin. Na podstawie skumulowanego wydalania nerkowego HCTZ jego biodostępność </w:t>
      </w:r>
      <w:r w:rsidR="00044A19" w:rsidRPr="00BD22FE">
        <w:rPr>
          <w:sz w:val="22"/>
          <w:szCs w:val="22"/>
          <w:lang w:val="pl-PL"/>
        </w:rPr>
        <w:t xml:space="preserve">bezwzględna </w:t>
      </w:r>
      <w:r w:rsidRPr="00BD22FE">
        <w:rPr>
          <w:sz w:val="22"/>
          <w:szCs w:val="22"/>
          <w:lang w:val="pl-PL"/>
        </w:rPr>
        <w:t>wynosiła około 60%.</w:t>
      </w:r>
    </w:p>
    <w:p w14:paraId="7E28617D" w14:textId="77777777" w:rsidR="000016E2" w:rsidRPr="00BD22FE" w:rsidRDefault="000016E2" w:rsidP="00941FBF">
      <w:pPr>
        <w:pStyle w:val="BodyText"/>
        <w:spacing w:line="240" w:lineRule="auto"/>
        <w:jc w:val="left"/>
        <w:rPr>
          <w:sz w:val="22"/>
          <w:szCs w:val="22"/>
          <w:lang w:val="pl-PL"/>
        </w:rPr>
      </w:pPr>
    </w:p>
    <w:p w14:paraId="6E30F0D1" w14:textId="77777777" w:rsidR="000016E2" w:rsidRPr="00BD22FE" w:rsidRDefault="00104CA8" w:rsidP="00941FBF">
      <w:pPr>
        <w:pStyle w:val="BodyText"/>
        <w:keepNext/>
        <w:spacing w:line="240" w:lineRule="auto"/>
        <w:jc w:val="left"/>
        <w:rPr>
          <w:sz w:val="22"/>
          <w:szCs w:val="22"/>
          <w:lang w:val="pl-PL"/>
        </w:rPr>
      </w:pPr>
      <w:r w:rsidRPr="00BD22FE">
        <w:rPr>
          <w:sz w:val="22"/>
          <w:szCs w:val="22"/>
          <w:u w:val="single"/>
          <w:lang w:val="pl-PL"/>
        </w:rPr>
        <w:t>Dystrybucja</w:t>
      </w:r>
    </w:p>
    <w:p w14:paraId="66937E3B" w14:textId="4EA8CF06" w:rsidR="000016E2" w:rsidRPr="00BD22FE" w:rsidRDefault="00104CA8" w:rsidP="00941FBF">
      <w:pPr>
        <w:pStyle w:val="BodyText"/>
        <w:spacing w:line="240" w:lineRule="auto"/>
        <w:jc w:val="left"/>
        <w:rPr>
          <w:sz w:val="22"/>
          <w:szCs w:val="22"/>
          <w:lang w:val="pl-PL"/>
        </w:rPr>
      </w:pPr>
      <w:r w:rsidRPr="00BD22FE">
        <w:rPr>
          <w:sz w:val="22"/>
          <w:szCs w:val="22"/>
          <w:lang w:val="pl-PL"/>
        </w:rPr>
        <w:t>Telmisartan silnie wiąże się z</w:t>
      </w:r>
      <w:r w:rsidR="00717A7B" w:rsidRPr="00BD22FE">
        <w:rPr>
          <w:sz w:val="22"/>
          <w:szCs w:val="22"/>
          <w:lang w:val="pl-PL"/>
        </w:rPr>
        <w:t> </w:t>
      </w:r>
      <w:r w:rsidRPr="00BD22FE">
        <w:rPr>
          <w:sz w:val="22"/>
          <w:szCs w:val="22"/>
          <w:lang w:val="pl-PL"/>
        </w:rPr>
        <w:t>białkami osocza (&gt; 99,5%), głównie z</w:t>
      </w:r>
      <w:r w:rsidR="00717A7B" w:rsidRPr="00BD22FE">
        <w:rPr>
          <w:sz w:val="22"/>
          <w:szCs w:val="22"/>
          <w:lang w:val="pl-PL"/>
        </w:rPr>
        <w:t> </w:t>
      </w:r>
      <w:r w:rsidRPr="00BD22FE">
        <w:rPr>
          <w:sz w:val="22"/>
          <w:szCs w:val="22"/>
          <w:lang w:val="pl-PL"/>
        </w:rPr>
        <w:t>albuminą i</w:t>
      </w:r>
      <w:r w:rsidR="00717A7B" w:rsidRPr="00BD22FE">
        <w:rPr>
          <w:sz w:val="22"/>
          <w:szCs w:val="22"/>
          <w:lang w:val="pl-PL"/>
        </w:rPr>
        <w:t> </w:t>
      </w:r>
      <w:r w:rsidRPr="00BD22FE">
        <w:rPr>
          <w:sz w:val="22"/>
          <w:szCs w:val="22"/>
          <w:lang w:val="pl-PL"/>
        </w:rPr>
        <w:t>z</w:t>
      </w:r>
      <w:r w:rsidR="00717A7B" w:rsidRPr="00BD22FE">
        <w:rPr>
          <w:sz w:val="22"/>
          <w:szCs w:val="22"/>
          <w:lang w:val="pl-PL"/>
        </w:rPr>
        <w:t> </w:t>
      </w:r>
      <w:r w:rsidRPr="00BD22FE">
        <w:rPr>
          <w:sz w:val="22"/>
          <w:szCs w:val="22"/>
          <w:lang w:val="pl-PL"/>
        </w:rPr>
        <w:t>kwaśną glikoproteiną alfa</w:t>
      </w:r>
      <w:r w:rsidRPr="00BD22FE">
        <w:rPr>
          <w:sz w:val="22"/>
          <w:szCs w:val="22"/>
          <w:lang w:val="pl-PL"/>
        </w:rPr>
        <w:noBreakHyphen/>
        <w:t>1. Pozorna objętość dystrybucji telmisartanu wynosi około 500 litrów, wskazuje na dodatkowe łączenie się z</w:t>
      </w:r>
      <w:r w:rsidR="00717A7B" w:rsidRPr="00BD22FE">
        <w:rPr>
          <w:sz w:val="22"/>
          <w:szCs w:val="22"/>
          <w:lang w:val="pl-PL"/>
        </w:rPr>
        <w:t> </w:t>
      </w:r>
      <w:r w:rsidRPr="00BD22FE">
        <w:rPr>
          <w:sz w:val="22"/>
          <w:szCs w:val="22"/>
          <w:lang w:val="pl-PL"/>
        </w:rPr>
        <w:t>tkankami.</w:t>
      </w:r>
    </w:p>
    <w:p w14:paraId="435E8476" w14:textId="43A51346" w:rsidR="000016E2" w:rsidRPr="00BD22FE" w:rsidRDefault="00104CA8" w:rsidP="00941FBF">
      <w:pPr>
        <w:pStyle w:val="BodyText"/>
        <w:spacing w:line="240" w:lineRule="auto"/>
        <w:jc w:val="left"/>
        <w:rPr>
          <w:sz w:val="22"/>
          <w:szCs w:val="22"/>
          <w:lang w:val="pl-PL"/>
        </w:rPr>
      </w:pPr>
      <w:r w:rsidRPr="00BD22FE">
        <w:rPr>
          <w:sz w:val="22"/>
          <w:szCs w:val="22"/>
          <w:lang w:val="pl-PL"/>
        </w:rPr>
        <w:t>Hydrochlorotiazyd wiąże się z</w:t>
      </w:r>
      <w:r w:rsidR="00717A7B" w:rsidRPr="00BD22FE">
        <w:rPr>
          <w:sz w:val="22"/>
          <w:szCs w:val="22"/>
          <w:lang w:val="pl-PL"/>
        </w:rPr>
        <w:t> </w:t>
      </w:r>
      <w:r w:rsidRPr="00BD22FE">
        <w:rPr>
          <w:sz w:val="22"/>
          <w:szCs w:val="22"/>
          <w:lang w:val="pl-PL"/>
        </w:rPr>
        <w:t>białkami osocza w</w:t>
      </w:r>
      <w:r w:rsidR="00717A7B" w:rsidRPr="00BD22FE">
        <w:rPr>
          <w:sz w:val="22"/>
          <w:szCs w:val="22"/>
          <w:lang w:val="pl-PL"/>
        </w:rPr>
        <w:t> </w:t>
      </w:r>
      <w:r w:rsidRPr="00BD22FE">
        <w:rPr>
          <w:sz w:val="22"/>
          <w:szCs w:val="22"/>
          <w:lang w:val="pl-PL"/>
        </w:rPr>
        <w:t>64%, a</w:t>
      </w:r>
      <w:r w:rsidR="00717A7B" w:rsidRPr="00BD22FE">
        <w:rPr>
          <w:sz w:val="22"/>
          <w:szCs w:val="22"/>
          <w:lang w:val="pl-PL"/>
        </w:rPr>
        <w:t> </w:t>
      </w:r>
      <w:r w:rsidRPr="00BD22FE">
        <w:rPr>
          <w:sz w:val="22"/>
          <w:szCs w:val="22"/>
          <w:lang w:val="pl-PL"/>
        </w:rPr>
        <w:t>jego pozorna objętość dystrybucji wynosi 0,8</w:t>
      </w:r>
      <w:r w:rsidR="008C51AC" w:rsidRPr="00BD22FE">
        <w:rPr>
          <w:sz w:val="22"/>
          <w:szCs w:val="22"/>
          <w:lang w:val="pl-PL"/>
        </w:rPr>
        <w:t> </w:t>
      </w:r>
      <w:r w:rsidRPr="00BD22FE">
        <w:rPr>
          <w:sz w:val="22"/>
          <w:szCs w:val="22"/>
          <w:lang w:val="pl-PL"/>
        </w:rPr>
        <w:t>±</w:t>
      </w:r>
      <w:r w:rsidR="008C51AC" w:rsidRPr="00BD22FE">
        <w:rPr>
          <w:sz w:val="22"/>
          <w:szCs w:val="22"/>
          <w:lang w:val="pl-PL"/>
        </w:rPr>
        <w:t> </w:t>
      </w:r>
      <w:r w:rsidRPr="00BD22FE">
        <w:rPr>
          <w:sz w:val="22"/>
          <w:szCs w:val="22"/>
          <w:lang w:val="pl-PL"/>
        </w:rPr>
        <w:t>0,3 l/kg.</w:t>
      </w:r>
    </w:p>
    <w:p w14:paraId="1C0C7358" w14:textId="77777777" w:rsidR="000016E2" w:rsidRPr="00BD22FE" w:rsidRDefault="000016E2" w:rsidP="00941FBF">
      <w:pPr>
        <w:pStyle w:val="BodyText"/>
        <w:spacing w:line="240" w:lineRule="auto"/>
        <w:jc w:val="left"/>
        <w:rPr>
          <w:sz w:val="22"/>
          <w:szCs w:val="22"/>
          <w:lang w:val="pl-PL"/>
        </w:rPr>
      </w:pPr>
    </w:p>
    <w:p w14:paraId="24B1AD98" w14:textId="77777777" w:rsidR="000016E2" w:rsidRPr="00BD22FE" w:rsidRDefault="00104CA8" w:rsidP="0003061E">
      <w:pPr>
        <w:keepNext/>
        <w:rPr>
          <w:sz w:val="22"/>
          <w:szCs w:val="22"/>
          <w:u w:val="single"/>
          <w:lang w:val="pl-PL"/>
        </w:rPr>
      </w:pPr>
      <w:r w:rsidRPr="00BD22FE">
        <w:rPr>
          <w:sz w:val="22"/>
          <w:szCs w:val="22"/>
          <w:u w:val="single"/>
          <w:lang w:val="pl-PL"/>
        </w:rPr>
        <w:t>Metabolizm</w:t>
      </w:r>
    </w:p>
    <w:p w14:paraId="41FDFAE4" w14:textId="0463DFA1" w:rsidR="003A7E3D" w:rsidRPr="00BD22FE" w:rsidRDefault="00104CA8" w:rsidP="00941FBF">
      <w:pPr>
        <w:rPr>
          <w:sz w:val="22"/>
          <w:szCs w:val="22"/>
          <w:lang w:val="pl-PL"/>
        </w:rPr>
      </w:pPr>
      <w:r w:rsidRPr="00BD22FE">
        <w:rPr>
          <w:sz w:val="22"/>
          <w:szCs w:val="22"/>
          <w:lang w:val="pl-PL"/>
        </w:rPr>
        <w:t>Telmisartan jest metabolizowany przez sprzęganie do farmakologicznie nieaktywnego acyloglukuronidu. Glukuronid związku macierzystego jest jedynym metabolitem znalezionym u</w:t>
      </w:r>
      <w:r w:rsidR="00717A7B" w:rsidRPr="00BD22FE">
        <w:rPr>
          <w:sz w:val="22"/>
          <w:szCs w:val="22"/>
          <w:lang w:val="pl-PL"/>
        </w:rPr>
        <w:t> </w:t>
      </w:r>
      <w:r w:rsidRPr="00BD22FE">
        <w:rPr>
          <w:sz w:val="22"/>
          <w:szCs w:val="22"/>
          <w:lang w:val="pl-PL"/>
        </w:rPr>
        <w:t>ludzi. Po podaniu pojedynczej dawki znakowanego</w:t>
      </w:r>
      <w:r w:rsidR="001141EA" w:rsidRPr="00BD22FE">
        <w:rPr>
          <w:sz w:val="22"/>
          <w:szCs w:val="22"/>
          <w:lang w:val="pl-PL"/>
        </w:rPr>
        <w:t> </w:t>
      </w:r>
      <w:r w:rsidRPr="00BD22FE">
        <w:rPr>
          <w:szCs w:val="22"/>
          <w:vertAlign w:val="superscript"/>
          <w:lang w:val="pl-PL"/>
        </w:rPr>
        <w:t>14</w:t>
      </w:r>
      <w:r w:rsidRPr="00BD22FE">
        <w:rPr>
          <w:szCs w:val="22"/>
          <w:lang w:val="pl-PL"/>
        </w:rPr>
        <w:t>C</w:t>
      </w:r>
      <w:r w:rsidRPr="00BD22FE">
        <w:rPr>
          <w:sz w:val="22"/>
          <w:szCs w:val="22"/>
          <w:lang w:val="pl-PL"/>
        </w:rPr>
        <w:t xml:space="preserve"> telmisartanu glukuronid stanowił około 11% mierzonej radioaktywności w</w:t>
      </w:r>
      <w:r w:rsidR="00717A7B" w:rsidRPr="00BD22FE">
        <w:rPr>
          <w:sz w:val="22"/>
          <w:szCs w:val="22"/>
          <w:lang w:val="pl-PL"/>
        </w:rPr>
        <w:t> </w:t>
      </w:r>
      <w:r w:rsidRPr="00BD22FE">
        <w:rPr>
          <w:sz w:val="22"/>
          <w:szCs w:val="22"/>
          <w:lang w:val="pl-PL"/>
        </w:rPr>
        <w:t>osoczu. W</w:t>
      </w:r>
      <w:r w:rsidR="00717A7B" w:rsidRPr="00BD22FE">
        <w:rPr>
          <w:sz w:val="22"/>
          <w:szCs w:val="22"/>
          <w:lang w:val="pl-PL"/>
        </w:rPr>
        <w:t> </w:t>
      </w:r>
      <w:r w:rsidRPr="00BD22FE">
        <w:rPr>
          <w:sz w:val="22"/>
          <w:szCs w:val="22"/>
          <w:lang w:val="pl-PL"/>
        </w:rPr>
        <w:t>metabolizmie telmisartanu nie biorą udziału izoenzymy cytochrom</w:t>
      </w:r>
      <w:r w:rsidR="001141EA" w:rsidRPr="00BD22FE">
        <w:rPr>
          <w:sz w:val="22"/>
          <w:szCs w:val="22"/>
          <w:lang w:val="pl-PL"/>
        </w:rPr>
        <w:t> </w:t>
      </w:r>
      <w:r w:rsidRPr="00BD22FE">
        <w:rPr>
          <w:sz w:val="22"/>
          <w:szCs w:val="22"/>
          <w:lang w:val="pl-PL"/>
        </w:rPr>
        <w:t>P450.</w:t>
      </w:r>
    </w:p>
    <w:p w14:paraId="4B728AF3" w14:textId="69D63B09" w:rsidR="003A7E3D" w:rsidRPr="00BD22FE" w:rsidRDefault="00104CA8" w:rsidP="00941FBF">
      <w:pPr>
        <w:rPr>
          <w:sz w:val="22"/>
          <w:szCs w:val="22"/>
          <w:lang w:val="pl-PL"/>
        </w:rPr>
      </w:pPr>
      <w:r w:rsidRPr="00BD22FE">
        <w:rPr>
          <w:sz w:val="22"/>
          <w:szCs w:val="22"/>
          <w:lang w:val="pl-PL"/>
        </w:rPr>
        <w:t>Hydrochlorotiazyd nie jest metabolizowany w</w:t>
      </w:r>
      <w:r w:rsidR="00717A7B" w:rsidRPr="00BD22FE">
        <w:rPr>
          <w:sz w:val="22"/>
          <w:szCs w:val="22"/>
          <w:lang w:val="pl-PL"/>
        </w:rPr>
        <w:t> </w:t>
      </w:r>
      <w:r w:rsidRPr="00BD22FE">
        <w:rPr>
          <w:sz w:val="22"/>
          <w:szCs w:val="22"/>
          <w:lang w:val="pl-PL"/>
        </w:rPr>
        <w:t>organizmie ludzkim.</w:t>
      </w:r>
    </w:p>
    <w:p w14:paraId="3949C858" w14:textId="478EC6EF" w:rsidR="000016E2" w:rsidRPr="00BD22FE" w:rsidRDefault="000016E2" w:rsidP="00941FBF">
      <w:pPr>
        <w:rPr>
          <w:sz w:val="22"/>
          <w:szCs w:val="22"/>
          <w:u w:val="single"/>
          <w:lang w:val="pl-PL"/>
        </w:rPr>
      </w:pPr>
    </w:p>
    <w:p w14:paraId="5E97A944" w14:textId="77777777" w:rsidR="000016E2" w:rsidRPr="00BD22FE" w:rsidRDefault="00104CA8" w:rsidP="0003061E">
      <w:pPr>
        <w:keepNext/>
        <w:rPr>
          <w:sz w:val="22"/>
          <w:szCs w:val="22"/>
          <w:u w:val="single"/>
          <w:lang w:val="pl-PL"/>
        </w:rPr>
      </w:pPr>
      <w:r w:rsidRPr="00BD22FE">
        <w:rPr>
          <w:sz w:val="22"/>
          <w:szCs w:val="22"/>
          <w:u w:val="single"/>
          <w:lang w:val="pl-PL"/>
        </w:rPr>
        <w:t>Eliminacja</w:t>
      </w:r>
    </w:p>
    <w:p w14:paraId="12043A5D" w14:textId="5B427E03" w:rsidR="003A7E3D" w:rsidRPr="00BD22FE" w:rsidRDefault="00104CA8" w:rsidP="00A610E1">
      <w:pPr>
        <w:rPr>
          <w:sz w:val="22"/>
          <w:szCs w:val="22"/>
          <w:lang w:val="pl-PL"/>
        </w:rPr>
      </w:pPr>
      <w:r w:rsidRPr="00BD22FE">
        <w:rPr>
          <w:sz w:val="22"/>
          <w:szCs w:val="22"/>
          <w:lang w:val="pl-PL"/>
        </w:rPr>
        <w:t>Telmisartan: Po podaniu dożylnym lub doustnym telmisartanu znakowanego węglem</w:t>
      </w:r>
      <w:r w:rsidR="001141EA" w:rsidRPr="00BD22FE">
        <w:rPr>
          <w:sz w:val="22"/>
          <w:szCs w:val="22"/>
          <w:lang w:val="pl-PL"/>
        </w:rPr>
        <w:t> </w:t>
      </w:r>
      <w:r w:rsidRPr="00BD22FE">
        <w:rPr>
          <w:szCs w:val="22"/>
          <w:vertAlign w:val="superscript"/>
          <w:lang w:val="pl-PL"/>
        </w:rPr>
        <w:t>14</w:t>
      </w:r>
      <w:r w:rsidRPr="00BD22FE">
        <w:rPr>
          <w:szCs w:val="22"/>
          <w:lang w:val="pl-PL"/>
        </w:rPr>
        <w:t>C</w:t>
      </w:r>
      <w:r w:rsidRPr="00BD22FE">
        <w:rPr>
          <w:sz w:val="22"/>
          <w:szCs w:val="22"/>
          <w:lang w:val="pl-PL"/>
        </w:rPr>
        <w:t xml:space="preserve"> większa część podanej dawki (&gt; 97%) została usunięta z</w:t>
      </w:r>
      <w:r w:rsidR="00717A7B" w:rsidRPr="00BD22FE">
        <w:rPr>
          <w:sz w:val="22"/>
          <w:szCs w:val="22"/>
          <w:lang w:val="pl-PL"/>
        </w:rPr>
        <w:t> </w:t>
      </w:r>
      <w:r w:rsidRPr="00BD22FE">
        <w:rPr>
          <w:sz w:val="22"/>
          <w:szCs w:val="22"/>
          <w:lang w:val="pl-PL"/>
        </w:rPr>
        <w:t xml:space="preserve">kałem drogą wydalania żółciowego. Jedynie </w:t>
      </w:r>
      <w:r w:rsidRPr="00BD22FE">
        <w:rPr>
          <w:sz w:val="22"/>
          <w:szCs w:val="22"/>
          <w:lang w:val="pl-PL"/>
        </w:rPr>
        <w:lastRenderedPageBreak/>
        <w:t>niewielkie ilości zostały wykryte w</w:t>
      </w:r>
      <w:r w:rsidR="00717A7B" w:rsidRPr="00BD22FE">
        <w:rPr>
          <w:sz w:val="22"/>
          <w:szCs w:val="22"/>
          <w:lang w:val="pl-PL"/>
        </w:rPr>
        <w:t> </w:t>
      </w:r>
      <w:r w:rsidRPr="00BD22FE">
        <w:rPr>
          <w:sz w:val="22"/>
          <w:szCs w:val="22"/>
          <w:lang w:val="pl-PL"/>
        </w:rPr>
        <w:t xml:space="preserve">moczu. Całkowity klirens osoczowy telmisartanu po podaniu doustnym </w:t>
      </w:r>
      <w:r w:rsidR="001141EA" w:rsidRPr="00BD22FE">
        <w:rPr>
          <w:sz w:val="22"/>
          <w:szCs w:val="22"/>
          <w:lang w:val="pl-PL"/>
        </w:rPr>
        <w:t>wynosi</w:t>
      </w:r>
      <w:r w:rsidR="00283818" w:rsidRPr="00BD22FE">
        <w:rPr>
          <w:sz w:val="22"/>
          <w:szCs w:val="22"/>
          <w:lang w:val="pl-PL"/>
        </w:rPr>
        <w:t xml:space="preserve"> </w:t>
      </w:r>
      <w:r w:rsidR="001141EA" w:rsidRPr="00BD22FE">
        <w:rPr>
          <w:sz w:val="22"/>
          <w:szCs w:val="22"/>
          <w:lang w:val="pl-PL"/>
        </w:rPr>
        <w:t>&gt; </w:t>
      </w:r>
      <w:r w:rsidRPr="00BD22FE">
        <w:rPr>
          <w:sz w:val="22"/>
          <w:szCs w:val="22"/>
          <w:lang w:val="pl-PL"/>
        </w:rPr>
        <w:t>1 500 ml/min. Końcowy okres półtrwania w</w:t>
      </w:r>
      <w:r w:rsidR="00717A7B" w:rsidRPr="00BD22FE">
        <w:rPr>
          <w:sz w:val="22"/>
          <w:szCs w:val="22"/>
          <w:lang w:val="pl-PL"/>
        </w:rPr>
        <w:t> </w:t>
      </w:r>
      <w:r w:rsidRPr="00BD22FE">
        <w:rPr>
          <w:sz w:val="22"/>
          <w:szCs w:val="22"/>
          <w:lang w:val="pl-PL"/>
        </w:rPr>
        <w:t>fazie eliminacji wynosił &gt; 20 godzin.</w:t>
      </w:r>
    </w:p>
    <w:p w14:paraId="324AD3DE" w14:textId="20E92BA8" w:rsidR="000016E2" w:rsidRPr="00BD22FE" w:rsidRDefault="00104CA8" w:rsidP="00A610E1">
      <w:pPr>
        <w:rPr>
          <w:sz w:val="22"/>
          <w:szCs w:val="22"/>
          <w:lang w:val="pl-PL"/>
        </w:rPr>
      </w:pPr>
      <w:r w:rsidRPr="00BD22FE">
        <w:rPr>
          <w:rFonts w:eastAsia="MS Mincho"/>
          <w:sz w:val="22"/>
          <w:szCs w:val="22"/>
          <w:lang w:val="pl-PL" w:eastAsia="ja-JP" w:bidi="hi-IN"/>
        </w:rPr>
        <w:t>Hydrochlorotiazyd jest prawie całkowicie wydalany w</w:t>
      </w:r>
      <w:r w:rsidR="00717A7B" w:rsidRPr="00BD22FE">
        <w:rPr>
          <w:rFonts w:eastAsia="MS Mincho"/>
          <w:sz w:val="22"/>
          <w:szCs w:val="22"/>
          <w:lang w:val="pl-PL" w:eastAsia="ja-JP" w:bidi="hi-IN"/>
        </w:rPr>
        <w:t> </w:t>
      </w:r>
      <w:r w:rsidRPr="00BD22FE">
        <w:rPr>
          <w:rFonts w:eastAsia="MS Mincho"/>
          <w:sz w:val="22"/>
          <w:szCs w:val="22"/>
          <w:lang w:val="pl-PL" w:eastAsia="ja-JP" w:bidi="hi-IN"/>
        </w:rPr>
        <w:t>postaci niezmienionej w</w:t>
      </w:r>
      <w:r w:rsidR="00717A7B" w:rsidRPr="00BD22FE">
        <w:rPr>
          <w:rFonts w:eastAsia="MS Mincho"/>
          <w:sz w:val="22"/>
          <w:szCs w:val="22"/>
          <w:lang w:val="pl-PL" w:eastAsia="ja-JP" w:bidi="hi-IN"/>
        </w:rPr>
        <w:t> </w:t>
      </w:r>
      <w:r w:rsidRPr="00BD22FE">
        <w:rPr>
          <w:rFonts w:eastAsia="MS Mincho"/>
          <w:sz w:val="22"/>
          <w:szCs w:val="22"/>
          <w:lang w:val="pl-PL" w:eastAsia="ja-JP" w:bidi="hi-IN"/>
        </w:rPr>
        <w:t xml:space="preserve">moczu. </w:t>
      </w:r>
      <w:r w:rsidRPr="00BD22FE">
        <w:rPr>
          <w:sz w:val="22"/>
          <w:szCs w:val="22"/>
          <w:lang w:val="pl-PL"/>
        </w:rPr>
        <w:t>Około 60%</w:t>
      </w:r>
      <w:r w:rsidR="000814B8" w:rsidRPr="00BD22FE">
        <w:rPr>
          <w:sz w:val="22"/>
          <w:szCs w:val="22"/>
          <w:lang w:val="pl-PL"/>
        </w:rPr>
        <w:t> </w:t>
      </w:r>
      <w:r w:rsidRPr="00BD22FE">
        <w:rPr>
          <w:sz w:val="22"/>
          <w:szCs w:val="22"/>
          <w:lang w:val="pl-PL"/>
        </w:rPr>
        <w:t>dawki doustnej jest eliminowane w</w:t>
      </w:r>
      <w:r w:rsidR="00717A7B" w:rsidRPr="00BD22FE">
        <w:rPr>
          <w:sz w:val="22"/>
          <w:szCs w:val="22"/>
          <w:lang w:val="pl-PL"/>
        </w:rPr>
        <w:t> </w:t>
      </w:r>
      <w:r w:rsidRPr="00BD22FE">
        <w:rPr>
          <w:sz w:val="22"/>
          <w:szCs w:val="22"/>
          <w:lang w:val="pl-PL"/>
        </w:rPr>
        <w:t>ciągu 48 godzin. Klirens nerkowy wynosi około 250</w:t>
      </w:r>
      <w:r w:rsidRPr="00BD22FE">
        <w:rPr>
          <w:sz w:val="22"/>
          <w:szCs w:val="22"/>
          <w:lang w:val="pl-PL"/>
        </w:rPr>
        <w:noBreakHyphen/>
        <w:t xml:space="preserve">300 ml/min. Końcowy okres półtrwania </w:t>
      </w:r>
      <w:r w:rsidR="000814B8" w:rsidRPr="00BD22FE">
        <w:rPr>
          <w:rFonts w:eastAsia="MS Mincho"/>
          <w:sz w:val="22"/>
          <w:szCs w:val="22"/>
          <w:lang w:val="pl-PL" w:eastAsia="ja-JP" w:bidi="hi-IN"/>
        </w:rPr>
        <w:t>hydrochlorotiazydu</w:t>
      </w:r>
      <w:r w:rsidR="000814B8" w:rsidRPr="00BD22FE">
        <w:rPr>
          <w:sz w:val="22"/>
          <w:szCs w:val="22"/>
          <w:lang w:val="pl-PL"/>
        </w:rPr>
        <w:t xml:space="preserve"> </w:t>
      </w:r>
      <w:r w:rsidRPr="00BD22FE">
        <w:rPr>
          <w:sz w:val="22"/>
          <w:szCs w:val="22"/>
          <w:lang w:val="pl-PL"/>
        </w:rPr>
        <w:t>w</w:t>
      </w:r>
      <w:r w:rsidR="00717A7B" w:rsidRPr="00BD22FE">
        <w:rPr>
          <w:sz w:val="22"/>
          <w:szCs w:val="22"/>
          <w:lang w:val="pl-PL"/>
        </w:rPr>
        <w:t> </w:t>
      </w:r>
      <w:r w:rsidRPr="00BD22FE">
        <w:rPr>
          <w:sz w:val="22"/>
          <w:szCs w:val="22"/>
          <w:lang w:val="pl-PL"/>
        </w:rPr>
        <w:t>fazie eliminacji wynosi 10</w:t>
      </w:r>
      <w:r w:rsidR="001141EA" w:rsidRPr="00BD22FE">
        <w:rPr>
          <w:sz w:val="22"/>
          <w:szCs w:val="22"/>
          <w:lang w:val="pl-PL"/>
        </w:rPr>
        <w:t> </w:t>
      </w:r>
      <w:r w:rsidRPr="00BD22FE">
        <w:rPr>
          <w:sz w:val="22"/>
          <w:szCs w:val="22"/>
          <w:lang w:val="pl-PL"/>
        </w:rPr>
        <w:t>do</w:t>
      </w:r>
      <w:r w:rsidR="001141EA" w:rsidRPr="00BD22FE">
        <w:rPr>
          <w:sz w:val="22"/>
          <w:szCs w:val="22"/>
          <w:lang w:val="pl-PL"/>
        </w:rPr>
        <w:t> </w:t>
      </w:r>
      <w:r w:rsidRPr="00BD22FE">
        <w:rPr>
          <w:sz w:val="22"/>
          <w:szCs w:val="22"/>
          <w:lang w:val="pl-PL"/>
        </w:rPr>
        <w:t>15 godzin.</w:t>
      </w:r>
    </w:p>
    <w:p w14:paraId="7BAEB599" w14:textId="77777777" w:rsidR="000016E2" w:rsidRPr="00BD22FE" w:rsidRDefault="000016E2" w:rsidP="00A610E1">
      <w:pPr>
        <w:rPr>
          <w:sz w:val="22"/>
          <w:szCs w:val="22"/>
          <w:lang w:val="pl-PL"/>
        </w:rPr>
      </w:pPr>
    </w:p>
    <w:p w14:paraId="7879B97F" w14:textId="77777777" w:rsidR="000016E2" w:rsidRPr="00BD22FE" w:rsidRDefault="00104CA8" w:rsidP="00A610E1">
      <w:pPr>
        <w:keepNext/>
        <w:rPr>
          <w:sz w:val="22"/>
          <w:szCs w:val="22"/>
          <w:u w:val="single"/>
          <w:lang w:val="pl-PL"/>
        </w:rPr>
      </w:pPr>
      <w:r w:rsidRPr="00BD22FE">
        <w:rPr>
          <w:sz w:val="22"/>
          <w:szCs w:val="22"/>
          <w:u w:val="single"/>
          <w:lang w:val="pl-PL"/>
        </w:rPr>
        <w:t>Liniowość lub nieliniowość</w:t>
      </w:r>
    </w:p>
    <w:p w14:paraId="70CE3458" w14:textId="2C3C9B75" w:rsidR="000016E2" w:rsidRPr="00BD22FE" w:rsidRDefault="00104CA8" w:rsidP="00A610E1">
      <w:pPr>
        <w:pStyle w:val="BodyText"/>
        <w:spacing w:line="240" w:lineRule="auto"/>
        <w:jc w:val="left"/>
        <w:rPr>
          <w:sz w:val="22"/>
          <w:szCs w:val="22"/>
          <w:lang w:val="pl-PL"/>
        </w:rPr>
      </w:pPr>
      <w:r w:rsidRPr="00BD22FE">
        <w:rPr>
          <w:sz w:val="22"/>
          <w:szCs w:val="22"/>
          <w:lang w:val="pl-PL"/>
        </w:rPr>
        <w:t>Telmisartan: Farmakokinetyka doustnie podanego telmisartanu jest nieliniowa w</w:t>
      </w:r>
      <w:r w:rsidR="00717A7B" w:rsidRPr="00BD22FE">
        <w:rPr>
          <w:sz w:val="22"/>
          <w:szCs w:val="22"/>
          <w:lang w:val="pl-PL"/>
        </w:rPr>
        <w:t> </w:t>
      </w:r>
      <w:r w:rsidRPr="00BD22FE">
        <w:rPr>
          <w:sz w:val="22"/>
          <w:szCs w:val="22"/>
          <w:lang w:val="pl-PL"/>
        </w:rPr>
        <w:t>zakresie dawek od 20 mg do 160 mg ze wzrostem stężenia w</w:t>
      </w:r>
      <w:r w:rsidR="00717A7B" w:rsidRPr="00BD22FE">
        <w:rPr>
          <w:sz w:val="22"/>
          <w:szCs w:val="22"/>
          <w:lang w:val="pl-PL"/>
        </w:rPr>
        <w:t> </w:t>
      </w:r>
      <w:r w:rsidRPr="00BD22FE">
        <w:rPr>
          <w:sz w:val="22"/>
          <w:szCs w:val="22"/>
          <w:lang w:val="pl-PL"/>
        </w:rPr>
        <w:t>osoczu (C</w:t>
      </w:r>
      <w:r w:rsidRPr="00BD22FE">
        <w:rPr>
          <w:sz w:val="22"/>
          <w:szCs w:val="22"/>
          <w:vertAlign w:val="subscript"/>
          <w:lang w:val="pl-PL"/>
        </w:rPr>
        <w:t xml:space="preserve">max </w:t>
      </w:r>
      <w:r w:rsidRPr="00BD22FE">
        <w:rPr>
          <w:sz w:val="22"/>
          <w:szCs w:val="22"/>
          <w:lang w:val="pl-PL"/>
        </w:rPr>
        <w:t>i</w:t>
      </w:r>
      <w:r w:rsidR="00717A7B" w:rsidRPr="00BD22FE">
        <w:rPr>
          <w:sz w:val="22"/>
          <w:szCs w:val="22"/>
          <w:lang w:val="pl-PL"/>
        </w:rPr>
        <w:t> </w:t>
      </w:r>
      <w:r w:rsidRPr="00BD22FE">
        <w:rPr>
          <w:sz w:val="22"/>
          <w:szCs w:val="22"/>
          <w:lang w:val="pl-PL"/>
        </w:rPr>
        <w:t xml:space="preserve">AUC) większym niż proporcjonalny do wzrostu dawki. Podczas </w:t>
      </w:r>
      <w:r w:rsidR="008A7B5C" w:rsidRPr="00BD22FE">
        <w:rPr>
          <w:sz w:val="22"/>
          <w:szCs w:val="22"/>
          <w:lang w:val="pl-PL"/>
        </w:rPr>
        <w:t xml:space="preserve">wielokrotnego </w:t>
      </w:r>
      <w:r w:rsidRPr="00BD22FE">
        <w:rPr>
          <w:sz w:val="22"/>
          <w:szCs w:val="22"/>
          <w:lang w:val="pl-PL"/>
        </w:rPr>
        <w:t>podawania telmisartan nie kumuluje się znacząco w</w:t>
      </w:r>
      <w:r w:rsidR="00717A7B" w:rsidRPr="00BD22FE">
        <w:rPr>
          <w:sz w:val="22"/>
          <w:szCs w:val="22"/>
          <w:lang w:val="pl-PL"/>
        </w:rPr>
        <w:t> </w:t>
      </w:r>
      <w:r w:rsidRPr="00BD22FE">
        <w:rPr>
          <w:sz w:val="22"/>
          <w:szCs w:val="22"/>
          <w:lang w:val="pl-PL"/>
        </w:rPr>
        <w:t>osoczu.</w:t>
      </w:r>
    </w:p>
    <w:p w14:paraId="31BB13DF" w14:textId="77777777" w:rsidR="000016E2" w:rsidRPr="00BD22FE" w:rsidRDefault="00104CA8" w:rsidP="00A610E1">
      <w:pPr>
        <w:pStyle w:val="BodyText"/>
        <w:spacing w:line="240" w:lineRule="auto"/>
        <w:jc w:val="left"/>
        <w:rPr>
          <w:sz w:val="22"/>
          <w:szCs w:val="22"/>
          <w:lang w:val="pl-PL"/>
        </w:rPr>
      </w:pPr>
      <w:r w:rsidRPr="00BD22FE">
        <w:rPr>
          <w:sz w:val="22"/>
          <w:szCs w:val="22"/>
          <w:lang w:val="pl-PL"/>
        </w:rPr>
        <w:t>Hydrochlorotiazyd wykazuje farmakokinetykę liniową.</w:t>
      </w:r>
    </w:p>
    <w:p w14:paraId="70F62E3F" w14:textId="77777777" w:rsidR="000016E2" w:rsidRPr="00BD22FE" w:rsidRDefault="000016E2" w:rsidP="00A610E1">
      <w:pPr>
        <w:pStyle w:val="BodyText"/>
        <w:spacing w:line="240" w:lineRule="auto"/>
        <w:jc w:val="left"/>
        <w:rPr>
          <w:sz w:val="22"/>
          <w:szCs w:val="22"/>
          <w:lang w:val="pl-PL"/>
        </w:rPr>
      </w:pPr>
    </w:p>
    <w:p w14:paraId="2F5917BB" w14:textId="780218BC" w:rsidR="000016E2" w:rsidRPr="00BD22FE" w:rsidRDefault="00104CA8" w:rsidP="00A610E1">
      <w:pPr>
        <w:pStyle w:val="BodyText"/>
        <w:keepNext/>
        <w:spacing w:line="240" w:lineRule="auto"/>
        <w:jc w:val="left"/>
        <w:rPr>
          <w:sz w:val="22"/>
          <w:szCs w:val="22"/>
          <w:u w:val="single"/>
          <w:lang w:val="pl-PL"/>
        </w:rPr>
      </w:pPr>
      <w:r w:rsidRPr="00BD22FE">
        <w:rPr>
          <w:i/>
          <w:iCs/>
          <w:sz w:val="22"/>
          <w:szCs w:val="22"/>
          <w:u w:val="single"/>
          <w:lang w:val="pl-PL"/>
        </w:rPr>
        <w:t>Farmakokinetyka w</w:t>
      </w:r>
      <w:r w:rsidR="00717A7B" w:rsidRPr="00BD22FE">
        <w:rPr>
          <w:i/>
          <w:iCs/>
          <w:sz w:val="22"/>
          <w:szCs w:val="22"/>
          <w:u w:val="single"/>
          <w:lang w:val="pl-PL"/>
        </w:rPr>
        <w:t> </w:t>
      </w:r>
      <w:r w:rsidRPr="00BD22FE">
        <w:rPr>
          <w:i/>
          <w:iCs/>
          <w:sz w:val="22"/>
          <w:szCs w:val="22"/>
          <w:u w:val="single"/>
          <w:lang w:val="pl-PL"/>
        </w:rPr>
        <w:t>określonych grupach pacjentów</w:t>
      </w:r>
    </w:p>
    <w:p w14:paraId="719562F5" w14:textId="3EFD6215" w:rsidR="003A7E3D" w:rsidRPr="00BD22FE" w:rsidRDefault="00104CA8" w:rsidP="00A610E1">
      <w:pPr>
        <w:pStyle w:val="BodyText"/>
        <w:keepNext/>
        <w:spacing w:line="240" w:lineRule="auto"/>
        <w:jc w:val="left"/>
        <w:rPr>
          <w:sz w:val="22"/>
          <w:szCs w:val="22"/>
          <w:lang w:val="pl-PL"/>
        </w:rPr>
      </w:pPr>
      <w:r w:rsidRPr="00BD22FE">
        <w:rPr>
          <w:sz w:val="22"/>
          <w:szCs w:val="22"/>
          <w:u w:val="single"/>
          <w:lang w:val="pl-PL"/>
        </w:rPr>
        <w:t>Pacjenci w</w:t>
      </w:r>
      <w:r w:rsidR="00717A7B" w:rsidRPr="00BD22FE">
        <w:rPr>
          <w:sz w:val="22"/>
          <w:szCs w:val="22"/>
          <w:u w:val="single"/>
          <w:lang w:val="pl-PL"/>
        </w:rPr>
        <w:t> </w:t>
      </w:r>
      <w:r w:rsidRPr="00BD22FE">
        <w:rPr>
          <w:sz w:val="22"/>
          <w:szCs w:val="22"/>
          <w:u w:val="single"/>
          <w:lang w:val="pl-PL"/>
        </w:rPr>
        <w:t>podeszłym wieku</w:t>
      </w:r>
    </w:p>
    <w:p w14:paraId="237C2D17" w14:textId="74C97A1D" w:rsidR="000016E2" w:rsidRPr="00BD22FE" w:rsidRDefault="00104CA8" w:rsidP="00A610E1">
      <w:pPr>
        <w:pStyle w:val="BodyText"/>
        <w:spacing w:line="240" w:lineRule="auto"/>
        <w:jc w:val="left"/>
        <w:rPr>
          <w:sz w:val="22"/>
          <w:szCs w:val="22"/>
          <w:lang w:val="pl-PL"/>
        </w:rPr>
      </w:pPr>
      <w:r w:rsidRPr="00BD22FE">
        <w:rPr>
          <w:sz w:val="22"/>
          <w:szCs w:val="22"/>
          <w:lang w:val="pl-PL"/>
        </w:rPr>
        <w:t>Farmakokinetyka telmisartanu nie różni się w</w:t>
      </w:r>
      <w:r w:rsidR="00717A7B" w:rsidRPr="00BD22FE">
        <w:rPr>
          <w:sz w:val="22"/>
          <w:szCs w:val="22"/>
          <w:lang w:val="pl-PL"/>
        </w:rPr>
        <w:t> </w:t>
      </w:r>
      <w:r w:rsidRPr="00BD22FE">
        <w:rPr>
          <w:sz w:val="22"/>
          <w:szCs w:val="22"/>
          <w:lang w:val="pl-PL"/>
        </w:rPr>
        <w:t>populacji osób w podeszłym wieku i młodszych pacjentów.</w:t>
      </w:r>
    </w:p>
    <w:p w14:paraId="6DDA9143" w14:textId="77777777" w:rsidR="000016E2" w:rsidRPr="00BD22FE" w:rsidRDefault="000016E2" w:rsidP="00A610E1">
      <w:pPr>
        <w:pStyle w:val="BodyText"/>
        <w:spacing w:line="240" w:lineRule="auto"/>
        <w:jc w:val="left"/>
        <w:rPr>
          <w:sz w:val="22"/>
          <w:szCs w:val="22"/>
          <w:lang w:val="pl-PL"/>
        </w:rPr>
      </w:pPr>
    </w:p>
    <w:p w14:paraId="7503A33C" w14:textId="77777777" w:rsidR="000016E2" w:rsidRPr="00BD22FE" w:rsidRDefault="00104CA8" w:rsidP="00A610E1">
      <w:pPr>
        <w:pStyle w:val="BodyText"/>
        <w:keepNext/>
        <w:spacing w:line="240" w:lineRule="auto"/>
        <w:jc w:val="left"/>
        <w:rPr>
          <w:sz w:val="22"/>
          <w:szCs w:val="22"/>
          <w:lang w:val="pl-PL"/>
        </w:rPr>
      </w:pPr>
      <w:r w:rsidRPr="00BD22FE">
        <w:rPr>
          <w:sz w:val="22"/>
          <w:szCs w:val="22"/>
          <w:u w:val="single"/>
          <w:lang w:val="pl-PL"/>
        </w:rPr>
        <w:t>Płeć</w:t>
      </w:r>
    </w:p>
    <w:p w14:paraId="728AB4A7" w14:textId="140DED2A" w:rsidR="003A7E3D" w:rsidRPr="00BD22FE" w:rsidRDefault="00104CA8" w:rsidP="00A610E1">
      <w:pPr>
        <w:pStyle w:val="BodyText"/>
        <w:spacing w:line="240" w:lineRule="auto"/>
        <w:jc w:val="left"/>
        <w:rPr>
          <w:sz w:val="22"/>
          <w:szCs w:val="22"/>
          <w:lang w:val="pl-PL"/>
        </w:rPr>
      </w:pPr>
      <w:r w:rsidRPr="00BD22FE">
        <w:rPr>
          <w:sz w:val="22"/>
          <w:szCs w:val="22"/>
          <w:lang w:val="pl-PL"/>
        </w:rPr>
        <w:t>Stężenia telmisartanu w</w:t>
      </w:r>
      <w:r w:rsidR="00717A7B" w:rsidRPr="00BD22FE">
        <w:rPr>
          <w:sz w:val="22"/>
          <w:szCs w:val="22"/>
          <w:lang w:val="pl-PL"/>
        </w:rPr>
        <w:t> </w:t>
      </w:r>
      <w:r w:rsidRPr="00BD22FE">
        <w:rPr>
          <w:sz w:val="22"/>
          <w:szCs w:val="22"/>
          <w:lang w:val="pl-PL"/>
        </w:rPr>
        <w:t>osoczu są na ogół 2</w:t>
      </w:r>
      <w:r w:rsidRPr="00BD22FE">
        <w:rPr>
          <w:sz w:val="22"/>
          <w:szCs w:val="22"/>
          <w:lang w:val="pl-PL"/>
        </w:rPr>
        <w:noBreakHyphen/>
        <w:t>3 razy większe u</w:t>
      </w:r>
      <w:r w:rsidR="00717A7B" w:rsidRPr="00BD22FE">
        <w:rPr>
          <w:sz w:val="22"/>
          <w:szCs w:val="22"/>
          <w:lang w:val="pl-PL"/>
        </w:rPr>
        <w:t> </w:t>
      </w:r>
      <w:r w:rsidRPr="00BD22FE">
        <w:rPr>
          <w:sz w:val="22"/>
          <w:szCs w:val="22"/>
          <w:lang w:val="pl-PL"/>
        </w:rPr>
        <w:t>kobiet niż u</w:t>
      </w:r>
      <w:r w:rsidR="00717A7B" w:rsidRPr="00BD22FE">
        <w:rPr>
          <w:sz w:val="22"/>
          <w:szCs w:val="22"/>
          <w:lang w:val="pl-PL"/>
        </w:rPr>
        <w:t> </w:t>
      </w:r>
      <w:r w:rsidRPr="00BD22FE">
        <w:rPr>
          <w:sz w:val="22"/>
          <w:szCs w:val="22"/>
          <w:lang w:val="pl-PL"/>
        </w:rPr>
        <w:t>mężczyzn. Jednakże w</w:t>
      </w:r>
      <w:r w:rsidR="00717A7B" w:rsidRPr="00BD22FE">
        <w:rPr>
          <w:sz w:val="22"/>
          <w:szCs w:val="22"/>
          <w:lang w:val="pl-PL"/>
        </w:rPr>
        <w:t> </w:t>
      </w:r>
      <w:r w:rsidRPr="00BD22FE">
        <w:rPr>
          <w:sz w:val="22"/>
          <w:szCs w:val="22"/>
          <w:lang w:val="pl-PL"/>
        </w:rPr>
        <w:t xml:space="preserve">badaniach klinicznych nie wykazano istotnie wzmożonej reakcji </w:t>
      </w:r>
      <w:r w:rsidR="00D05891" w:rsidRPr="00BD22FE">
        <w:rPr>
          <w:sz w:val="22"/>
          <w:szCs w:val="22"/>
          <w:lang w:val="pl-PL"/>
        </w:rPr>
        <w:t xml:space="preserve">w zakresie ciśnienia tętniczego krwi </w:t>
      </w:r>
      <w:r w:rsidRPr="00BD22FE">
        <w:rPr>
          <w:sz w:val="22"/>
          <w:szCs w:val="22"/>
          <w:lang w:val="pl-PL"/>
        </w:rPr>
        <w:t>lub zwiększonej częstości występowania niedociśnienia ortostatycznego u</w:t>
      </w:r>
      <w:r w:rsidR="00717A7B" w:rsidRPr="00BD22FE">
        <w:rPr>
          <w:sz w:val="22"/>
          <w:szCs w:val="22"/>
          <w:lang w:val="pl-PL"/>
        </w:rPr>
        <w:t> </w:t>
      </w:r>
      <w:r w:rsidRPr="00BD22FE">
        <w:rPr>
          <w:sz w:val="22"/>
          <w:szCs w:val="22"/>
          <w:lang w:val="pl-PL"/>
        </w:rPr>
        <w:t>kobiet. Nie ma potrzeby modyfikacji dawki. Zanotowano tendencję do większego stężenia HCTZ w</w:t>
      </w:r>
      <w:r w:rsidR="00717A7B" w:rsidRPr="00BD22FE">
        <w:rPr>
          <w:sz w:val="22"/>
          <w:szCs w:val="22"/>
          <w:lang w:val="pl-PL"/>
        </w:rPr>
        <w:t> </w:t>
      </w:r>
      <w:r w:rsidRPr="00BD22FE">
        <w:rPr>
          <w:sz w:val="22"/>
          <w:szCs w:val="22"/>
          <w:lang w:val="pl-PL"/>
        </w:rPr>
        <w:t>osoczu u</w:t>
      </w:r>
      <w:r w:rsidR="00717A7B" w:rsidRPr="00BD22FE">
        <w:rPr>
          <w:sz w:val="22"/>
          <w:szCs w:val="22"/>
          <w:lang w:val="pl-PL"/>
        </w:rPr>
        <w:t> </w:t>
      </w:r>
      <w:r w:rsidRPr="00BD22FE">
        <w:rPr>
          <w:sz w:val="22"/>
          <w:szCs w:val="22"/>
          <w:lang w:val="pl-PL"/>
        </w:rPr>
        <w:t>kobiet niż u</w:t>
      </w:r>
      <w:r w:rsidR="00717A7B" w:rsidRPr="00BD22FE">
        <w:rPr>
          <w:sz w:val="22"/>
          <w:szCs w:val="22"/>
          <w:lang w:val="pl-PL"/>
        </w:rPr>
        <w:t> </w:t>
      </w:r>
      <w:r w:rsidRPr="00BD22FE">
        <w:rPr>
          <w:sz w:val="22"/>
          <w:szCs w:val="22"/>
          <w:lang w:val="pl-PL"/>
        </w:rPr>
        <w:t>mężczyzn. Nie uważa się jej za istotną klinicznie.</w:t>
      </w:r>
    </w:p>
    <w:p w14:paraId="5F6C2FB7" w14:textId="0B024E83" w:rsidR="000016E2" w:rsidRPr="00BD22FE" w:rsidRDefault="000016E2" w:rsidP="00A610E1">
      <w:pPr>
        <w:pStyle w:val="BodyText"/>
        <w:spacing w:line="240" w:lineRule="auto"/>
        <w:jc w:val="left"/>
        <w:rPr>
          <w:sz w:val="22"/>
          <w:szCs w:val="22"/>
          <w:lang w:val="pl-PL"/>
        </w:rPr>
      </w:pPr>
    </w:p>
    <w:p w14:paraId="546F623C" w14:textId="77777777" w:rsidR="000016E2" w:rsidRPr="00BD22FE" w:rsidRDefault="00104CA8" w:rsidP="00A610E1">
      <w:pPr>
        <w:pStyle w:val="BodyText"/>
        <w:keepNext/>
        <w:spacing w:line="240" w:lineRule="auto"/>
        <w:jc w:val="left"/>
        <w:rPr>
          <w:sz w:val="22"/>
          <w:szCs w:val="22"/>
          <w:lang w:val="pl-PL"/>
        </w:rPr>
      </w:pPr>
      <w:bookmarkStart w:id="11" w:name="_Hlk151608616"/>
      <w:r w:rsidRPr="00BD22FE">
        <w:rPr>
          <w:sz w:val="22"/>
          <w:szCs w:val="22"/>
          <w:u w:val="single"/>
          <w:lang w:val="pl-PL"/>
        </w:rPr>
        <w:t>Zaburzenia czynności nerek</w:t>
      </w:r>
    </w:p>
    <w:p w14:paraId="3EE45C60" w14:textId="511B158D" w:rsidR="003A7E3D" w:rsidRPr="00BD22FE" w:rsidRDefault="00104CA8" w:rsidP="00A610E1">
      <w:pPr>
        <w:pStyle w:val="BodyText"/>
        <w:spacing w:line="240" w:lineRule="auto"/>
        <w:jc w:val="left"/>
        <w:rPr>
          <w:sz w:val="22"/>
          <w:szCs w:val="22"/>
          <w:lang w:val="pl-PL"/>
        </w:rPr>
      </w:pPr>
      <w:r w:rsidRPr="00BD22FE">
        <w:rPr>
          <w:sz w:val="22"/>
          <w:szCs w:val="22"/>
          <w:lang w:val="pl-PL"/>
        </w:rPr>
        <w:t xml:space="preserve">U pacjentów z niewydolnością nerek poddawanych dializie obserwowano </w:t>
      </w:r>
      <w:r w:rsidR="00D72549" w:rsidRPr="00BD22FE">
        <w:rPr>
          <w:sz w:val="22"/>
          <w:szCs w:val="22"/>
          <w:lang w:val="pl-PL"/>
        </w:rPr>
        <w:t>mniej</w:t>
      </w:r>
      <w:r w:rsidRPr="00BD22FE">
        <w:rPr>
          <w:sz w:val="22"/>
          <w:szCs w:val="22"/>
          <w:lang w:val="pl-PL"/>
        </w:rPr>
        <w:t xml:space="preserve">sze stężenia w osoczu. </w:t>
      </w:r>
      <w:bookmarkEnd w:id="11"/>
      <w:r w:rsidRPr="00BD22FE">
        <w:rPr>
          <w:sz w:val="22"/>
          <w:szCs w:val="22"/>
          <w:lang w:val="pl-PL"/>
        </w:rPr>
        <w:t>Telmisartan silnie wiąże się z</w:t>
      </w:r>
      <w:r w:rsidR="00717A7B" w:rsidRPr="00BD22FE">
        <w:rPr>
          <w:sz w:val="22"/>
          <w:szCs w:val="22"/>
          <w:lang w:val="pl-PL"/>
        </w:rPr>
        <w:t> </w:t>
      </w:r>
      <w:r w:rsidRPr="00BD22FE">
        <w:rPr>
          <w:sz w:val="22"/>
          <w:szCs w:val="22"/>
          <w:lang w:val="pl-PL"/>
        </w:rPr>
        <w:t xml:space="preserve">białkami osocza u osób z niewydolnością nerek i nie można go usunąć za pomocą dializy. Okres półtrwania </w:t>
      </w:r>
      <w:r w:rsidR="004277AA" w:rsidRPr="00BD22FE">
        <w:rPr>
          <w:sz w:val="22"/>
          <w:szCs w:val="22"/>
          <w:lang w:val="pl-PL"/>
        </w:rPr>
        <w:t xml:space="preserve">w fazie </w:t>
      </w:r>
      <w:r w:rsidRPr="00BD22FE">
        <w:rPr>
          <w:sz w:val="22"/>
          <w:szCs w:val="22"/>
          <w:lang w:val="pl-PL"/>
        </w:rPr>
        <w:t>eliminacji pozostał niezmieniony u</w:t>
      </w:r>
      <w:r w:rsidR="00717A7B" w:rsidRPr="00BD22FE">
        <w:rPr>
          <w:sz w:val="22"/>
          <w:szCs w:val="22"/>
          <w:lang w:val="pl-PL"/>
        </w:rPr>
        <w:t> </w:t>
      </w:r>
      <w:r w:rsidRPr="00BD22FE">
        <w:rPr>
          <w:sz w:val="22"/>
          <w:szCs w:val="22"/>
          <w:lang w:val="pl-PL"/>
        </w:rPr>
        <w:t>pacjentów z</w:t>
      </w:r>
      <w:r w:rsidR="00717A7B" w:rsidRPr="00BD22FE">
        <w:rPr>
          <w:sz w:val="22"/>
          <w:szCs w:val="22"/>
          <w:lang w:val="pl-PL"/>
        </w:rPr>
        <w:t> </w:t>
      </w:r>
      <w:r w:rsidR="00095D58" w:rsidRPr="00BD22FE">
        <w:rPr>
          <w:sz w:val="22"/>
          <w:szCs w:val="22"/>
          <w:lang w:val="pl-PL"/>
        </w:rPr>
        <w:t xml:space="preserve">zaburzeniami czynności </w:t>
      </w:r>
      <w:r w:rsidRPr="00BD22FE">
        <w:rPr>
          <w:sz w:val="22"/>
          <w:szCs w:val="22"/>
          <w:lang w:val="pl-PL"/>
        </w:rPr>
        <w:t>nerek. U</w:t>
      </w:r>
      <w:r w:rsidR="00717A7B" w:rsidRPr="00BD22FE">
        <w:rPr>
          <w:sz w:val="22"/>
          <w:szCs w:val="22"/>
          <w:lang w:val="pl-PL"/>
        </w:rPr>
        <w:t> </w:t>
      </w:r>
      <w:r w:rsidRPr="00BD22FE">
        <w:rPr>
          <w:sz w:val="22"/>
          <w:szCs w:val="22"/>
          <w:lang w:val="pl-PL"/>
        </w:rPr>
        <w:t>pacjentów z</w:t>
      </w:r>
      <w:r w:rsidR="00717A7B" w:rsidRPr="00BD22FE">
        <w:rPr>
          <w:sz w:val="22"/>
          <w:szCs w:val="22"/>
          <w:lang w:val="pl-PL"/>
        </w:rPr>
        <w:t> </w:t>
      </w:r>
      <w:r w:rsidRPr="00BD22FE">
        <w:rPr>
          <w:sz w:val="22"/>
          <w:szCs w:val="22"/>
          <w:lang w:val="pl-PL"/>
        </w:rPr>
        <w:t>zaburzoną czynnością nerek szybkość eliminacji HCTZ jest zmniejszona. W</w:t>
      </w:r>
      <w:r w:rsidR="00717A7B" w:rsidRPr="00BD22FE">
        <w:rPr>
          <w:sz w:val="22"/>
          <w:szCs w:val="22"/>
          <w:lang w:val="pl-PL"/>
        </w:rPr>
        <w:t> </w:t>
      </w:r>
      <w:r w:rsidRPr="00BD22FE">
        <w:rPr>
          <w:sz w:val="22"/>
          <w:szCs w:val="22"/>
          <w:lang w:val="pl-PL"/>
        </w:rPr>
        <w:t>typowym badaniu u</w:t>
      </w:r>
      <w:r w:rsidR="00717A7B" w:rsidRPr="00BD22FE">
        <w:rPr>
          <w:sz w:val="22"/>
          <w:szCs w:val="22"/>
          <w:lang w:val="pl-PL"/>
        </w:rPr>
        <w:t> </w:t>
      </w:r>
      <w:r w:rsidRPr="00BD22FE">
        <w:rPr>
          <w:sz w:val="22"/>
          <w:szCs w:val="22"/>
          <w:lang w:val="pl-PL"/>
        </w:rPr>
        <w:t xml:space="preserve">pacjentów ze średnim klirensem kreatyniny na poziomie 90 ml/min okres półtrwania </w:t>
      </w:r>
      <w:r w:rsidR="00EA10A8" w:rsidRPr="00BD22FE">
        <w:rPr>
          <w:sz w:val="22"/>
          <w:szCs w:val="22"/>
          <w:lang w:val="pl-PL"/>
        </w:rPr>
        <w:t xml:space="preserve">w fazie </w:t>
      </w:r>
      <w:r w:rsidRPr="00BD22FE">
        <w:rPr>
          <w:sz w:val="22"/>
          <w:szCs w:val="22"/>
          <w:lang w:val="pl-PL"/>
        </w:rPr>
        <w:t xml:space="preserve">eliminacji HCTZ był zwiększony. U pacjentów bez czynności nerek, okres półtrwania </w:t>
      </w:r>
      <w:r w:rsidR="00EA10A8" w:rsidRPr="00BD22FE">
        <w:rPr>
          <w:sz w:val="22"/>
          <w:szCs w:val="22"/>
          <w:lang w:val="pl-PL"/>
        </w:rPr>
        <w:t xml:space="preserve">w fazie </w:t>
      </w:r>
      <w:r w:rsidRPr="00BD22FE">
        <w:rPr>
          <w:sz w:val="22"/>
          <w:szCs w:val="22"/>
          <w:lang w:val="pl-PL"/>
        </w:rPr>
        <w:t>eliminacji wynosi 34 godziny.</w:t>
      </w:r>
    </w:p>
    <w:p w14:paraId="571C713F" w14:textId="732561D1" w:rsidR="000016E2" w:rsidRPr="00BD22FE" w:rsidRDefault="000016E2" w:rsidP="00A610E1">
      <w:pPr>
        <w:pStyle w:val="BodyText"/>
        <w:spacing w:line="240" w:lineRule="auto"/>
        <w:jc w:val="left"/>
        <w:rPr>
          <w:sz w:val="22"/>
          <w:szCs w:val="22"/>
          <w:lang w:val="pl-PL"/>
        </w:rPr>
      </w:pPr>
    </w:p>
    <w:p w14:paraId="79315254" w14:textId="77777777" w:rsidR="000016E2" w:rsidRPr="00BD22FE" w:rsidRDefault="00104CA8" w:rsidP="00A610E1">
      <w:pPr>
        <w:pStyle w:val="BodyText"/>
        <w:keepNext/>
        <w:spacing w:line="240" w:lineRule="auto"/>
        <w:jc w:val="left"/>
        <w:rPr>
          <w:sz w:val="22"/>
          <w:szCs w:val="22"/>
          <w:lang w:val="pl-PL"/>
        </w:rPr>
      </w:pPr>
      <w:r w:rsidRPr="00BD22FE">
        <w:rPr>
          <w:sz w:val="22"/>
          <w:szCs w:val="22"/>
          <w:u w:val="single"/>
          <w:lang w:val="pl-PL"/>
        </w:rPr>
        <w:t>Zaburzenia czynności wątroby</w:t>
      </w:r>
    </w:p>
    <w:p w14:paraId="7430558D" w14:textId="00B4B47C" w:rsidR="000016E2" w:rsidRPr="00BD22FE" w:rsidRDefault="00104CA8" w:rsidP="00A610E1">
      <w:pPr>
        <w:pStyle w:val="BodyText"/>
        <w:spacing w:line="240" w:lineRule="auto"/>
        <w:jc w:val="left"/>
        <w:rPr>
          <w:sz w:val="22"/>
          <w:szCs w:val="22"/>
          <w:lang w:val="pl-PL"/>
        </w:rPr>
      </w:pPr>
      <w:r w:rsidRPr="00BD22FE">
        <w:rPr>
          <w:sz w:val="22"/>
          <w:szCs w:val="22"/>
          <w:lang w:val="pl-PL"/>
        </w:rPr>
        <w:t>Badania farmakokinetyczne u</w:t>
      </w:r>
      <w:r w:rsidR="00717A7B" w:rsidRPr="00BD22FE">
        <w:rPr>
          <w:sz w:val="22"/>
          <w:szCs w:val="22"/>
          <w:lang w:val="pl-PL"/>
        </w:rPr>
        <w:t> </w:t>
      </w:r>
      <w:r w:rsidRPr="00BD22FE">
        <w:rPr>
          <w:sz w:val="22"/>
          <w:szCs w:val="22"/>
          <w:lang w:val="pl-PL"/>
        </w:rPr>
        <w:t>pacjentów z</w:t>
      </w:r>
      <w:r w:rsidR="00717A7B" w:rsidRPr="00BD22FE">
        <w:rPr>
          <w:sz w:val="22"/>
          <w:szCs w:val="22"/>
          <w:lang w:val="pl-PL"/>
        </w:rPr>
        <w:t> </w:t>
      </w:r>
      <w:r w:rsidRPr="00BD22FE">
        <w:rPr>
          <w:sz w:val="22"/>
          <w:szCs w:val="22"/>
          <w:lang w:val="pl-PL"/>
        </w:rPr>
        <w:t xml:space="preserve">zaburzeniami czynności wątroby wykazały zwiększenie biodostępności </w:t>
      </w:r>
      <w:r w:rsidR="001D5C1C" w:rsidRPr="00BD22FE">
        <w:rPr>
          <w:sz w:val="22"/>
          <w:szCs w:val="22"/>
          <w:lang w:val="pl-PL"/>
        </w:rPr>
        <w:t xml:space="preserve">bezwzględnej </w:t>
      </w:r>
      <w:r w:rsidRPr="00BD22FE">
        <w:rPr>
          <w:sz w:val="22"/>
          <w:szCs w:val="22"/>
          <w:lang w:val="pl-PL"/>
        </w:rPr>
        <w:t xml:space="preserve">do prawie 100%. Okres półtrwania </w:t>
      </w:r>
      <w:r w:rsidR="001D5C1C" w:rsidRPr="00BD22FE">
        <w:rPr>
          <w:sz w:val="22"/>
          <w:szCs w:val="22"/>
          <w:lang w:val="pl-PL"/>
        </w:rPr>
        <w:t xml:space="preserve">w fazie </w:t>
      </w:r>
      <w:r w:rsidRPr="00BD22FE">
        <w:rPr>
          <w:sz w:val="22"/>
          <w:szCs w:val="22"/>
          <w:lang w:val="pl-PL"/>
        </w:rPr>
        <w:t xml:space="preserve">eliminacji </w:t>
      </w:r>
      <w:r w:rsidR="001D5C1C" w:rsidRPr="00BD22FE">
        <w:rPr>
          <w:sz w:val="22"/>
          <w:szCs w:val="22"/>
          <w:lang w:val="pl-PL"/>
        </w:rPr>
        <w:t xml:space="preserve">nie ulega zmianie </w:t>
      </w:r>
      <w:r w:rsidRPr="00BD22FE">
        <w:rPr>
          <w:sz w:val="22"/>
          <w:szCs w:val="22"/>
          <w:lang w:val="pl-PL"/>
        </w:rPr>
        <w:t>u</w:t>
      </w:r>
      <w:r w:rsidR="00717A7B" w:rsidRPr="00BD22FE">
        <w:rPr>
          <w:sz w:val="22"/>
          <w:szCs w:val="22"/>
          <w:lang w:val="pl-PL"/>
        </w:rPr>
        <w:t> </w:t>
      </w:r>
      <w:r w:rsidRPr="00BD22FE">
        <w:rPr>
          <w:sz w:val="22"/>
          <w:szCs w:val="22"/>
          <w:lang w:val="pl-PL"/>
        </w:rPr>
        <w:t>pacjentów z</w:t>
      </w:r>
      <w:r w:rsidR="00717A7B" w:rsidRPr="00BD22FE">
        <w:rPr>
          <w:sz w:val="22"/>
          <w:szCs w:val="22"/>
          <w:lang w:val="pl-PL"/>
        </w:rPr>
        <w:t> </w:t>
      </w:r>
      <w:r w:rsidR="001D5C1C" w:rsidRPr="00BD22FE">
        <w:rPr>
          <w:sz w:val="22"/>
          <w:szCs w:val="22"/>
          <w:lang w:val="pl-PL"/>
        </w:rPr>
        <w:t>zaburzeniami czynności</w:t>
      </w:r>
      <w:r w:rsidRPr="00BD22FE">
        <w:rPr>
          <w:sz w:val="22"/>
          <w:szCs w:val="22"/>
          <w:lang w:val="pl-PL"/>
        </w:rPr>
        <w:t xml:space="preserve"> wątroby.</w:t>
      </w:r>
    </w:p>
    <w:p w14:paraId="7D4EF7EE" w14:textId="77777777" w:rsidR="000016E2" w:rsidRPr="00BD22FE" w:rsidRDefault="000016E2" w:rsidP="00A610E1">
      <w:pPr>
        <w:pStyle w:val="BodyText"/>
        <w:spacing w:line="240" w:lineRule="auto"/>
        <w:jc w:val="left"/>
        <w:rPr>
          <w:sz w:val="22"/>
          <w:szCs w:val="22"/>
          <w:lang w:val="pl-PL"/>
        </w:rPr>
      </w:pPr>
    </w:p>
    <w:p w14:paraId="598A7373" w14:textId="48FF4FE7" w:rsidR="000016E2" w:rsidRPr="00BD22FE" w:rsidRDefault="00104CA8" w:rsidP="00A610E1">
      <w:pPr>
        <w:pStyle w:val="BodyText"/>
        <w:keepNext/>
        <w:spacing w:line="240" w:lineRule="auto"/>
        <w:ind w:left="567" w:hanging="567"/>
        <w:jc w:val="left"/>
        <w:rPr>
          <w:b/>
          <w:sz w:val="22"/>
          <w:szCs w:val="22"/>
          <w:lang w:val="pl-PL"/>
        </w:rPr>
      </w:pPr>
      <w:r w:rsidRPr="00BD22FE">
        <w:rPr>
          <w:b/>
          <w:sz w:val="22"/>
          <w:szCs w:val="22"/>
          <w:lang w:val="pl-PL"/>
        </w:rPr>
        <w:t>5.3</w:t>
      </w:r>
      <w:r w:rsidRPr="00BD22FE">
        <w:rPr>
          <w:b/>
          <w:sz w:val="22"/>
          <w:szCs w:val="22"/>
          <w:lang w:val="pl-PL"/>
        </w:rPr>
        <w:tab/>
        <w:t>Przedkliniczne dane o</w:t>
      </w:r>
      <w:r w:rsidR="00717A7B" w:rsidRPr="00BD22FE">
        <w:rPr>
          <w:b/>
          <w:sz w:val="22"/>
          <w:szCs w:val="22"/>
          <w:lang w:val="pl-PL"/>
        </w:rPr>
        <w:t> </w:t>
      </w:r>
      <w:r w:rsidRPr="00BD22FE">
        <w:rPr>
          <w:b/>
          <w:sz w:val="22"/>
          <w:szCs w:val="22"/>
          <w:lang w:val="pl-PL"/>
        </w:rPr>
        <w:t>bezpieczeństwie</w:t>
      </w:r>
    </w:p>
    <w:p w14:paraId="2F7BE4B6" w14:textId="77777777" w:rsidR="000016E2" w:rsidRPr="00BD22FE" w:rsidRDefault="000016E2" w:rsidP="00A610E1">
      <w:pPr>
        <w:pStyle w:val="BodyText"/>
        <w:keepNext/>
        <w:spacing w:line="240" w:lineRule="auto"/>
        <w:jc w:val="left"/>
        <w:rPr>
          <w:sz w:val="22"/>
          <w:szCs w:val="22"/>
          <w:lang w:val="pl-PL"/>
        </w:rPr>
      </w:pPr>
    </w:p>
    <w:p w14:paraId="3F01DD1A" w14:textId="6646B455" w:rsidR="000016E2" w:rsidRPr="00BD22FE" w:rsidRDefault="00104CA8" w:rsidP="00A610E1">
      <w:pPr>
        <w:pStyle w:val="BodyText"/>
        <w:spacing w:line="240" w:lineRule="auto"/>
        <w:jc w:val="left"/>
        <w:rPr>
          <w:sz w:val="22"/>
          <w:szCs w:val="22"/>
          <w:lang w:val="pl-PL"/>
        </w:rPr>
      </w:pPr>
      <w:r w:rsidRPr="00BD22FE">
        <w:rPr>
          <w:sz w:val="22"/>
          <w:szCs w:val="22"/>
          <w:lang w:val="pl-PL"/>
        </w:rPr>
        <w:t>W</w:t>
      </w:r>
      <w:r w:rsidR="00717A7B" w:rsidRPr="00BD22FE">
        <w:rPr>
          <w:sz w:val="22"/>
          <w:szCs w:val="22"/>
          <w:lang w:val="pl-PL"/>
        </w:rPr>
        <w:t> </w:t>
      </w:r>
      <w:r w:rsidRPr="00BD22FE">
        <w:rPr>
          <w:sz w:val="22"/>
          <w:szCs w:val="22"/>
          <w:lang w:val="pl-PL"/>
        </w:rPr>
        <w:t xml:space="preserve">badaniach </w:t>
      </w:r>
      <w:r w:rsidR="00C34E44">
        <w:rPr>
          <w:sz w:val="22"/>
          <w:szCs w:val="22"/>
          <w:lang w:val="pl-PL"/>
        </w:rPr>
        <w:t>nie</w:t>
      </w:r>
      <w:r w:rsidR="00C34E44" w:rsidRPr="00BD22FE">
        <w:rPr>
          <w:sz w:val="22"/>
          <w:szCs w:val="22"/>
          <w:lang w:val="pl-PL"/>
        </w:rPr>
        <w:t xml:space="preserve">klinicznych </w:t>
      </w:r>
      <w:r w:rsidRPr="00BD22FE">
        <w:rPr>
          <w:sz w:val="22"/>
          <w:szCs w:val="22"/>
          <w:lang w:val="pl-PL"/>
        </w:rPr>
        <w:t>dotyczących łącznego podawania telmisartanu i</w:t>
      </w:r>
      <w:r w:rsidR="00717A7B" w:rsidRPr="00BD22FE">
        <w:rPr>
          <w:sz w:val="22"/>
          <w:szCs w:val="22"/>
          <w:lang w:val="pl-PL"/>
        </w:rPr>
        <w:t> </w:t>
      </w:r>
      <w:r w:rsidRPr="00BD22FE">
        <w:rPr>
          <w:sz w:val="22"/>
          <w:szCs w:val="22"/>
          <w:lang w:val="pl-PL"/>
        </w:rPr>
        <w:t>HCTZ u</w:t>
      </w:r>
      <w:r w:rsidR="00717A7B" w:rsidRPr="00BD22FE">
        <w:rPr>
          <w:sz w:val="22"/>
          <w:szCs w:val="22"/>
          <w:lang w:val="pl-PL"/>
        </w:rPr>
        <w:t> </w:t>
      </w:r>
      <w:r w:rsidRPr="00BD22FE">
        <w:rPr>
          <w:sz w:val="22"/>
          <w:szCs w:val="22"/>
          <w:lang w:val="pl-PL"/>
        </w:rPr>
        <w:t>szczurów i</w:t>
      </w:r>
      <w:r w:rsidR="00717A7B" w:rsidRPr="00BD22FE">
        <w:rPr>
          <w:sz w:val="22"/>
          <w:szCs w:val="22"/>
          <w:lang w:val="pl-PL"/>
        </w:rPr>
        <w:t> </w:t>
      </w:r>
      <w:r w:rsidRPr="00BD22FE">
        <w:rPr>
          <w:sz w:val="22"/>
          <w:szCs w:val="22"/>
          <w:lang w:val="pl-PL"/>
        </w:rPr>
        <w:t>psów z</w:t>
      </w:r>
      <w:r w:rsidR="00717A7B" w:rsidRPr="00BD22FE">
        <w:rPr>
          <w:sz w:val="22"/>
          <w:szCs w:val="22"/>
          <w:lang w:val="pl-PL"/>
        </w:rPr>
        <w:t> </w:t>
      </w:r>
      <w:r w:rsidRPr="00BD22FE">
        <w:rPr>
          <w:sz w:val="22"/>
          <w:szCs w:val="22"/>
          <w:lang w:val="pl-PL"/>
        </w:rPr>
        <w:t>prawidłowym ciśnieniem</w:t>
      </w:r>
      <w:r w:rsidR="00D451FF" w:rsidRPr="00BD22FE">
        <w:rPr>
          <w:sz w:val="22"/>
          <w:szCs w:val="22"/>
          <w:lang w:val="pl-PL"/>
        </w:rPr>
        <w:t xml:space="preserve"> tętniczym krwi</w:t>
      </w:r>
      <w:r w:rsidRPr="00BD22FE">
        <w:rPr>
          <w:sz w:val="22"/>
          <w:szCs w:val="22"/>
          <w:lang w:val="pl-PL"/>
        </w:rPr>
        <w:t>, dawki powodujące ekspozycję porównywaln</w:t>
      </w:r>
      <w:r w:rsidR="00BD321A" w:rsidRPr="00BD22FE">
        <w:rPr>
          <w:sz w:val="22"/>
          <w:szCs w:val="22"/>
          <w:lang w:val="pl-PL"/>
        </w:rPr>
        <w:t>ą</w:t>
      </w:r>
      <w:r w:rsidRPr="00BD22FE">
        <w:rPr>
          <w:sz w:val="22"/>
          <w:szCs w:val="22"/>
          <w:lang w:val="pl-PL"/>
        </w:rPr>
        <w:t xml:space="preserve"> </w:t>
      </w:r>
      <w:r w:rsidR="00BD321A" w:rsidRPr="00BD22FE">
        <w:rPr>
          <w:sz w:val="22"/>
          <w:szCs w:val="22"/>
          <w:lang w:val="pl-PL"/>
        </w:rPr>
        <w:t xml:space="preserve">do ekspozycji uzyskiwanej po podaniu dawek </w:t>
      </w:r>
      <w:r w:rsidRPr="00BD22FE">
        <w:rPr>
          <w:sz w:val="22"/>
          <w:szCs w:val="22"/>
          <w:lang w:val="pl-PL"/>
        </w:rPr>
        <w:t>z</w:t>
      </w:r>
      <w:r w:rsidR="00717A7B" w:rsidRPr="00BD22FE">
        <w:rPr>
          <w:sz w:val="22"/>
          <w:szCs w:val="22"/>
          <w:lang w:val="pl-PL"/>
        </w:rPr>
        <w:t> </w:t>
      </w:r>
      <w:r w:rsidR="00BD321A" w:rsidRPr="00BD22FE">
        <w:rPr>
          <w:sz w:val="22"/>
          <w:szCs w:val="22"/>
          <w:lang w:val="pl-PL"/>
        </w:rPr>
        <w:t xml:space="preserve">zakresu </w:t>
      </w:r>
      <w:r w:rsidRPr="00BD22FE">
        <w:rPr>
          <w:sz w:val="22"/>
          <w:szCs w:val="22"/>
          <w:lang w:val="pl-PL"/>
        </w:rPr>
        <w:t>kliniczn</w:t>
      </w:r>
      <w:r w:rsidR="00D80C19" w:rsidRPr="00BD22FE">
        <w:rPr>
          <w:sz w:val="22"/>
          <w:szCs w:val="22"/>
          <w:lang w:val="pl-PL"/>
        </w:rPr>
        <w:t>ych</w:t>
      </w:r>
      <w:r w:rsidR="00BD321A" w:rsidRPr="00BD22FE">
        <w:rPr>
          <w:sz w:val="22"/>
          <w:szCs w:val="22"/>
          <w:lang w:val="pl-PL"/>
        </w:rPr>
        <w:t xml:space="preserve"> </w:t>
      </w:r>
      <w:r w:rsidR="00D80C19" w:rsidRPr="00BD22FE">
        <w:rPr>
          <w:sz w:val="22"/>
          <w:szCs w:val="22"/>
          <w:lang w:val="pl-PL"/>
        </w:rPr>
        <w:t>dawek</w:t>
      </w:r>
      <w:r w:rsidR="00BD321A" w:rsidRPr="00BD22FE">
        <w:rPr>
          <w:sz w:val="22"/>
          <w:szCs w:val="22"/>
          <w:lang w:val="pl-PL"/>
        </w:rPr>
        <w:t xml:space="preserve"> </w:t>
      </w:r>
      <w:r w:rsidRPr="00BD22FE">
        <w:rPr>
          <w:sz w:val="22"/>
          <w:szCs w:val="22"/>
          <w:lang w:val="pl-PL"/>
        </w:rPr>
        <w:t>terapeutyczny</w:t>
      </w:r>
      <w:r w:rsidR="006F5AE9" w:rsidRPr="00BD22FE">
        <w:rPr>
          <w:sz w:val="22"/>
          <w:szCs w:val="22"/>
          <w:lang w:val="pl-PL"/>
        </w:rPr>
        <w:t>ch</w:t>
      </w:r>
      <w:r w:rsidRPr="00BD22FE">
        <w:rPr>
          <w:sz w:val="22"/>
          <w:szCs w:val="22"/>
          <w:lang w:val="pl-PL"/>
        </w:rPr>
        <w:t xml:space="preserve"> nie powodowały żadnych dodatkowych zmian, które nie byłyby wcześniej odnotowane w</w:t>
      </w:r>
      <w:r w:rsidR="00717A7B" w:rsidRPr="00BD22FE">
        <w:rPr>
          <w:sz w:val="22"/>
          <w:szCs w:val="22"/>
          <w:lang w:val="pl-PL"/>
        </w:rPr>
        <w:t> </w:t>
      </w:r>
      <w:r w:rsidRPr="00BD22FE">
        <w:rPr>
          <w:sz w:val="22"/>
          <w:szCs w:val="22"/>
          <w:lang w:val="pl-PL"/>
        </w:rPr>
        <w:t>przypadku każdej z</w:t>
      </w:r>
      <w:r w:rsidR="00717A7B" w:rsidRPr="00BD22FE">
        <w:rPr>
          <w:sz w:val="22"/>
          <w:szCs w:val="22"/>
          <w:lang w:val="pl-PL"/>
        </w:rPr>
        <w:t> </w:t>
      </w:r>
      <w:r w:rsidRPr="00BD22FE">
        <w:rPr>
          <w:sz w:val="22"/>
          <w:szCs w:val="22"/>
          <w:lang w:val="pl-PL"/>
        </w:rPr>
        <w:t>substancji podawanej oddzielnie. Obserwacje toksykologiczne poczynione w</w:t>
      </w:r>
      <w:r w:rsidR="00717A7B" w:rsidRPr="00BD22FE">
        <w:rPr>
          <w:sz w:val="22"/>
          <w:szCs w:val="22"/>
          <w:lang w:val="pl-PL"/>
        </w:rPr>
        <w:t> </w:t>
      </w:r>
      <w:r w:rsidRPr="00BD22FE">
        <w:rPr>
          <w:sz w:val="22"/>
          <w:szCs w:val="22"/>
          <w:lang w:val="pl-PL"/>
        </w:rPr>
        <w:t>tych badaniach wydają się nie mieć znaczenia w</w:t>
      </w:r>
      <w:r w:rsidR="00717A7B" w:rsidRPr="00BD22FE">
        <w:rPr>
          <w:sz w:val="22"/>
          <w:szCs w:val="22"/>
          <w:lang w:val="pl-PL"/>
        </w:rPr>
        <w:t> </w:t>
      </w:r>
      <w:r w:rsidRPr="00BD22FE">
        <w:rPr>
          <w:sz w:val="22"/>
          <w:szCs w:val="22"/>
          <w:lang w:val="pl-PL"/>
        </w:rPr>
        <w:t>przypadku zastosowania terapeutycznego u</w:t>
      </w:r>
      <w:r w:rsidR="00717A7B" w:rsidRPr="00BD22FE">
        <w:rPr>
          <w:sz w:val="22"/>
          <w:szCs w:val="22"/>
          <w:lang w:val="pl-PL"/>
        </w:rPr>
        <w:t> </w:t>
      </w:r>
      <w:r w:rsidRPr="00BD22FE">
        <w:rPr>
          <w:sz w:val="22"/>
          <w:szCs w:val="22"/>
          <w:lang w:val="pl-PL"/>
        </w:rPr>
        <w:t>ludzi.</w:t>
      </w:r>
    </w:p>
    <w:p w14:paraId="458C171F" w14:textId="77777777" w:rsidR="000016E2" w:rsidRPr="00BD22FE" w:rsidRDefault="000016E2" w:rsidP="00A610E1">
      <w:pPr>
        <w:pStyle w:val="BodyText"/>
        <w:spacing w:line="240" w:lineRule="auto"/>
        <w:jc w:val="left"/>
        <w:rPr>
          <w:sz w:val="22"/>
          <w:szCs w:val="22"/>
          <w:lang w:val="pl-PL"/>
        </w:rPr>
      </w:pPr>
    </w:p>
    <w:p w14:paraId="334A1B3D" w14:textId="4180FC37" w:rsidR="008A4974" w:rsidRPr="00BD22FE" w:rsidRDefault="00104CA8" w:rsidP="00A610E1">
      <w:pPr>
        <w:pStyle w:val="BodyText"/>
        <w:spacing w:line="240" w:lineRule="auto"/>
        <w:jc w:val="left"/>
        <w:rPr>
          <w:sz w:val="22"/>
          <w:szCs w:val="22"/>
          <w:lang w:val="pl-PL"/>
        </w:rPr>
      </w:pPr>
      <w:r w:rsidRPr="00BD22FE">
        <w:rPr>
          <w:sz w:val="22"/>
          <w:szCs w:val="22"/>
          <w:lang w:val="pl-PL"/>
        </w:rPr>
        <w:t>Obserwacje toksykologiczne znane również z</w:t>
      </w:r>
      <w:r w:rsidR="00717A7B" w:rsidRPr="00BD22FE">
        <w:rPr>
          <w:sz w:val="22"/>
          <w:szCs w:val="22"/>
          <w:lang w:val="pl-PL"/>
        </w:rPr>
        <w:t> </w:t>
      </w:r>
      <w:r w:rsidRPr="00BD22FE">
        <w:rPr>
          <w:sz w:val="22"/>
          <w:szCs w:val="22"/>
          <w:lang w:val="pl-PL"/>
        </w:rPr>
        <w:t>badań przedklinicznych inhibitorów enzymu konwertującego angiotensynę oraz blokerów receptora angiotensyny</w:t>
      </w:r>
      <w:r w:rsidR="001E0877" w:rsidRPr="00BD22FE">
        <w:rPr>
          <w:sz w:val="22"/>
          <w:szCs w:val="22"/>
          <w:lang w:val="pl-PL"/>
        </w:rPr>
        <w:t> </w:t>
      </w:r>
      <w:r w:rsidRPr="00BD22FE">
        <w:rPr>
          <w:sz w:val="22"/>
          <w:szCs w:val="22"/>
          <w:lang w:val="pl-PL"/>
        </w:rPr>
        <w:t>II wskazują na: zmniejszenie parametrów dotyczących czerwonych krwinek (erytrocytów, hemoglobiny, hematokrytu), zmiany hemodynamiczne nerek (zwiększenie stężenia azotu mocznikowego we krwi i</w:t>
      </w:r>
      <w:r w:rsidR="00717A7B" w:rsidRPr="00BD22FE">
        <w:rPr>
          <w:sz w:val="22"/>
          <w:szCs w:val="22"/>
          <w:lang w:val="pl-PL"/>
        </w:rPr>
        <w:t> </w:t>
      </w:r>
      <w:r w:rsidRPr="00BD22FE">
        <w:rPr>
          <w:sz w:val="22"/>
          <w:szCs w:val="22"/>
          <w:lang w:val="pl-PL"/>
        </w:rPr>
        <w:t>kreatyniny), zwiększenie aktywności reniny w</w:t>
      </w:r>
      <w:r w:rsidR="00717A7B" w:rsidRPr="00BD22FE">
        <w:rPr>
          <w:sz w:val="22"/>
          <w:szCs w:val="22"/>
          <w:lang w:val="pl-PL"/>
        </w:rPr>
        <w:t> </w:t>
      </w:r>
      <w:r w:rsidRPr="00BD22FE">
        <w:rPr>
          <w:sz w:val="22"/>
          <w:szCs w:val="22"/>
          <w:lang w:val="pl-PL"/>
        </w:rPr>
        <w:t>osoczu, hipertrofię lub hiperplazję komórek aparatu przykłębuszkowego oraz uszkodzenia śluzówki żołądka. Uszkodzeniom przewodu pokarmowego można było zapobiegać podając doustnie roztwory soli i</w:t>
      </w:r>
      <w:r w:rsidR="00717A7B" w:rsidRPr="00BD22FE">
        <w:rPr>
          <w:sz w:val="22"/>
          <w:szCs w:val="22"/>
          <w:lang w:val="pl-PL"/>
        </w:rPr>
        <w:t> </w:t>
      </w:r>
      <w:r w:rsidRPr="00BD22FE">
        <w:rPr>
          <w:sz w:val="22"/>
          <w:szCs w:val="22"/>
          <w:lang w:val="pl-PL"/>
        </w:rPr>
        <w:t>poprzez izolowanie zwierząt w</w:t>
      </w:r>
      <w:r w:rsidR="00717A7B" w:rsidRPr="00BD22FE">
        <w:rPr>
          <w:sz w:val="22"/>
          <w:szCs w:val="22"/>
          <w:lang w:val="pl-PL"/>
        </w:rPr>
        <w:t> </w:t>
      </w:r>
      <w:r w:rsidRPr="00BD22FE">
        <w:rPr>
          <w:sz w:val="22"/>
          <w:szCs w:val="22"/>
          <w:lang w:val="pl-PL"/>
        </w:rPr>
        <w:t>grupach. U psów zaobserwowano rozszerzenie i</w:t>
      </w:r>
      <w:r w:rsidR="00717A7B" w:rsidRPr="00BD22FE">
        <w:rPr>
          <w:sz w:val="22"/>
          <w:szCs w:val="22"/>
          <w:lang w:val="pl-PL"/>
        </w:rPr>
        <w:t> </w:t>
      </w:r>
      <w:r w:rsidRPr="00BD22FE">
        <w:rPr>
          <w:sz w:val="22"/>
          <w:szCs w:val="22"/>
          <w:lang w:val="pl-PL"/>
        </w:rPr>
        <w:t>zanik kanalików nerkowych. Uważa się, że działanie to jest związane z</w:t>
      </w:r>
      <w:r w:rsidR="00717A7B" w:rsidRPr="00BD22FE">
        <w:rPr>
          <w:sz w:val="22"/>
          <w:szCs w:val="22"/>
          <w:lang w:val="pl-PL"/>
        </w:rPr>
        <w:t> </w:t>
      </w:r>
      <w:r w:rsidRPr="00BD22FE">
        <w:rPr>
          <w:sz w:val="22"/>
          <w:szCs w:val="22"/>
          <w:lang w:val="pl-PL"/>
        </w:rPr>
        <w:t>aktywnością farmakologiczną telmisartanu.</w:t>
      </w:r>
    </w:p>
    <w:p w14:paraId="29125F27" w14:textId="77777777" w:rsidR="008A4974" w:rsidRPr="00BD22FE" w:rsidRDefault="008A4974" w:rsidP="00A610E1">
      <w:pPr>
        <w:pStyle w:val="BodyText"/>
        <w:spacing w:line="240" w:lineRule="auto"/>
        <w:jc w:val="left"/>
        <w:rPr>
          <w:sz w:val="22"/>
          <w:szCs w:val="22"/>
          <w:lang w:val="pl-PL"/>
        </w:rPr>
      </w:pPr>
    </w:p>
    <w:p w14:paraId="2A5FD096" w14:textId="70BD4BD0" w:rsidR="000016E2" w:rsidRPr="00BD22FE" w:rsidRDefault="00104CA8" w:rsidP="00A610E1">
      <w:pPr>
        <w:pStyle w:val="BodyText"/>
        <w:spacing w:line="240" w:lineRule="auto"/>
        <w:jc w:val="left"/>
        <w:rPr>
          <w:sz w:val="22"/>
          <w:szCs w:val="22"/>
          <w:lang w:val="pl-PL"/>
        </w:rPr>
      </w:pPr>
      <w:r w:rsidRPr="00BD22FE">
        <w:rPr>
          <w:sz w:val="22"/>
          <w:szCs w:val="22"/>
          <w:lang w:val="pl-PL"/>
        </w:rPr>
        <w:t>Nie zaobserwowano wpływu telmisartanu na płodność u kobiet lub mężczyzn.</w:t>
      </w:r>
    </w:p>
    <w:p w14:paraId="38D1D98B" w14:textId="77777777" w:rsidR="000016E2" w:rsidRPr="00BD22FE" w:rsidRDefault="000016E2" w:rsidP="00A610E1">
      <w:pPr>
        <w:pStyle w:val="BodyText"/>
        <w:spacing w:line="240" w:lineRule="auto"/>
        <w:jc w:val="left"/>
        <w:rPr>
          <w:sz w:val="22"/>
          <w:szCs w:val="22"/>
          <w:lang w:val="pl-PL"/>
        </w:rPr>
      </w:pPr>
    </w:p>
    <w:p w14:paraId="6593752C" w14:textId="41FB8528" w:rsidR="000016E2" w:rsidRPr="00BD22FE" w:rsidRDefault="00104CA8" w:rsidP="00A610E1">
      <w:pPr>
        <w:rPr>
          <w:sz w:val="22"/>
          <w:szCs w:val="22"/>
          <w:lang w:val="pl-PL"/>
        </w:rPr>
      </w:pPr>
      <w:r w:rsidRPr="00BD22FE">
        <w:rPr>
          <w:sz w:val="22"/>
          <w:szCs w:val="22"/>
          <w:lang w:val="pl-PL"/>
        </w:rPr>
        <w:t>Nie zaobserwowano jednoznacznych dowodów na działanie</w:t>
      </w:r>
      <w:r w:rsidR="00F379E9" w:rsidRPr="00BD22FE">
        <w:rPr>
          <w:sz w:val="22"/>
          <w:szCs w:val="22"/>
          <w:lang w:val="pl-PL"/>
        </w:rPr>
        <w:t xml:space="preserve"> teratogenne</w:t>
      </w:r>
      <w:r w:rsidRPr="00BD22FE">
        <w:rPr>
          <w:sz w:val="22"/>
          <w:szCs w:val="22"/>
          <w:lang w:val="pl-PL"/>
        </w:rPr>
        <w:t>, jednak po zastosowaniu toksycznych dawek telmisartanu obserwowano wpływ na rozwój noworodka, np.</w:t>
      </w:r>
      <w:r w:rsidR="00DA64C3" w:rsidRPr="00BD22FE">
        <w:rPr>
          <w:sz w:val="22"/>
          <w:szCs w:val="22"/>
          <w:lang w:val="pl-PL"/>
        </w:rPr>
        <w:t xml:space="preserve"> </w:t>
      </w:r>
      <w:r w:rsidRPr="00BD22FE">
        <w:rPr>
          <w:sz w:val="22"/>
          <w:szCs w:val="22"/>
          <w:lang w:val="pl-PL"/>
        </w:rPr>
        <w:t>mniejsza masa ciała lub opóźniony czas otwarcia oczu.</w:t>
      </w:r>
    </w:p>
    <w:p w14:paraId="6503045B" w14:textId="2ECAE697" w:rsidR="000016E2" w:rsidRPr="00BD22FE" w:rsidRDefault="00104CA8" w:rsidP="00A610E1">
      <w:pPr>
        <w:pStyle w:val="BodyText"/>
        <w:spacing w:line="240" w:lineRule="auto"/>
        <w:jc w:val="left"/>
        <w:rPr>
          <w:sz w:val="22"/>
          <w:szCs w:val="22"/>
          <w:lang w:val="pl-PL"/>
        </w:rPr>
      </w:pPr>
      <w:r w:rsidRPr="00BD22FE">
        <w:rPr>
          <w:sz w:val="22"/>
          <w:szCs w:val="22"/>
          <w:lang w:val="pl-PL"/>
        </w:rPr>
        <w:t>W</w:t>
      </w:r>
      <w:r w:rsidR="00717A7B" w:rsidRPr="00BD22FE">
        <w:rPr>
          <w:sz w:val="22"/>
          <w:szCs w:val="22"/>
          <w:lang w:val="pl-PL"/>
        </w:rPr>
        <w:t> </w:t>
      </w:r>
      <w:r w:rsidRPr="00BD22FE">
        <w:rPr>
          <w:sz w:val="22"/>
          <w:szCs w:val="22"/>
          <w:lang w:val="pl-PL"/>
        </w:rPr>
        <w:t xml:space="preserve">badaniach </w:t>
      </w:r>
      <w:r w:rsidRPr="00BD22FE">
        <w:rPr>
          <w:i/>
          <w:iCs/>
          <w:sz w:val="22"/>
          <w:szCs w:val="22"/>
          <w:lang w:val="pl-PL"/>
        </w:rPr>
        <w:t>in</w:t>
      </w:r>
      <w:r w:rsidR="001E0877" w:rsidRPr="00BD22FE">
        <w:rPr>
          <w:i/>
          <w:iCs/>
          <w:sz w:val="22"/>
          <w:szCs w:val="22"/>
          <w:lang w:val="pl-PL"/>
        </w:rPr>
        <w:t> </w:t>
      </w:r>
      <w:r w:rsidRPr="00BD22FE">
        <w:rPr>
          <w:i/>
          <w:iCs/>
          <w:sz w:val="22"/>
          <w:szCs w:val="22"/>
          <w:lang w:val="pl-PL"/>
        </w:rPr>
        <w:t>vitro</w:t>
      </w:r>
      <w:r w:rsidRPr="00BD22FE">
        <w:rPr>
          <w:sz w:val="22"/>
          <w:szCs w:val="22"/>
          <w:lang w:val="pl-PL"/>
        </w:rPr>
        <w:t xml:space="preserve"> nie </w:t>
      </w:r>
      <w:r w:rsidR="00EF595B" w:rsidRPr="00BD22FE">
        <w:rPr>
          <w:sz w:val="22"/>
          <w:szCs w:val="22"/>
          <w:lang w:val="pl-PL"/>
        </w:rPr>
        <w:t xml:space="preserve">stwierdzono </w:t>
      </w:r>
      <w:r w:rsidRPr="00BD22FE">
        <w:rPr>
          <w:sz w:val="22"/>
          <w:szCs w:val="22"/>
          <w:lang w:val="pl-PL"/>
        </w:rPr>
        <w:t xml:space="preserve">działania mutagennego telmisartanu </w:t>
      </w:r>
      <w:r w:rsidR="00EF595B" w:rsidRPr="00BD22FE">
        <w:rPr>
          <w:sz w:val="22"/>
          <w:szCs w:val="22"/>
          <w:lang w:val="pl-PL"/>
        </w:rPr>
        <w:t>oraz znaczącego efektu</w:t>
      </w:r>
      <w:r w:rsidRPr="00BD22FE">
        <w:rPr>
          <w:sz w:val="22"/>
          <w:szCs w:val="22"/>
          <w:lang w:val="pl-PL"/>
        </w:rPr>
        <w:t xml:space="preserve"> klastogennego</w:t>
      </w:r>
      <w:r w:rsidR="00283818" w:rsidRPr="00BD22FE">
        <w:rPr>
          <w:sz w:val="22"/>
          <w:szCs w:val="22"/>
          <w:lang w:val="pl-PL"/>
        </w:rPr>
        <w:t xml:space="preserve">. W badaniach na myszach i szczurach </w:t>
      </w:r>
      <w:r w:rsidR="00EF595B" w:rsidRPr="00BD22FE">
        <w:rPr>
          <w:sz w:val="22"/>
          <w:szCs w:val="22"/>
          <w:lang w:val="pl-PL"/>
        </w:rPr>
        <w:t>nie stwierdzono</w:t>
      </w:r>
      <w:r w:rsidRPr="00BD22FE">
        <w:rPr>
          <w:sz w:val="22"/>
          <w:szCs w:val="22"/>
          <w:lang w:val="pl-PL"/>
        </w:rPr>
        <w:t xml:space="preserve"> działani</w:t>
      </w:r>
      <w:r w:rsidR="00EF595B" w:rsidRPr="00BD22FE">
        <w:rPr>
          <w:sz w:val="22"/>
          <w:szCs w:val="22"/>
          <w:lang w:val="pl-PL"/>
        </w:rPr>
        <w:t>a</w:t>
      </w:r>
      <w:r w:rsidRPr="00BD22FE">
        <w:rPr>
          <w:sz w:val="22"/>
          <w:szCs w:val="22"/>
          <w:lang w:val="pl-PL"/>
        </w:rPr>
        <w:t xml:space="preserve"> rakotwórcze</w:t>
      </w:r>
      <w:r w:rsidR="00EF595B" w:rsidRPr="00BD22FE">
        <w:rPr>
          <w:sz w:val="22"/>
          <w:szCs w:val="22"/>
          <w:lang w:val="pl-PL"/>
        </w:rPr>
        <w:t>go</w:t>
      </w:r>
      <w:r w:rsidRPr="00BD22FE">
        <w:rPr>
          <w:sz w:val="22"/>
          <w:szCs w:val="22"/>
          <w:lang w:val="pl-PL"/>
        </w:rPr>
        <w:t>. Badania z HCTZ w</w:t>
      </w:r>
      <w:r w:rsidR="00717A7B" w:rsidRPr="00BD22FE">
        <w:rPr>
          <w:sz w:val="22"/>
          <w:szCs w:val="22"/>
          <w:lang w:val="pl-PL"/>
        </w:rPr>
        <w:t> </w:t>
      </w:r>
      <w:r w:rsidRPr="00BD22FE">
        <w:rPr>
          <w:sz w:val="22"/>
          <w:szCs w:val="22"/>
          <w:lang w:val="pl-PL"/>
        </w:rPr>
        <w:t>niektórych modelach doświadczalnych wykazały niejednoznacznie działanie genotoksyczne lub rakotwórcze.</w:t>
      </w:r>
    </w:p>
    <w:p w14:paraId="3FCAFC10" w14:textId="5BB35EAC" w:rsidR="000016E2" w:rsidRPr="00BD22FE" w:rsidRDefault="00104CA8" w:rsidP="00A610E1">
      <w:pPr>
        <w:pStyle w:val="BodyText"/>
        <w:spacing w:line="240" w:lineRule="auto"/>
        <w:jc w:val="left"/>
        <w:rPr>
          <w:sz w:val="22"/>
          <w:szCs w:val="22"/>
          <w:lang w:val="pl-PL"/>
        </w:rPr>
      </w:pPr>
      <w:r w:rsidRPr="00BD22FE">
        <w:rPr>
          <w:sz w:val="22"/>
          <w:szCs w:val="22"/>
          <w:lang w:val="pl-PL"/>
        </w:rPr>
        <w:t>W</w:t>
      </w:r>
      <w:r w:rsidR="00717A7B" w:rsidRPr="00BD22FE">
        <w:rPr>
          <w:sz w:val="22"/>
          <w:szCs w:val="22"/>
          <w:lang w:val="pl-PL"/>
        </w:rPr>
        <w:t> </w:t>
      </w:r>
      <w:r w:rsidRPr="00BD22FE">
        <w:rPr>
          <w:sz w:val="22"/>
          <w:szCs w:val="22"/>
          <w:lang w:val="pl-PL"/>
        </w:rPr>
        <w:t>celu uzyskania informacji o</w:t>
      </w:r>
      <w:r w:rsidR="00717A7B" w:rsidRPr="00BD22FE">
        <w:rPr>
          <w:sz w:val="22"/>
          <w:szCs w:val="22"/>
          <w:lang w:val="pl-PL"/>
        </w:rPr>
        <w:t> </w:t>
      </w:r>
      <w:r w:rsidRPr="00BD22FE">
        <w:rPr>
          <w:sz w:val="22"/>
          <w:szCs w:val="22"/>
          <w:lang w:val="pl-PL"/>
        </w:rPr>
        <w:t>fetotoksyczności produktu złożonego zawierającego telmisartan i hydrochlorotiazyd patrz punkt 4.6.</w:t>
      </w:r>
    </w:p>
    <w:p w14:paraId="6934C5F4" w14:textId="77777777" w:rsidR="000016E2" w:rsidRPr="00BD22FE" w:rsidRDefault="000016E2" w:rsidP="00A610E1">
      <w:pPr>
        <w:pStyle w:val="BodyText"/>
        <w:spacing w:line="240" w:lineRule="auto"/>
        <w:jc w:val="left"/>
        <w:rPr>
          <w:sz w:val="22"/>
          <w:szCs w:val="22"/>
          <w:lang w:val="pl-PL"/>
        </w:rPr>
      </w:pPr>
    </w:p>
    <w:p w14:paraId="289B212C" w14:textId="77777777" w:rsidR="000016E2" w:rsidRPr="00BD22FE" w:rsidRDefault="000016E2" w:rsidP="00A610E1">
      <w:pPr>
        <w:pStyle w:val="BodyText"/>
        <w:spacing w:line="240" w:lineRule="auto"/>
        <w:jc w:val="left"/>
        <w:rPr>
          <w:sz w:val="22"/>
          <w:szCs w:val="22"/>
          <w:lang w:val="pl-PL"/>
        </w:rPr>
      </w:pPr>
    </w:p>
    <w:p w14:paraId="62544E4E" w14:textId="77777777" w:rsidR="000016E2" w:rsidRPr="00BD22FE" w:rsidRDefault="00104CA8" w:rsidP="00A610E1">
      <w:pPr>
        <w:pStyle w:val="BodyText"/>
        <w:keepNext/>
        <w:spacing w:line="240" w:lineRule="auto"/>
        <w:ind w:left="567" w:hanging="567"/>
        <w:jc w:val="left"/>
        <w:rPr>
          <w:b/>
          <w:sz w:val="22"/>
          <w:szCs w:val="22"/>
          <w:lang w:val="pl-PL"/>
        </w:rPr>
      </w:pPr>
      <w:r w:rsidRPr="00BD22FE">
        <w:rPr>
          <w:b/>
          <w:sz w:val="22"/>
          <w:szCs w:val="22"/>
          <w:lang w:val="pl-PL"/>
        </w:rPr>
        <w:t>6.</w:t>
      </w:r>
      <w:r w:rsidRPr="00BD22FE">
        <w:rPr>
          <w:b/>
          <w:sz w:val="22"/>
          <w:szCs w:val="22"/>
          <w:lang w:val="pl-PL"/>
        </w:rPr>
        <w:tab/>
        <w:t>DANE FARMACEUTYCZNE</w:t>
      </w:r>
    </w:p>
    <w:p w14:paraId="574CDE73" w14:textId="77777777" w:rsidR="000016E2" w:rsidRPr="00BD22FE" w:rsidRDefault="000016E2" w:rsidP="00A610E1">
      <w:pPr>
        <w:pStyle w:val="BodyText"/>
        <w:keepNext/>
        <w:spacing w:line="240" w:lineRule="auto"/>
        <w:jc w:val="left"/>
        <w:rPr>
          <w:sz w:val="22"/>
          <w:szCs w:val="22"/>
          <w:lang w:val="pl-PL"/>
        </w:rPr>
      </w:pPr>
    </w:p>
    <w:p w14:paraId="3AFED2FF" w14:textId="6069CA70" w:rsidR="000016E2" w:rsidRPr="00BD22FE" w:rsidRDefault="00104CA8" w:rsidP="00A610E1">
      <w:pPr>
        <w:pStyle w:val="BodyText"/>
        <w:keepNext/>
        <w:spacing w:line="240" w:lineRule="auto"/>
        <w:ind w:left="567" w:hanging="567"/>
        <w:jc w:val="left"/>
        <w:rPr>
          <w:b/>
          <w:sz w:val="22"/>
          <w:szCs w:val="22"/>
          <w:lang w:val="pl-PL"/>
        </w:rPr>
      </w:pPr>
      <w:r w:rsidRPr="00BD22FE">
        <w:rPr>
          <w:b/>
          <w:sz w:val="22"/>
          <w:szCs w:val="22"/>
          <w:lang w:val="pl-PL"/>
        </w:rPr>
        <w:t>6.1</w:t>
      </w:r>
      <w:r w:rsidRPr="00BD22FE">
        <w:rPr>
          <w:b/>
          <w:sz w:val="22"/>
          <w:szCs w:val="22"/>
          <w:lang w:val="pl-PL"/>
        </w:rPr>
        <w:tab/>
        <w:t>Wykaz substancji pomocniczych</w:t>
      </w:r>
    </w:p>
    <w:p w14:paraId="61475C80" w14:textId="77777777" w:rsidR="0043737C" w:rsidRPr="00BD22FE" w:rsidRDefault="0043737C" w:rsidP="00A610E1">
      <w:pPr>
        <w:pStyle w:val="BodyText"/>
        <w:keepNext/>
        <w:spacing w:line="240" w:lineRule="auto"/>
        <w:jc w:val="left"/>
        <w:rPr>
          <w:sz w:val="22"/>
          <w:szCs w:val="22"/>
          <w:lang w:val="pl-PL"/>
        </w:rPr>
      </w:pPr>
    </w:p>
    <w:p w14:paraId="5CF145B8" w14:textId="55881981" w:rsidR="000016E2" w:rsidRPr="00BD22FE" w:rsidRDefault="00104CA8" w:rsidP="00A610E1">
      <w:pPr>
        <w:pStyle w:val="BodyText"/>
        <w:spacing w:line="240" w:lineRule="auto"/>
        <w:jc w:val="left"/>
        <w:rPr>
          <w:sz w:val="22"/>
          <w:szCs w:val="22"/>
          <w:lang w:val="pl-PL"/>
        </w:rPr>
      </w:pPr>
      <w:r w:rsidRPr="00BD22FE">
        <w:rPr>
          <w:sz w:val="22"/>
          <w:szCs w:val="22"/>
          <w:lang w:val="pl-PL"/>
        </w:rPr>
        <w:t>Laktoza jednowodna</w:t>
      </w:r>
    </w:p>
    <w:p w14:paraId="2F0C8FD1" w14:textId="77777777" w:rsidR="000016E2" w:rsidRPr="00BD22FE" w:rsidRDefault="00104CA8" w:rsidP="00A610E1">
      <w:pPr>
        <w:pStyle w:val="BodyText"/>
        <w:spacing w:line="240" w:lineRule="auto"/>
        <w:jc w:val="left"/>
        <w:rPr>
          <w:sz w:val="22"/>
          <w:szCs w:val="22"/>
          <w:lang w:val="pl-PL"/>
        </w:rPr>
      </w:pPr>
      <w:r w:rsidRPr="00BD22FE">
        <w:rPr>
          <w:sz w:val="22"/>
          <w:szCs w:val="22"/>
          <w:lang w:val="pl-PL"/>
        </w:rPr>
        <w:t>Magnezu stearynian</w:t>
      </w:r>
    </w:p>
    <w:p w14:paraId="1DF65198" w14:textId="77777777" w:rsidR="003A7E3D" w:rsidRPr="00BD22FE" w:rsidRDefault="00104CA8" w:rsidP="00A610E1">
      <w:pPr>
        <w:pStyle w:val="BodyText"/>
        <w:spacing w:line="240" w:lineRule="auto"/>
        <w:jc w:val="left"/>
        <w:rPr>
          <w:sz w:val="22"/>
          <w:szCs w:val="22"/>
          <w:lang w:val="pl-PL"/>
        </w:rPr>
      </w:pPr>
      <w:r w:rsidRPr="00BD22FE">
        <w:rPr>
          <w:sz w:val="22"/>
          <w:szCs w:val="22"/>
          <w:lang w:val="pl-PL"/>
        </w:rPr>
        <w:t>Skrobia kukurydziana</w:t>
      </w:r>
    </w:p>
    <w:p w14:paraId="09D24F6B" w14:textId="77777777" w:rsidR="003A7E3D" w:rsidRPr="00BD22FE" w:rsidRDefault="00104CA8" w:rsidP="00A610E1">
      <w:pPr>
        <w:pStyle w:val="BodyText"/>
        <w:spacing w:line="240" w:lineRule="auto"/>
        <w:jc w:val="left"/>
        <w:rPr>
          <w:sz w:val="22"/>
          <w:szCs w:val="22"/>
          <w:lang w:val="pl-PL"/>
        </w:rPr>
      </w:pPr>
      <w:r w:rsidRPr="00BD22FE">
        <w:rPr>
          <w:sz w:val="22"/>
          <w:szCs w:val="22"/>
          <w:lang w:val="pl-PL"/>
        </w:rPr>
        <w:t>Meglumina</w:t>
      </w:r>
    </w:p>
    <w:p w14:paraId="241C188C" w14:textId="77777777" w:rsidR="003A7E3D" w:rsidRPr="00BD22FE" w:rsidRDefault="00104CA8" w:rsidP="00A610E1">
      <w:pPr>
        <w:pStyle w:val="BodyText"/>
        <w:spacing w:line="240" w:lineRule="auto"/>
        <w:jc w:val="left"/>
        <w:rPr>
          <w:sz w:val="22"/>
          <w:szCs w:val="22"/>
          <w:lang w:val="pl-PL"/>
        </w:rPr>
      </w:pPr>
      <w:r w:rsidRPr="00BD22FE">
        <w:rPr>
          <w:sz w:val="22"/>
          <w:szCs w:val="22"/>
          <w:lang w:val="pl-PL"/>
        </w:rPr>
        <w:t>Celuloza mikrokrystaliczna</w:t>
      </w:r>
    </w:p>
    <w:p w14:paraId="4983EB04" w14:textId="643D70C5" w:rsidR="000016E2" w:rsidRPr="00BD22FE" w:rsidRDefault="00104CA8" w:rsidP="00A610E1">
      <w:pPr>
        <w:pStyle w:val="BodyText"/>
        <w:spacing w:line="240" w:lineRule="auto"/>
        <w:jc w:val="left"/>
        <w:rPr>
          <w:sz w:val="22"/>
          <w:szCs w:val="22"/>
          <w:lang w:val="pl-PL"/>
        </w:rPr>
      </w:pPr>
      <w:r w:rsidRPr="00BD22FE">
        <w:rPr>
          <w:sz w:val="22"/>
          <w:szCs w:val="22"/>
          <w:lang w:val="pl-PL"/>
        </w:rPr>
        <w:t>Powidon (K25)</w:t>
      </w:r>
    </w:p>
    <w:p w14:paraId="64DBD330" w14:textId="77777777" w:rsidR="000016E2" w:rsidRPr="00BD22FE" w:rsidRDefault="00104CA8" w:rsidP="00A610E1">
      <w:pPr>
        <w:pStyle w:val="BodyText"/>
        <w:spacing w:line="240" w:lineRule="auto"/>
        <w:jc w:val="left"/>
        <w:rPr>
          <w:sz w:val="22"/>
          <w:szCs w:val="22"/>
          <w:lang w:val="pl-PL"/>
        </w:rPr>
      </w:pPr>
      <w:r w:rsidRPr="00BD22FE">
        <w:rPr>
          <w:sz w:val="22"/>
          <w:szCs w:val="22"/>
          <w:lang w:val="pl-PL"/>
        </w:rPr>
        <w:t>Żelaza tlenek czerwony (E172)</w:t>
      </w:r>
    </w:p>
    <w:p w14:paraId="6041D75D" w14:textId="77777777" w:rsidR="000016E2" w:rsidRPr="00BD22FE" w:rsidRDefault="00104CA8" w:rsidP="00A610E1">
      <w:pPr>
        <w:pStyle w:val="BodyText"/>
        <w:spacing w:line="240" w:lineRule="auto"/>
        <w:jc w:val="left"/>
        <w:rPr>
          <w:sz w:val="22"/>
          <w:szCs w:val="22"/>
          <w:lang w:val="pl-PL"/>
        </w:rPr>
      </w:pPr>
      <w:r w:rsidRPr="00BD22FE">
        <w:rPr>
          <w:sz w:val="22"/>
          <w:szCs w:val="22"/>
          <w:lang w:val="pl-PL"/>
        </w:rPr>
        <w:t>Sodu wodorotlenek</w:t>
      </w:r>
    </w:p>
    <w:p w14:paraId="58EFFF73" w14:textId="77777777" w:rsidR="000016E2" w:rsidRPr="00BD22FE" w:rsidRDefault="00104CA8" w:rsidP="00A610E1">
      <w:pPr>
        <w:pStyle w:val="BodyText"/>
        <w:spacing w:line="240" w:lineRule="auto"/>
        <w:jc w:val="left"/>
        <w:rPr>
          <w:sz w:val="22"/>
          <w:szCs w:val="22"/>
          <w:lang w:val="pl-PL"/>
        </w:rPr>
      </w:pPr>
      <w:r w:rsidRPr="00BD22FE">
        <w:rPr>
          <w:sz w:val="22"/>
          <w:szCs w:val="22"/>
          <w:lang w:val="pl-PL"/>
        </w:rPr>
        <w:t>Karboksymetyloskrobia sodowa (typ A)</w:t>
      </w:r>
    </w:p>
    <w:p w14:paraId="0A27B180" w14:textId="77777777" w:rsidR="000016E2" w:rsidRPr="00BD22FE" w:rsidRDefault="00104CA8" w:rsidP="00A610E1">
      <w:pPr>
        <w:pStyle w:val="BodyText"/>
        <w:spacing w:line="240" w:lineRule="auto"/>
        <w:jc w:val="left"/>
        <w:rPr>
          <w:sz w:val="22"/>
          <w:szCs w:val="22"/>
          <w:lang w:val="pl-PL"/>
        </w:rPr>
      </w:pPr>
      <w:r w:rsidRPr="00BD22FE">
        <w:rPr>
          <w:sz w:val="22"/>
          <w:szCs w:val="22"/>
          <w:lang w:val="pl-PL"/>
        </w:rPr>
        <w:t>Sorbitol (E420)</w:t>
      </w:r>
    </w:p>
    <w:p w14:paraId="2FD1435C" w14:textId="77777777" w:rsidR="000016E2" w:rsidRPr="00BD22FE" w:rsidRDefault="000016E2" w:rsidP="00A610E1">
      <w:pPr>
        <w:pStyle w:val="BodyText"/>
        <w:spacing w:line="240" w:lineRule="auto"/>
        <w:jc w:val="left"/>
        <w:rPr>
          <w:sz w:val="22"/>
          <w:szCs w:val="22"/>
          <w:lang w:val="pl-PL"/>
        </w:rPr>
      </w:pPr>
    </w:p>
    <w:p w14:paraId="0A11DB52" w14:textId="77777777" w:rsidR="000016E2" w:rsidRPr="00BD22FE" w:rsidRDefault="00104CA8" w:rsidP="00A610E1">
      <w:pPr>
        <w:pStyle w:val="BodyText"/>
        <w:keepNext/>
        <w:spacing w:line="240" w:lineRule="auto"/>
        <w:ind w:left="567" w:hanging="567"/>
        <w:jc w:val="left"/>
        <w:rPr>
          <w:b/>
          <w:sz w:val="22"/>
          <w:szCs w:val="22"/>
          <w:lang w:val="pl-PL"/>
        </w:rPr>
      </w:pPr>
      <w:r w:rsidRPr="00BD22FE">
        <w:rPr>
          <w:b/>
          <w:sz w:val="22"/>
          <w:szCs w:val="22"/>
          <w:lang w:val="pl-PL"/>
        </w:rPr>
        <w:t>6.2</w:t>
      </w:r>
      <w:r w:rsidRPr="00BD22FE">
        <w:rPr>
          <w:b/>
          <w:sz w:val="22"/>
          <w:szCs w:val="22"/>
          <w:lang w:val="pl-PL"/>
        </w:rPr>
        <w:tab/>
        <w:t>Niezgodności farmaceutyczne</w:t>
      </w:r>
    </w:p>
    <w:p w14:paraId="6A17836C" w14:textId="77777777" w:rsidR="000016E2" w:rsidRPr="00BD22FE" w:rsidRDefault="000016E2" w:rsidP="00A610E1">
      <w:pPr>
        <w:pStyle w:val="BodyText"/>
        <w:keepNext/>
        <w:spacing w:line="240" w:lineRule="auto"/>
        <w:jc w:val="left"/>
        <w:rPr>
          <w:sz w:val="22"/>
          <w:szCs w:val="22"/>
          <w:lang w:val="pl-PL"/>
        </w:rPr>
      </w:pPr>
    </w:p>
    <w:p w14:paraId="2319ADA3" w14:textId="77777777" w:rsidR="000016E2" w:rsidRPr="00BD22FE" w:rsidRDefault="00104CA8" w:rsidP="00A610E1">
      <w:pPr>
        <w:pStyle w:val="BodyText"/>
        <w:spacing w:line="240" w:lineRule="auto"/>
        <w:jc w:val="left"/>
        <w:rPr>
          <w:sz w:val="22"/>
          <w:szCs w:val="22"/>
          <w:lang w:val="pl-PL"/>
        </w:rPr>
      </w:pPr>
      <w:r w:rsidRPr="00BD22FE">
        <w:rPr>
          <w:sz w:val="22"/>
          <w:szCs w:val="22"/>
          <w:lang w:val="pl-PL"/>
        </w:rPr>
        <w:t>Nie dotyczy.</w:t>
      </w:r>
    </w:p>
    <w:p w14:paraId="2B27132B" w14:textId="77777777" w:rsidR="000016E2" w:rsidRPr="00BD22FE" w:rsidRDefault="000016E2" w:rsidP="00A610E1">
      <w:pPr>
        <w:pStyle w:val="BodyText"/>
        <w:spacing w:line="240" w:lineRule="auto"/>
        <w:jc w:val="left"/>
        <w:rPr>
          <w:sz w:val="22"/>
          <w:szCs w:val="22"/>
          <w:lang w:val="pl-PL"/>
        </w:rPr>
      </w:pPr>
    </w:p>
    <w:p w14:paraId="15172101" w14:textId="701B8302" w:rsidR="000016E2" w:rsidRPr="00BD22FE" w:rsidRDefault="00104CA8" w:rsidP="00A610E1">
      <w:pPr>
        <w:pStyle w:val="BodyText"/>
        <w:keepNext/>
        <w:spacing w:line="240" w:lineRule="auto"/>
        <w:ind w:left="567" w:hanging="567"/>
        <w:jc w:val="left"/>
        <w:rPr>
          <w:b/>
          <w:sz w:val="22"/>
          <w:szCs w:val="22"/>
          <w:lang w:val="pl-PL"/>
        </w:rPr>
      </w:pPr>
      <w:r w:rsidRPr="00BD22FE">
        <w:rPr>
          <w:b/>
          <w:sz w:val="22"/>
          <w:szCs w:val="22"/>
          <w:lang w:val="pl-PL"/>
        </w:rPr>
        <w:t>6.3</w:t>
      </w:r>
      <w:r w:rsidRPr="00BD22FE">
        <w:rPr>
          <w:b/>
          <w:sz w:val="22"/>
          <w:szCs w:val="22"/>
          <w:lang w:val="pl-PL"/>
        </w:rPr>
        <w:tab/>
        <w:t>Okres ważności</w:t>
      </w:r>
    </w:p>
    <w:p w14:paraId="7A3677DC" w14:textId="77777777" w:rsidR="0043737C" w:rsidRPr="00BD22FE" w:rsidRDefault="0043737C" w:rsidP="00A610E1">
      <w:pPr>
        <w:pStyle w:val="BodyText"/>
        <w:keepNext/>
        <w:spacing w:line="240" w:lineRule="auto"/>
        <w:jc w:val="left"/>
        <w:rPr>
          <w:sz w:val="22"/>
          <w:szCs w:val="22"/>
          <w:lang w:val="pl-PL"/>
        </w:rPr>
      </w:pPr>
    </w:p>
    <w:p w14:paraId="3359E8AC" w14:textId="6A7DE13B" w:rsidR="000016E2" w:rsidRPr="00BD22FE" w:rsidRDefault="00104CA8" w:rsidP="00A610E1">
      <w:pPr>
        <w:pStyle w:val="BodyText"/>
        <w:spacing w:line="240" w:lineRule="auto"/>
        <w:jc w:val="left"/>
        <w:rPr>
          <w:sz w:val="22"/>
          <w:szCs w:val="22"/>
          <w:lang w:val="pl-PL"/>
        </w:rPr>
      </w:pPr>
      <w:r w:rsidRPr="00BD22FE">
        <w:rPr>
          <w:sz w:val="22"/>
          <w:szCs w:val="22"/>
          <w:lang w:val="pl-PL"/>
        </w:rPr>
        <w:t>3 lata</w:t>
      </w:r>
    </w:p>
    <w:p w14:paraId="1B3FE900" w14:textId="77777777" w:rsidR="000016E2" w:rsidRPr="00BD22FE" w:rsidRDefault="000016E2" w:rsidP="00A610E1">
      <w:pPr>
        <w:pStyle w:val="BodyText"/>
        <w:spacing w:line="240" w:lineRule="auto"/>
        <w:jc w:val="left"/>
        <w:rPr>
          <w:sz w:val="22"/>
          <w:szCs w:val="22"/>
          <w:lang w:val="pl-PL"/>
        </w:rPr>
      </w:pPr>
    </w:p>
    <w:p w14:paraId="7DDA68A8" w14:textId="6E09883D" w:rsidR="000016E2" w:rsidRPr="00BD22FE" w:rsidRDefault="00104CA8" w:rsidP="00A610E1">
      <w:pPr>
        <w:pStyle w:val="BodyText"/>
        <w:keepNext/>
        <w:spacing w:line="240" w:lineRule="auto"/>
        <w:ind w:left="567" w:hanging="567"/>
        <w:jc w:val="left"/>
        <w:rPr>
          <w:b/>
          <w:sz w:val="22"/>
          <w:szCs w:val="22"/>
          <w:lang w:val="pl-PL"/>
        </w:rPr>
      </w:pPr>
      <w:r w:rsidRPr="00BD22FE">
        <w:rPr>
          <w:b/>
          <w:sz w:val="22"/>
          <w:szCs w:val="22"/>
          <w:lang w:val="pl-PL"/>
        </w:rPr>
        <w:t>6.4</w:t>
      </w:r>
      <w:r w:rsidRPr="00BD22FE">
        <w:rPr>
          <w:b/>
          <w:sz w:val="22"/>
          <w:szCs w:val="22"/>
          <w:lang w:val="pl-PL"/>
        </w:rPr>
        <w:tab/>
        <w:t>Specjalne środki ostrożności podczas przechowywania</w:t>
      </w:r>
    </w:p>
    <w:p w14:paraId="1E11CF32" w14:textId="77777777" w:rsidR="0043737C" w:rsidRPr="00BD22FE" w:rsidRDefault="0043737C" w:rsidP="00A610E1">
      <w:pPr>
        <w:pStyle w:val="BodyText"/>
        <w:keepNext/>
        <w:spacing w:line="240" w:lineRule="auto"/>
        <w:jc w:val="left"/>
        <w:rPr>
          <w:sz w:val="22"/>
          <w:szCs w:val="22"/>
          <w:lang w:val="pl-PL"/>
        </w:rPr>
      </w:pPr>
    </w:p>
    <w:p w14:paraId="3EEDF60F" w14:textId="2F6D6735" w:rsidR="000016E2" w:rsidRPr="00BD22FE" w:rsidRDefault="00104CA8" w:rsidP="00A610E1">
      <w:pPr>
        <w:pStyle w:val="BodyText"/>
        <w:spacing w:line="240" w:lineRule="auto"/>
        <w:jc w:val="left"/>
        <w:rPr>
          <w:sz w:val="22"/>
          <w:szCs w:val="22"/>
          <w:lang w:val="pl-PL"/>
        </w:rPr>
      </w:pPr>
      <w:r w:rsidRPr="00BD22FE">
        <w:rPr>
          <w:sz w:val="22"/>
          <w:szCs w:val="22"/>
          <w:lang w:val="pl-PL"/>
        </w:rPr>
        <w:t>Brak specjalnych zaleceń dotyczących temperatury przechowywania produktu leczniczego. Przechowywać w</w:t>
      </w:r>
      <w:r w:rsidR="00717A7B" w:rsidRPr="00BD22FE">
        <w:rPr>
          <w:sz w:val="22"/>
          <w:szCs w:val="22"/>
          <w:lang w:val="pl-PL"/>
        </w:rPr>
        <w:t> </w:t>
      </w:r>
      <w:r w:rsidRPr="00BD22FE">
        <w:rPr>
          <w:sz w:val="22"/>
          <w:szCs w:val="22"/>
          <w:lang w:val="pl-PL"/>
        </w:rPr>
        <w:t>oryginalnym opakowaniu w</w:t>
      </w:r>
      <w:r w:rsidR="00717A7B" w:rsidRPr="00BD22FE">
        <w:rPr>
          <w:sz w:val="22"/>
          <w:szCs w:val="22"/>
          <w:lang w:val="pl-PL"/>
        </w:rPr>
        <w:t> </w:t>
      </w:r>
      <w:r w:rsidRPr="00BD22FE">
        <w:rPr>
          <w:sz w:val="22"/>
          <w:szCs w:val="22"/>
          <w:lang w:val="pl-PL"/>
        </w:rPr>
        <w:t>celu ochrony przed wilgocią.</w:t>
      </w:r>
    </w:p>
    <w:p w14:paraId="4A056F32" w14:textId="77777777" w:rsidR="000016E2" w:rsidRPr="00BD22FE" w:rsidRDefault="000016E2" w:rsidP="00A610E1">
      <w:pPr>
        <w:pStyle w:val="BodyText"/>
        <w:spacing w:line="240" w:lineRule="auto"/>
        <w:jc w:val="left"/>
        <w:rPr>
          <w:sz w:val="22"/>
          <w:szCs w:val="22"/>
          <w:lang w:val="pl-PL"/>
        </w:rPr>
      </w:pPr>
    </w:p>
    <w:p w14:paraId="4D87B185" w14:textId="610A7B66" w:rsidR="000016E2" w:rsidRPr="00BD22FE" w:rsidRDefault="00104CA8" w:rsidP="00A610E1">
      <w:pPr>
        <w:pStyle w:val="BodyText"/>
        <w:keepNext/>
        <w:spacing w:line="240" w:lineRule="auto"/>
        <w:ind w:left="567" w:hanging="567"/>
        <w:jc w:val="left"/>
        <w:rPr>
          <w:b/>
          <w:sz w:val="22"/>
          <w:szCs w:val="22"/>
          <w:lang w:val="pl-PL"/>
        </w:rPr>
      </w:pPr>
      <w:r w:rsidRPr="00BD22FE">
        <w:rPr>
          <w:b/>
          <w:sz w:val="22"/>
          <w:szCs w:val="22"/>
          <w:lang w:val="pl-PL"/>
        </w:rPr>
        <w:t>6.5</w:t>
      </w:r>
      <w:r w:rsidRPr="00BD22FE">
        <w:rPr>
          <w:b/>
          <w:sz w:val="22"/>
          <w:szCs w:val="22"/>
          <w:lang w:val="pl-PL"/>
        </w:rPr>
        <w:tab/>
        <w:t>Rodzaj i</w:t>
      </w:r>
      <w:r w:rsidR="00717A7B" w:rsidRPr="00BD22FE">
        <w:rPr>
          <w:b/>
          <w:sz w:val="22"/>
          <w:szCs w:val="22"/>
          <w:lang w:val="pl-PL"/>
        </w:rPr>
        <w:t> </w:t>
      </w:r>
      <w:r w:rsidRPr="00BD22FE">
        <w:rPr>
          <w:b/>
          <w:sz w:val="22"/>
          <w:szCs w:val="22"/>
          <w:lang w:val="pl-PL"/>
        </w:rPr>
        <w:t>zawartość opakowania</w:t>
      </w:r>
    </w:p>
    <w:p w14:paraId="75DB02DB" w14:textId="77777777" w:rsidR="0043737C" w:rsidRPr="00BD22FE" w:rsidRDefault="0043737C" w:rsidP="00A610E1">
      <w:pPr>
        <w:pStyle w:val="BodyText"/>
        <w:keepNext/>
        <w:spacing w:line="240" w:lineRule="auto"/>
        <w:jc w:val="left"/>
        <w:rPr>
          <w:sz w:val="22"/>
          <w:szCs w:val="22"/>
          <w:lang w:val="pl-PL"/>
        </w:rPr>
      </w:pPr>
    </w:p>
    <w:p w14:paraId="69B22BC8" w14:textId="38FCEDA5" w:rsidR="000016E2" w:rsidRPr="00BD22FE" w:rsidRDefault="00104CA8" w:rsidP="00A610E1">
      <w:pPr>
        <w:pStyle w:val="BodyText"/>
        <w:spacing w:line="240" w:lineRule="auto"/>
        <w:jc w:val="left"/>
        <w:rPr>
          <w:sz w:val="22"/>
          <w:szCs w:val="22"/>
          <w:lang w:val="pl-PL"/>
        </w:rPr>
      </w:pPr>
      <w:r w:rsidRPr="00BD22FE">
        <w:rPr>
          <w:sz w:val="22"/>
          <w:szCs w:val="22"/>
          <w:lang w:val="pl-PL"/>
        </w:rPr>
        <w:t>Blistry Aluminium/</w:t>
      </w:r>
      <w:r w:rsidR="00723A4D" w:rsidRPr="00BD22FE">
        <w:rPr>
          <w:sz w:val="22"/>
          <w:szCs w:val="22"/>
          <w:lang w:val="pl-PL"/>
        </w:rPr>
        <w:t>a</w:t>
      </w:r>
      <w:r w:rsidRPr="00BD22FE">
        <w:rPr>
          <w:sz w:val="22"/>
          <w:szCs w:val="22"/>
          <w:lang w:val="pl-PL"/>
        </w:rPr>
        <w:t>uminium (PA/Al/PVC/Al lub PA/PA/Al/PVC/Al). Jeden blister zawiera 7 lub 10 tabletek.</w:t>
      </w:r>
    </w:p>
    <w:p w14:paraId="73468A25" w14:textId="38BC1D57" w:rsidR="000016E2" w:rsidRPr="00BD22FE" w:rsidRDefault="000016E2" w:rsidP="00A610E1">
      <w:pPr>
        <w:pStyle w:val="BodyText"/>
        <w:spacing w:line="240" w:lineRule="auto"/>
        <w:jc w:val="left"/>
        <w:rPr>
          <w:sz w:val="22"/>
          <w:szCs w:val="22"/>
          <w:lang w:val="pl-PL"/>
        </w:rPr>
      </w:pPr>
    </w:p>
    <w:p w14:paraId="7B62E430" w14:textId="77777777" w:rsidR="003A7E3D" w:rsidRPr="00BD22FE" w:rsidRDefault="00104CA8" w:rsidP="00A610E1">
      <w:pPr>
        <w:pStyle w:val="BodyText"/>
        <w:spacing w:line="240" w:lineRule="auto"/>
        <w:jc w:val="left"/>
        <w:rPr>
          <w:sz w:val="22"/>
          <w:szCs w:val="22"/>
          <w:lang w:val="pl-PL"/>
        </w:rPr>
      </w:pPr>
      <w:r w:rsidRPr="00BD22FE">
        <w:rPr>
          <w:sz w:val="22"/>
          <w:szCs w:val="22"/>
          <w:lang w:val="pl-PL"/>
        </w:rPr>
        <w:t>Wielkości opakowań:</w:t>
      </w:r>
    </w:p>
    <w:p w14:paraId="3B2D82B1" w14:textId="64E68AAC" w:rsidR="000016E2" w:rsidRPr="00BD22FE" w:rsidRDefault="00104CA8" w:rsidP="00A610E1">
      <w:pPr>
        <w:pStyle w:val="BodyText"/>
        <w:numPr>
          <w:ilvl w:val="0"/>
          <w:numId w:val="28"/>
        </w:numPr>
        <w:spacing w:line="240" w:lineRule="auto"/>
        <w:ind w:left="567" w:hanging="567"/>
        <w:jc w:val="left"/>
        <w:rPr>
          <w:sz w:val="22"/>
          <w:szCs w:val="22"/>
          <w:lang w:val="pl-PL"/>
        </w:rPr>
      </w:pPr>
      <w:r w:rsidRPr="00BD22FE">
        <w:rPr>
          <w:sz w:val="22"/>
          <w:szCs w:val="22"/>
          <w:lang w:val="pl-PL"/>
        </w:rPr>
        <w:t>Blistry po 14, 28, 56, 84 lub 98 tabletek lub</w:t>
      </w:r>
    </w:p>
    <w:p w14:paraId="5BFB9DBC" w14:textId="1FD6499D" w:rsidR="000016E2" w:rsidRPr="00BD22FE" w:rsidRDefault="004B35E7" w:rsidP="00A610E1">
      <w:pPr>
        <w:pStyle w:val="BodyText"/>
        <w:numPr>
          <w:ilvl w:val="0"/>
          <w:numId w:val="28"/>
        </w:numPr>
        <w:spacing w:line="240" w:lineRule="auto"/>
        <w:ind w:left="567" w:hanging="567"/>
        <w:jc w:val="left"/>
        <w:rPr>
          <w:sz w:val="22"/>
          <w:szCs w:val="22"/>
          <w:lang w:val="pl-PL"/>
        </w:rPr>
      </w:pPr>
      <w:r w:rsidRPr="00BD22FE">
        <w:rPr>
          <w:sz w:val="22"/>
          <w:szCs w:val="22"/>
          <w:lang w:val="pl-PL"/>
        </w:rPr>
        <w:t>Blistry p</w:t>
      </w:r>
      <w:r w:rsidR="00104CA8" w:rsidRPr="00BD22FE">
        <w:rPr>
          <w:sz w:val="22"/>
          <w:szCs w:val="22"/>
          <w:lang w:val="pl-PL"/>
        </w:rPr>
        <w:t>erforowane podzielne na dawki pojedyncze, zawierające 28 </w:t>
      </w:r>
      <w:r w:rsidR="00F87030" w:rsidRPr="00BD22FE">
        <w:rPr>
          <w:sz w:val="22"/>
          <w:lang w:val="pl-PL"/>
        </w:rPr>
        <w:t>×</w:t>
      </w:r>
      <w:r w:rsidR="00104CA8" w:rsidRPr="00BD22FE">
        <w:rPr>
          <w:sz w:val="22"/>
          <w:szCs w:val="22"/>
          <w:lang w:val="pl-PL"/>
        </w:rPr>
        <w:t> 1, 30 </w:t>
      </w:r>
      <w:r w:rsidR="00F87030" w:rsidRPr="00BD22FE">
        <w:rPr>
          <w:sz w:val="22"/>
          <w:lang w:val="pl-PL"/>
        </w:rPr>
        <w:t>×</w:t>
      </w:r>
      <w:r w:rsidR="00104CA8" w:rsidRPr="00BD22FE">
        <w:rPr>
          <w:sz w:val="22"/>
          <w:szCs w:val="22"/>
          <w:lang w:val="pl-PL"/>
        </w:rPr>
        <w:t> 1 lub 90 </w:t>
      </w:r>
      <w:r w:rsidR="00F87030" w:rsidRPr="00BD22FE">
        <w:rPr>
          <w:sz w:val="22"/>
          <w:lang w:val="pl-PL"/>
        </w:rPr>
        <w:t>×</w:t>
      </w:r>
      <w:r w:rsidR="00104CA8" w:rsidRPr="00BD22FE">
        <w:rPr>
          <w:sz w:val="22"/>
          <w:szCs w:val="22"/>
          <w:lang w:val="pl-PL"/>
        </w:rPr>
        <w:t> 1 tabletka.</w:t>
      </w:r>
    </w:p>
    <w:p w14:paraId="5EDF228A" w14:textId="77777777" w:rsidR="000016E2" w:rsidRPr="00BD22FE" w:rsidRDefault="000016E2" w:rsidP="00A610E1">
      <w:pPr>
        <w:pStyle w:val="BodyText"/>
        <w:spacing w:line="240" w:lineRule="auto"/>
        <w:jc w:val="left"/>
        <w:rPr>
          <w:sz w:val="22"/>
          <w:szCs w:val="22"/>
          <w:lang w:val="pl-PL"/>
        </w:rPr>
      </w:pPr>
    </w:p>
    <w:p w14:paraId="313D01E4" w14:textId="58F7FC43" w:rsidR="000016E2" w:rsidRPr="00BD22FE" w:rsidRDefault="00104CA8" w:rsidP="00A610E1">
      <w:pPr>
        <w:pStyle w:val="BodyText"/>
        <w:spacing w:line="240" w:lineRule="auto"/>
        <w:jc w:val="left"/>
        <w:rPr>
          <w:sz w:val="22"/>
          <w:szCs w:val="22"/>
          <w:lang w:val="pl-PL"/>
        </w:rPr>
      </w:pPr>
      <w:r w:rsidRPr="00BD22FE">
        <w:rPr>
          <w:sz w:val="22"/>
          <w:szCs w:val="22"/>
          <w:lang w:val="pl-PL"/>
        </w:rPr>
        <w:t>Nie wszystkie wielkości opakowań muszą znajdować się w</w:t>
      </w:r>
      <w:r w:rsidR="00717A7B" w:rsidRPr="00BD22FE">
        <w:rPr>
          <w:sz w:val="22"/>
          <w:szCs w:val="22"/>
          <w:lang w:val="pl-PL"/>
        </w:rPr>
        <w:t> </w:t>
      </w:r>
      <w:r w:rsidRPr="00BD22FE">
        <w:rPr>
          <w:sz w:val="22"/>
          <w:szCs w:val="22"/>
          <w:lang w:val="pl-PL"/>
        </w:rPr>
        <w:t>obrocie.</w:t>
      </w:r>
    </w:p>
    <w:p w14:paraId="0C7E680A" w14:textId="77777777" w:rsidR="000016E2" w:rsidRPr="00BD22FE" w:rsidRDefault="000016E2" w:rsidP="00A610E1">
      <w:pPr>
        <w:pStyle w:val="BodyText"/>
        <w:spacing w:line="240" w:lineRule="auto"/>
        <w:jc w:val="left"/>
        <w:rPr>
          <w:sz w:val="22"/>
          <w:szCs w:val="22"/>
          <w:lang w:val="pl-PL"/>
        </w:rPr>
      </w:pPr>
    </w:p>
    <w:p w14:paraId="686A03CC" w14:textId="4CB83DFA" w:rsidR="000016E2" w:rsidRPr="00BD22FE" w:rsidRDefault="00104CA8" w:rsidP="00A610E1">
      <w:pPr>
        <w:keepNext/>
        <w:ind w:left="567" w:hanging="567"/>
        <w:rPr>
          <w:b/>
          <w:sz w:val="22"/>
          <w:szCs w:val="22"/>
          <w:lang w:val="pl-PL"/>
        </w:rPr>
      </w:pPr>
      <w:r w:rsidRPr="00BD22FE">
        <w:rPr>
          <w:b/>
          <w:sz w:val="22"/>
          <w:szCs w:val="22"/>
          <w:lang w:val="pl-PL"/>
        </w:rPr>
        <w:lastRenderedPageBreak/>
        <w:t>6.6</w:t>
      </w:r>
      <w:r w:rsidRPr="00BD22FE">
        <w:rPr>
          <w:b/>
          <w:sz w:val="22"/>
          <w:szCs w:val="22"/>
          <w:lang w:val="pl-PL"/>
        </w:rPr>
        <w:tab/>
        <w:t>Specjalne środki ostrożności dotyczące usuwania i</w:t>
      </w:r>
      <w:r w:rsidR="00717A7B" w:rsidRPr="00BD22FE">
        <w:rPr>
          <w:b/>
          <w:sz w:val="22"/>
          <w:szCs w:val="22"/>
          <w:lang w:val="pl-PL"/>
        </w:rPr>
        <w:t> </w:t>
      </w:r>
      <w:r w:rsidRPr="00BD22FE">
        <w:rPr>
          <w:b/>
          <w:sz w:val="22"/>
          <w:szCs w:val="22"/>
          <w:lang w:val="pl-PL"/>
        </w:rPr>
        <w:t>przygotowania produktu leczniczego do stosowania</w:t>
      </w:r>
    </w:p>
    <w:p w14:paraId="4620A3D8" w14:textId="77777777" w:rsidR="000016E2" w:rsidRPr="00BD22FE" w:rsidRDefault="000016E2" w:rsidP="00A610E1">
      <w:pPr>
        <w:keepNext/>
        <w:rPr>
          <w:sz w:val="22"/>
          <w:szCs w:val="22"/>
          <w:lang w:val="pl-PL"/>
        </w:rPr>
      </w:pPr>
    </w:p>
    <w:p w14:paraId="6F165DC5" w14:textId="7AD2CCB2" w:rsidR="003A7E3D" w:rsidRPr="00BD22FE" w:rsidRDefault="00104CA8" w:rsidP="00A610E1">
      <w:pPr>
        <w:rPr>
          <w:sz w:val="22"/>
          <w:szCs w:val="22"/>
          <w:lang w:val="pl-PL"/>
        </w:rPr>
      </w:pPr>
      <w:r w:rsidRPr="00BD22FE">
        <w:rPr>
          <w:sz w:val="22"/>
          <w:szCs w:val="22"/>
          <w:lang w:val="pl-PL"/>
        </w:rPr>
        <w:t>Produkt leczniczy MicardisPlus należy przechowywać w</w:t>
      </w:r>
      <w:r w:rsidR="00717A7B" w:rsidRPr="00BD22FE">
        <w:rPr>
          <w:sz w:val="22"/>
          <w:szCs w:val="22"/>
          <w:lang w:val="pl-PL"/>
        </w:rPr>
        <w:t> </w:t>
      </w:r>
      <w:r w:rsidRPr="00BD22FE">
        <w:rPr>
          <w:sz w:val="22"/>
          <w:szCs w:val="22"/>
          <w:lang w:val="pl-PL"/>
        </w:rPr>
        <w:t>szczelnym blistrze ze względu na higroskopijne właściwości tabletek. Tabletki należy wyjmować z</w:t>
      </w:r>
      <w:r w:rsidR="00717A7B" w:rsidRPr="00BD22FE">
        <w:rPr>
          <w:sz w:val="22"/>
          <w:szCs w:val="22"/>
          <w:lang w:val="pl-PL"/>
        </w:rPr>
        <w:t> </w:t>
      </w:r>
      <w:r w:rsidRPr="00BD22FE">
        <w:rPr>
          <w:sz w:val="22"/>
          <w:szCs w:val="22"/>
          <w:lang w:val="pl-PL"/>
        </w:rPr>
        <w:t xml:space="preserve">blistra bezpośrednio przed </w:t>
      </w:r>
      <w:r w:rsidR="008E2583" w:rsidRPr="00BD22FE">
        <w:rPr>
          <w:sz w:val="22"/>
          <w:szCs w:val="22"/>
          <w:lang w:val="pl-PL"/>
        </w:rPr>
        <w:t>podaniem</w:t>
      </w:r>
      <w:r w:rsidRPr="00BD22FE">
        <w:rPr>
          <w:sz w:val="22"/>
          <w:szCs w:val="22"/>
          <w:lang w:val="pl-PL"/>
        </w:rPr>
        <w:t>.</w:t>
      </w:r>
    </w:p>
    <w:p w14:paraId="73155AAA" w14:textId="235F3497" w:rsidR="000016E2" w:rsidRPr="00BD22FE" w:rsidRDefault="00104CA8" w:rsidP="00A610E1">
      <w:pPr>
        <w:pStyle w:val="BodyText"/>
        <w:spacing w:line="240" w:lineRule="auto"/>
        <w:jc w:val="left"/>
        <w:rPr>
          <w:sz w:val="22"/>
          <w:szCs w:val="22"/>
          <w:lang w:val="pl-PL"/>
        </w:rPr>
      </w:pPr>
      <w:r w:rsidRPr="00BD22FE">
        <w:rPr>
          <w:sz w:val="22"/>
          <w:szCs w:val="22"/>
          <w:lang w:val="pl-PL"/>
        </w:rPr>
        <w:t xml:space="preserve">Czasami zdarza się, że zewnętrzna powłoka blistra odkleja się od wewnętrznej pomiędzy kieszeniami blistra. </w:t>
      </w:r>
      <w:r w:rsidR="006F3286" w:rsidRPr="00BD22FE">
        <w:rPr>
          <w:sz w:val="22"/>
          <w:szCs w:val="22"/>
          <w:lang w:val="pl-PL"/>
        </w:rPr>
        <w:t xml:space="preserve">W tym przypadku </w:t>
      </w:r>
      <w:r w:rsidRPr="00BD22FE">
        <w:rPr>
          <w:sz w:val="22"/>
          <w:szCs w:val="22"/>
          <w:lang w:val="pl-PL"/>
        </w:rPr>
        <w:t>nie ma potrzeby podejmowania żadnych działań.</w:t>
      </w:r>
    </w:p>
    <w:p w14:paraId="15442B5D" w14:textId="77777777" w:rsidR="000016E2" w:rsidRPr="00BD22FE" w:rsidRDefault="000016E2" w:rsidP="00A610E1">
      <w:pPr>
        <w:pStyle w:val="BodyText"/>
        <w:spacing w:line="240" w:lineRule="auto"/>
        <w:jc w:val="left"/>
        <w:rPr>
          <w:sz w:val="22"/>
          <w:szCs w:val="22"/>
          <w:lang w:val="pl-PL"/>
        </w:rPr>
      </w:pPr>
    </w:p>
    <w:p w14:paraId="73404F25" w14:textId="4CB39239" w:rsidR="000016E2" w:rsidRPr="00BD22FE" w:rsidRDefault="00104CA8" w:rsidP="00A610E1">
      <w:pPr>
        <w:pStyle w:val="BodyText"/>
        <w:spacing w:line="240" w:lineRule="auto"/>
        <w:jc w:val="left"/>
        <w:rPr>
          <w:sz w:val="22"/>
          <w:szCs w:val="22"/>
          <w:lang w:val="pl-PL"/>
        </w:rPr>
      </w:pPr>
      <w:r w:rsidRPr="00BD22FE">
        <w:rPr>
          <w:sz w:val="22"/>
          <w:szCs w:val="22"/>
          <w:lang w:val="pl-PL"/>
        </w:rPr>
        <w:t>Wszelkie niewykorzystane resztki produktu leczniczego lub jego odpady należy usunąć zgodnie z</w:t>
      </w:r>
      <w:r w:rsidR="00717A7B" w:rsidRPr="00BD22FE">
        <w:rPr>
          <w:sz w:val="22"/>
          <w:szCs w:val="22"/>
          <w:lang w:val="pl-PL"/>
        </w:rPr>
        <w:t> </w:t>
      </w:r>
      <w:r w:rsidRPr="00BD22FE">
        <w:rPr>
          <w:sz w:val="22"/>
          <w:szCs w:val="22"/>
          <w:lang w:val="pl-PL"/>
        </w:rPr>
        <w:t>lokalnymi przepisami.</w:t>
      </w:r>
    </w:p>
    <w:p w14:paraId="05293FC6" w14:textId="77777777" w:rsidR="000016E2" w:rsidRPr="00BD22FE" w:rsidRDefault="000016E2" w:rsidP="00A610E1">
      <w:pPr>
        <w:pStyle w:val="BodyText"/>
        <w:spacing w:line="240" w:lineRule="auto"/>
        <w:jc w:val="left"/>
        <w:rPr>
          <w:sz w:val="22"/>
          <w:szCs w:val="22"/>
          <w:lang w:val="pl-PL"/>
        </w:rPr>
      </w:pPr>
    </w:p>
    <w:p w14:paraId="1A802FD3" w14:textId="77777777" w:rsidR="000016E2" w:rsidRPr="00BD22FE" w:rsidRDefault="000016E2" w:rsidP="00A610E1">
      <w:pPr>
        <w:pStyle w:val="BodyText"/>
        <w:spacing w:line="240" w:lineRule="auto"/>
        <w:jc w:val="left"/>
        <w:rPr>
          <w:sz w:val="22"/>
          <w:szCs w:val="22"/>
          <w:lang w:val="pl-PL"/>
        </w:rPr>
      </w:pPr>
    </w:p>
    <w:p w14:paraId="42B78187" w14:textId="7B6A2DF7" w:rsidR="000016E2" w:rsidRPr="00BD22FE" w:rsidRDefault="00104CA8" w:rsidP="00A610E1">
      <w:pPr>
        <w:pStyle w:val="BodyText"/>
        <w:keepNext/>
        <w:spacing w:line="240" w:lineRule="auto"/>
        <w:ind w:left="567" w:hanging="567"/>
        <w:jc w:val="left"/>
        <w:rPr>
          <w:b/>
          <w:sz w:val="22"/>
          <w:szCs w:val="22"/>
          <w:lang w:val="pl-PL"/>
        </w:rPr>
      </w:pPr>
      <w:r w:rsidRPr="00BD22FE">
        <w:rPr>
          <w:b/>
          <w:sz w:val="22"/>
          <w:szCs w:val="22"/>
          <w:lang w:val="pl-PL"/>
        </w:rPr>
        <w:t>7.</w:t>
      </w:r>
      <w:r w:rsidRPr="00BD22FE">
        <w:rPr>
          <w:b/>
          <w:sz w:val="22"/>
          <w:szCs w:val="22"/>
          <w:lang w:val="pl-PL"/>
        </w:rPr>
        <w:tab/>
        <w:t>PODMIOT ODPOWIEDZIALNY POSIADAJĄCY POZWOLENIE NA DOPUSZCZENIE DO OBROTU</w:t>
      </w:r>
    </w:p>
    <w:p w14:paraId="432DC820" w14:textId="77777777" w:rsidR="00F54C1D" w:rsidRPr="00BD22FE" w:rsidRDefault="00F54C1D" w:rsidP="00A610E1">
      <w:pPr>
        <w:pStyle w:val="BodyText"/>
        <w:keepNext/>
        <w:spacing w:line="240" w:lineRule="auto"/>
        <w:jc w:val="left"/>
        <w:rPr>
          <w:sz w:val="22"/>
          <w:szCs w:val="22"/>
          <w:lang w:val="pl-PL"/>
        </w:rPr>
      </w:pPr>
    </w:p>
    <w:p w14:paraId="14F0E3A6" w14:textId="33724E2C" w:rsidR="000016E2" w:rsidRPr="009D16CE" w:rsidRDefault="00104CA8" w:rsidP="00A610E1">
      <w:pPr>
        <w:pStyle w:val="BodyText"/>
        <w:keepNext/>
        <w:spacing w:line="240" w:lineRule="auto"/>
        <w:jc w:val="left"/>
        <w:rPr>
          <w:sz w:val="22"/>
          <w:szCs w:val="22"/>
          <w:lang w:val="de-DE"/>
        </w:rPr>
      </w:pPr>
      <w:r w:rsidRPr="009D16CE">
        <w:rPr>
          <w:sz w:val="22"/>
          <w:szCs w:val="22"/>
          <w:lang w:val="de-DE"/>
        </w:rPr>
        <w:t>Boehringer Ingelheim International GmbH</w:t>
      </w:r>
    </w:p>
    <w:p w14:paraId="785A1558" w14:textId="77777777" w:rsidR="000016E2" w:rsidRPr="009D16CE" w:rsidRDefault="00104CA8" w:rsidP="00A610E1">
      <w:pPr>
        <w:pStyle w:val="BodyText"/>
        <w:keepNext/>
        <w:spacing w:line="240" w:lineRule="auto"/>
        <w:jc w:val="left"/>
        <w:rPr>
          <w:sz w:val="22"/>
          <w:szCs w:val="22"/>
          <w:lang w:val="de-DE"/>
        </w:rPr>
      </w:pPr>
      <w:r w:rsidRPr="009D16CE">
        <w:rPr>
          <w:sz w:val="22"/>
          <w:szCs w:val="22"/>
          <w:lang w:val="de-DE"/>
        </w:rPr>
        <w:t>Binger Str. 173</w:t>
      </w:r>
    </w:p>
    <w:p w14:paraId="32F1BA18" w14:textId="77777777" w:rsidR="000016E2" w:rsidRPr="00DE4C52" w:rsidRDefault="00104CA8" w:rsidP="00A610E1">
      <w:pPr>
        <w:pStyle w:val="BodyText"/>
        <w:keepNext/>
        <w:spacing w:line="240" w:lineRule="auto"/>
        <w:jc w:val="left"/>
        <w:rPr>
          <w:sz w:val="22"/>
          <w:szCs w:val="22"/>
          <w:lang w:val="pl-PL"/>
        </w:rPr>
      </w:pPr>
      <w:r w:rsidRPr="00DE4C52">
        <w:rPr>
          <w:sz w:val="22"/>
          <w:szCs w:val="22"/>
          <w:lang w:val="pl-PL"/>
        </w:rPr>
        <w:t>55216 Ingelheim am Rhein</w:t>
      </w:r>
    </w:p>
    <w:p w14:paraId="7E7CFE8F" w14:textId="77777777" w:rsidR="000016E2" w:rsidRPr="00BD22FE" w:rsidRDefault="00104CA8" w:rsidP="00A610E1">
      <w:pPr>
        <w:pStyle w:val="BodyText"/>
        <w:spacing w:line="240" w:lineRule="auto"/>
        <w:jc w:val="left"/>
        <w:rPr>
          <w:sz w:val="22"/>
          <w:szCs w:val="22"/>
          <w:lang w:val="pl-PL"/>
        </w:rPr>
      </w:pPr>
      <w:r w:rsidRPr="00BD22FE">
        <w:rPr>
          <w:sz w:val="22"/>
          <w:szCs w:val="22"/>
          <w:lang w:val="pl-PL"/>
        </w:rPr>
        <w:t>Niemcy</w:t>
      </w:r>
    </w:p>
    <w:p w14:paraId="1C3EBDF8" w14:textId="77777777" w:rsidR="000016E2" w:rsidRPr="00BD22FE" w:rsidRDefault="000016E2" w:rsidP="00A610E1">
      <w:pPr>
        <w:pStyle w:val="BodyText"/>
        <w:spacing w:line="240" w:lineRule="auto"/>
        <w:jc w:val="left"/>
        <w:rPr>
          <w:sz w:val="22"/>
          <w:szCs w:val="22"/>
          <w:lang w:val="pl-PL"/>
        </w:rPr>
      </w:pPr>
    </w:p>
    <w:p w14:paraId="2E0A9D0D" w14:textId="77777777" w:rsidR="000016E2" w:rsidRPr="00BD22FE" w:rsidRDefault="000016E2" w:rsidP="00A610E1">
      <w:pPr>
        <w:pStyle w:val="BodyText"/>
        <w:spacing w:line="240" w:lineRule="auto"/>
        <w:jc w:val="left"/>
        <w:rPr>
          <w:sz w:val="22"/>
          <w:szCs w:val="22"/>
          <w:lang w:val="pl-PL"/>
        </w:rPr>
      </w:pPr>
    </w:p>
    <w:p w14:paraId="6837B9E9" w14:textId="120C1539" w:rsidR="000016E2" w:rsidRPr="00BD22FE" w:rsidRDefault="00104CA8" w:rsidP="00A610E1">
      <w:pPr>
        <w:pStyle w:val="BodyText"/>
        <w:keepNext/>
        <w:spacing w:line="240" w:lineRule="auto"/>
        <w:ind w:left="567" w:hanging="567"/>
        <w:jc w:val="left"/>
        <w:rPr>
          <w:b/>
          <w:sz w:val="22"/>
          <w:szCs w:val="22"/>
          <w:lang w:val="pl-PL"/>
        </w:rPr>
      </w:pPr>
      <w:r w:rsidRPr="00BD22FE">
        <w:rPr>
          <w:b/>
          <w:sz w:val="22"/>
          <w:szCs w:val="22"/>
          <w:lang w:val="pl-PL"/>
        </w:rPr>
        <w:t>8.</w:t>
      </w:r>
      <w:r w:rsidRPr="00BD22FE">
        <w:rPr>
          <w:b/>
          <w:sz w:val="22"/>
          <w:szCs w:val="22"/>
          <w:lang w:val="pl-PL"/>
        </w:rPr>
        <w:tab/>
        <w:t>NUMER POZWOLE</w:t>
      </w:r>
      <w:r w:rsidR="008E2583" w:rsidRPr="00BD22FE">
        <w:rPr>
          <w:b/>
          <w:sz w:val="22"/>
          <w:szCs w:val="22"/>
          <w:lang w:val="pl-PL"/>
        </w:rPr>
        <w:t>NIA</w:t>
      </w:r>
      <w:r w:rsidRPr="00BD22FE">
        <w:rPr>
          <w:b/>
          <w:sz w:val="22"/>
          <w:szCs w:val="22"/>
          <w:lang w:val="pl-PL"/>
        </w:rPr>
        <w:t xml:space="preserve"> NA DOPUSZCZENIE DO OBROTU</w:t>
      </w:r>
    </w:p>
    <w:p w14:paraId="3CE416B5" w14:textId="77777777" w:rsidR="000016E2" w:rsidRPr="00BD22FE" w:rsidRDefault="000016E2" w:rsidP="00A610E1">
      <w:pPr>
        <w:pStyle w:val="BodyText"/>
        <w:keepNext/>
        <w:spacing w:line="240" w:lineRule="auto"/>
        <w:jc w:val="left"/>
        <w:rPr>
          <w:sz w:val="22"/>
          <w:szCs w:val="22"/>
          <w:lang w:val="pl-PL"/>
        </w:rPr>
      </w:pPr>
    </w:p>
    <w:p w14:paraId="1547E949" w14:textId="77777777" w:rsidR="000016E2" w:rsidRPr="00DE4C52" w:rsidRDefault="00104CA8" w:rsidP="00A610E1">
      <w:pPr>
        <w:pStyle w:val="BodyText"/>
        <w:keepNext/>
        <w:spacing w:line="240" w:lineRule="auto"/>
        <w:jc w:val="left"/>
        <w:rPr>
          <w:sz w:val="22"/>
          <w:szCs w:val="22"/>
          <w:u w:val="single"/>
          <w:lang w:val="en-US"/>
        </w:rPr>
      </w:pPr>
      <w:r w:rsidRPr="00DE4C52">
        <w:rPr>
          <w:sz w:val="22"/>
          <w:szCs w:val="22"/>
          <w:u w:val="single"/>
          <w:lang w:val="en-US"/>
        </w:rPr>
        <w:t>MicardisPlus 40 mg/12,5 mg tabletki</w:t>
      </w:r>
    </w:p>
    <w:p w14:paraId="02CD4C99" w14:textId="17583DDC" w:rsidR="000016E2" w:rsidRPr="00DE4C52" w:rsidRDefault="00104CA8" w:rsidP="00A610E1">
      <w:pPr>
        <w:rPr>
          <w:sz w:val="22"/>
          <w:szCs w:val="22"/>
        </w:rPr>
      </w:pPr>
      <w:r w:rsidRPr="00DE4C52">
        <w:rPr>
          <w:sz w:val="22"/>
          <w:szCs w:val="22"/>
        </w:rPr>
        <w:t>EU/1/02/213/001</w:t>
      </w:r>
      <w:r w:rsidR="00CB4FE6" w:rsidRPr="00DE4C52">
        <w:rPr>
          <w:sz w:val="22"/>
          <w:szCs w:val="22"/>
        </w:rPr>
        <w:noBreakHyphen/>
      </w:r>
      <w:r w:rsidRPr="00DE4C52">
        <w:rPr>
          <w:sz w:val="22"/>
          <w:szCs w:val="22"/>
        </w:rPr>
        <w:t>005, 011, 013</w:t>
      </w:r>
      <w:r w:rsidR="00CB4FE6" w:rsidRPr="00DE4C52">
        <w:rPr>
          <w:sz w:val="22"/>
          <w:szCs w:val="22"/>
        </w:rPr>
        <w:noBreakHyphen/>
      </w:r>
      <w:r w:rsidRPr="00DE4C52">
        <w:rPr>
          <w:sz w:val="22"/>
          <w:szCs w:val="22"/>
        </w:rPr>
        <w:t>014</w:t>
      </w:r>
    </w:p>
    <w:p w14:paraId="19002A1B" w14:textId="77777777" w:rsidR="000016E2" w:rsidRPr="00DE4C52" w:rsidRDefault="000016E2" w:rsidP="00A610E1">
      <w:pPr>
        <w:pStyle w:val="BodyText"/>
        <w:spacing w:line="240" w:lineRule="auto"/>
        <w:jc w:val="left"/>
        <w:rPr>
          <w:sz w:val="22"/>
          <w:szCs w:val="22"/>
          <w:lang w:val="en-US"/>
        </w:rPr>
      </w:pPr>
    </w:p>
    <w:p w14:paraId="365BFAD8" w14:textId="77777777" w:rsidR="000016E2" w:rsidRPr="00DE4C52" w:rsidRDefault="00104CA8" w:rsidP="00A610E1">
      <w:pPr>
        <w:pStyle w:val="BodyText"/>
        <w:keepNext/>
        <w:spacing w:line="240" w:lineRule="auto"/>
        <w:jc w:val="left"/>
        <w:rPr>
          <w:sz w:val="22"/>
          <w:szCs w:val="22"/>
          <w:u w:val="single"/>
          <w:lang w:val="en-US"/>
        </w:rPr>
      </w:pPr>
      <w:r w:rsidRPr="00DE4C52">
        <w:rPr>
          <w:sz w:val="22"/>
          <w:szCs w:val="22"/>
          <w:u w:val="single"/>
          <w:lang w:val="en-US"/>
        </w:rPr>
        <w:t>MicardisPlus 80 mg/12,5 mg tabletki</w:t>
      </w:r>
    </w:p>
    <w:p w14:paraId="01B30152" w14:textId="4734691D" w:rsidR="000016E2" w:rsidRPr="009D16CE" w:rsidRDefault="00104CA8" w:rsidP="00A610E1">
      <w:pPr>
        <w:rPr>
          <w:sz w:val="22"/>
          <w:szCs w:val="22"/>
          <w:lang w:val="pl-PL"/>
        </w:rPr>
      </w:pPr>
      <w:r w:rsidRPr="009D16CE">
        <w:rPr>
          <w:sz w:val="22"/>
          <w:szCs w:val="22"/>
          <w:lang w:val="pl-PL"/>
        </w:rPr>
        <w:t>EU/1/02/213/006</w:t>
      </w:r>
      <w:r w:rsidR="00CB4FE6" w:rsidRPr="009D16CE">
        <w:rPr>
          <w:sz w:val="22"/>
          <w:szCs w:val="22"/>
          <w:lang w:val="pl-PL"/>
        </w:rPr>
        <w:noBreakHyphen/>
      </w:r>
      <w:r w:rsidRPr="009D16CE">
        <w:rPr>
          <w:sz w:val="22"/>
          <w:szCs w:val="22"/>
          <w:lang w:val="pl-PL"/>
        </w:rPr>
        <w:t>010, 012, 015</w:t>
      </w:r>
      <w:r w:rsidR="00CB4FE6" w:rsidRPr="009D16CE">
        <w:rPr>
          <w:sz w:val="22"/>
          <w:szCs w:val="22"/>
          <w:lang w:val="pl-PL"/>
        </w:rPr>
        <w:noBreakHyphen/>
      </w:r>
      <w:r w:rsidRPr="009D16CE">
        <w:rPr>
          <w:sz w:val="22"/>
          <w:szCs w:val="22"/>
          <w:lang w:val="pl-PL"/>
        </w:rPr>
        <w:t>016</w:t>
      </w:r>
    </w:p>
    <w:p w14:paraId="4B4659E4" w14:textId="77777777" w:rsidR="000016E2" w:rsidRPr="009D16CE" w:rsidRDefault="000016E2" w:rsidP="00A610E1">
      <w:pPr>
        <w:pStyle w:val="BodyText"/>
        <w:spacing w:line="240" w:lineRule="auto"/>
        <w:jc w:val="left"/>
        <w:rPr>
          <w:sz w:val="22"/>
          <w:szCs w:val="22"/>
          <w:lang w:val="pl-PL"/>
        </w:rPr>
      </w:pPr>
    </w:p>
    <w:p w14:paraId="64F35506" w14:textId="77777777" w:rsidR="000016E2" w:rsidRPr="009D16CE" w:rsidRDefault="000016E2" w:rsidP="00A610E1">
      <w:pPr>
        <w:pStyle w:val="BodyText"/>
        <w:spacing w:line="240" w:lineRule="auto"/>
        <w:jc w:val="left"/>
        <w:rPr>
          <w:sz w:val="22"/>
          <w:szCs w:val="22"/>
          <w:lang w:val="pl-PL"/>
        </w:rPr>
      </w:pPr>
    </w:p>
    <w:p w14:paraId="6611A5D0" w14:textId="5B07C5B1" w:rsidR="000016E2" w:rsidRPr="00BD22FE" w:rsidRDefault="00104CA8" w:rsidP="00A610E1">
      <w:pPr>
        <w:pStyle w:val="BodyText"/>
        <w:keepNext/>
        <w:spacing w:line="240" w:lineRule="auto"/>
        <w:ind w:left="567" w:hanging="567"/>
        <w:jc w:val="left"/>
        <w:rPr>
          <w:b/>
          <w:sz w:val="22"/>
          <w:szCs w:val="22"/>
          <w:lang w:val="pl-PL"/>
        </w:rPr>
      </w:pPr>
      <w:r w:rsidRPr="00BD22FE">
        <w:rPr>
          <w:b/>
          <w:sz w:val="22"/>
          <w:szCs w:val="22"/>
          <w:lang w:val="pl-PL"/>
        </w:rPr>
        <w:t>9.</w:t>
      </w:r>
      <w:r w:rsidRPr="00BD22FE">
        <w:rPr>
          <w:b/>
          <w:sz w:val="22"/>
          <w:szCs w:val="22"/>
          <w:lang w:val="pl-PL"/>
        </w:rPr>
        <w:tab/>
      </w:r>
      <w:smartTag w:uri="urn:schemas-microsoft-com:office:smarttags" w:element="stockticker">
        <w:r w:rsidRPr="00BD22FE">
          <w:rPr>
            <w:b/>
            <w:sz w:val="22"/>
            <w:szCs w:val="22"/>
            <w:lang w:val="pl-PL"/>
          </w:rPr>
          <w:t>DATA</w:t>
        </w:r>
      </w:smartTag>
      <w:r w:rsidRPr="00BD22FE">
        <w:rPr>
          <w:b/>
          <w:sz w:val="22"/>
          <w:szCs w:val="22"/>
          <w:lang w:val="pl-PL"/>
        </w:rPr>
        <w:t xml:space="preserve"> WYDANIA PIERWSZEGO POZWOLENIA NA DOPUSZCZENIE DO OBROTU I</w:t>
      </w:r>
      <w:smartTag w:uri="urn:schemas-microsoft-com:office:smarttags" w:element="stockticker">
        <w:r w:rsidR="00717A7B" w:rsidRPr="00BD22FE">
          <w:rPr>
            <w:b/>
            <w:sz w:val="22"/>
            <w:szCs w:val="22"/>
            <w:lang w:val="pl-PL"/>
          </w:rPr>
          <w:t> </w:t>
        </w:r>
        <w:r w:rsidRPr="00BD22FE">
          <w:rPr>
            <w:b/>
            <w:sz w:val="22"/>
            <w:szCs w:val="22"/>
            <w:lang w:val="pl-PL"/>
          </w:rPr>
          <w:t>DATA</w:t>
        </w:r>
      </w:smartTag>
      <w:r w:rsidRPr="00BD22FE">
        <w:rPr>
          <w:b/>
          <w:sz w:val="22"/>
          <w:szCs w:val="22"/>
          <w:lang w:val="pl-PL"/>
        </w:rPr>
        <w:t xml:space="preserve"> PRZEDŁUŻENIA POZWOLENIA</w:t>
      </w:r>
    </w:p>
    <w:p w14:paraId="4E130636" w14:textId="77777777" w:rsidR="000016E2" w:rsidRPr="00BD22FE" w:rsidRDefault="000016E2" w:rsidP="00A610E1">
      <w:pPr>
        <w:pStyle w:val="BodyText"/>
        <w:keepNext/>
        <w:spacing w:line="240" w:lineRule="auto"/>
        <w:jc w:val="left"/>
        <w:rPr>
          <w:sz w:val="22"/>
          <w:szCs w:val="22"/>
          <w:lang w:val="pl-PL"/>
        </w:rPr>
      </w:pPr>
    </w:p>
    <w:p w14:paraId="4AE223CD" w14:textId="4220C21D" w:rsidR="000016E2" w:rsidRPr="00BD22FE" w:rsidRDefault="00104CA8" w:rsidP="00A610E1">
      <w:pPr>
        <w:pStyle w:val="BodyText"/>
        <w:keepNext/>
        <w:spacing w:line="240" w:lineRule="auto"/>
        <w:jc w:val="left"/>
        <w:rPr>
          <w:sz w:val="22"/>
          <w:szCs w:val="22"/>
          <w:lang w:val="pl-PL"/>
        </w:rPr>
      </w:pPr>
      <w:r w:rsidRPr="00BD22FE">
        <w:rPr>
          <w:sz w:val="22"/>
          <w:szCs w:val="22"/>
          <w:lang w:val="pl-PL"/>
        </w:rPr>
        <w:t>Data wydania pierwszego pozwolenia na dopuszczenie do obrotu: 19</w:t>
      </w:r>
      <w:r w:rsidR="00A67179" w:rsidRPr="00BD22FE">
        <w:rPr>
          <w:sz w:val="22"/>
          <w:szCs w:val="22"/>
          <w:lang w:val="pl-PL"/>
        </w:rPr>
        <w:t> </w:t>
      </w:r>
      <w:r w:rsidRPr="00BD22FE">
        <w:rPr>
          <w:sz w:val="22"/>
          <w:szCs w:val="22"/>
          <w:lang w:val="pl-PL"/>
        </w:rPr>
        <w:t>kwietnia</w:t>
      </w:r>
      <w:r w:rsidR="00A67179" w:rsidRPr="00BD22FE">
        <w:rPr>
          <w:sz w:val="22"/>
          <w:szCs w:val="22"/>
          <w:lang w:val="pl-PL"/>
        </w:rPr>
        <w:t> </w:t>
      </w:r>
      <w:r w:rsidRPr="00BD22FE">
        <w:rPr>
          <w:sz w:val="22"/>
          <w:szCs w:val="22"/>
          <w:lang w:val="pl-PL"/>
        </w:rPr>
        <w:t>2002</w:t>
      </w:r>
    </w:p>
    <w:p w14:paraId="608455AC" w14:textId="11758799" w:rsidR="000016E2" w:rsidRPr="00BD22FE" w:rsidRDefault="00104CA8" w:rsidP="00A610E1">
      <w:pPr>
        <w:pStyle w:val="BodyText"/>
        <w:spacing w:line="240" w:lineRule="auto"/>
        <w:jc w:val="left"/>
        <w:rPr>
          <w:sz w:val="22"/>
          <w:szCs w:val="22"/>
          <w:lang w:val="pl-PL"/>
        </w:rPr>
      </w:pPr>
      <w:r w:rsidRPr="00BD22FE">
        <w:rPr>
          <w:sz w:val="22"/>
          <w:szCs w:val="22"/>
          <w:lang w:val="pl-PL"/>
        </w:rPr>
        <w:t>Data ostatniego przedłużenia pozwolenia: 23</w:t>
      </w:r>
      <w:r w:rsidR="00A67179" w:rsidRPr="00BD22FE">
        <w:rPr>
          <w:sz w:val="22"/>
          <w:szCs w:val="22"/>
          <w:lang w:val="pl-PL"/>
        </w:rPr>
        <w:t> </w:t>
      </w:r>
      <w:r w:rsidRPr="00BD22FE">
        <w:rPr>
          <w:sz w:val="22"/>
          <w:szCs w:val="22"/>
          <w:lang w:val="pl-PL"/>
        </w:rPr>
        <w:t>kwietnia</w:t>
      </w:r>
      <w:r w:rsidR="00A67179" w:rsidRPr="00BD22FE">
        <w:rPr>
          <w:sz w:val="22"/>
          <w:szCs w:val="22"/>
          <w:lang w:val="pl-PL"/>
        </w:rPr>
        <w:t> </w:t>
      </w:r>
      <w:r w:rsidRPr="00BD22FE">
        <w:rPr>
          <w:sz w:val="22"/>
          <w:szCs w:val="22"/>
          <w:lang w:val="pl-PL"/>
        </w:rPr>
        <w:t>2007</w:t>
      </w:r>
    </w:p>
    <w:p w14:paraId="4FD79E65" w14:textId="77777777" w:rsidR="000016E2" w:rsidRPr="00BD22FE" w:rsidRDefault="000016E2" w:rsidP="00A610E1">
      <w:pPr>
        <w:pStyle w:val="BodyText"/>
        <w:spacing w:line="240" w:lineRule="auto"/>
        <w:jc w:val="left"/>
        <w:rPr>
          <w:sz w:val="22"/>
          <w:szCs w:val="22"/>
          <w:lang w:val="pl-PL"/>
        </w:rPr>
      </w:pPr>
    </w:p>
    <w:p w14:paraId="1DE46CA6" w14:textId="77777777" w:rsidR="000016E2" w:rsidRPr="00BD22FE" w:rsidRDefault="000016E2" w:rsidP="00A610E1">
      <w:pPr>
        <w:pStyle w:val="BodyText"/>
        <w:spacing w:line="240" w:lineRule="auto"/>
        <w:jc w:val="left"/>
        <w:rPr>
          <w:sz w:val="22"/>
          <w:szCs w:val="22"/>
          <w:lang w:val="pl-PL"/>
        </w:rPr>
      </w:pPr>
    </w:p>
    <w:p w14:paraId="5F28DB9E" w14:textId="77777777" w:rsidR="000016E2" w:rsidRPr="00BD22FE" w:rsidRDefault="00104CA8" w:rsidP="00A610E1">
      <w:pPr>
        <w:pStyle w:val="BodyText"/>
        <w:keepNext/>
        <w:spacing w:line="240" w:lineRule="auto"/>
        <w:ind w:left="567" w:hanging="567"/>
        <w:jc w:val="left"/>
        <w:rPr>
          <w:b/>
          <w:sz w:val="22"/>
          <w:szCs w:val="22"/>
          <w:lang w:val="pl-PL"/>
        </w:rPr>
      </w:pPr>
      <w:r w:rsidRPr="00BD22FE">
        <w:rPr>
          <w:b/>
          <w:sz w:val="22"/>
          <w:szCs w:val="22"/>
          <w:lang w:val="pl-PL"/>
        </w:rPr>
        <w:t>10.</w:t>
      </w:r>
      <w:r w:rsidRPr="00BD22FE">
        <w:rPr>
          <w:b/>
          <w:sz w:val="22"/>
          <w:szCs w:val="22"/>
          <w:lang w:val="pl-PL"/>
        </w:rPr>
        <w:tab/>
      </w:r>
      <w:smartTag w:uri="urn:schemas-microsoft-com:office:smarttags" w:element="stockticker">
        <w:r w:rsidRPr="00BD22FE">
          <w:rPr>
            <w:b/>
            <w:sz w:val="22"/>
            <w:szCs w:val="22"/>
            <w:lang w:val="pl-PL"/>
          </w:rPr>
          <w:t>DATA</w:t>
        </w:r>
      </w:smartTag>
      <w:r w:rsidRPr="00BD22FE">
        <w:rPr>
          <w:b/>
          <w:sz w:val="22"/>
          <w:szCs w:val="22"/>
          <w:lang w:val="pl-PL"/>
        </w:rPr>
        <w:t xml:space="preserve"> ZATWIERDZENIA </w:t>
      </w:r>
      <w:smartTag w:uri="urn:schemas-microsoft-com:office:smarttags" w:element="stockticker">
        <w:r w:rsidRPr="00BD22FE">
          <w:rPr>
            <w:b/>
            <w:sz w:val="22"/>
            <w:szCs w:val="22"/>
            <w:lang w:val="pl-PL"/>
          </w:rPr>
          <w:t>LUB</w:t>
        </w:r>
      </w:smartTag>
      <w:r w:rsidRPr="00BD22FE">
        <w:rPr>
          <w:b/>
          <w:sz w:val="22"/>
          <w:szCs w:val="22"/>
          <w:lang w:val="pl-PL"/>
        </w:rPr>
        <w:t xml:space="preserve"> CZĘŚCIOWEJ ZMIANY TEKSTU CHARAKTERYSTYKI PRODUKTU LECZNICZEGO</w:t>
      </w:r>
    </w:p>
    <w:p w14:paraId="3D7E28E5" w14:textId="77777777" w:rsidR="000016E2" w:rsidRPr="00BD22FE" w:rsidRDefault="000016E2" w:rsidP="00A610E1">
      <w:pPr>
        <w:pStyle w:val="BodyText"/>
        <w:keepNext/>
        <w:spacing w:line="240" w:lineRule="auto"/>
        <w:jc w:val="left"/>
        <w:rPr>
          <w:sz w:val="22"/>
          <w:szCs w:val="22"/>
          <w:lang w:val="pl-PL"/>
        </w:rPr>
      </w:pPr>
    </w:p>
    <w:p w14:paraId="2BF3B3A2" w14:textId="6DD92F1D" w:rsidR="000016E2" w:rsidRPr="00BD22FE" w:rsidRDefault="00104CA8" w:rsidP="00A610E1">
      <w:pPr>
        <w:pStyle w:val="BodyText"/>
        <w:spacing w:line="240" w:lineRule="auto"/>
        <w:jc w:val="left"/>
        <w:rPr>
          <w:sz w:val="22"/>
          <w:szCs w:val="22"/>
          <w:lang w:val="pl-PL"/>
        </w:rPr>
      </w:pPr>
      <w:r w:rsidRPr="00BD22FE">
        <w:rPr>
          <w:sz w:val="22"/>
          <w:szCs w:val="22"/>
          <w:lang w:val="pl-PL"/>
        </w:rPr>
        <w:t>Szczegółowe informacje o</w:t>
      </w:r>
      <w:r w:rsidR="00717A7B" w:rsidRPr="00BD22FE">
        <w:rPr>
          <w:sz w:val="22"/>
          <w:szCs w:val="22"/>
          <w:lang w:val="pl-PL"/>
        </w:rPr>
        <w:t> </w:t>
      </w:r>
      <w:r w:rsidRPr="00BD22FE">
        <w:rPr>
          <w:sz w:val="22"/>
          <w:szCs w:val="22"/>
          <w:lang w:val="pl-PL"/>
        </w:rPr>
        <w:t xml:space="preserve">tym produkcie leczniczym są dostępne na stronie internetowej Europejskiej Agencji Leków </w:t>
      </w:r>
      <w:r w:rsidR="00A62A12">
        <w:fldChar w:fldCharType="begin"/>
      </w:r>
      <w:r w:rsidR="00A62A12">
        <w:instrText>HYPERLINK "https://www.ema.europa.eu"</w:instrText>
      </w:r>
      <w:r w:rsidR="00A62A12">
        <w:fldChar w:fldCharType="separate"/>
      </w:r>
      <w:r w:rsidR="00A62A12" w:rsidRPr="00BD22FE">
        <w:rPr>
          <w:rStyle w:val="Hyperlink"/>
          <w:sz w:val="22"/>
          <w:szCs w:val="22"/>
          <w:lang w:val="pl-PL"/>
        </w:rPr>
        <w:t>https://www.ema.europa.eu</w:t>
      </w:r>
      <w:r w:rsidR="00A62A12">
        <w:fldChar w:fldCharType="end"/>
      </w:r>
      <w:r w:rsidRPr="00BD22FE">
        <w:rPr>
          <w:sz w:val="22"/>
          <w:szCs w:val="22"/>
          <w:lang w:val="pl-PL"/>
        </w:rPr>
        <w:t>.</w:t>
      </w:r>
    </w:p>
    <w:p w14:paraId="4103D8A7" w14:textId="77777777" w:rsidR="00041A3A" w:rsidRPr="00BD22FE" w:rsidRDefault="00041A3A" w:rsidP="00A610E1">
      <w:pPr>
        <w:pStyle w:val="BodyText"/>
        <w:spacing w:line="240" w:lineRule="auto"/>
        <w:jc w:val="left"/>
        <w:rPr>
          <w:sz w:val="22"/>
          <w:szCs w:val="22"/>
          <w:u w:val="single"/>
          <w:lang w:val="pl-PL"/>
        </w:rPr>
      </w:pPr>
    </w:p>
    <w:p w14:paraId="236C1583" w14:textId="77777777" w:rsidR="00A610E1" w:rsidRPr="00BD22FE" w:rsidRDefault="00A610E1" w:rsidP="00A610E1">
      <w:pPr>
        <w:pStyle w:val="BodyText"/>
        <w:keepNext/>
        <w:spacing w:line="240" w:lineRule="auto"/>
        <w:ind w:left="567" w:hanging="567"/>
        <w:jc w:val="left"/>
        <w:rPr>
          <w:b/>
          <w:sz w:val="22"/>
          <w:szCs w:val="22"/>
          <w:lang w:val="pl-PL"/>
        </w:rPr>
      </w:pPr>
      <w:r w:rsidRPr="00BD22FE">
        <w:rPr>
          <w:b/>
          <w:sz w:val="22"/>
          <w:szCs w:val="22"/>
          <w:lang w:val="pl-PL"/>
        </w:rPr>
        <w:br w:type="page"/>
      </w:r>
      <w:r w:rsidRPr="00BD22FE">
        <w:rPr>
          <w:b/>
          <w:sz w:val="22"/>
          <w:szCs w:val="22"/>
          <w:lang w:val="pl-PL"/>
        </w:rPr>
        <w:lastRenderedPageBreak/>
        <w:t>1.</w:t>
      </w:r>
      <w:r w:rsidRPr="00BD22FE">
        <w:rPr>
          <w:b/>
          <w:sz w:val="22"/>
          <w:szCs w:val="22"/>
          <w:lang w:val="pl-PL"/>
        </w:rPr>
        <w:tab/>
        <w:t>NAZWA PRODUKTU LECZNICZEGO</w:t>
      </w:r>
    </w:p>
    <w:p w14:paraId="048213E4" w14:textId="77777777" w:rsidR="00A610E1" w:rsidRPr="00BD22FE" w:rsidRDefault="00A610E1" w:rsidP="00A610E1">
      <w:pPr>
        <w:pStyle w:val="BodyText"/>
        <w:keepNext/>
        <w:spacing w:line="240" w:lineRule="auto"/>
        <w:jc w:val="left"/>
        <w:rPr>
          <w:sz w:val="22"/>
          <w:szCs w:val="22"/>
          <w:lang w:val="pl-PL"/>
        </w:rPr>
      </w:pPr>
    </w:p>
    <w:p w14:paraId="319C02A2" w14:textId="77777777" w:rsidR="00A610E1" w:rsidRPr="00BD22FE" w:rsidRDefault="00A610E1" w:rsidP="00A610E1">
      <w:pPr>
        <w:pStyle w:val="BodyText"/>
        <w:spacing w:line="240" w:lineRule="auto"/>
        <w:jc w:val="left"/>
        <w:rPr>
          <w:sz w:val="22"/>
          <w:lang w:val="pl-PL"/>
        </w:rPr>
      </w:pPr>
      <w:r w:rsidRPr="00BD22FE">
        <w:rPr>
          <w:sz w:val="22"/>
          <w:lang w:val="pl-PL"/>
        </w:rPr>
        <w:t>MicardisPlus 80 mg/</w:t>
      </w:r>
      <w:r w:rsidRPr="00BD22FE">
        <w:rPr>
          <w:sz w:val="22"/>
          <w:szCs w:val="22"/>
          <w:lang w:val="pl-PL"/>
        </w:rPr>
        <w:t>25</w:t>
      </w:r>
      <w:r w:rsidRPr="00BD22FE">
        <w:rPr>
          <w:sz w:val="22"/>
          <w:lang w:val="pl-PL"/>
        </w:rPr>
        <w:t> mg tabletki</w:t>
      </w:r>
    </w:p>
    <w:p w14:paraId="491DDE70" w14:textId="77777777" w:rsidR="00A610E1" w:rsidRPr="00BD22FE" w:rsidRDefault="00A610E1" w:rsidP="00A610E1">
      <w:pPr>
        <w:pStyle w:val="BodyText"/>
        <w:spacing w:line="240" w:lineRule="auto"/>
        <w:jc w:val="left"/>
        <w:rPr>
          <w:sz w:val="22"/>
          <w:szCs w:val="22"/>
          <w:lang w:val="pl-PL"/>
        </w:rPr>
      </w:pPr>
    </w:p>
    <w:p w14:paraId="19EB4382" w14:textId="77777777" w:rsidR="00A610E1" w:rsidRPr="00BD22FE" w:rsidRDefault="00A610E1" w:rsidP="00A610E1">
      <w:pPr>
        <w:pStyle w:val="BodyText"/>
        <w:spacing w:line="240" w:lineRule="auto"/>
        <w:jc w:val="left"/>
        <w:rPr>
          <w:sz w:val="22"/>
          <w:szCs w:val="22"/>
          <w:lang w:val="pl-PL"/>
        </w:rPr>
      </w:pPr>
    </w:p>
    <w:p w14:paraId="71899D60" w14:textId="77777777" w:rsidR="00A610E1" w:rsidRPr="00BD22FE" w:rsidRDefault="00A610E1" w:rsidP="00A610E1">
      <w:pPr>
        <w:pStyle w:val="BodyText"/>
        <w:keepNext/>
        <w:spacing w:line="240" w:lineRule="auto"/>
        <w:ind w:left="567" w:hanging="567"/>
        <w:jc w:val="left"/>
        <w:rPr>
          <w:b/>
          <w:sz w:val="22"/>
          <w:szCs w:val="22"/>
          <w:lang w:val="pl-PL"/>
        </w:rPr>
      </w:pPr>
      <w:r w:rsidRPr="00BD22FE">
        <w:rPr>
          <w:b/>
          <w:sz w:val="22"/>
          <w:szCs w:val="22"/>
          <w:lang w:val="pl-PL"/>
        </w:rPr>
        <w:t>2.</w:t>
      </w:r>
      <w:r w:rsidRPr="00BD22FE">
        <w:rPr>
          <w:b/>
          <w:sz w:val="22"/>
          <w:szCs w:val="22"/>
          <w:lang w:val="pl-PL"/>
        </w:rPr>
        <w:tab/>
        <w:t>SKŁAD JAKOŚCIOWY I ILOŚCIOWY</w:t>
      </w:r>
    </w:p>
    <w:p w14:paraId="47677332" w14:textId="77777777" w:rsidR="00A610E1" w:rsidRPr="00BD22FE" w:rsidRDefault="00A610E1" w:rsidP="00A610E1">
      <w:pPr>
        <w:pStyle w:val="BodyText"/>
        <w:keepNext/>
        <w:spacing w:line="240" w:lineRule="auto"/>
        <w:jc w:val="left"/>
        <w:rPr>
          <w:sz w:val="22"/>
          <w:szCs w:val="22"/>
          <w:lang w:val="pl-PL"/>
        </w:rPr>
      </w:pPr>
    </w:p>
    <w:p w14:paraId="2DA14EE3" w14:textId="77777777" w:rsidR="00A610E1" w:rsidRPr="00BD22FE" w:rsidRDefault="00A610E1" w:rsidP="00A610E1">
      <w:pPr>
        <w:pStyle w:val="BodyText"/>
        <w:spacing w:line="240" w:lineRule="auto"/>
        <w:jc w:val="left"/>
        <w:rPr>
          <w:sz w:val="22"/>
          <w:szCs w:val="22"/>
          <w:lang w:val="pl-PL"/>
        </w:rPr>
      </w:pPr>
      <w:r w:rsidRPr="00BD22FE">
        <w:rPr>
          <w:sz w:val="22"/>
          <w:szCs w:val="22"/>
          <w:lang w:val="pl-PL"/>
        </w:rPr>
        <w:t>Każda tabletka zawiera 80 mg telmisartanu i 25 mg hydrochlorotiazydu.</w:t>
      </w:r>
    </w:p>
    <w:p w14:paraId="205C246C" w14:textId="77777777" w:rsidR="00A610E1" w:rsidRPr="00BD22FE" w:rsidRDefault="00A610E1" w:rsidP="00A610E1">
      <w:pPr>
        <w:pStyle w:val="BodyText"/>
        <w:spacing w:line="240" w:lineRule="auto"/>
        <w:jc w:val="left"/>
        <w:rPr>
          <w:sz w:val="22"/>
          <w:szCs w:val="22"/>
          <w:lang w:val="pl-PL"/>
        </w:rPr>
      </w:pPr>
    </w:p>
    <w:p w14:paraId="09EE016E" w14:textId="77777777" w:rsidR="00A610E1" w:rsidRPr="00BD22FE" w:rsidRDefault="00A610E1" w:rsidP="00A610E1">
      <w:pPr>
        <w:pStyle w:val="BodyText"/>
        <w:keepNext/>
        <w:spacing w:line="240" w:lineRule="auto"/>
        <w:jc w:val="left"/>
        <w:rPr>
          <w:sz w:val="22"/>
          <w:szCs w:val="22"/>
          <w:u w:val="single"/>
          <w:lang w:val="pl-PL"/>
        </w:rPr>
      </w:pPr>
      <w:r w:rsidRPr="00BD22FE">
        <w:rPr>
          <w:sz w:val="22"/>
          <w:szCs w:val="22"/>
          <w:u w:val="single"/>
          <w:lang w:val="pl-PL"/>
        </w:rPr>
        <w:t>Substancje pomocnicze o znanym działaniu</w:t>
      </w:r>
    </w:p>
    <w:p w14:paraId="0AB9834D" w14:textId="77777777" w:rsidR="00A610E1" w:rsidRPr="00BD22FE" w:rsidRDefault="00A610E1" w:rsidP="00A610E1">
      <w:pPr>
        <w:pStyle w:val="BodyText"/>
        <w:spacing w:line="240" w:lineRule="auto"/>
        <w:jc w:val="left"/>
        <w:rPr>
          <w:sz w:val="22"/>
          <w:szCs w:val="22"/>
          <w:lang w:val="pl-PL"/>
        </w:rPr>
      </w:pPr>
      <w:r w:rsidRPr="00BD22FE">
        <w:rPr>
          <w:sz w:val="22"/>
          <w:szCs w:val="22"/>
          <w:lang w:val="pl-PL"/>
        </w:rPr>
        <w:t>Każda tabletka zawiera 99 mg laktozy jednowodnej, co odpowiada 94 mg laktozy bezwodnej.</w:t>
      </w:r>
    </w:p>
    <w:p w14:paraId="09EEC624" w14:textId="77777777" w:rsidR="00A610E1" w:rsidRPr="00BD22FE" w:rsidRDefault="00A610E1" w:rsidP="00A610E1">
      <w:pPr>
        <w:pStyle w:val="BodyText"/>
        <w:spacing w:line="240" w:lineRule="auto"/>
        <w:jc w:val="left"/>
        <w:rPr>
          <w:sz w:val="22"/>
          <w:szCs w:val="22"/>
          <w:lang w:val="pl-PL"/>
        </w:rPr>
      </w:pPr>
      <w:r w:rsidRPr="00BD22FE">
        <w:rPr>
          <w:sz w:val="22"/>
          <w:szCs w:val="22"/>
          <w:lang w:val="pl-PL"/>
        </w:rPr>
        <w:t>Każda tabletka zawiera 338 mg sorbitolu (E420).</w:t>
      </w:r>
    </w:p>
    <w:p w14:paraId="28340A27" w14:textId="77777777" w:rsidR="00A610E1" w:rsidRPr="00BD22FE" w:rsidRDefault="00A610E1" w:rsidP="00A610E1">
      <w:pPr>
        <w:pStyle w:val="BodyText"/>
        <w:spacing w:line="240" w:lineRule="auto"/>
        <w:jc w:val="left"/>
        <w:rPr>
          <w:sz w:val="22"/>
          <w:szCs w:val="22"/>
          <w:lang w:val="pl-PL"/>
        </w:rPr>
      </w:pPr>
    </w:p>
    <w:p w14:paraId="6F76410C" w14:textId="77777777" w:rsidR="00A610E1" w:rsidRPr="00BD22FE" w:rsidRDefault="00A610E1" w:rsidP="00A610E1">
      <w:pPr>
        <w:pStyle w:val="BodyText"/>
        <w:spacing w:line="240" w:lineRule="auto"/>
        <w:jc w:val="left"/>
        <w:rPr>
          <w:sz w:val="22"/>
          <w:szCs w:val="22"/>
          <w:lang w:val="pl-PL"/>
        </w:rPr>
      </w:pPr>
      <w:r w:rsidRPr="00BD22FE">
        <w:rPr>
          <w:sz w:val="22"/>
          <w:szCs w:val="22"/>
          <w:lang w:val="pl-PL"/>
        </w:rPr>
        <w:t>Pełny wykaz substancji pomocniczych, patrz punkt 6.1.</w:t>
      </w:r>
    </w:p>
    <w:p w14:paraId="26AA631F" w14:textId="77777777" w:rsidR="00A610E1" w:rsidRPr="00BD22FE" w:rsidRDefault="00A610E1" w:rsidP="00A610E1">
      <w:pPr>
        <w:pStyle w:val="BodyText"/>
        <w:spacing w:line="240" w:lineRule="auto"/>
        <w:jc w:val="left"/>
        <w:rPr>
          <w:sz w:val="22"/>
          <w:szCs w:val="22"/>
          <w:lang w:val="pl-PL"/>
        </w:rPr>
      </w:pPr>
    </w:p>
    <w:p w14:paraId="71A9562E" w14:textId="77777777" w:rsidR="00A610E1" w:rsidRPr="00BD22FE" w:rsidRDefault="00A610E1" w:rsidP="00A610E1">
      <w:pPr>
        <w:pStyle w:val="BodyText"/>
        <w:spacing w:line="240" w:lineRule="auto"/>
        <w:jc w:val="left"/>
        <w:rPr>
          <w:sz w:val="22"/>
          <w:szCs w:val="22"/>
          <w:lang w:val="pl-PL"/>
        </w:rPr>
      </w:pPr>
    </w:p>
    <w:p w14:paraId="085C0C37" w14:textId="77777777" w:rsidR="00A610E1" w:rsidRPr="00BD22FE" w:rsidRDefault="00A610E1" w:rsidP="00A610E1">
      <w:pPr>
        <w:pStyle w:val="BodyText"/>
        <w:keepNext/>
        <w:spacing w:line="240" w:lineRule="auto"/>
        <w:ind w:left="567" w:hanging="567"/>
        <w:jc w:val="left"/>
        <w:rPr>
          <w:b/>
          <w:sz w:val="22"/>
          <w:szCs w:val="22"/>
          <w:lang w:val="pl-PL"/>
        </w:rPr>
      </w:pPr>
      <w:r w:rsidRPr="00BD22FE">
        <w:rPr>
          <w:b/>
          <w:sz w:val="22"/>
          <w:szCs w:val="22"/>
          <w:lang w:val="pl-PL"/>
        </w:rPr>
        <w:t>3.</w:t>
      </w:r>
      <w:r w:rsidRPr="00BD22FE">
        <w:rPr>
          <w:b/>
          <w:sz w:val="22"/>
          <w:szCs w:val="22"/>
          <w:lang w:val="pl-PL"/>
        </w:rPr>
        <w:tab/>
        <w:t>POSTAĆ FARMACEUTYCZNA</w:t>
      </w:r>
    </w:p>
    <w:p w14:paraId="4E4D43DD" w14:textId="77777777" w:rsidR="00A610E1" w:rsidRPr="00BD22FE" w:rsidRDefault="00A610E1" w:rsidP="00A610E1">
      <w:pPr>
        <w:pStyle w:val="BodyText"/>
        <w:keepNext/>
        <w:spacing w:line="240" w:lineRule="auto"/>
        <w:jc w:val="left"/>
        <w:rPr>
          <w:sz w:val="22"/>
          <w:szCs w:val="22"/>
          <w:lang w:val="pl-PL"/>
        </w:rPr>
      </w:pPr>
    </w:p>
    <w:p w14:paraId="53899D16" w14:textId="77777777" w:rsidR="00A610E1" w:rsidRPr="00BD22FE" w:rsidRDefault="00A610E1" w:rsidP="00A610E1">
      <w:pPr>
        <w:pStyle w:val="BodyText"/>
        <w:spacing w:line="240" w:lineRule="auto"/>
        <w:jc w:val="left"/>
        <w:rPr>
          <w:sz w:val="22"/>
          <w:szCs w:val="22"/>
          <w:lang w:val="pl-PL"/>
        </w:rPr>
      </w:pPr>
      <w:r w:rsidRPr="00BD22FE">
        <w:rPr>
          <w:sz w:val="22"/>
          <w:szCs w:val="22"/>
          <w:lang w:val="pl-PL"/>
        </w:rPr>
        <w:t>Tabletka.</w:t>
      </w:r>
    </w:p>
    <w:p w14:paraId="615C3952" w14:textId="7496F5F5" w:rsidR="00A610E1" w:rsidRPr="00BD22FE" w:rsidRDefault="00A610E1" w:rsidP="00A610E1">
      <w:pPr>
        <w:pStyle w:val="BodyText"/>
        <w:spacing w:line="240" w:lineRule="auto"/>
        <w:jc w:val="left"/>
        <w:rPr>
          <w:sz w:val="22"/>
          <w:szCs w:val="22"/>
          <w:lang w:val="pl-PL"/>
        </w:rPr>
      </w:pPr>
      <w:r w:rsidRPr="00BD22FE">
        <w:rPr>
          <w:sz w:val="22"/>
          <w:szCs w:val="22"/>
          <w:lang w:val="pl-PL"/>
        </w:rPr>
        <w:t>Żółto-biała, podłużna tabletka, długości 6,2 mm, z wytłoczonym logo firmy i kodem „H9”.</w:t>
      </w:r>
    </w:p>
    <w:p w14:paraId="2A0FE0F2" w14:textId="77777777" w:rsidR="00A610E1" w:rsidRPr="00BD22FE" w:rsidRDefault="00A610E1" w:rsidP="00A610E1">
      <w:pPr>
        <w:pStyle w:val="BodyText"/>
        <w:spacing w:line="240" w:lineRule="auto"/>
        <w:jc w:val="left"/>
        <w:rPr>
          <w:sz w:val="22"/>
          <w:szCs w:val="22"/>
          <w:lang w:val="pl-PL"/>
        </w:rPr>
      </w:pPr>
    </w:p>
    <w:p w14:paraId="3E357BCE" w14:textId="77777777" w:rsidR="00A610E1" w:rsidRPr="00BD22FE" w:rsidRDefault="00A610E1" w:rsidP="00A610E1">
      <w:pPr>
        <w:pStyle w:val="BodyText"/>
        <w:spacing w:line="240" w:lineRule="auto"/>
        <w:jc w:val="left"/>
        <w:rPr>
          <w:sz w:val="22"/>
          <w:szCs w:val="22"/>
          <w:lang w:val="pl-PL"/>
        </w:rPr>
      </w:pPr>
    </w:p>
    <w:p w14:paraId="24DB6A26" w14:textId="77777777" w:rsidR="00A610E1" w:rsidRPr="00BD22FE" w:rsidRDefault="00A610E1" w:rsidP="00A610E1">
      <w:pPr>
        <w:pStyle w:val="BodyText"/>
        <w:keepNext/>
        <w:spacing w:line="240" w:lineRule="auto"/>
        <w:ind w:left="567" w:hanging="567"/>
        <w:jc w:val="left"/>
        <w:rPr>
          <w:b/>
          <w:sz w:val="22"/>
          <w:szCs w:val="22"/>
          <w:lang w:val="pl-PL"/>
        </w:rPr>
      </w:pPr>
      <w:r w:rsidRPr="00BD22FE">
        <w:rPr>
          <w:b/>
          <w:sz w:val="22"/>
          <w:szCs w:val="22"/>
          <w:lang w:val="pl-PL"/>
        </w:rPr>
        <w:t>4.</w:t>
      </w:r>
      <w:r w:rsidRPr="00BD22FE">
        <w:rPr>
          <w:b/>
          <w:sz w:val="22"/>
          <w:szCs w:val="22"/>
          <w:lang w:val="pl-PL"/>
        </w:rPr>
        <w:tab/>
        <w:t>SZCZEGÓŁOWE DANE KLINICZNE</w:t>
      </w:r>
    </w:p>
    <w:p w14:paraId="10840541" w14:textId="77777777" w:rsidR="00A610E1" w:rsidRPr="00BD22FE" w:rsidRDefault="00A610E1" w:rsidP="00A610E1">
      <w:pPr>
        <w:pStyle w:val="BodyText"/>
        <w:keepNext/>
        <w:spacing w:line="240" w:lineRule="auto"/>
        <w:jc w:val="left"/>
        <w:rPr>
          <w:sz w:val="22"/>
          <w:szCs w:val="22"/>
          <w:lang w:val="pl-PL"/>
        </w:rPr>
      </w:pPr>
    </w:p>
    <w:p w14:paraId="33CA5319" w14:textId="77777777" w:rsidR="00A610E1" w:rsidRPr="00BD22FE" w:rsidRDefault="00A610E1" w:rsidP="00A610E1">
      <w:pPr>
        <w:pStyle w:val="BodyText"/>
        <w:keepNext/>
        <w:spacing w:line="240" w:lineRule="auto"/>
        <w:ind w:left="567" w:hanging="567"/>
        <w:jc w:val="left"/>
        <w:rPr>
          <w:b/>
          <w:sz w:val="22"/>
          <w:szCs w:val="22"/>
          <w:lang w:val="pl-PL"/>
        </w:rPr>
      </w:pPr>
      <w:r w:rsidRPr="00BD22FE">
        <w:rPr>
          <w:b/>
          <w:sz w:val="22"/>
          <w:szCs w:val="22"/>
          <w:lang w:val="pl-PL"/>
        </w:rPr>
        <w:t>4.1</w:t>
      </w:r>
      <w:r w:rsidRPr="00BD22FE">
        <w:rPr>
          <w:b/>
          <w:sz w:val="22"/>
          <w:szCs w:val="22"/>
          <w:lang w:val="pl-PL"/>
        </w:rPr>
        <w:tab/>
        <w:t>Wskazania do stosowania</w:t>
      </w:r>
    </w:p>
    <w:p w14:paraId="73E2C0AB" w14:textId="77777777" w:rsidR="00A610E1" w:rsidRPr="00BD22FE" w:rsidRDefault="00A610E1" w:rsidP="00A610E1">
      <w:pPr>
        <w:pStyle w:val="BodyText"/>
        <w:keepNext/>
        <w:spacing w:line="240" w:lineRule="auto"/>
        <w:jc w:val="left"/>
        <w:rPr>
          <w:sz w:val="22"/>
          <w:szCs w:val="22"/>
          <w:lang w:val="pl-PL"/>
        </w:rPr>
      </w:pPr>
    </w:p>
    <w:p w14:paraId="5D06511D" w14:textId="77777777" w:rsidR="00A610E1" w:rsidRPr="00BD22FE" w:rsidRDefault="00A610E1" w:rsidP="00A610E1">
      <w:pPr>
        <w:pStyle w:val="BodyText"/>
        <w:spacing w:line="240" w:lineRule="auto"/>
        <w:jc w:val="left"/>
        <w:rPr>
          <w:sz w:val="22"/>
          <w:szCs w:val="22"/>
          <w:lang w:val="pl-PL"/>
        </w:rPr>
      </w:pPr>
      <w:r w:rsidRPr="00BD22FE">
        <w:rPr>
          <w:sz w:val="22"/>
          <w:szCs w:val="22"/>
          <w:lang w:val="pl-PL"/>
        </w:rPr>
        <w:t>Leczenie samoistnego nadciśnienia tętniczego.</w:t>
      </w:r>
    </w:p>
    <w:p w14:paraId="56629C14" w14:textId="77777777" w:rsidR="00A610E1" w:rsidRPr="00BD22FE" w:rsidRDefault="00A610E1" w:rsidP="00A610E1">
      <w:pPr>
        <w:pStyle w:val="BodyText"/>
        <w:spacing w:line="240" w:lineRule="auto"/>
        <w:jc w:val="left"/>
        <w:rPr>
          <w:sz w:val="22"/>
          <w:szCs w:val="22"/>
          <w:lang w:val="pl-PL"/>
        </w:rPr>
      </w:pPr>
    </w:p>
    <w:p w14:paraId="4D735C0F" w14:textId="0DDE4CE7" w:rsidR="00A610E1" w:rsidRPr="00BD22FE" w:rsidRDefault="00A610E1" w:rsidP="00A610E1">
      <w:pPr>
        <w:pStyle w:val="BodyText"/>
        <w:spacing w:line="240" w:lineRule="auto"/>
        <w:jc w:val="left"/>
        <w:rPr>
          <w:sz w:val="22"/>
          <w:szCs w:val="22"/>
          <w:lang w:val="pl-PL"/>
        </w:rPr>
      </w:pPr>
      <w:r w:rsidRPr="00BD22FE">
        <w:rPr>
          <w:sz w:val="22"/>
          <w:szCs w:val="22"/>
          <w:lang w:val="pl-PL"/>
        </w:rPr>
        <w:t>Złożony produkt leczniczy MicardisPlus (zawierający telmisartan w dawce 80 mg i hydrochlorotiazyd (HCTZ) w dawce 25 mg) jest wskazany do stosowania u dorosłych, u których ciśnienie tętnicze nie jest kontrolowane w wystarczający sposób produktem leczniczym MicardisPlus 80 mg/12,5 mg (zawierającym telmisartan w dawce 80 mg i HCTZ w dawce 12,5 mg) lub u dorosłych, którzy wcześniej byli ustabilizowani za pomocą telmisartanu i HCTZ podawanych osobno.</w:t>
      </w:r>
    </w:p>
    <w:p w14:paraId="5D9F8F8D" w14:textId="77777777" w:rsidR="00A610E1" w:rsidRPr="00BD22FE" w:rsidRDefault="00A610E1" w:rsidP="00A610E1">
      <w:pPr>
        <w:pStyle w:val="BodyText"/>
        <w:spacing w:line="240" w:lineRule="auto"/>
        <w:jc w:val="left"/>
        <w:rPr>
          <w:sz w:val="22"/>
          <w:szCs w:val="22"/>
          <w:lang w:val="pl-PL"/>
        </w:rPr>
      </w:pPr>
    </w:p>
    <w:p w14:paraId="4D5307D6" w14:textId="77777777" w:rsidR="00A610E1" w:rsidRPr="00BD22FE" w:rsidRDefault="00A610E1" w:rsidP="00A610E1">
      <w:pPr>
        <w:pStyle w:val="BodyText"/>
        <w:keepNext/>
        <w:spacing w:line="240" w:lineRule="auto"/>
        <w:ind w:left="567" w:hanging="567"/>
        <w:jc w:val="left"/>
        <w:rPr>
          <w:b/>
          <w:sz w:val="22"/>
          <w:szCs w:val="22"/>
          <w:lang w:val="pl-PL"/>
        </w:rPr>
      </w:pPr>
      <w:r w:rsidRPr="00BD22FE">
        <w:rPr>
          <w:b/>
          <w:sz w:val="22"/>
          <w:szCs w:val="22"/>
          <w:lang w:val="pl-PL"/>
        </w:rPr>
        <w:t>4.2</w:t>
      </w:r>
      <w:r w:rsidRPr="00BD22FE">
        <w:rPr>
          <w:b/>
          <w:sz w:val="22"/>
          <w:szCs w:val="22"/>
          <w:lang w:val="pl-PL"/>
        </w:rPr>
        <w:tab/>
        <w:t>Dawkowanie i sposób podawania</w:t>
      </w:r>
    </w:p>
    <w:p w14:paraId="05608100" w14:textId="77777777" w:rsidR="00A610E1" w:rsidRPr="00BD22FE" w:rsidRDefault="00A610E1" w:rsidP="00A610E1">
      <w:pPr>
        <w:pStyle w:val="BodyText"/>
        <w:keepNext/>
        <w:spacing w:line="240" w:lineRule="auto"/>
        <w:jc w:val="left"/>
        <w:rPr>
          <w:sz w:val="22"/>
          <w:szCs w:val="22"/>
          <w:lang w:val="pl-PL"/>
        </w:rPr>
      </w:pPr>
    </w:p>
    <w:p w14:paraId="624191D3" w14:textId="77777777" w:rsidR="00A610E1" w:rsidRPr="00BD22FE" w:rsidRDefault="00A610E1" w:rsidP="00A610E1">
      <w:pPr>
        <w:pStyle w:val="BodyText"/>
        <w:keepNext/>
        <w:spacing w:line="240" w:lineRule="auto"/>
        <w:jc w:val="left"/>
        <w:rPr>
          <w:sz w:val="22"/>
          <w:szCs w:val="22"/>
          <w:u w:val="single"/>
          <w:lang w:val="pl-PL"/>
        </w:rPr>
      </w:pPr>
      <w:r w:rsidRPr="00BD22FE">
        <w:rPr>
          <w:sz w:val="22"/>
          <w:szCs w:val="22"/>
          <w:u w:val="single"/>
          <w:lang w:val="pl-PL"/>
        </w:rPr>
        <w:t>Dawkowanie</w:t>
      </w:r>
    </w:p>
    <w:p w14:paraId="3E450245" w14:textId="39E92B7B" w:rsidR="00A610E1" w:rsidRPr="00BD22FE" w:rsidRDefault="00A610E1" w:rsidP="00A610E1">
      <w:pPr>
        <w:pStyle w:val="BodyText"/>
        <w:spacing w:line="240" w:lineRule="auto"/>
        <w:jc w:val="left"/>
        <w:rPr>
          <w:sz w:val="22"/>
          <w:szCs w:val="22"/>
          <w:lang w:val="pl-PL"/>
        </w:rPr>
      </w:pPr>
      <w:r w:rsidRPr="00BD22FE">
        <w:rPr>
          <w:sz w:val="22"/>
          <w:szCs w:val="22"/>
          <w:lang w:val="pl-PL"/>
        </w:rPr>
        <w:t>Złożony produkt leczniczy o ustalonej dawce powinien być przyjmowany przez pacjentów, u których ciśnienie tętnicze nie jest dostatecznie kontrolowane samym telmisartanem. Zaleca się indywidualne dostosowanie dawki każdego ze składników, przed zastosowaniem ustalonej dawki produktu złożonego. Jeśli uzna się to za klinicznie odpowiednie, może być rozważona bezpośrednia zmiana z monoterapii na terapię skojarzoną.</w:t>
      </w:r>
    </w:p>
    <w:p w14:paraId="7874DE04" w14:textId="77777777" w:rsidR="00A610E1" w:rsidRPr="00BD22FE" w:rsidRDefault="00A610E1" w:rsidP="00A610E1">
      <w:pPr>
        <w:pStyle w:val="BodyText"/>
        <w:spacing w:line="240" w:lineRule="auto"/>
        <w:jc w:val="left"/>
        <w:rPr>
          <w:sz w:val="22"/>
          <w:szCs w:val="22"/>
          <w:lang w:val="pl-PL"/>
        </w:rPr>
      </w:pPr>
    </w:p>
    <w:p w14:paraId="36762E33" w14:textId="4135E187" w:rsidR="00A610E1" w:rsidRPr="00BD22FE" w:rsidRDefault="00A610E1" w:rsidP="00A610E1">
      <w:pPr>
        <w:pStyle w:val="BodyText"/>
        <w:numPr>
          <w:ilvl w:val="0"/>
          <w:numId w:val="4"/>
        </w:numPr>
        <w:tabs>
          <w:tab w:val="clear" w:pos="2520"/>
        </w:tabs>
        <w:spacing w:line="240" w:lineRule="auto"/>
        <w:ind w:left="567" w:hanging="567"/>
        <w:jc w:val="left"/>
        <w:rPr>
          <w:sz w:val="22"/>
          <w:szCs w:val="22"/>
          <w:lang w:val="pl-PL"/>
        </w:rPr>
      </w:pPr>
      <w:r w:rsidRPr="00BD22FE">
        <w:rPr>
          <w:sz w:val="22"/>
          <w:szCs w:val="22"/>
          <w:lang w:val="pl-PL"/>
        </w:rPr>
        <w:t>Produkt leczniczy MicardisPlus 80 mg/25 mg może być podawany raz na dobę pacjentom, u których ciśnienie tętnicze nie jest odpowiednio kontrolowane po zastosowaniu produktu leczniczego MicardisPlus 80 mg/12,5 lub u pacjentów którzy wcześniej byli ustabilizowani za pomocą telmisartanu i HCTZ podawanych osobno.</w:t>
      </w:r>
    </w:p>
    <w:p w14:paraId="6ED71FFC" w14:textId="77777777" w:rsidR="00A610E1" w:rsidRPr="00BD22FE" w:rsidRDefault="00A610E1" w:rsidP="00A610E1">
      <w:pPr>
        <w:pStyle w:val="BodyText"/>
        <w:spacing w:line="240" w:lineRule="auto"/>
        <w:jc w:val="left"/>
        <w:rPr>
          <w:sz w:val="22"/>
          <w:szCs w:val="22"/>
          <w:lang w:val="pl-PL"/>
        </w:rPr>
      </w:pPr>
    </w:p>
    <w:p w14:paraId="4DF2EEFF" w14:textId="77777777" w:rsidR="00A610E1" w:rsidRPr="00BD22FE" w:rsidRDefault="00A610E1" w:rsidP="00A610E1">
      <w:pPr>
        <w:pStyle w:val="BodyText"/>
        <w:spacing w:line="240" w:lineRule="auto"/>
        <w:jc w:val="left"/>
        <w:rPr>
          <w:sz w:val="22"/>
          <w:szCs w:val="22"/>
          <w:lang w:val="pl-PL"/>
        </w:rPr>
      </w:pPr>
      <w:r w:rsidRPr="00BD22FE">
        <w:rPr>
          <w:sz w:val="22"/>
          <w:szCs w:val="22"/>
          <w:lang w:val="pl-PL"/>
        </w:rPr>
        <w:t>Produkt leczniczy MicardisPlus jest również dostępny w dawkach 40 mg/12,5 mg i 80 mg/12,5 mg.</w:t>
      </w:r>
    </w:p>
    <w:p w14:paraId="7BC78E91" w14:textId="77777777" w:rsidR="00A610E1" w:rsidRPr="00BD22FE" w:rsidRDefault="00A610E1" w:rsidP="00A610E1">
      <w:pPr>
        <w:pStyle w:val="BodyText"/>
        <w:spacing w:line="240" w:lineRule="auto"/>
        <w:jc w:val="left"/>
        <w:rPr>
          <w:sz w:val="22"/>
          <w:szCs w:val="22"/>
          <w:lang w:val="pl-PL"/>
        </w:rPr>
      </w:pPr>
    </w:p>
    <w:p w14:paraId="31B53A07" w14:textId="77777777" w:rsidR="00A610E1" w:rsidRPr="00BD22FE" w:rsidRDefault="00A610E1" w:rsidP="00A610E1">
      <w:pPr>
        <w:pStyle w:val="BodyText"/>
        <w:keepNext/>
        <w:spacing w:line="240" w:lineRule="auto"/>
        <w:jc w:val="left"/>
        <w:rPr>
          <w:i/>
          <w:iCs/>
          <w:sz w:val="22"/>
          <w:szCs w:val="22"/>
          <w:lang w:val="pl-PL"/>
        </w:rPr>
      </w:pPr>
      <w:r w:rsidRPr="00BD22FE">
        <w:rPr>
          <w:i/>
          <w:iCs/>
          <w:sz w:val="22"/>
          <w:szCs w:val="22"/>
          <w:lang w:val="pl-PL"/>
        </w:rPr>
        <w:t>Pacjenci w podeszłym wieku</w:t>
      </w:r>
    </w:p>
    <w:p w14:paraId="14E7C1A0" w14:textId="3EF9EF94" w:rsidR="00A610E1" w:rsidRPr="00BD22FE" w:rsidRDefault="00A610E1" w:rsidP="00A610E1">
      <w:pPr>
        <w:pStyle w:val="BodyText"/>
        <w:spacing w:line="240" w:lineRule="auto"/>
        <w:jc w:val="left"/>
        <w:rPr>
          <w:sz w:val="22"/>
          <w:szCs w:val="22"/>
          <w:lang w:val="pl-PL"/>
        </w:rPr>
      </w:pPr>
      <w:r w:rsidRPr="00BD22FE">
        <w:rPr>
          <w:sz w:val="22"/>
          <w:szCs w:val="22"/>
          <w:lang w:val="pl-PL"/>
        </w:rPr>
        <w:t>Nie ma konieczności dostosowania dawki</w:t>
      </w:r>
      <w:r w:rsidRPr="00BD22FE">
        <w:rPr>
          <w:sz w:val="20"/>
          <w:szCs w:val="20"/>
          <w:lang w:val="pl-PL"/>
        </w:rPr>
        <w:t xml:space="preserve"> </w:t>
      </w:r>
      <w:r w:rsidRPr="00BD22FE">
        <w:rPr>
          <w:sz w:val="22"/>
          <w:szCs w:val="22"/>
          <w:lang w:val="pl-PL"/>
        </w:rPr>
        <w:t>u pacjentów w podeszłym wieku.</w:t>
      </w:r>
    </w:p>
    <w:p w14:paraId="19FBDDEF" w14:textId="77777777" w:rsidR="00A610E1" w:rsidRPr="00BD22FE" w:rsidRDefault="00A610E1" w:rsidP="00A610E1">
      <w:pPr>
        <w:pStyle w:val="BodyText"/>
        <w:spacing w:line="240" w:lineRule="auto"/>
        <w:jc w:val="left"/>
        <w:rPr>
          <w:sz w:val="22"/>
          <w:szCs w:val="22"/>
          <w:lang w:val="pl-PL"/>
        </w:rPr>
      </w:pPr>
    </w:p>
    <w:p w14:paraId="6E7DE640" w14:textId="77777777" w:rsidR="00A610E1" w:rsidRPr="00BD22FE" w:rsidRDefault="00A610E1" w:rsidP="00A610E1">
      <w:pPr>
        <w:keepNext/>
        <w:rPr>
          <w:i/>
          <w:iCs/>
          <w:sz w:val="22"/>
          <w:szCs w:val="22"/>
          <w:lang w:val="pl-PL"/>
        </w:rPr>
      </w:pPr>
      <w:r w:rsidRPr="00BD22FE">
        <w:rPr>
          <w:i/>
          <w:iCs/>
          <w:sz w:val="22"/>
          <w:szCs w:val="22"/>
          <w:lang w:val="pl-PL"/>
        </w:rPr>
        <w:t>Zaburzenia czynności nerek</w:t>
      </w:r>
    </w:p>
    <w:p w14:paraId="6EF70994" w14:textId="705577F9" w:rsidR="00A610E1" w:rsidRPr="00BD22FE" w:rsidRDefault="00A610E1" w:rsidP="00A610E1">
      <w:pPr>
        <w:pStyle w:val="BodyText"/>
        <w:spacing w:line="240" w:lineRule="auto"/>
        <w:jc w:val="left"/>
        <w:rPr>
          <w:sz w:val="22"/>
          <w:szCs w:val="22"/>
          <w:lang w:val="pl-PL"/>
        </w:rPr>
      </w:pPr>
      <w:r w:rsidRPr="00BD22FE">
        <w:rPr>
          <w:sz w:val="22"/>
          <w:szCs w:val="22"/>
          <w:lang w:val="pl-PL"/>
        </w:rPr>
        <w:t xml:space="preserve">Doświadczenie u pacjentów z łagodnymi do umiarkowanych zaburzeniami czynności nerek jest niewielkie, ale nie wskazuje ono na niekorzystny wpływ na nerki i dostosowanie dawki nie jest uważane za konieczne. Zaleca się okresowe monitorowanie czynności nerek (patrz punkt 4.4). </w:t>
      </w:r>
      <w:r w:rsidRPr="00BD22FE">
        <w:rPr>
          <w:sz w:val="22"/>
          <w:szCs w:val="22"/>
          <w:lang w:val="pl-PL"/>
        </w:rPr>
        <w:lastRenderedPageBreak/>
        <w:t>Ze względu na zawartość hydrochlorotiazydu złożony produkt leczniczy o ustalonej dawce jest przeciwwskazany do stosowania u pacjentów z ciężkimi zaburzeniami czynności nerek (klirens kreatyniny &lt; 30 ml/min) (patrz punkt 4.3).</w:t>
      </w:r>
    </w:p>
    <w:p w14:paraId="16375500" w14:textId="77777777" w:rsidR="00A610E1" w:rsidRPr="00BD22FE" w:rsidRDefault="00A610E1" w:rsidP="00A610E1">
      <w:pPr>
        <w:pStyle w:val="BodyText"/>
        <w:spacing w:line="240" w:lineRule="auto"/>
        <w:jc w:val="left"/>
        <w:rPr>
          <w:lang w:val="pl-PL"/>
        </w:rPr>
      </w:pPr>
      <w:r w:rsidRPr="00BD22FE">
        <w:rPr>
          <w:sz w:val="22"/>
          <w:szCs w:val="22"/>
          <w:lang w:val="pl-PL"/>
        </w:rPr>
        <w:t>Telmisartan nie jest usuwany z krwi przez hemofiltrację i nie podlega dializie.</w:t>
      </w:r>
    </w:p>
    <w:p w14:paraId="63C49992" w14:textId="77777777" w:rsidR="00A610E1" w:rsidRPr="00BD22FE" w:rsidRDefault="00A610E1" w:rsidP="00A610E1">
      <w:pPr>
        <w:pStyle w:val="BodyText"/>
        <w:spacing w:line="240" w:lineRule="auto"/>
        <w:jc w:val="left"/>
        <w:rPr>
          <w:sz w:val="22"/>
          <w:szCs w:val="22"/>
          <w:u w:val="single"/>
          <w:lang w:val="pl-PL"/>
        </w:rPr>
      </w:pPr>
    </w:p>
    <w:p w14:paraId="08445534" w14:textId="77777777" w:rsidR="00A610E1" w:rsidRPr="00BD22FE" w:rsidRDefault="00A610E1" w:rsidP="00A610E1">
      <w:pPr>
        <w:keepNext/>
        <w:rPr>
          <w:i/>
          <w:iCs/>
          <w:sz w:val="22"/>
          <w:szCs w:val="22"/>
          <w:lang w:val="pl-PL"/>
        </w:rPr>
      </w:pPr>
      <w:r w:rsidRPr="00BD22FE">
        <w:rPr>
          <w:i/>
          <w:iCs/>
          <w:sz w:val="22"/>
          <w:szCs w:val="22"/>
          <w:lang w:val="pl-PL"/>
        </w:rPr>
        <w:t>Zaburzenia czynności wątroby</w:t>
      </w:r>
    </w:p>
    <w:p w14:paraId="55D6BFC5" w14:textId="67EA7256" w:rsidR="00A610E1" w:rsidRPr="00BD22FE" w:rsidRDefault="00A610E1" w:rsidP="00A610E1">
      <w:pPr>
        <w:pStyle w:val="BodyText"/>
        <w:spacing w:line="240" w:lineRule="auto"/>
        <w:jc w:val="left"/>
        <w:rPr>
          <w:sz w:val="22"/>
          <w:szCs w:val="22"/>
          <w:lang w:val="pl-PL"/>
        </w:rPr>
      </w:pPr>
      <w:r w:rsidRPr="00BD22FE">
        <w:rPr>
          <w:sz w:val="22"/>
          <w:szCs w:val="22"/>
          <w:lang w:val="pl-PL"/>
        </w:rPr>
        <w:t>U pacjentów z łagodnymi do umiarkowanych zaburzeniami czynności wątroby produkt leczniczy MicardisPlus należy podawać z zachowaniem ostrożności. Nie należy przekraczać dawki telmisartanu 40 mg raz na dobę. Złożony produkt leczniczy o ustalonej dawce jest przeciwwskazany do stosowania u pacjentów z ciężkimi zaburzeniami czynności wątroby (patrz punkt 4.3). U pacjentów z zaburzeniami czynności wątroby tiazydy powinny być stosowane z ostrożnością (patrz punkt 4.4).</w:t>
      </w:r>
    </w:p>
    <w:p w14:paraId="2A87D165" w14:textId="77777777" w:rsidR="00A610E1" w:rsidRPr="00BD22FE" w:rsidRDefault="00A610E1" w:rsidP="00A610E1">
      <w:pPr>
        <w:pStyle w:val="BodyText"/>
        <w:spacing w:line="240" w:lineRule="auto"/>
        <w:jc w:val="left"/>
        <w:rPr>
          <w:sz w:val="22"/>
          <w:szCs w:val="22"/>
          <w:lang w:val="pl-PL"/>
        </w:rPr>
      </w:pPr>
    </w:p>
    <w:p w14:paraId="3778C797" w14:textId="77777777" w:rsidR="00A610E1" w:rsidRPr="00BD22FE" w:rsidRDefault="00A610E1" w:rsidP="00A610E1">
      <w:pPr>
        <w:pStyle w:val="BodyText"/>
        <w:keepNext/>
        <w:spacing w:line="240" w:lineRule="auto"/>
        <w:jc w:val="left"/>
        <w:rPr>
          <w:i/>
          <w:sz w:val="22"/>
          <w:szCs w:val="22"/>
          <w:lang w:val="pl-PL"/>
        </w:rPr>
      </w:pPr>
      <w:r w:rsidRPr="00BD22FE">
        <w:rPr>
          <w:i/>
          <w:sz w:val="22"/>
          <w:szCs w:val="22"/>
          <w:lang w:val="pl-PL"/>
        </w:rPr>
        <w:t>Dzieci i młodzież</w:t>
      </w:r>
    </w:p>
    <w:p w14:paraId="2F8DB2AA" w14:textId="77777777" w:rsidR="00A610E1" w:rsidRPr="00BD22FE" w:rsidRDefault="00A610E1" w:rsidP="00A610E1">
      <w:pPr>
        <w:pStyle w:val="BodyText"/>
        <w:spacing w:line="240" w:lineRule="auto"/>
        <w:jc w:val="left"/>
        <w:rPr>
          <w:sz w:val="22"/>
          <w:szCs w:val="22"/>
          <w:lang w:val="pl-PL"/>
        </w:rPr>
      </w:pPr>
      <w:r w:rsidRPr="00BD22FE">
        <w:rPr>
          <w:sz w:val="22"/>
          <w:szCs w:val="22"/>
          <w:lang w:val="pl-PL"/>
        </w:rPr>
        <w:t>Nie określono bezpieczeństwa stosowania ani skuteczności produktu leczniczego MicardisPlus u pacjentów w wieku poniżej 18 lat. Nie zaleca się stosowania produktu leczniczego MicardisPlus u dzieci i młodzieży.</w:t>
      </w:r>
    </w:p>
    <w:p w14:paraId="6A0BF02F" w14:textId="77777777" w:rsidR="00A610E1" w:rsidRPr="00BD22FE" w:rsidRDefault="00A610E1" w:rsidP="00A610E1">
      <w:pPr>
        <w:rPr>
          <w:sz w:val="22"/>
          <w:szCs w:val="22"/>
          <w:lang w:val="pl-PL"/>
        </w:rPr>
      </w:pPr>
    </w:p>
    <w:p w14:paraId="670A1F67" w14:textId="77777777" w:rsidR="00A610E1" w:rsidRPr="00BD22FE" w:rsidRDefault="00A610E1" w:rsidP="00A610E1">
      <w:pPr>
        <w:keepNext/>
        <w:rPr>
          <w:sz w:val="22"/>
          <w:szCs w:val="22"/>
          <w:u w:val="single"/>
          <w:lang w:val="pl-PL"/>
        </w:rPr>
      </w:pPr>
      <w:r w:rsidRPr="00BD22FE">
        <w:rPr>
          <w:sz w:val="22"/>
          <w:szCs w:val="22"/>
          <w:u w:val="single"/>
          <w:lang w:val="pl-PL"/>
        </w:rPr>
        <w:t>Sposób podawania</w:t>
      </w:r>
    </w:p>
    <w:p w14:paraId="0A639494" w14:textId="77777777" w:rsidR="00A610E1" w:rsidRPr="00BD22FE" w:rsidRDefault="00A610E1" w:rsidP="00A610E1">
      <w:pPr>
        <w:rPr>
          <w:sz w:val="22"/>
          <w:szCs w:val="22"/>
          <w:lang w:val="pl-PL"/>
        </w:rPr>
      </w:pPr>
      <w:r w:rsidRPr="00BD22FE">
        <w:rPr>
          <w:sz w:val="22"/>
          <w:szCs w:val="22"/>
          <w:lang w:val="pl-PL"/>
        </w:rPr>
        <w:t>Tabletki produktu leczniczego MicardisPlus należy przyjmować doustnie raz na dobę, połykając w całości i popijając płynem. Produkt leczniczy MicardisPlus można przyjmować niezależnie od posiłków.</w:t>
      </w:r>
    </w:p>
    <w:p w14:paraId="2947A34C" w14:textId="77777777" w:rsidR="00A610E1" w:rsidRPr="00BD22FE" w:rsidRDefault="00A610E1" w:rsidP="00A610E1">
      <w:pPr>
        <w:rPr>
          <w:sz w:val="22"/>
          <w:szCs w:val="22"/>
          <w:lang w:val="pl-PL"/>
        </w:rPr>
      </w:pPr>
    </w:p>
    <w:p w14:paraId="3C50508F" w14:textId="28312B94" w:rsidR="00A610E1" w:rsidRPr="00BD22FE" w:rsidRDefault="00A610E1" w:rsidP="00A610E1">
      <w:pPr>
        <w:keepNext/>
        <w:rPr>
          <w:i/>
          <w:sz w:val="22"/>
          <w:szCs w:val="22"/>
          <w:lang w:val="pl-PL"/>
        </w:rPr>
      </w:pPr>
      <w:r w:rsidRPr="00BD22FE">
        <w:rPr>
          <w:i/>
          <w:sz w:val="22"/>
          <w:szCs w:val="22"/>
          <w:lang w:val="pl-PL"/>
        </w:rPr>
        <w:t>Środki ostrożności, które należy podjąć przed użyciem lub podaniem produktu leczniczego</w:t>
      </w:r>
    </w:p>
    <w:p w14:paraId="702F4F65" w14:textId="2A012F7C" w:rsidR="00A610E1" w:rsidRPr="00BD22FE" w:rsidRDefault="00A610E1" w:rsidP="00A610E1">
      <w:pPr>
        <w:rPr>
          <w:sz w:val="22"/>
          <w:szCs w:val="22"/>
          <w:lang w:val="pl-PL"/>
        </w:rPr>
      </w:pPr>
      <w:r w:rsidRPr="00BD22FE">
        <w:rPr>
          <w:sz w:val="22"/>
          <w:szCs w:val="22"/>
          <w:lang w:val="pl-PL"/>
        </w:rPr>
        <w:t>Produkt leczniczy MicardisPlus należy przechowywać w szczelnie zamkniętym blistrze ze względu na właściwości higroskopijne tabletek. Tabletki należy wyjmować z blistra bezpośrednio przed podaniem</w:t>
      </w:r>
      <w:r w:rsidRPr="00BD22FE" w:rsidDel="00A46089">
        <w:rPr>
          <w:sz w:val="22"/>
          <w:szCs w:val="22"/>
          <w:lang w:val="pl-PL"/>
        </w:rPr>
        <w:t xml:space="preserve"> </w:t>
      </w:r>
      <w:r w:rsidRPr="00BD22FE">
        <w:rPr>
          <w:sz w:val="22"/>
          <w:szCs w:val="22"/>
          <w:lang w:val="pl-PL"/>
        </w:rPr>
        <w:t>(patrz punkt 6.6).</w:t>
      </w:r>
    </w:p>
    <w:p w14:paraId="6205C08A" w14:textId="77777777" w:rsidR="00A610E1" w:rsidRPr="00BD22FE" w:rsidRDefault="00A610E1" w:rsidP="00A610E1">
      <w:pPr>
        <w:pStyle w:val="BodyText"/>
        <w:spacing w:line="240" w:lineRule="auto"/>
        <w:jc w:val="left"/>
        <w:rPr>
          <w:sz w:val="22"/>
          <w:szCs w:val="22"/>
          <w:lang w:val="pl-PL"/>
        </w:rPr>
      </w:pPr>
    </w:p>
    <w:p w14:paraId="11B848E0" w14:textId="77777777" w:rsidR="00A610E1" w:rsidRPr="00BD22FE" w:rsidRDefault="00A610E1" w:rsidP="00A610E1">
      <w:pPr>
        <w:pStyle w:val="BodyText"/>
        <w:keepNext/>
        <w:spacing w:line="240" w:lineRule="auto"/>
        <w:ind w:left="567" w:hanging="567"/>
        <w:jc w:val="left"/>
        <w:rPr>
          <w:b/>
          <w:sz w:val="22"/>
          <w:szCs w:val="22"/>
          <w:lang w:val="pl-PL"/>
        </w:rPr>
      </w:pPr>
      <w:r w:rsidRPr="00BD22FE">
        <w:rPr>
          <w:b/>
          <w:sz w:val="22"/>
          <w:szCs w:val="22"/>
          <w:lang w:val="pl-PL"/>
        </w:rPr>
        <w:t>4.3</w:t>
      </w:r>
      <w:r w:rsidRPr="00BD22FE">
        <w:rPr>
          <w:b/>
          <w:sz w:val="22"/>
          <w:szCs w:val="22"/>
          <w:lang w:val="pl-PL"/>
        </w:rPr>
        <w:tab/>
        <w:t>Przeciwwskazania</w:t>
      </w:r>
    </w:p>
    <w:p w14:paraId="65D06B93" w14:textId="77777777" w:rsidR="00A610E1" w:rsidRPr="00BD22FE" w:rsidRDefault="00A610E1" w:rsidP="00A610E1">
      <w:pPr>
        <w:pStyle w:val="BodyText"/>
        <w:keepNext/>
        <w:spacing w:line="240" w:lineRule="auto"/>
        <w:jc w:val="left"/>
        <w:rPr>
          <w:sz w:val="22"/>
          <w:szCs w:val="22"/>
          <w:lang w:val="pl-PL"/>
        </w:rPr>
      </w:pPr>
    </w:p>
    <w:p w14:paraId="07BBDB12" w14:textId="77777777" w:rsidR="00A610E1" w:rsidRPr="00BD22FE" w:rsidRDefault="00A610E1" w:rsidP="00A610E1">
      <w:pPr>
        <w:numPr>
          <w:ilvl w:val="0"/>
          <w:numId w:val="11"/>
        </w:numPr>
        <w:tabs>
          <w:tab w:val="clear" w:pos="1080"/>
        </w:tabs>
        <w:ind w:left="567" w:hanging="567"/>
        <w:rPr>
          <w:sz w:val="22"/>
          <w:szCs w:val="22"/>
          <w:lang w:val="pl-PL"/>
        </w:rPr>
      </w:pPr>
      <w:r w:rsidRPr="00BD22FE">
        <w:rPr>
          <w:sz w:val="22"/>
          <w:szCs w:val="22"/>
          <w:lang w:val="pl-PL"/>
        </w:rPr>
        <w:t>Nadwrażliwość na którąkolwiek substancję czynną lub na którąkolwiek substancję pomocniczą wymienioną w punkcie 6.1.</w:t>
      </w:r>
    </w:p>
    <w:p w14:paraId="5FE65869" w14:textId="77777777" w:rsidR="00A610E1" w:rsidRPr="00BD22FE" w:rsidRDefault="00A610E1" w:rsidP="00A610E1">
      <w:pPr>
        <w:pStyle w:val="BodyText"/>
        <w:numPr>
          <w:ilvl w:val="0"/>
          <w:numId w:val="4"/>
        </w:numPr>
        <w:tabs>
          <w:tab w:val="clear" w:pos="2520"/>
        </w:tabs>
        <w:spacing w:line="240" w:lineRule="auto"/>
        <w:ind w:left="567" w:hanging="567"/>
        <w:jc w:val="left"/>
        <w:rPr>
          <w:sz w:val="22"/>
          <w:szCs w:val="22"/>
          <w:lang w:val="pl-PL"/>
        </w:rPr>
      </w:pPr>
      <w:r w:rsidRPr="00BD22FE">
        <w:rPr>
          <w:sz w:val="22"/>
          <w:szCs w:val="22"/>
          <w:lang w:val="pl-PL"/>
        </w:rPr>
        <w:t>Nadwrażliwość na inne pochodne sulfonamidowe (HCTZ jest pochodną sulfonamidową).</w:t>
      </w:r>
    </w:p>
    <w:p w14:paraId="22DA9567" w14:textId="77777777" w:rsidR="00A610E1" w:rsidRPr="00BD22FE" w:rsidRDefault="00A610E1" w:rsidP="00A610E1">
      <w:pPr>
        <w:pStyle w:val="BodyText"/>
        <w:numPr>
          <w:ilvl w:val="0"/>
          <w:numId w:val="2"/>
        </w:numPr>
        <w:tabs>
          <w:tab w:val="clear" w:pos="2520"/>
        </w:tabs>
        <w:spacing w:line="240" w:lineRule="auto"/>
        <w:ind w:left="567" w:hanging="567"/>
        <w:jc w:val="left"/>
        <w:rPr>
          <w:sz w:val="22"/>
          <w:szCs w:val="22"/>
          <w:lang w:val="pl-PL"/>
        </w:rPr>
      </w:pPr>
      <w:r w:rsidRPr="00BD22FE">
        <w:rPr>
          <w:sz w:val="22"/>
          <w:szCs w:val="22"/>
          <w:lang w:val="pl-PL"/>
        </w:rPr>
        <w:t>Drugi i trzeci trymestr ciąży (patrz punkty 4.4 i 4.6).</w:t>
      </w:r>
    </w:p>
    <w:p w14:paraId="36A2616B" w14:textId="77777777" w:rsidR="00A610E1" w:rsidRPr="00BD22FE" w:rsidRDefault="00A610E1" w:rsidP="00A610E1">
      <w:pPr>
        <w:pStyle w:val="BodyText"/>
        <w:numPr>
          <w:ilvl w:val="0"/>
          <w:numId w:val="2"/>
        </w:numPr>
        <w:tabs>
          <w:tab w:val="clear" w:pos="2520"/>
        </w:tabs>
        <w:spacing w:line="240" w:lineRule="auto"/>
        <w:ind w:left="567" w:hanging="567"/>
        <w:jc w:val="left"/>
        <w:rPr>
          <w:sz w:val="22"/>
          <w:szCs w:val="22"/>
          <w:lang w:val="pl-PL"/>
        </w:rPr>
      </w:pPr>
      <w:r w:rsidRPr="00BD22FE">
        <w:rPr>
          <w:sz w:val="22"/>
          <w:szCs w:val="22"/>
          <w:lang w:val="pl-PL"/>
        </w:rPr>
        <w:t>Zastój żółci i niedrożność dróg żółciowych.</w:t>
      </w:r>
    </w:p>
    <w:p w14:paraId="0E8006EA" w14:textId="0A877A19" w:rsidR="00A610E1" w:rsidRPr="00BD22FE" w:rsidRDefault="00A610E1" w:rsidP="00A610E1">
      <w:pPr>
        <w:pStyle w:val="BodyText"/>
        <w:numPr>
          <w:ilvl w:val="0"/>
          <w:numId w:val="2"/>
        </w:numPr>
        <w:tabs>
          <w:tab w:val="clear" w:pos="2520"/>
        </w:tabs>
        <w:spacing w:line="240" w:lineRule="auto"/>
        <w:ind w:left="567" w:hanging="567"/>
        <w:jc w:val="left"/>
        <w:rPr>
          <w:sz w:val="22"/>
          <w:szCs w:val="22"/>
          <w:lang w:val="pl-PL"/>
        </w:rPr>
      </w:pPr>
      <w:r w:rsidRPr="00BD22FE">
        <w:rPr>
          <w:sz w:val="22"/>
          <w:szCs w:val="22"/>
          <w:lang w:val="pl-PL"/>
        </w:rPr>
        <w:t>Ciężkie zaburzenia czynności wątroby.</w:t>
      </w:r>
    </w:p>
    <w:p w14:paraId="6095E598" w14:textId="2FE01A7A" w:rsidR="00A610E1" w:rsidRPr="00BD22FE" w:rsidRDefault="00A610E1" w:rsidP="00A610E1">
      <w:pPr>
        <w:pStyle w:val="BodyText"/>
        <w:numPr>
          <w:ilvl w:val="0"/>
          <w:numId w:val="2"/>
        </w:numPr>
        <w:tabs>
          <w:tab w:val="clear" w:pos="2520"/>
        </w:tabs>
        <w:spacing w:line="240" w:lineRule="auto"/>
        <w:ind w:left="567" w:hanging="567"/>
        <w:jc w:val="left"/>
        <w:rPr>
          <w:sz w:val="22"/>
          <w:szCs w:val="22"/>
          <w:lang w:val="pl-PL"/>
        </w:rPr>
      </w:pPr>
      <w:r w:rsidRPr="00BD22FE">
        <w:rPr>
          <w:sz w:val="22"/>
          <w:szCs w:val="22"/>
          <w:lang w:val="pl-PL"/>
        </w:rPr>
        <w:t>Ciężkie zaburzenia czynności nerek (klirens kreatyniny &lt; 30 ml/min), bezmocz.</w:t>
      </w:r>
    </w:p>
    <w:p w14:paraId="7195E6F6" w14:textId="77777777" w:rsidR="00A610E1" w:rsidRPr="00BD22FE" w:rsidRDefault="00A610E1" w:rsidP="00A610E1">
      <w:pPr>
        <w:pStyle w:val="BodyText"/>
        <w:numPr>
          <w:ilvl w:val="0"/>
          <w:numId w:val="2"/>
        </w:numPr>
        <w:tabs>
          <w:tab w:val="clear" w:pos="2520"/>
        </w:tabs>
        <w:spacing w:line="240" w:lineRule="auto"/>
        <w:ind w:left="567" w:hanging="567"/>
        <w:jc w:val="left"/>
        <w:rPr>
          <w:sz w:val="22"/>
          <w:szCs w:val="22"/>
          <w:lang w:val="pl-PL"/>
        </w:rPr>
      </w:pPr>
      <w:r w:rsidRPr="00BD22FE">
        <w:rPr>
          <w:sz w:val="22"/>
          <w:szCs w:val="22"/>
          <w:lang w:val="pl-PL"/>
        </w:rPr>
        <w:t>Oporna na leczenie hipokaliemia, hiperkalcemia.</w:t>
      </w:r>
    </w:p>
    <w:p w14:paraId="1ECA570B" w14:textId="77777777" w:rsidR="00A610E1" w:rsidRPr="00BD22FE" w:rsidRDefault="00A610E1" w:rsidP="00A610E1">
      <w:pPr>
        <w:pStyle w:val="BodyText"/>
        <w:spacing w:line="240" w:lineRule="auto"/>
        <w:jc w:val="left"/>
        <w:rPr>
          <w:sz w:val="22"/>
          <w:szCs w:val="22"/>
          <w:lang w:val="pl-PL"/>
        </w:rPr>
      </w:pPr>
    </w:p>
    <w:p w14:paraId="5379F538" w14:textId="436487F2" w:rsidR="00A610E1" w:rsidRPr="00BD22FE" w:rsidRDefault="00A610E1" w:rsidP="00A610E1">
      <w:pPr>
        <w:rPr>
          <w:sz w:val="22"/>
          <w:szCs w:val="22"/>
          <w:lang w:val="pl-PL"/>
        </w:rPr>
      </w:pPr>
      <w:r w:rsidRPr="00BD22FE">
        <w:rPr>
          <w:sz w:val="22"/>
          <w:szCs w:val="22"/>
          <w:lang w:val="pl-PL"/>
        </w:rPr>
        <w:t>Jednoczesne stosowanie telmisartanu/HCTZ z produktami zawierającymi aliskiren jest przeciwwskazane u pacjentów z cukrzycą lub zaburzeniami czynności nerek (współczynnik filtracji kłębuszkowej, GFR &lt; 60 ml/min/1,73 m</w:t>
      </w:r>
      <w:r w:rsidRPr="00BD22FE">
        <w:rPr>
          <w:sz w:val="22"/>
          <w:szCs w:val="22"/>
          <w:vertAlign w:val="superscript"/>
          <w:lang w:val="pl-PL"/>
        </w:rPr>
        <w:t>2</w:t>
      </w:r>
      <w:r w:rsidRPr="00BD22FE">
        <w:rPr>
          <w:sz w:val="22"/>
          <w:szCs w:val="22"/>
          <w:lang w:val="pl-PL"/>
        </w:rPr>
        <w:t>) (patrz punkty 4.5 i 5.1).</w:t>
      </w:r>
    </w:p>
    <w:p w14:paraId="08C15657" w14:textId="77777777" w:rsidR="00A610E1" w:rsidRPr="00BD22FE" w:rsidRDefault="00A610E1" w:rsidP="00A610E1">
      <w:pPr>
        <w:pStyle w:val="BodyText"/>
        <w:spacing w:line="240" w:lineRule="auto"/>
        <w:jc w:val="left"/>
        <w:rPr>
          <w:sz w:val="22"/>
          <w:szCs w:val="22"/>
          <w:lang w:val="pl-PL"/>
        </w:rPr>
      </w:pPr>
    </w:p>
    <w:p w14:paraId="7C19F7C8" w14:textId="77777777" w:rsidR="00A610E1" w:rsidRPr="00BD22FE" w:rsidRDefault="00A610E1" w:rsidP="00A610E1">
      <w:pPr>
        <w:pStyle w:val="BodyText"/>
        <w:keepNext/>
        <w:spacing w:line="240" w:lineRule="auto"/>
        <w:ind w:left="567" w:hanging="567"/>
        <w:jc w:val="left"/>
        <w:rPr>
          <w:b/>
          <w:sz w:val="22"/>
          <w:szCs w:val="22"/>
          <w:lang w:val="pl-PL"/>
        </w:rPr>
      </w:pPr>
      <w:r w:rsidRPr="00BD22FE">
        <w:rPr>
          <w:b/>
          <w:sz w:val="22"/>
          <w:szCs w:val="22"/>
          <w:lang w:val="pl-PL"/>
        </w:rPr>
        <w:t>4.4</w:t>
      </w:r>
      <w:r w:rsidRPr="00BD22FE">
        <w:rPr>
          <w:b/>
          <w:sz w:val="22"/>
          <w:szCs w:val="22"/>
          <w:lang w:val="pl-PL"/>
        </w:rPr>
        <w:tab/>
        <w:t>Specjalne ostrzeżenia i środki ostrożności dotyczące stosowania</w:t>
      </w:r>
    </w:p>
    <w:p w14:paraId="0B43ABFF" w14:textId="77777777" w:rsidR="00A610E1" w:rsidRPr="00BD22FE" w:rsidRDefault="00A610E1" w:rsidP="00A610E1">
      <w:pPr>
        <w:pStyle w:val="BodyText"/>
        <w:keepNext/>
        <w:spacing w:line="240" w:lineRule="auto"/>
        <w:jc w:val="left"/>
        <w:rPr>
          <w:sz w:val="22"/>
          <w:szCs w:val="22"/>
          <w:lang w:val="pl-PL"/>
        </w:rPr>
      </w:pPr>
    </w:p>
    <w:p w14:paraId="3E29FE53" w14:textId="77777777" w:rsidR="00A610E1" w:rsidRPr="00BD22FE" w:rsidRDefault="00A610E1" w:rsidP="00A610E1">
      <w:pPr>
        <w:pStyle w:val="BodyText"/>
        <w:keepNext/>
        <w:spacing w:line="240" w:lineRule="auto"/>
        <w:jc w:val="left"/>
        <w:rPr>
          <w:sz w:val="22"/>
          <w:szCs w:val="22"/>
          <w:lang w:val="pl-PL"/>
        </w:rPr>
      </w:pPr>
      <w:r w:rsidRPr="00BD22FE">
        <w:rPr>
          <w:sz w:val="22"/>
          <w:szCs w:val="22"/>
          <w:u w:val="single"/>
          <w:lang w:val="pl-PL"/>
        </w:rPr>
        <w:t>Ciąża</w:t>
      </w:r>
    </w:p>
    <w:p w14:paraId="6C0E81D4" w14:textId="2B18175B" w:rsidR="00A610E1" w:rsidRPr="00BD22FE" w:rsidRDefault="00A610E1" w:rsidP="00A610E1">
      <w:pPr>
        <w:pStyle w:val="BodyText"/>
        <w:spacing w:line="240" w:lineRule="auto"/>
        <w:jc w:val="left"/>
        <w:rPr>
          <w:sz w:val="22"/>
          <w:szCs w:val="22"/>
          <w:lang w:val="pl-PL"/>
        </w:rPr>
      </w:pPr>
      <w:r w:rsidRPr="00BD22FE">
        <w:rPr>
          <w:sz w:val="22"/>
          <w:szCs w:val="22"/>
          <w:lang w:val="pl-PL"/>
        </w:rPr>
        <w:t>Nie należy rozpoczynać leczenia blokerami receptora angiotensyny II w okresie ciąży. O ile kontynuacja leczenia za pomocą blokera receptora angiotensyny II nie jest niezbędna, u pacjentek planujących ciążę należy zastosować alternatywne metody leczenia nadciśnienia, które mają ustalony profil bezpieczeństwa stosowania w ciąży. Po stwierdzeniu ciąży leczenie blokerami receptora angiotensyny II należy natychmiast przerwać i w razie potrzeby rozpocząć alternatywne leczenie (patrz punkty 4.3 i 4.6).</w:t>
      </w:r>
    </w:p>
    <w:p w14:paraId="03978D64" w14:textId="77777777" w:rsidR="00A610E1" w:rsidRPr="00BD22FE" w:rsidRDefault="00A610E1" w:rsidP="00A610E1">
      <w:pPr>
        <w:pStyle w:val="BodyText"/>
        <w:spacing w:line="240" w:lineRule="auto"/>
        <w:jc w:val="left"/>
        <w:rPr>
          <w:sz w:val="22"/>
          <w:szCs w:val="22"/>
          <w:u w:val="single"/>
          <w:lang w:val="pl-PL"/>
        </w:rPr>
      </w:pPr>
    </w:p>
    <w:p w14:paraId="6817F40A" w14:textId="77777777" w:rsidR="00A610E1" w:rsidRPr="00BD22FE" w:rsidRDefault="00A610E1" w:rsidP="00A610E1">
      <w:pPr>
        <w:pStyle w:val="BodyText"/>
        <w:keepNext/>
        <w:spacing w:line="240" w:lineRule="auto"/>
        <w:jc w:val="left"/>
        <w:rPr>
          <w:sz w:val="22"/>
          <w:szCs w:val="22"/>
          <w:lang w:val="pl-PL"/>
        </w:rPr>
      </w:pPr>
      <w:r w:rsidRPr="00BD22FE">
        <w:rPr>
          <w:sz w:val="22"/>
          <w:szCs w:val="22"/>
          <w:u w:val="single"/>
          <w:lang w:val="pl-PL"/>
        </w:rPr>
        <w:t>Zaburzenia czynności wątroby</w:t>
      </w:r>
    </w:p>
    <w:p w14:paraId="79FA251B" w14:textId="650FBE11" w:rsidR="00A610E1" w:rsidRPr="00BD22FE" w:rsidRDefault="00A610E1" w:rsidP="00A610E1">
      <w:pPr>
        <w:pStyle w:val="BodyText"/>
        <w:spacing w:line="240" w:lineRule="auto"/>
        <w:jc w:val="left"/>
        <w:rPr>
          <w:sz w:val="22"/>
          <w:szCs w:val="22"/>
          <w:lang w:val="pl-PL"/>
        </w:rPr>
      </w:pPr>
      <w:r w:rsidRPr="00BD22FE">
        <w:rPr>
          <w:sz w:val="22"/>
          <w:szCs w:val="22"/>
          <w:lang w:val="pl-PL"/>
        </w:rPr>
        <w:t>Nie wolno podawać telmisartanu/HCTZ pacjentom z zastojem żółci, zaburzeniami odpływu żółci lub z ciężką niewydolnością wątroby (patrz punkt 4.3), ponieważ telmisartan jest wydalany głównie z żółcią. U tych pacjentów można spodziewać się zmniejszenia klirensu wątrobowego telmisartanu.</w:t>
      </w:r>
    </w:p>
    <w:p w14:paraId="0C6E7838" w14:textId="77777777" w:rsidR="00A610E1" w:rsidRPr="00BD22FE" w:rsidRDefault="00A610E1" w:rsidP="00A610E1">
      <w:pPr>
        <w:pStyle w:val="BodyText"/>
        <w:spacing w:line="240" w:lineRule="auto"/>
        <w:jc w:val="left"/>
        <w:rPr>
          <w:sz w:val="22"/>
          <w:szCs w:val="22"/>
          <w:lang w:val="pl-PL"/>
        </w:rPr>
      </w:pPr>
    </w:p>
    <w:p w14:paraId="0506B61E" w14:textId="13519A9F" w:rsidR="00A610E1" w:rsidRPr="00BD22FE" w:rsidRDefault="00A610E1" w:rsidP="00A610E1">
      <w:pPr>
        <w:pStyle w:val="BodyText"/>
        <w:spacing w:line="240" w:lineRule="auto"/>
        <w:jc w:val="left"/>
        <w:rPr>
          <w:sz w:val="22"/>
          <w:szCs w:val="22"/>
          <w:lang w:val="pl-PL"/>
        </w:rPr>
      </w:pPr>
      <w:r w:rsidRPr="00BD22FE">
        <w:rPr>
          <w:sz w:val="22"/>
          <w:szCs w:val="22"/>
          <w:lang w:val="pl-PL"/>
        </w:rPr>
        <w:lastRenderedPageBreak/>
        <w:t>Ponadto należy zachować ostrożność w przypadku stosowania telmisartanu/HCTZ pacjentom z zaburzeniem czynności wątroby lub z postępującą chorobą wątroby, ponieważ nieznaczne zmiany równowagi wodno-elektrolitowej mogą przyśpieszyć wystąpienie śpiączki wątrobowej. Brak doświadczenia klinicznego ze stosowaniem telmisartanu/HCTZ u pacjentów z zaburzeniem czynności wątroby.</w:t>
      </w:r>
    </w:p>
    <w:p w14:paraId="6D855218" w14:textId="77777777" w:rsidR="00A610E1" w:rsidRPr="00BD22FE" w:rsidRDefault="00A610E1" w:rsidP="00A610E1">
      <w:pPr>
        <w:pStyle w:val="BodyText"/>
        <w:spacing w:line="240" w:lineRule="auto"/>
        <w:jc w:val="left"/>
        <w:rPr>
          <w:sz w:val="22"/>
          <w:szCs w:val="22"/>
          <w:lang w:val="pl-PL"/>
        </w:rPr>
      </w:pPr>
    </w:p>
    <w:p w14:paraId="2EAB6193" w14:textId="77777777" w:rsidR="00A610E1" w:rsidRPr="00BD22FE" w:rsidRDefault="00A610E1" w:rsidP="00A610E1">
      <w:pPr>
        <w:pStyle w:val="BodyText"/>
        <w:keepNext/>
        <w:spacing w:line="240" w:lineRule="auto"/>
        <w:jc w:val="left"/>
        <w:rPr>
          <w:sz w:val="22"/>
          <w:szCs w:val="22"/>
          <w:lang w:val="pl-PL"/>
        </w:rPr>
      </w:pPr>
      <w:r w:rsidRPr="00BD22FE">
        <w:rPr>
          <w:sz w:val="22"/>
          <w:szCs w:val="22"/>
          <w:u w:val="single"/>
          <w:lang w:val="pl-PL"/>
        </w:rPr>
        <w:t>Nadciśnienie naczyniowo-nerkowe</w:t>
      </w:r>
    </w:p>
    <w:p w14:paraId="7FCB0BCE" w14:textId="7856F78F" w:rsidR="00A610E1" w:rsidRPr="00BD22FE" w:rsidRDefault="00A610E1" w:rsidP="00A610E1">
      <w:pPr>
        <w:pStyle w:val="BodyText"/>
        <w:spacing w:line="240" w:lineRule="auto"/>
        <w:jc w:val="left"/>
        <w:rPr>
          <w:sz w:val="22"/>
          <w:szCs w:val="22"/>
          <w:lang w:val="pl-PL"/>
        </w:rPr>
      </w:pPr>
      <w:r w:rsidRPr="00BD22FE">
        <w:rPr>
          <w:sz w:val="22"/>
          <w:szCs w:val="22"/>
          <w:lang w:val="pl-PL"/>
        </w:rPr>
        <w:t>Stwierdzono zwiększone ryzyko wystąpienia ciężkiego niedociśnienia tętniczego i niewydolności nerek podczas leczenia produktami leczniczymi wpływającymi na układ renina-angiotensyna-aldosteron pacjentów z obustronnym zwężeniem tętnic nerkowych lub ze zwężeniem tętnicy nerkowej w przypadku jednej czynnej nerki.</w:t>
      </w:r>
    </w:p>
    <w:p w14:paraId="2B90E203" w14:textId="77777777" w:rsidR="00A610E1" w:rsidRPr="00BD22FE" w:rsidRDefault="00A610E1" w:rsidP="00A610E1">
      <w:pPr>
        <w:pStyle w:val="BodyText"/>
        <w:spacing w:line="240" w:lineRule="auto"/>
        <w:jc w:val="left"/>
        <w:rPr>
          <w:sz w:val="22"/>
          <w:szCs w:val="22"/>
          <w:lang w:val="pl-PL"/>
        </w:rPr>
      </w:pPr>
    </w:p>
    <w:p w14:paraId="703B5073" w14:textId="0BA2B978" w:rsidR="00A610E1" w:rsidRPr="00BD22FE" w:rsidRDefault="00A610E1" w:rsidP="00A610E1">
      <w:pPr>
        <w:pStyle w:val="BodyText"/>
        <w:keepNext/>
        <w:spacing w:line="240" w:lineRule="auto"/>
        <w:jc w:val="left"/>
        <w:rPr>
          <w:sz w:val="22"/>
          <w:szCs w:val="22"/>
          <w:lang w:val="pl-PL"/>
        </w:rPr>
      </w:pPr>
      <w:r w:rsidRPr="00BD22FE">
        <w:rPr>
          <w:sz w:val="22"/>
          <w:szCs w:val="22"/>
          <w:u w:val="single"/>
          <w:lang w:val="pl-PL"/>
        </w:rPr>
        <w:t>Zaburzenia czynności nerek i przeszczep nerki</w:t>
      </w:r>
    </w:p>
    <w:p w14:paraId="2E8A30EF" w14:textId="28F4782B" w:rsidR="00A610E1" w:rsidRPr="00BD22FE" w:rsidRDefault="00A610E1" w:rsidP="00A610E1">
      <w:pPr>
        <w:pStyle w:val="BodyText"/>
        <w:spacing w:line="240" w:lineRule="auto"/>
        <w:jc w:val="left"/>
        <w:rPr>
          <w:sz w:val="22"/>
          <w:szCs w:val="22"/>
          <w:lang w:val="pl-PL"/>
        </w:rPr>
      </w:pPr>
      <w:r w:rsidRPr="00BD22FE">
        <w:rPr>
          <w:sz w:val="22"/>
          <w:szCs w:val="22"/>
          <w:lang w:val="pl-PL"/>
        </w:rPr>
        <w:t>Telmisartanu/HCTZ nie wolno stosować u pacjentów z ciężkimi zaburzeniami czynności nerek (klirens kreatyniny &lt; 30 ml/min) (patrz punkt 4.3). Brak doświadczenia odnośnie podawania telmisartanu/HCTZ pacjentom po niedawno przebytym przeszczepieniu nerki. Istnieje niewielkie doświadczenie w stosowaniu telmisartanu/HCTZ u pacjentów z łagodnymi do umiarkowanych zaburzeniami czynności nerek, w związku z tym zaleca się okresowe monitorowanie stężenia potasu, kreatyniny i kwasu moczowego w surowicy krwi. U pacjentów z zaburzeniami czynności nerek może wystąpić azotemia związana z podawanym diuretykiem tiazydowym.</w:t>
      </w:r>
    </w:p>
    <w:p w14:paraId="0683FCB2" w14:textId="77777777" w:rsidR="00A610E1" w:rsidRPr="00BD22FE" w:rsidRDefault="00A610E1" w:rsidP="00A610E1">
      <w:pPr>
        <w:pStyle w:val="BodyText"/>
        <w:spacing w:line="240" w:lineRule="auto"/>
        <w:jc w:val="left"/>
        <w:rPr>
          <w:lang w:val="pl-PL"/>
        </w:rPr>
      </w:pPr>
      <w:r w:rsidRPr="00BD22FE">
        <w:rPr>
          <w:sz w:val="22"/>
          <w:szCs w:val="22"/>
          <w:lang w:val="pl-PL"/>
        </w:rPr>
        <w:t>Telmisartan nie jest usuwany z krwi przez hemofiltrację i nie podlega dializie.</w:t>
      </w:r>
    </w:p>
    <w:p w14:paraId="1081F12A" w14:textId="77777777" w:rsidR="00A610E1" w:rsidRPr="00BD22FE" w:rsidRDefault="00A610E1" w:rsidP="00A610E1">
      <w:pPr>
        <w:pStyle w:val="BodyText"/>
        <w:spacing w:line="240" w:lineRule="auto"/>
        <w:jc w:val="left"/>
        <w:rPr>
          <w:sz w:val="22"/>
          <w:szCs w:val="22"/>
          <w:lang w:val="pl-PL"/>
        </w:rPr>
      </w:pPr>
    </w:p>
    <w:p w14:paraId="640D8A15" w14:textId="77777777" w:rsidR="00A610E1" w:rsidRPr="00BD22FE" w:rsidRDefault="00A610E1" w:rsidP="00A610E1">
      <w:pPr>
        <w:pStyle w:val="BodyText"/>
        <w:keepNext/>
        <w:spacing w:line="240" w:lineRule="auto"/>
        <w:jc w:val="left"/>
        <w:rPr>
          <w:sz w:val="22"/>
          <w:szCs w:val="22"/>
          <w:lang w:val="pl-PL"/>
        </w:rPr>
      </w:pPr>
      <w:r w:rsidRPr="00BD22FE">
        <w:rPr>
          <w:sz w:val="22"/>
          <w:szCs w:val="22"/>
          <w:u w:val="single"/>
          <w:lang w:val="pl-PL"/>
        </w:rPr>
        <w:t>Pacjenci ze zmniejszoną objętością wewnątrznaczyniową i (lub) zmniejszonym stężeniem sodu</w:t>
      </w:r>
    </w:p>
    <w:p w14:paraId="76773FD0" w14:textId="45B2C005" w:rsidR="00A610E1" w:rsidRPr="00BD22FE" w:rsidRDefault="00A610E1" w:rsidP="00A610E1">
      <w:pPr>
        <w:pStyle w:val="BodyText"/>
        <w:spacing w:line="240" w:lineRule="auto"/>
        <w:jc w:val="left"/>
        <w:rPr>
          <w:sz w:val="22"/>
          <w:szCs w:val="22"/>
          <w:lang w:val="pl-PL"/>
        </w:rPr>
      </w:pPr>
      <w:r w:rsidRPr="00BD22FE">
        <w:rPr>
          <w:sz w:val="22"/>
          <w:szCs w:val="22"/>
          <w:lang w:val="pl-PL"/>
        </w:rPr>
        <w:t>Objawowe niedociśnienie tętnicze, szczególnie po pierwszej dawce, może wystąpić u pacjentów ze zmniejszoną objętością wewnątrznaczyniową i (lub) zmniejszonym stężeniem sodu w wyniku intensywnego leczenia moczopędnego, ograniczenia spożycia soli, biegunki lub wymiotów. Zaburzenia te, w szczególności zmniejszenie objętości wewnątrznaczyniowej i (lub) zmniejszenie stężenia sodu, powinny zostać wyrównane przed podaniem produktu leczniczego MicardisPlus.</w:t>
      </w:r>
    </w:p>
    <w:p w14:paraId="57D7F5E3" w14:textId="77777777" w:rsidR="00A610E1" w:rsidRPr="00BD22FE" w:rsidRDefault="00A610E1" w:rsidP="00A610E1">
      <w:pPr>
        <w:rPr>
          <w:sz w:val="22"/>
          <w:szCs w:val="22"/>
          <w:lang w:val="pl-PL"/>
        </w:rPr>
      </w:pPr>
      <w:r w:rsidRPr="00BD22FE">
        <w:rPr>
          <w:sz w:val="22"/>
          <w:szCs w:val="22"/>
          <w:lang w:val="pl-PL"/>
        </w:rPr>
        <w:t>W przypadku stosowania HCTZ obserwowano izolowane przypadki hiponatremii z towarzyszącymi objawami neurologicznymi (nudności, postępująca dezorientacja, apatia).</w:t>
      </w:r>
    </w:p>
    <w:p w14:paraId="1300F1E4" w14:textId="77777777" w:rsidR="00A610E1" w:rsidRPr="00BD22FE" w:rsidRDefault="00A610E1" w:rsidP="00A610E1">
      <w:pPr>
        <w:rPr>
          <w:sz w:val="22"/>
          <w:szCs w:val="22"/>
          <w:u w:val="single"/>
          <w:lang w:val="pl-PL"/>
        </w:rPr>
      </w:pPr>
    </w:p>
    <w:p w14:paraId="264C64F0" w14:textId="77777777" w:rsidR="00A610E1" w:rsidRPr="00BD22FE" w:rsidRDefault="00A610E1" w:rsidP="00A610E1">
      <w:pPr>
        <w:keepNext/>
        <w:rPr>
          <w:sz w:val="22"/>
          <w:szCs w:val="22"/>
          <w:u w:val="single"/>
          <w:lang w:val="pl-PL"/>
        </w:rPr>
      </w:pPr>
      <w:r w:rsidRPr="00BD22FE">
        <w:rPr>
          <w:sz w:val="22"/>
          <w:szCs w:val="22"/>
          <w:u w:val="single"/>
          <w:lang w:val="pl-PL"/>
        </w:rPr>
        <w:t>Podwójna blokada układu renina-angiotensyna-aldosteron (RAA) (ang. Renin-Angiotensin-Aldosterone-system, RAAS)</w:t>
      </w:r>
    </w:p>
    <w:p w14:paraId="5BC90C00" w14:textId="1E1215CA" w:rsidR="00A610E1" w:rsidRPr="00BD22FE" w:rsidRDefault="00A610E1" w:rsidP="00A610E1">
      <w:pPr>
        <w:rPr>
          <w:sz w:val="22"/>
          <w:szCs w:val="22"/>
          <w:lang w:val="pl-PL"/>
        </w:rPr>
      </w:pPr>
      <w:r w:rsidRPr="00BD22FE">
        <w:rPr>
          <w:sz w:val="22"/>
          <w:szCs w:val="22"/>
          <w:lang w:val="pl-PL"/>
        </w:rPr>
        <w:t>Istnieją dowody, iż jednoczesne stosowanie inhibitorów konwertazy angiotensyny (ang. Angiotensin Converting Enzyme Inhibitors, ACEi), blokerów receptora angiotensyny II lub aliskirenu zwiększa ryzyko niedociśnienia tętniczego, hiperkaliemii oraz zaburzeń czynności nerek (w tym ostrej niewydolności nerek). W związku z tym nie zaleca się podwójnego blokowania układu RAA poprzez jednoczesne stosowanie inhibitorów ACE, blokerów receptora angiotensyny II lub aliskirenu (patrz punkty 4.5 i 5.1).</w:t>
      </w:r>
    </w:p>
    <w:p w14:paraId="4ADE3A69" w14:textId="7C1F3526" w:rsidR="00A610E1" w:rsidRPr="00BD22FE" w:rsidRDefault="00A610E1" w:rsidP="00A610E1">
      <w:pPr>
        <w:rPr>
          <w:sz w:val="22"/>
          <w:szCs w:val="22"/>
          <w:lang w:val="pl-PL"/>
        </w:rPr>
      </w:pPr>
      <w:r w:rsidRPr="00BD22FE">
        <w:rPr>
          <w:sz w:val="22"/>
          <w:szCs w:val="22"/>
          <w:lang w:val="pl-PL"/>
        </w:rPr>
        <w:t>Jeśli zastosowanie podwójnej blokady układu RAA uważa się za absolutnie konieczne, powinno być prowadzone wyłącznie pod nadzorem specjalisty, a czynność nerek, stężenie elektrolitów oraz ciśnienie tętnicze krwi powinny być często i ściśle monitorowane.</w:t>
      </w:r>
    </w:p>
    <w:p w14:paraId="4A73A2E3" w14:textId="0F89EAD1" w:rsidR="00A610E1" w:rsidRPr="00BD22FE" w:rsidRDefault="00A610E1" w:rsidP="00A610E1">
      <w:pPr>
        <w:rPr>
          <w:sz w:val="22"/>
          <w:szCs w:val="22"/>
          <w:lang w:val="pl-PL"/>
        </w:rPr>
      </w:pPr>
      <w:r w:rsidRPr="00BD22FE">
        <w:rPr>
          <w:sz w:val="22"/>
          <w:szCs w:val="22"/>
          <w:lang w:val="pl-PL"/>
        </w:rPr>
        <w:t>U pacjentów z nefropatią cukrzycową nie należy stosować jednocześnie inhibitorów ACE oraz blokerów receptora angiotensyny II.</w:t>
      </w:r>
    </w:p>
    <w:p w14:paraId="513CC903" w14:textId="77777777" w:rsidR="00A610E1" w:rsidRPr="00BD22FE" w:rsidRDefault="00A610E1" w:rsidP="00A610E1">
      <w:pPr>
        <w:rPr>
          <w:sz w:val="22"/>
          <w:szCs w:val="22"/>
          <w:lang w:val="pl-PL"/>
        </w:rPr>
      </w:pPr>
    </w:p>
    <w:p w14:paraId="23F85D2C" w14:textId="77777777" w:rsidR="00A610E1" w:rsidRPr="00BD22FE" w:rsidRDefault="00A610E1" w:rsidP="00A610E1">
      <w:pPr>
        <w:pStyle w:val="BodyText"/>
        <w:keepNext/>
        <w:spacing w:line="240" w:lineRule="auto"/>
        <w:jc w:val="left"/>
        <w:rPr>
          <w:sz w:val="22"/>
          <w:szCs w:val="22"/>
          <w:u w:val="single"/>
          <w:lang w:val="pl-PL"/>
        </w:rPr>
      </w:pPr>
      <w:r w:rsidRPr="00BD22FE">
        <w:rPr>
          <w:sz w:val="22"/>
          <w:szCs w:val="22"/>
          <w:u w:val="single"/>
          <w:lang w:val="pl-PL"/>
        </w:rPr>
        <w:t>Inne stany związane z pobudzeniem układu renina-angiotensyna-aldosteron</w:t>
      </w:r>
    </w:p>
    <w:p w14:paraId="0A1B15BD" w14:textId="1FF7DDA1" w:rsidR="00A610E1" w:rsidRPr="00BD22FE" w:rsidRDefault="00A610E1" w:rsidP="00A610E1">
      <w:pPr>
        <w:pStyle w:val="BodyText"/>
        <w:spacing w:line="240" w:lineRule="auto"/>
        <w:jc w:val="left"/>
        <w:rPr>
          <w:sz w:val="22"/>
          <w:szCs w:val="22"/>
          <w:lang w:val="pl-PL"/>
        </w:rPr>
      </w:pPr>
      <w:r w:rsidRPr="00BD22FE">
        <w:rPr>
          <w:sz w:val="22"/>
          <w:szCs w:val="22"/>
          <w:lang w:val="pl-PL"/>
        </w:rPr>
        <w:t>U pacjentów, u których napięcie naczyniowe i czynność nerek zależą głównie od aktywności układu renina-angiotensyna-aldosteron (np. pacjenci z ciężką zastoinową niewydolnością serca lub z chorobami nerek, w tym ze zwężeniem tętnicy nerkowej) leczenie produktami leczniczymi</w:t>
      </w:r>
      <w:r w:rsidRPr="00BD22FE" w:rsidDel="003B5FF4">
        <w:rPr>
          <w:sz w:val="22"/>
          <w:szCs w:val="22"/>
          <w:lang w:val="pl-PL"/>
        </w:rPr>
        <w:t xml:space="preserve"> </w:t>
      </w:r>
      <w:r w:rsidRPr="00BD22FE">
        <w:rPr>
          <w:sz w:val="22"/>
          <w:szCs w:val="22"/>
          <w:lang w:val="pl-PL"/>
        </w:rPr>
        <w:t>wpływającymi na ten układ było związane z gwałtownym obniżeniem ciśnienia tętniczego krwi, hiperazotemią, oligurią oraz rzadko, z ostrą niewydolnością nerek (patrz punkt 4.8).</w:t>
      </w:r>
    </w:p>
    <w:p w14:paraId="4C1DA257" w14:textId="77777777" w:rsidR="00A610E1" w:rsidRPr="00BD22FE" w:rsidRDefault="00A610E1" w:rsidP="00A610E1">
      <w:pPr>
        <w:pStyle w:val="BodyText"/>
        <w:spacing w:line="240" w:lineRule="auto"/>
        <w:jc w:val="left"/>
        <w:rPr>
          <w:sz w:val="22"/>
          <w:szCs w:val="22"/>
          <w:lang w:val="pl-PL"/>
        </w:rPr>
      </w:pPr>
    </w:p>
    <w:p w14:paraId="27E9C3AA" w14:textId="77777777" w:rsidR="00A610E1" w:rsidRPr="00BD22FE" w:rsidRDefault="00A610E1" w:rsidP="00A610E1">
      <w:pPr>
        <w:pStyle w:val="BodyText"/>
        <w:keepNext/>
        <w:spacing w:line="240" w:lineRule="auto"/>
        <w:jc w:val="left"/>
        <w:rPr>
          <w:sz w:val="22"/>
          <w:szCs w:val="22"/>
          <w:u w:val="single"/>
          <w:lang w:val="pl-PL"/>
        </w:rPr>
      </w:pPr>
      <w:r w:rsidRPr="00BD22FE">
        <w:rPr>
          <w:sz w:val="22"/>
          <w:szCs w:val="22"/>
          <w:u w:val="single"/>
          <w:lang w:val="pl-PL"/>
        </w:rPr>
        <w:t>Pierwotny hiperaldosteronizm</w:t>
      </w:r>
    </w:p>
    <w:p w14:paraId="1019CA4F" w14:textId="7878463A" w:rsidR="00A610E1" w:rsidRPr="00BD22FE" w:rsidRDefault="00A610E1" w:rsidP="00A610E1">
      <w:pPr>
        <w:pStyle w:val="BodyText"/>
        <w:spacing w:line="240" w:lineRule="auto"/>
        <w:jc w:val="left"/>
        <w:rPr>
          <w:sz w:val="22"/>
          <w:szCs w:val="22"/>
          <w:lang w:val="pl-PL"/>
        </w:rPr>
      </w:pPr>
      <w:r w:rsidRPr="00BD22FE">
        <w:rPr>
          <w:sz w:val="22"/>
          <w:szCs w:val="22"/>
          <w:lang w:val="pl-PL"/>
        </w:rPr>
        <w:t>Pacjenci z pierwotnym hiperaldosteronizmem przeważnie nie odpowiadają na leczenie przeciwnadciśnieniowymi produktami leczniczymi działającymi poprzez hamowanie układu renina-angiotensyna. Tak więc stosowanie telmisartanu/HCTZ nie jest zalecane.</w:t>
      </w:r>
    </w:p>
    <w:p w14:paraId="4872FFA8" w14:textId="77777777" w:rsidR="00A610E1" w:rsidRPr="00BD22FE" w:rsidRDefault="00A610E1" w:rsidP="00A610E1">
      <w:pPr>
        <w:pStyle w:val="BodyText"/>
        <w:spacing w:line="240" w:lineRule="auto"/>
        <w:jc w:val="left"/>
        <w:rPr>
          <w:sz w:val="22"/>
          <w:szCs w:val="22"/>
          <w:lang w:val="pl-PL"/>
        </w:rPr>
      </w:pPr>
    </w:p>
    <w:p w14:paraId="7EC6AA64" w14:textId="77777777" w:rsidR="00A610E1" w:rsidRPr="00BD22FE" w:rsidRDefault="00A610E1" w:rsidP="00A610E1">
      <w:pPr>
        <w:pStyle w:val="BodyText"/>
        <w:keepNext/>
        <w:spacing w:line="240" w:lineRule="auto"/>
        <w:jc w:val="left"/>
        <w:rPr>
          <w:sz w:val="22"/>
          <w:szCs w:val="22"/>
          <w:u w:val="single"/>
          <w:lang w:val="pl-PL"/>
        </w:rPr>
      </w:pPr>
      <w:r w:rsidRPr="00BD22FE">
        <w:rPr>
          <w:sz w:val="22"/>
          <w:szCs w:val="22"/>
          <w:u w:val="single"/>
          <w:lang w:val="pl-PL"/>
        </w:rPr>
        <w:lastRenderedPageBreak/>
        <w:t>Zwężenie zastawki aortalnej i dwudzielnej, przerostowa kardiomiopatia zawężająca</w:t>
      </w:r>
    </w:p>
    <w:p w14:paraId="2683C0C8" w14:textId="7A330B78" w:rsidR="00A610E1" w:rsidRPr="00BD22FE" w:rsidRDefault="00A610E1" w:rsidP="00A610E1">
      <w:pPr>
        <w:pStyle w:val="BodyText"/>
        <w:spacing w:line="240" w:lineRule="auto"/>
        <w:jc w:val="left"/>
        <w:rPr>
          <w:sz w:val="22"/>
          <w:szCs w:val="22"/>
          <w:lang w:val="pl-PL"/>
        </w:rPr>
      </w:pPr>
      <w:r w:rsidRPr="00BD22FE">
        <w:rPr>
          <w:sz w:val="22"/>
          <w:szCs w:val="22"/>
          <w:lang w:val="pl-PL"/>
        </w:rPr>
        <w:t>Podobnie jak w przypadku innych leków rozszerzających naczynia krwionośne, wskazane jest zachowanie szczególnej ostrożności u pacjentów ze zwężeniem zastawki aortalnej lub dwudzielnej, lub przerostową kardiomiopatią zawężającą.</w:t>
      </w:r>
    </w:p>
    <w:p w14:paraId="27877546" w14:textId="77777777" w:rsidR="00A610E1" w:rsidRPr="00BD22FE" w:rsidRDefault="00A610E1" w:rsidP="00A610E1">
      <w:pPr>
        <w:pStyle w:val="BodyText"/>
        <w:spacing w:line="240" w:lineRule="auto"/>
        <w:jc w:val="left"/>
        <w:rPr>
          <w:sz w:val="22"/>
          <w:szCs w:val="22"/>
          <w:lang w:val="pl-PL"/>
        </w:rPr>
      </w:pPr>
    </w:p>
    <w:p w14:paraId="12AAD640" w14:textId="77777777" w:rsidR="00A610E1" w:rsidRPr="00BD22FE" w:rsidRDefault="00A610E1" w:rsidP="00A610E1">
      <w:pPr>
        <w:pStyle w:val="BodyText"/>
        <w:keepNext/>
        <w:spacing w:line="240" w:lineRule="auto"/>
        <w:jc w:val="left"/>
        <w:rPr>
          <w:sz w:val="22"/>
          <w:szCs w:val="22"/>
          <w:u w:val="single"/>
          <w:lang w:val="pl-PL"/>
        </w:rPr>
      </w:pPr>
      <w:r w:rsidRPr="00BD22FE">
        <w:rPr>
          <w:sz w:val="22"/>
          <w:szCs w:val="22"/>
          <w:u w:val="single"/>
          <w:lang w:val="pl-PL"/>
        </w:rPr>
        <w:t>Wpływ na metabolizm i układ dokrewny</w:t>
      </w:r>
    </w:p>
    <w:p w14:paraId="3EEA043B" w14:textId="04FB5C72" w:rsidR="00A610E1" w:rsidRPr="00BD22FE" w:rsidRDefault="00A610E1" w:rsidP="00A610E1">
      <w:pPr>
        <w:pStyle w:val="BodyText"/>
        <w:spacing w:line="240" w:lineRule="auto"/>
        <w:jc w:val="left"/>
        <w:rPr>
          <w:sz w:val="22"/>
          <w:szCs w:val="22"/>
          <w:lang w:val="pl-PL"/>
        </w:rPr>
      </w:pPr>
      <w:r w:rsidRPr="00BD22FE">
        <w:rPr>
          <w:sz w:val="22"/>
          <w:szCs w:val="22"/>
          <w:lang w:val="pl-PL"/>
        </w:rPr>
        <w:t>Leczenie tiazydem może zaburzać tolerancję glukozy, natomiast u pacjentów z cukrzycą przyjmujących insulinę lub leki przeciwcukrzycowe oraz telmisartan może wystąpić hipoglikemia. Dlatego u tych pacjentów należy rozważyć monitorowanie stężenia glukozy; jeśli istnieją takie wskazania, konieczna może być modyfikacja dawki insuliny lub leków przeciwcukrzycowych. Cukrzyca utajona może się ujawnić w trakcie leczenia tiazydem.</w:t>
      </w:r>
    </w:p>
    <w:p w14:paraId="32B12101" w14:textId="77777777" w:rsidR="00A610E1" w:rsidRPr="00BD22FE" w:rsidRDefault="00A610E1" w:rsidP="00A610E1">
      <w:pPr>
        <w:pStyle w:val="BodyText"/>
        <w:spacing w:line="240" w:lineRule="auto"/>
        <w:jc w:val="left"/>
        <w:rPr>
          <w:sz w:val="22"/>
          <w:szCs w:val="22"/>
          <w:lang w:val="pl-PL"/>
        </w:rPr>
      </w:pPr>
    </w:p>
    <w:p w14:paraId="504BE779" w14:textId="679B4BC1" w:rsidR="00A610E1" w:rsidRPr="00BD22FE" w:rsidRDefault="00A610E1" w:rsidP="00A610E1">
      <w:pPr>
        <w:pStyle w:val="BodyText"/>
        <w:spacing w:line="240" w:lineRule="auto"/>
        <w:jc w:val="left"/>
        <w:rPr>
          <w:sz w:val="22"/>
          <w:szCs w:val="22"/>
          <w:lang w:val="pl-PL"/>
        </w:rPr>
      </w:pPr>
      <w:r w:rsidRPr="00BD22FE">
        <w:rPr>
          <w:sz w:val="22"/>
          <w:szCs w:val="22"/>
          <w:lang w:val="pl-PL"/>
        </w:rPr>
        <w:t>Leczenie diuretykami było związane ze zwiększeniem stężenia cholesterolu i triglicerydów, jednak po dawce 12,5 mg zawartej w produkcie leczniczym odnotowano minimalny wpływ lub nie odnotowano żadnego wpływu na ich stężenie. U niektórych pacjentów przyjmujących tiazyd może wystąpić hiperurykemia lub może zostać przyśpieszone wystąpienie pełnoobjawowej dny moczanowej.</w:t>
      </w:r>
    </w:p>
    <w:p w14:paraId="0AFBEB12" w14:textId="77777777" w:rsidR="00A610E1" w:rsidRPr="00BD22FE" w:rsidRDefault="00A610E1" w:rsidP="00A610E1">
      <w:pPr>
        <w:pStyle w:val="BodyText"/>
        <w:spacing w:line="240" w:lineRule="auto"/>
        <w:jc w:val="left"/>
        <w:rPr>
          <w:sz w:val="22"/>
          <w:szCs w:val="22"/>
          <w:lang w:val="pl-PL"/>
        </w:rPr>
      </w:pPr>
    </w:p>
    <w:p w14:paraId="7D75CA68" w14:textId="77777777" w:rsidR="00A610E1" w:rsidRPr="00BD22FE" w:rsidRDefault="00A610E1" w:rsidP="00A610E1">
      <w:pPr>
        <w:pStyle w:val="BodyText"/>
        <w:keepNext/>
        <w:spacing w:line="240" w:lineRule="auto"/>
        <w:jc w:val="left"/>
        <w:rPr>
          <w:sz w:val="22"/>
          <w:szCs w:val="22"/>
          <w:lang w:val="pl-PL"/>
        </w:rPr>
      </w:pPr>
      <w:r w:rsidRPr="00BD22FE">
        <w:rPr>
          <w:sz w:val="22"/>
          <w:szCs w:val="22"/>
          <w:u w:val="single"/>
          <w:lang w:val="pl-PL"/>
        </w:rPr>
        <w:t>Zaburzenia równowagi elektrolitowej</w:t>
      </w:r>
    </w:p>
    <w:p w14:paraId="2AE2F2D1" w14:textId="4BB62B17" w:rsidR="00A610E1" w:rsidRPr="00BD22FE" w:rsidRDefault="00A610E1" w:rsidP="00A610E1">
      <w:pPr>
        <w:pStyle w:val="BodyText"/>
        <w:spacing w:line="240" w:lineRule="auto"/>
        <w:jc w:val="left"/>
        <w:rPr>
          <w:sz w:val="22"/>
          <w:szCs w:val="22"/>
          <w:lang w:val="pl-PL"/>
        </w:rPr>
      </w:pPr>
      <w:r w:rsidRPr="00BD22FE">
        <w:rPr>
          <w:sz w:val="22"/>
          <w:szCs w:val="22"/>
          <w:lang w:val="pl-PL"/>
        </w:rPr>
        <w:t>Tak jak w przypadku wszystkich pacjentów przyjmujących diuretyki, okresowe oznaczanie stężenia elektrolitów w surowicy powinno być wykonywane w odpowiednich odstępach czasu.</w:t>
      </w:r>
    </w:p>
    <w:p w14:paraId="5F89F94A" w14:textId="61731ECC" w:rsidR="00A610E1" w:rsidRPr="00BD22FE" w:rsidRDefault="00A610E1" w:rsidP="00A610E1">
      <w:pPr>
        <w:pStyle w:val="BodyText"/>
        <w:spacing w:line="240" w:lineRule="auto"/>
        <w:jc w:val="left"/>
        <w:rPr>
          <w:sz w:val="22"/>
          <w:szCs w:val="22"/>
          <w:lang w:val="pl-PL"/>
        </w:rPr>
      </w:pPr>
      <w:r w:rsidRPr="00BD22FE">
        <w:rPr>
          <w:sz w:val="22"/>
          <w:szCs w:val="22"/>
          <w:lang w:val="pl-PL"/>
        </w:rPr>
        <w:t>Tiazydy, w tym hydrochlorotiazyd, mogą powodować zaburzenia równowagi wodno-elektrolitowej (w tym hipokaliemię, hiponatremię i alkalozę hipochloremiczną). Objawami ostrzegającymi o zaburzeniach równowagi wodno-elektrolitowej są suchość błony śluzowej jamy ustnej, pragnienie, astenia, letarg, senność, niepokój, bóle mięśniowe lub skurcze, męczliwość mięśni, niedociśnienie tętnicze, oliguria, tachykardia, zaburzenia dotyczące układu pokarmowego takie jak nudności i wymioty (patrz punkt 4.8).</w:t>
      </w:r>
    </w:p>
    <w:p w14:paraId="4B2D8305" w14:textId="77777777" w:rsidR="00A610E1" w:rsidRPr="00BD22FE" w:rsidRDefault="00A610E1" w:rsidP="00A610E1">
      <w:pPr>
        <w:pStyle w:val="BodyText"/>
        <w:spacing w:line="240" w:lineRule="auto"/>
        <w:jc w:val="left"/>
        <w:rPr>
          <w:sz w:val="22"/>
          <w:szCs w:val="22"/>
          <w:lang w:val="pl-PL"/>
        </w:rPr>
      </w:pPr>
    </w:p>
    <w:p w14:paraId="2C082950" w14:textId="77777777" w:rsidR="00A610E1" w:rsidRPr="00BD22FE" w:rsidRDefault="00A610E1" w:rsidP="00A610E1">
      <w:pPr>
        <w:pStyle w:val="BodyText"/>
        <w:keepNext/>
        <w:numPr>
          <w:ilvl w:val="0"/>
          <w:numId w:val="30"/>
        </w:numPr>
        <w:spacing w:line="240" w:lineRule="auto"/>
        <w:ind w:left="567" w:hanging="567"/>
        <w:jc w:val="left"/>
        <w:rPr>
          <w:sz w:val="22"/>
          <w:szCs w:val="22"/>
          <w:lang w:val="pl-PL"/>
        </w:rPr>
      </w:pPr>
      <w:r w:rsidRPr="00BD22FE">
        <w:rPr>
          <w:sz w:val="22"/>
          <w:szCs w:val="22"/>
          <w:lang w:val="pl-PL"/>
        </w:rPr>
        <w:t>Hipokaliemia</w:t>
      </w:r>
    </w:p>
    <w:p w14:paraId="5025BB60" w14:textId="5238BCB8" w:rsidR="00A610E1" w:rsidRPr="00BD22FE" w:rsidRDefault="00A610E1" w:rsidP="00A610E1">
      <w:pPr>
        <w:pStyle w:val="BodyText"/>
        <w:spacing w:line="240" w:lineRule="auto"/>
        <w:jc w:val="left"/>
        <w:rPr>
          <w:sz w:val="22"/>
          <w:szCs w:val="22"/>
          <w:lang w:val="pl-PL"/>
        </w:rPr>
      </w:pPr>
      <w:r w:rsidRPr="00BD22FE">
        <w:rPr>
          <w:sz w:val="22"/>
          <w:szCs w:val="22"/>
          <w:lang w:val="pl-PL"/>
        </w:rPr>
        <w:t>Chociaż w przypadku stosowania diuretyków tiazydowych może dojść do hipokaliemii, jednoczesna terapia telmisartanem może zmniejszyć hipokaliemię wywołaną przez diuretyki. Ryzyko hipokaliemii jest większe u pacjentów z marskością wątroby, u pacjentów, u których dochodzi do szybkiej diurezy, oraz u pacjentów, którzy przyjmują doustnie nieodpowiednią ilość elektrolitów, lub u pacjentów otrzymujących jednocześnie terapię kortykosteroidami lub hormonem adrenokortykotropowym (ACTH) (patrz punkt 4.5).</w:t>
      </w:r>
    </w:p>
    <w:p w14:paraId="52923F7F" w14:textId="77777777" w:rsidR="00A610E1" w:rsidRPr="00BD22FE" w:rsidRDefault="00A610E1" w:rsidP="00A610E1">
      <w:pPr>
        <w:pStyle w:val="BodyText"/>
        <w:spacing w:line="240" w:lineRule="auto"/>
        <w:jc w:val="left"/>
        <w:rPr>
          <w:sz w:val="22"/>
          <w:szCs w:val="22"/>
          <w:lang w:val="pl-PL"/>
        </w:rPr>
      </w:pPr>
    </w:p>
    <w:p w14:paraId="4F9ABB02" w14:textId="77777777" w:rsidR="00A610E1" w:rsidRPr="00BD22FE" w:rsidRDefault="00A610E1" w:rsidP="00A610E1">
      <w:pPr>
        <w:pStyle w:val="BodyText"/>
        <w:keepNext/>
        <w:numPr>
          <w:ilvl w:val="0"/>
          <w:numId w:val="30"/>
        </w:numPr>
        <w:spacing w:line="240" w:lineRule="auto"/>
        <w:ind w:left="567" w:hanging="567"/>
        <w:jc w:val="left"/>
        <w:rPr>
          <w:sz w:val="22"/>
          <w:szCs w:val="22"/>
          <w:lang w:val="pl-PL"/>
        </w:rPr>
      </w:pPr>
      <w:r w:rsidRPr="00BD22FE">
        <w:rPr>
          <w:sz w:val="22"/>
          <w:szCs w:val="22"/>
          <w:lang w:val="pl-PL"/>
        </w:rPr>
        <w:t>Hiperkaliemia</w:t>
      </w:r>
    </w:p>
    <w:p w14:paraId="27B6C3B5" w14:textId="610A551B" w:rsidR="00A610E1" w:rsidRPr="00BD22FE" w:rsidRDefault="00A610E1" w:rsidP="00A610E1">
      <w:pPr>
        <w:pStyle w:val="BodyText"/>
        <w:spacing w:line="240" w:lineRule="auto"/>
        <w:jc w:val="left"/>
        <w:rPr>
          <w:sz w:val="22"/>
          <w:szCs w:val="22"/>
          <w:lang w:val="pl-PL"/>
        </w:rPr>
      </w:pPr>
      <w:r w:rsidRPr="00BD22FE">
        <w:rPr>
          <w:sz w:val="22"/>
          <w:szCs w:val="22"/>
          <w:lang w:val="pl-PL"/>
        </w:rPr>
        <w:t>Z drugiej strony, z powodu antagonistycznego działania telmisartanu, składnika produktu leczniczego, na receptor angiotensyny II (AT</w:t>
      </w:r>
      <w:r w:rsidRPr="00BD22FE">
        <w:rPr>
          <w:sz w:val="22"/>
          <w:szCs w:val="22"/>
          <w:vertAlign w:val="subscript"/>
          <w:lang w:val="pl-PL"/>
        </w:rPr>
        <w:t>1</w:t>
      </w:r>
      <w:r w:rsidRPr="00BD22FE">
        <w:rPr>
          <w:sz w:val="22"/>
          <w:szCs w:val="22"/>
          <w:lang w:val="pl-PL"/>
        </w:rPr>
        <w:t>) może wystąpić hiperkaliemia. Pomimo faktu, że nie odnotowano klinicznie znamiennych przypadków wystąpienia hiperkaliemii związanej ze stosowaniem telmisartanu/HCTZ, czynniki ryzyka związane z wystąpieniem hiperkaliemii obejmują niewydolność nerek i (lub) niewydolność serca oraz cukrzycę. Diuretyki oszczędzające potas, suplementy potasu lub sole zawierające potas powinny być podawane z dużą ostrożnością podczas terapii telmisartanem/HCTZ (patrz punkt 4.5).</w:t>
      </w:r>
    </w:p>
    <w:p w14:paraId="297EB984" w14:textId="77777777" w:rsidR="00A610E1" w:rsidRPr="00BD22FE" w:rsidRDefault="00A610E1" w:rsidP="00A610E1">
      <w:pPr>
        <w:pStyle w:val="BodyText"/>
        <w:spacing w:line="240" w:lineRule="auto"/>
        <w:jc w:val="left"/>
        <w:rPr>
          <w:sz w:val="22"/>
          <w:szCs w:val="22"/>
          <w:lang w:val="pl-PL"/>
        </w:rPr>
      </w:pPr>
    </w:p>
    <w:p w14:paraId="7D9FD0B8" w14:textId="77777777" w:rsidR="00A610E1" w:rsidRPr="00BD22FE" w:rsidRDefault="00A610E1" w:rsidP="00A610E1">
      <w:pPr>
        <w:pStyle w:val="BodyText"/>
        <w:keepNext/>
        <w:numPr>
          <w:ilvl w:val="0"/>
          <w:numId w:val="30"/>
        </w:numPr>
        <w:spacing w:line="240" w:lineRule="auto"/>
        <w:ind w:left="567" w:hanging="567"/>
        <w:jc w:val="left"/>
        <w:rPr>
          <w:sz w:val="22"/>
          <w:szCs w:val="22"/>
          <w:lang w:val="pl-PL"/>
        </w:rPr>
      </w:pPr>
      <w:r w:rsidRPr="00BD22FE">
        <w:rPr>
          <w:sz w:val="22"/>
          <w:szCs w:val="22"/>
          <w:lang w:val="pl-PL"/>
        </w:rPr>
        <w:t>Alkaloza hipochloremiczna</w:t>
      </w:r>
    </w:p>
    <w:p w14:paraId="771725E4" w14:textId="646FCAFE" w:rsidR="00A610E1" w:rsidRPr="00BD22FE" w:rsidRDefault="00A610E1" w:rsidP="00A610E1">
      <w:pPr>
        <w:pStyle w:val="BodyText"/>
        <w:spacing w:line="240" w:lineRule="auto"/>
        <w:jc w:val="left"/>
        <w:rPr>
          <w:sz w:val="22"/>
          <w:szCs w:val="22"/>
          <w:lang w:val="pl-PL"/>
        </w:rPr>
      </w:pPr>
      <w:r w:rsidRPr="00BD22FE">
        <w:rPr>
          <w:sz w:val="22"/>
          <w:szCs w:val="22"/>
          <w:lang w:val="pl-PL"/>
        </w:rPr>
        <w:t>Niedobór chlorków na ogół jest niewielki i nie wymaga leczenia.</w:t>
      </w:r>
    </w:p>
    <w:p w14:paraId="4E159031" w14:textId="77777777" w:rsidR="00A610E1" w:rsidRPr="00BD22FE" w:rsidRDefault="00A610E1" w:rsidP="00A610E1">
      <w:pPr>
        <w:pStyle w:val="BodyText"/>
        <w:spacing w:line="240" w:lineRule="auto"/>
        <w:jc w:val="left"/>
        <w:rPr>
          <w:sz w:val="22"/>
          <w:szCs w:val="22"/>
          <w:lang w:val="pl-PL"/>
        </w:rPr>
      </w:pPr>
    </w:p>
    <w:p w14:paraId="2C498517" w14:textId="77777777" w:rsidR="00A610E1" w:rsidRPr="00BD22FE" w:rsidRDefault="00A610E1" w:rsidP="00A610E1">
      <w:pPr>
        <w:pStyle w:val="BodyText"/>
        <w:keepNext/>
        <w:numPr>
          <w:ilvl w:val="0"/>
          <w:numId w:val="30"/>
        </w:numPr>
        <w:spacing w:line="240" w:lineRule="auto"/>
        <w:ind w:left="567" w:hanging="567"/>
        <w:jc w:val="left"/>
        <w:rPr>
          <w:sz w:val="22"/>
          <w:szCs w:val="22"/>
          <w:lang w:val="pl-PL"/>
        </w:rPr>
      </w:pPr>
      <w:r w:rsidRPr="00BD22FE">
        <w:rPr>
          <w:sz w:val="22"/>
          <w:szCs w:val="22"/>
          <w:lang w:val="pl-PL"/>
        </w:rPr>
        <w:t>Hiperkalcemia</w:t>
      </w:r>
    </w:p>
    <w:p w14:paraId="1B837C4E" w14:textId="00B7ED43" w:rsidR="00A610E1" w:rsidRPr="00BD22FE" w:rsidRDefault="00A610E1" w:rsidP="00A610E1">
      <w:pPr>
        <w:pStyle w:val="BodyText"/>
        <w:spacing w:line="240" w:lineRule="auto"/>
        <w:jc w:val="left"/>
        <w:rPr>
          <w:sz w:val="22"/>
          <w:szCs w:val="22"/>
          <w:lang w:val="pl-PL"/>
        </w:rPr>
      </w:pPr>
      <w:r w:rsidRPr="00BD22FE">
        <w:rPr>
          <w:sz w:val="22"/>
          <w:szCs w:val="22"/>
          <w:lang w:val="pl-PL"/>
        </w:rPr>
        <w:t>Tiazydy mogą zmniejszać wydalanie wapnia z moczem i mogą powodować przejściowe i niewielkie zwiększenie stężenia wapnia w surowicy przy braku znanych zaburzeń metabolizmu wapnia. Znaczna hiperkalcemia może być objawem utajonej nadczynności przytarczyc. Tiazydy powinny zostać odstawione przed przeprowadzeniem badań czynnościowych przytarczyc.</w:t>
      </w:r>
    </w:p>
    <w:p w14:paraId="1E44719D" w14:textId="77777777" w:rsidR="00A610E1" w:rsidRPr="00BD22FE" w:rsidRDefault="00A610E1" w:rsidP="00A610E1">
      <w:pPr>
        <w:pStyle w:val="BodyText"/>
        <w:spacing w:line="240" w:lineRule="auto"/>
        <w:jc w:val="left"/>
        <w:rPr>
          <w:sz w:val="22"/>
          <w:szCs w:val="22"/>
          <w:lang w:val="pl-PL"/>
        </w:rPr>
      </w:pPr>
    </w:p>
    <w:p w14:paraId="42C74D21" w14:textId="77777777" w:rsidR="00A610E1" w:rsidRPr="00BD22FE" w:rsidRDefault="00A610E1" w:rsidP="00A610E1">
      <w:pPr>
        <w:pStyle w:val="BodyText"/>
        <w:keepNext/>
        <w:numPr>
          <w:ilvl w:val="0"/>
          <w:numId w:val="30"/>
        </w:numPr>
        <w:spacing w:line="240" w:lineRule="auto"/>
        <w:ind w:left="567" w:hanging="567"/>
        <w:jc w:val="left"/>
        <w:rPr>
          <w:sz w:val="22"/>
          <w:szCs w:val="22"/>
          <w:lang w:val="pl-PL"/>
        </w:rPr>
      </w:pPr>
      <w:r w:rsidRPr="00BD22FE">
        <w:rPr>
          <w:sz w:val="22"/>
          <w:szCs w:val="22"/>
          <w:lang w:val="pl-PL"/>
        </w:rPr>
        <w:t>Hipomagnezemia</w:t>
      </w:r>
    </w:p>
    <w:p w14:paraId="72E6D48F" w14:textId="77777777" w:rsidR="00A610E1" w:rsidRPr="00BD22FE" w:rsidRDefault="00A610E1" w:rsidP="00A610E1">
      <w:pPr>
        <w:pStyle w:val="BodyText"/>
        <w:spacing w:line="240" w:lineRule="auto"/>
        <w:jc w:val="left"/>
        <w:rPr>
          <w:sz w:val="22"/>
          <w:szCs w:val="22"/>
          <w:lang w:val="pl-PL"/>
        </w:rPr>
      </w:pPr>
      <w:r w:rsidRPr="00BD22FE">
        <w:rPr>
          <w:sz w:val="22"/>
          <w:szCs w:val="22"/>
          <w:lang w:val="pl-PL"/>
        </w:rPr>
        <w:t>Wykazano, że tiazydy zwiększają wydalanie magnezu z moczem, co może doprowadzić do hipomagnezemii (patrz punkt 4.5).</w:t>
      </w:r>
    </w:p>
    <w:p w14:paraId="1C756F88" w14:textId="77777777" w:rsidR="00A610E1" w:rsidRPr="00BD22FE" w:rsidRDefault="00A610E1" w:rsidP="00A610E1">
      <w:pPr>
        <w:pStyle w:val="BodyText"/>
        <w:spacing w:line="240" w:lineRule="auto"/>
        <w:jc w:val="left"/>
        <w:rPr>
          <w:sz w:val="22"/>
          <w:szCs w:val="22"/>
          <w:lang w:val="pl-PL"/>
        </w:rPr>
      </w:pPr>
    </w:p>
    <w:p w14:paraId="6044785D" w14:textId="77777777" w:rsidR="00A610E1" w:rsidRPr="00BD22FE" w:rsidRDefault="00A610E1" w:rsidP="00A610E1">
      <w:pPr>
        <w:pStyle w:val="BodyText"/>
        <w:keepNext/>
        <w:spacing w:line="240" w:lineRule="auto"/>
        <w:jc w:val="left"/>
        <w:rPr>
          <w:sz w:val="22"/>
          <w:szCs w:val="22"/>
          <w:lang w:val="pl-PL"/>
        </w:rPr>
      </w:pPr>
      <w:r w:rsidRPr="00BD22FE">
        <w:rPr>
          <w:sz w:val="22"/>
          <w:szCs w:val="22"/>
          <w:u w:val="single"/>
          <w:lang w:val="pl-PL"/>
        </w:rPr>
        <w:lastRenderedPageBreak/>
        <w:t>Różnice etniczne</w:t>
      </w:r>
    </w:p>
    <w:p w14:paraId="3DCA7E52" w14:textId="5D1D6F56" w:rsidR="00A610E1" w:rsidRPr="00BD22FE" w:rsidRDefault="00A610E1" w:rsidP="00A610E1">
      <w:pPr>
        <w:pStyle w:val="BodyText"/>
        <w:spacing w:line="240" w:lineRule="auto"/>
        <w:jc w:val="left"/>
        <w:rPr>
          <w:sz w:val="22"/>
          <w:szCs w:val="22"/>
          <w:lang w:val="pl-PL"/>
        </w:rPr>
      </w:pPr>
      <w:r w:rsidRPr="00BD22FE">
        <w:rPr>
          <w:sz w:val="22"/>
          <w:szCs w:val="22"/>
          <w:lang w:val="pl-PL"/>
        </w:rPr>
        <w:t>Podobnie jak w przypadku innych blokerów receptora angiotensyny II, telmisartan wykazuje mniejszą skuteczność w obniżaniu nadciśnienia tętniczego u pacjentów rasy czarnej. Jest to prawdopodobnie związane z większą częstością</w:t>
      </w:r>
      <w:r w:rsidR="008933DF" w:rsidRPr="00BD22FE">
        <w:rPr>
          <w:sz w:val="22"/>
          <w:szCs w:val="22"/>
          <w:lang w:val="pl-PL"/>
        </w:rPr>
        <w:t xml:space="preserve"> </w:t>
      </w:r>
      <w:r w:rsidRPr="00BD22FE">
        <w:rPr>
          <w:sz w:val="22"/>
          <w:szCs w:val="22"/>
          <w:lang w:val="pl-PL"/>
        </w:rPr>
        <w:t>występowania zmniejszonego stężenia reniny w populacji pacjentów rasy czarnej z nadciśnieniem tętniczym.</w:t>
      </w:r>
    </w:p>
    <w:p w14:paraId="1C5CF744" w14:textId="77777777" w:rsidR="00A610E1" w:rsidRPr="00BD22FE" w:rsidRDefault="00A610E1" w:rsidP="00A610E1">
      <w:pPr>
        <w:pStyle w:val="BodyText"/>
        <w:spacing w:line="240" w:lineRule="auto"/>
        <w:jc w:val="left"/>
        <w:rPr>
          <w:sz w:val="22"/>
          <w:szCs w:val="22"/>
          <w:lang w:val="pl-PL"/>
        </w:rPr>
      </w:pPr>
    </w:p>
    <w:p w14:paraId="3586BFA0" w14:textId="77777777" w:rsidR="00A610E1" w:rsidRPr="00BD22FE" w:rsidRDefault="00A610E1" w:rsidP="00A610E1">
      <w:pPr>
        <w:pStyle w:val="BodyText"/>
        <w:keepNext/>
        <w:spacing w:line="240" w:lineRule="auto"/>
        <w:jc w:val="left"/>
        <w:rPr>
          <w:sz w:val="22"/>
          <w:szCs w:val="22"/>
          <w:lang w:val="pl-PL"/>
        </w:rPr>
      </w:pPr>
      <w:r w:rsidRPr="00BD22FE">
        <w:rPr>
          <w:sz w:val="22"/>
          <w:szCs w:val="22"/>
          <w:u w:val="single"/>
          <w:lang w:val="pl-PL"/>
        </w:rPr>
        <w:t>Choroba niedokrwienna serca</w:t>
      </w:r>
    </w:p>
    <w:p w14:paraId="0D722163" w14:textId="637B5791" w:rsidR="00A610E1" w:rsidRPr="00BD22FE" w:rsidRDefault="00A610E1" w:rsidP="00A610E1">
      <w:pPr>
        <w:pStyle w:val="BodyText"/>
        <w:spacing w:line="240" w:lineRule="auto"/>
        <w:jc w:val="left"/>
        <w:rPr>
          <w:sz w:val="22"/>
          <w:szCs w:val="22"/>
          <w:lang w:val="pl-PL"/>
        </w:rPr>
      </w:pPr>
      <w:r w:rsidRPr="00BD22FE">
        <w:rPr>
          <w:sz w:val="22"/>
          <w:szCs w:val="22"/>
          <w:lang w:val="pl-PL"/>
        </w:rPr>
        <w:t>Tak jak w przypadku pozostałych leków przeciwnadciśnieniowych, nadmierne obniżenie ciśnienia tętniczego krwi u pacjentów z kardiomiopatią niedokrwienną lub chorobą niedokrwienną układu sercowo-naczyniowego może powodować wystąpienie zawału serca lub udaru.</w:t>
      </w:r>
    </w:p>
    <w:p w14:paraId="6E7798A5" w14:textId="77777777" w:rsidR="00A610E1" w:rsidRPr="00BD22FE" w:rsidRDefault="00A610E1" w:rsidP="00A610E1">
      <w:pPr>
        <w:pStyle w:val="BodyText"/>
        <w:spacing w:line="240" w:lineRule="auto"/>
        <w:jc w:val="left"/>
        <w:rPr>
          <w:sz w:val="22"/>
          <w:szCs w:val="22"/>
          <w:lang w:val="pl-PL"/>
        </w:rPr>
      </w:pPr>
    </w:p>
    <w:p w14:paraId="7D27EF4B" w14:textId="77777777" w:rsidR="00A610E1" w:rsidRPr="00BD22FE" w:rsidRDefault="00A610E1" w:rsidP="00A610E1">
      <w:pPr>
        <w:pStyle w:val="BodyText"/>
        <w:keepNext/>
        <w:spacing w:line="240" w:lineRule="auto"/>
        <w:jc w:val="left"/>
        <w:rPr>
          <w:sz w:val="22"/>
          <w:szCs w:val="22"/>
          <w:lang w:val="pl-PL"/>
        </w:rPr>
      </w:pPr>
      <w:r w:rsidRPr="00BD22FE">
        <w:rPr>
          <w:sz w:val="22"/>
          <w:szCs w:val="22"/>
          <w:u w:val="single"/>
          <w:lang w:val="pl-PL"/>
        </w:rPr>
        <w:t>Informacje ogólne</w:t>
      </w:r>
    </w:p>
    <w:p w14:paraId="00140C1B" w14:textId="77777777" w:rsidR="00A610E1" w:rsidRPr="00BD22FE" w:rsidRDefault="00A610E1" w:rsidP="00A610E1">
      <w:pPr>
        <w:pStyle w:val="BodyText"/>
        <w:spacing w:line="240" w:lineRule="auto"/>
        <w:jc w:val="left"/>
        <w:rPr>
          <w:sz w:val="22"/>
          <w:szCs w:val="22"/>
          <w:lang w:val="pl-PL"/>
        </w:rPr>
      </w:pPr>
      <w:r w:rsidRPr="00BD22FE">
        <w:rPr>
          <w:sz w:val="22"/>
          <w:szCs w:val="22"/>
          <w:lang w:val="pl-PL"/>
        </w:rPr>
        <w:t>Reakcje nadwrażliwości na HCTZ mogą wystąpić u pacjentów z lub bez alergii czy astmy oskrzelowej w wywiadzie, jednakże takie epizody są bardziej prawdopodobne u pacjentów z obciążonym wywiadem.</w:t>
      </w:r>
    </w:p>
    <w:p w14:paraId="1C212507" w14:textId="0DDB5249" w:rsidR="00A610E1" w:rsidRPr="00BD22FE" w:rsidRDefault="00A610E1" w:rsidP="00A610E1">
      <w:pPr>
        <w:pStyle w:val="BodyText"/>
        <w:spacing w:line="240" w:lineRule="auto"/>
        <w:jc w:val="left"/>
        <w:rPr>
          <w:sz w:val="22"/>
          <w:szCs w:val="22"/>
          <w:lang w:val="pl-PL"/>
        </w:rPr>
      </w:pPr>
      <w:r w:rsidRPr="00BD22FE">
        <w:rPr>
          <w:sz w:val="22"/>
          <w:szCs w:val="22"/>
          <w:lang w:val="pl-PL"/>
        </w:rPr>
        <w:t>Istnieją doniesienia o zaostrzeniu lub aktywacji tocznia rumieniowatego układowego w przypadku stosowania diuretyków tiazydowych, w tym HCTZ.</w:t>
      </w:r>
    </w:p>
    <w:p w14:paraId="3E964061" w14:textId="266984B9" w:rsidR="00A610E1" w:rsidRPr="00BD22FE" w:rsidRDefault="00A610E1" w:rsidP="00A610E1">
      <w:pPr>
        <w:pStyle w:val="BodyText"/>
        <w:spacing w:line="240" w:lineRule="auto"/>
        <w:jc w:val="left"/>
        <w:rPr>
          <w:sz w:val="22"/>
          <w:szCs w:val="22"/>
          <w:lang w:val="pl-PL"/>
        </w:rPr>
      </w:pPr>
      <w:r w:rsidRPr="00BD22FE">
        <w:rPr>
          <w:sz w:val="22"/>
          <w:szCs w:val="22"/>
          <w:lang w:val="pl-PL"/>
        </w:rPr>
        <w:t>W związku ze stosowaniem diuretyków tiazydowych opisywano przypadki reakcji nadwrażliwości na światło (patrz punkt 4.8). W przypadku wystąpienia reakcji nadwrażliwości na światło podczas leczenia, zaleca się przerwanie leczenia. Jeśli ponowne podanie diuretyku wydaje się być konieczne, zaleca się osłanianie powierzchni ciała narażonych na słońce lub sztuczne promieniowanie UVA.</w:t>
      </w:r>
    </w:p>
    <w:p w14:paraId="2530B19E" w14:textId="77777777" w:rsidR="00A610E1" w:rsidRPr="00BD22FE" w:rsidRDefault="00A610E1" w:rsidP="00A610E1">
      <w:pPr>
        <w:pStyle w:val="BodyText"/>
        <w:spacing w:line="240" w:lineRule="auto"/>
        <w:jc w:val="left"/>
        <w:rPr>
          <w:sz w:val="22"/>
          <w:szCs w:val="22"/>
          <w:lang w:val="pl-PL"/>
        </w:rPr>
      </w:pPr>
    </w:p>
    <w:p w14:paraId="581AAED9" w14:textId="77777777" w:rsidR="00A610E1" w:rsidRPr="00BD22FE" w:rsidRDefault="00A610E1" w:rsidP="00A610E1">
      <w:pPr>
        <w:keepNext/>
        <w:rPr>
          <w:sz w:val="22"/>
          <w:szCs w:val="22"/>
          <w:u w:val="single"/>
          <w:lang w:val="pl-PL"/>
        </w:rPr>
      </w:pPr>
      <w:r w:rsidRPr="00BD22FE">
        <w:rPr>
          <w:sz w:val="22"/>
          <w:szCs w:val="22"/>
          <w:u w:val="single"/>
          <w:lang w:val="pl-PL"/>
        </w:rPr>
        <w:t>Nadmierne nagromadzenie płynu między naczyniówką a twardówką, ostra krótkowzroczność i jaskra z zamkniętym kątem przesączania</w:t>
      </w:r>
    </w:p>
    <w:p w14:paraId="68D8D253" w14:textId="4993A2D4" w:rsidR="00A610E1" w:rsidRPr="00BD22FE" w:rsidRDefault="00A610E1" w:rsidP="00A610E1">
      <w:pPr>
        <w:rPr>
          <w:sz w:val="22"/>
          <w:szCs w:val="22"/>
          <w:lang w:val="pl-PL"/>
        </w:rPr>
      </w:pPr>
      <w:r w:rsidRPr="00BD22FE">
        <w:rPr>
          <w:sz w:val="22"/>
          <w:szCs w:val="22"/>
          <w:lang w:val="pl-PL"/>
        </w:rPr>
        <w:t>Hydrochlorotiazyd, będący sulfonamidem, może powodować swoiste reakcje prowadzące do nadmiernego nagromadzenia płynu między naczyniówką a twardówką z ograniczeniem pola widzenia, ostrej przejściowej krótkowzroczności i ostrej jaskry z zamkniętym kątem przesączania. Objawy obejmują nagłe zmniejszenie ostrości widzenia lub ból oczu i zwykle występują w ciągu kilku godzin lub tygodni od rozpoczęcia terapii lekiem. Nieleczona ostra jaskra z zamkniętym kątem przesączania może prowadzić do trwałej utraty wzroku. Leczenie w pierwszej kolejności polega na jak najszybszym odstawieniu hydrochlorotiazydu. W przypadku, gdy nie udaje się opanować ciśnienia wewnątrzgałkowego, należy rozważyć niezwłoczne podjęcie leczenia zachowawczego lub chirurgicznego. Do czynników ryzyka rozwoju ostrej jaskry z zamkniętym kątem przesączania może należeć uczulenie na sulfonamidy lub penicylinę w wywiadzie.</w:t>
      </w:r>
    </w:p>
    <w:p w14:paraId="6109B39C" w14:textId="77777777" w:rsidR="00A610E1" w:rsidRPr="00BD22FE" w:rsidRDefault="00A610E1" w:rsidP="00A610E1">
      <w:pPr>
        <w:pStyle w:val="BodyText"/>
        <w:spacing w:line="240" w:lineRule="auto"/>
        <w:jc w:val="left"/>
        <w:rPr>
          <w:sz w:val="22"/>
          <w:szCs w:val="22"/>
          <w:lang w:val="pl-PL"/>
        </w:rPr>
      </w:pPr>
    </w:p>
    <w:p w14:paraId="4C3C525F" w14:textId="77777777" w:rsidR="00A610E1" w:rsidRPr="00BD22FE" w:rsidRDefault="00A610E1" w:rsidP="00A610E1">
      <w:pPr>
        <w:pStyle w:val="BodyText"/>
        <w:keepNext/>
        <w:spacing w:line="240" w:lineRule="auto"/>
        <w:jc w:val="left"/>
        <w:rPr>
          <w:sz w:val="22"/>
          <w:szCs w:val="22"/>
          <w:u w:val="single"/>
          <w:lang w:val="pl-PL"/>
        </w:rPr>
      </w:pPr>
      <w:r w:rsidRPr="00BD22FE">
        <w:rPr>
          <w:sz w:val="22"/>
          <w:szCs w:val="22"/>
          <w:u w:val="single"/>
          <w:lang w:val="pl-PL"/>
        </w:rPr>
        <w:t>Nieczerniakowe nowotwory złośliwe skóry</w:t>
      </w:r>
    </w:p>
    <w:p w14:paraId="4130D32A" w14:textId="325A65A9" w:rsidR="00A610E1" w:rsidRPr="00BD22FE" w:rsidRDefault="00A610E1" w:rsidP="00A610E1">
      <w:pPr>
        <w:pStyle w:val="BodyText"/>
        <w:spacing w:line="240" w:lineRule="auto"/>
        <w:jc w:val="left"/>
        <w:rPr>
          <w:sz w:val="22"/>
          <w:szCs w:val="22"/>
          <w:lang w:val="pl-PL"/>
        </w:rPr>
      </w:pPr>
      <w:r w:rsidRPr="00BD22FE">
        <w:rPr>
          <w:sz w:val="22"/>
          <w:szCs w:val="22"/>
          <w:lang w:val="pl-PL"/>
        </w:rPr>
        <w:t>W dwóch badaniach epidemiologicznych z wykorzystaniem danych z duńskiego krajowego rejestru nowotworów złośliwych stwierdzono zwiększenie ryzyka nieczerniakowych nowotworów złośliwych skóry (ang. non</w:t>
      </w:r>
      <w:r w:rsidRPr="00BD22FE">
        <w:rPr>
          <w:sz w:val="22"/>
          <w:szCs w:val="22"/>
          <w:lang w:val="pl-PL"/>
        </w:rPr>
        <w:noBreakHyphen/>
        <w:t>melanoma skin cancer, NMSC) [raka podstawnokomórkowego (ang. basal cell carcinoma, BCC) i raka kolczystokomórkowego (ang. squamous cell carcinoma, SCC)] wraz ze zwiększającą się dawką skumulowaną HCTZ (patrz punkt 4.8). W mechanizmie rozwoju NMCS mogą odgrywać rolę właściwości fotouczulające HCTZ.</w:t>
      </w:r>
    </w:p>
    <w:p w14:paraId="0921C522" w14:textId="77777777" w:rsidR="00A610E1" w:rsidRPr="00BD22FE" w:rsidRDefault="00A610E1" w:rsidP="00A610E1">
      <w:pPr>
        <w:pStyle w:val="BodyText"/>
        <w:spacing w:line="240" w:lineRule="auto"/>
        <w:jc w:val="left"/>
        <w:rPr>
          <w:sz w:val="22"/>
          <w:szCs w:val="22"/>
          <w:lang w:val="pl-PL"/>
        </w:rPr>
      </w:pPr>
    </w:p>
    <w:p w14:paraId="6F9458C7" w14:textId="2D7C0933" w:rsidR="00A610E1" w:rsidRPr="00BD22FE" w:rsidRDefault="00A610E1" w:rsidP="00A610E1">
      <w:pPr>
        <w:pStyle w:val="BodyText"/>
        <w:spacing w:line="240" w:lineRule="auto"/>
        <w:jc w:val="left"/>
        <w:rPr>
          <w:sz w:val="22"/>
          <w:szCs w:val="22"/>
          <w:lang w:val="pl-PL"/>
        </w:rPr>
      </w:pPr>
      <w:r w:rsidRPr="00BD22FE">
        <w:rPr>
          <w:sz w:val="22"/>
          <w:szCs w:val="22"/>
          <w:lang w:val="pl-PL"/>
        </w:rPr>
        <w:t>Pacjentów przyjmujących HCTZ należy poinformować o ryzyku NMSC i zalecić regularne sprawdzanie, czy na skórze nie pojawiły się nowe zmiany, i szybki kontakt z lekarzem w przypadku stwierdzenia jakichkolwiek podejrzanych zmian skórnych. Pacjentom należy zalecić podejmowanie możliwych działań zapobiegawczych w celu minimalizacji ryzyka rozwoju nowotworów złośliwych skóry, jak ograniczanie narażania się na działanie światła słonecznego i promieniowania UV, a w przypadku narażenia - odpowiednią ochronę. Podejrzane zmiany skórne należy niezwłocznie badać, z możliwością wykonania biopsji z oceną histologiczną. U pacjentów, u których w przeszłości występowały NMSC, może być konieczne ponowne rozważenie stosowania HCTZ (patrz również punkt 4.8).</w:t>
      </w:r>
    </w:p>
    <w:p w14:paraId="291EC9AC" w14:textId="77777777" w:rsidR="00A610E1" w:rsidRPr="00BD22FE" w:rsidRDefault="00A610E1" w:rsidP="00A610E1">
      <w:pPr>
        <w:pStyle w:val="BodyText"/>
        <w:spacing w:line="240" w:lineRule="auto"/>
        <w:jc w:val="left"/>
        <w:rPr>
          <w:sz w:val="22"/>
          <w:szCs w:val="22"/>
          <w:lang w:val="pl-PL"/>
        </w:rPr>
      </w:pPr>
    </w:p>
    <w:p w14:paraId="1D2B9D3C" w14:textId="77777777" w:rsidR="00A610E1" w:rsidRPr="00BD22FE" w:rsidRDefault="00A610E1" w:rsidP="00A610E1">
      <w:pPr>
        <w:keepNext/>
        <w:rPr>
          <w:sz w:val="22"/>
          <w:szCs w:val="22"/>
          <w:u w:val="single"/>
          <w:lang w:val="pl-PL"/>
        </w:rPr>
      </w:pPr>
      <w:r w:rsidRPr="00BD22FE">
        <w:rPr>
          <w:sz w:val="22"/>
          <w:szCs w:val="22"/>
          <w:u w:val="single"/>
          <w:lang w:val="pl-PL"/>
        </w:rPr>
        <w:t>Ostra toksyczność na układ oddechowy</w:t>
      </w:r>
    </w:p>
    <w:p w14:paraId="2D3BC0CB" w14:textId="0A79C565" w:rsidR="00A610E1" w:rsidRPr="00BD22FE" w:rsidRDefault="00A610E1" w:rsidP="00A610E1">
      <w:pPr>
        <w:rPr>
          <w:sz w:val="22"/>
          <w:szCs w:val="22"/>
          <w:lang w:val="pl-PL"/>
        </w:rPr>
      </w:pPr>
      <w:r w:rsidRPr="00BD22FE">
        <w:rPr>
          <w:sz w:val="22"/>
          <w:szCs w:val="22"/>
          <w:lang w:val="pl-PL"/>
        </w:rPr>
        <w:t xml:space="preserve">Po przyjęciu hydrochlorotiazydu notowano bardzo rzadko poważne przypadki ostrej toksyczności na układ oddechowy, w tym zespół ostrej niewydolności oddechowej (ang. acute respiratory distress syndrome, ARDS). Obrzęk płuc zwykle rozwija się w ciągu kilku minut do kilku godzin po przyjęciu </w:t>
      </w:r>
      <w:r w:rsidRPr="00BD22FE">
        <w:rPr>
          <w:sz w:val="22"/>
          <w:szCs w:val="22"/>
          <w:lang w:val="pl-PL"/>
        </w:rPr>
        <w:lastRenderedPageBreak/>
        <w:t>hydrochlorotiazydu. Początkowo objawy obejmują duszność, gorączkę, osłabioną czynność płuc i niedociśnienie tętnicze. Jeśli podejrzewa się rozpoznanie ARDS, należy odstawić produkt leczniczy MicardisPlus i zastosować odpowiednie leczenie. Hydrochlorotiazydu nie należy podawać pacjentom, u których wcześniej po przyjęciu hydrochlorotiazydu wystąpił ARDS.</w:t>
      </w:r>
    </w:p>
    <w:p w14:paraId="21ABA075" w14:textId="77777777" w:rsidR="002049D2" w:rsidRPr="00BD22FE" w:rsidRDefault="002049D2" w:rsidP="002049D2">
      <w:pPr>
        <w:rPr>
          <w:sz w:val="22"/>
          <w:szCs w:val="22"/>
          <w:lang w:val="pl-PL"/>
        </w:rPr>
      </w:pPr>
    </w:p>
    <w:p w14:paraId="50377BC0" w14:textId="77777777" w:rsidR="002049D2" w:rsidRPr="00BD22FE" w:rsidRDefault="002049D2" w:rsidP="002049D2">
      <w:pPr>
        <w:keepNext/>
        <w:rPr>
          <w:sz w:val="22"/>
          <w:szCs w:val="22"/>
          <w:u w:val="single"/>
          <w:lang w:val="pl-PL"/>
        </w:rPr>
      </w:pPr>
      <w:r w:rsidRPr="00BD22FE">
        <w:rPr>
          <w:sz w:val="22"/>
          <w:szCs w:val="22"/>
          <w:u w:val="single"/>
          <w:lang w:val="pl-PL"/>
        </w:rPr>
        <w:t>Obrzęk naczynioruchowy jelit</w:t>
      </w:r>
    </w:p>
    <w:p w14:paraId="7B934705" w14:textId="2F3A82BA" w:rsidR="002049D2" w:rsidRPr="00BD22FE" w:rsidRDefault="002049D2" w:rsidP="002049D2">
      <w:pPr>
        <w:rPr>
          <w:sz w:val="22"/>
          <w:szCs w:val="22"/>
          <w:lang w:val="pl-PL"/>
        </w:rPr>
      </w:pPr>
      <w:r w:rsidRPr="00BD22FE">
        <w:rPr>
          <w:sz w:val="22"/>
          <w:szCs w:val="22"/>
          <w:lang w:val="pl-PL"/>
        </w:rPr>
        <w:t>U pacjentów leczonych blokerami receptora angiotensyny II notowano występowanie obrzęku naczynioruchowego jelit (patrz punkt 4.8). U tych pacjentów występowały ból brzucha, nudności, wymioty i biegunka. Objawy ustąpiły po przerwaniu leczenia blokerami receptora angiotensyny II. Jeśli u pacjenta zostanie rozpoznany obrzęk naczynioruchowy jelit, należy przerwać stosowanie telmisartanu i rozpocząć odpowiednią obserwację do czasu całkowitego ustąpienia objawów.</w:t>
      </w:r>
    </w:p>
    <w:p w14:paraId="685FF5D9" w14:textId="77777777" w:rsidR="00A610E1" w:rsidRPr="00BD22FE" w:rsidRDefault="00A610E1" w:rsidP="00A610E1">
      <w:pPr>
        <w:pStyle w:val="BodyText"/>
        <w:spacing w:line="240" w:lineRule="auto"/>
        <w:jc w:val="left"/>
        <w:rPr>
          <w:sz w:val="22"/>
          <w:szCs w:val="22"/>
          <w:lang w:val="pl-PL"/>
        </w:rPr>
      </w:pPr>
    </w:p>
    <w:p w14:paraId="44677853" w14:textId="77777777" w:rsidR="00A610E1" w:rsidRPr="00BD22FE" w:rsidRDefault="00A610E1" w:rsidP="00A610E1">
      <w:pPr>
        <w:pStyle w:val="BodyText"/>
        <w:keepNext/>
        <w:spacing w:line="240" w:lineRule="auto"/>
        <w:jc w:val="left"/>
        <w:rPr>
          <w:sz w:val="22"/>
          <w:szCs w:val="22"/>
          <w:lang w:val="pl-PL"/>
        </w:rPr>
      </w:pPr>
      <w:r w:rsidRPr="00BD22FE">
        <w:rPr>
          <w:sz w:val="22"/>
          <w:szCs w:val="22"/>
          <w:u w:val="single"/>
          <w:lang w:val="pl-PL"/>
        </w:rPr>
        <w:t>Laktoza</w:t>
      </w:r>
    </w:p>
    <w:p w14:paraId="507FD09B" w14:textId="77777777" w:rsidR="00A610E1" w:rsidRPr="00BD22FE" w:rsidRDefault="00A610E1" w:rsidP="00A610E1">
      <w:pPr>
        <w:pStyle w:val="BodyText"/>
        <w:spacing w:line="240" w:lineRule="auto"/>
        <w:jc w:val="left"/>
        <w:rPr>
          <w:sz w:val="22"/>
          <w:szCs w:val="22"/>
          <w:lang w:val="pl-PL"/>
        </w:rPr>
      </w:pPr>
      <w:r w:rsidRPr="00BD22FE">
        <w:rPr>
          <w:sz w:val="22"/>
          <w:szCs w:val="22"/>
          <w:lang w:val="pl-PL"/>
        </w:rPr>
        <w:t>Każda tabletka zawiera laktozę. Produkt leczniczy nie powinien być stosowany u pacjentów z rzadko występującą dziedziczną nietolerancją galaktozy, brakiem laktazy lub zespołem złego wchłaniania glukozy</w:t>
      </w:r>
      <w:r w:rsidRPr="00BD22FE">
        <w:rPr>
          <w:sz w:val="22"/>
          <w:szCs w:val="22"/>
          <w:lang w:val="pl-PL"/>
        </w:rPr>
        <w:noBreakHyphen/>
        <w:t>galaktozy.</w:t>
      </w:r>
    </w:p>
    <w:p w14:paraId="5272BCF3" w14:textId="77777777" w:rsidR="00A610E1" w:rsidRPr="00BD22FE" w:rsidRDefault="00A610E1" w:rsidP="00A610E1">
      <w:pPr>
        <w:pStyle w:val="BodyText"/>
        <w:spacing w:line="240" w:lineRule="auto"/>
        <w:jc w:val="left"/>
        <w:rPr>
          <w:sz w:val="22"/>
          <w:szCs w:val="22"/>
          <w:lang w:val="pl-PL"/>
        </w:rPr>
      </w:pPr>
    </w:p>
    <w:p w14:paraId="16C78CAC" w14:textId="77777777" w:rsidR="00A610E1" w:rsidRPr="00BD22FE" w:rsidRDefault="00A610E1" w:rsidP="00A610E1">
      <w:pPr>
        <w:pStyle w:val="BodyText"/>
        <w:keepNext/>
        <w:spacing w:line="240" w:lineRule="auto"/>
        <w:jc w:val="left"/>
        <w:rPr>
          <w:sz w:val="22"/>
          <w:szCs w:val="22"/>
          <w:u w:val="single"/>
          <w:lang w:val="pl-PL"/>
        </w:rPr>
      </w:pPr>
      <w:r w:rsidRPr="00BD22FE">
        <w:rPr>
          <w:sz w:val="22"/>
          <w:szCs w:val="22"/>
          <w:u w:val="single"/>
          <w:lang w:val="pl-PL"/>
        </w:rPr>
        <w:t>Sorbitol</w:t>
      </w:r>
    </w:p>
    <w:p w14:paraId="1C593D58" w14:textId="77777777" w:rsidR="00A610E1" w:rsidRPr="00BD22FE" w:rsidRDefault="00A610E1" w:rsidP="00A610E1">
      <w:pPr>
        <w:pStyle w:val="BodyText"/>
        <w:spacing w:line="240" w:lineRule="auto"/>
        <w:jc w:val="left"/>
        <w:rPr>
          <w:sz w:val="22"/>
          <w:szCs w:val="22"/>
          <w:lang w:val="pl-PL"/>
        </w:rPr>
      </w:pPr>
      <w:r w:rsidRPr="00BD22FE">
        <w:rPr>
          <w:sz w:val="22"/>
          <w:szCs w:val="22"/>
          <w:lang w:val="pl-PL"/>
        </w:rPr>
        <w:t xml:space="preserve">Produkt leczniczy MicardisPlus </w:t>
      </w:r>
      <w:r w:rsidRPr="00BD22FE">
        <w:rPr>
          <w:sz w:val="22"/>
          <w:lang w:val="pl-PL"/>
        </w:rPr>
        <w:t>80 mg/</w:t>
      </w:r>
      <w:r w:rsidRPr="00BD22FE">
        <w:rPr>
          <w:sz w:val="22"/>
          <w:szCs w:val="22"/>
          <w:lang w:val="pl-PL"/>
        </w:rPr>
        <w:t xml:space="preserve">25 mg tabletki zawiera 338 mg sorbitolu </w:t>
      </w:r>
      <w:r w:rsidRPr="00BD22FE">
        <w:rPr>
          <w:sz w:val="22"/>
          <w:szCs w:val="22"/>
          <w:lang w:val="pl-PL" w:eastAsia="de-DE"/>
        </w:rPr>
        <w:t>w każdej tabletce.</w:t>
      </w:r>
      <w:r w:rsidRPr="00BD22FE">
        <w:rPr>
          <w:sz w:val="22"/>
          <w:szCs w:val="22"/>
          <w:lang w:val="pl-PL"/>
        </w:rPr>
        <w:t xml:space="preserve"> </w:t>
      </w:r>
      <w:r w:rsidRPr="00BD22FE">
        <w:rPr>
          <w:sz w:val="22"/>
          <w:szCs w:val="22"/>
          <w:lang w:val="pl-PL" w:eastAsia="de-DE"/>
        </w:rPr>
        <w:t>Pacjenci z dziedziczną nietolerancją fruktozy nie mogą przyjmować tego produktu leczniczego.</w:t>
      </w:r>
    </w:p>
    <w:p w14:paraId="26931E6E" w14:textId="77777777" w:rsidR="00A610E1" w:rsidRPr="00BD22FE" w:rsidRDefault="00A610E1" w:rsidP="00A610E1">
      <w:pPr>
        <w:pStyle w:val="BodyText"/>
        <w:spacing w:line="240" w:lineRule="auto"/>
        <w:jc w:val="left"/>
        <w:rPr>
          <w:sz w:val="22"/>
          <w:szCs w:val="22"/>
          <w:lang w:val="pl-PL"/>
        </w:rPr>
      </w:pPr>
    </w:p>
    <w:p w14:paraId="7503240B" w14:textId="77777777" w:rsidR="00A610E1" w:rsidRPr="00BD22FE" w:rsidRDefault="00A610E1" w:rsidP="00A610E1">
      <w:pPr>
        <w:pStyle w:val="BodyText"/>
        <w:keepNext/>
        <w:spacing w:line="240" w:lineRule="auto"/>
        <w:jc w:val="left"/>
        <w:rPr>
          <w:sz w:val="22"/>
          <w:szCs w:val="22"/>
          <w:u w:val="single"/>
          <w:lang w:val="pl-PL"/>
        </w:rPr>
      </w:pPr>
      <w:r w:rsidRPr="00BD22FE">
        <w:rPr>
          <w:sz w:val="22"/>
          <w:szCs w:val="22"/>
          <w:u w:val="single"/>
          <w:lang w:val="pl-PL"/>
        </w:rPr>
        <w:t>Sód</w:t>
      </w:r>
    </w:p>
    <w:p w14:paraId="148AC225" w14:textId="77777777" w:rsidR="00A610E1" w:rsidRPr="00BD22FE" w:rsidRDefault="00A610E1" w:rsidP="00A610E1">
      <w:pPr>
        <w:pStyle w:val="BodyText"/>
        <w:spacing w:line="240" w:lineRule="auto"/>
        <w:jc w:val="left"/>
        <w:rPr>
          <w:sz w:val="22"/>
          <w:szCs w:val="22"/>
          <w:lang w:val="pl-PL"/>
        </w:rPr>
      </w:pPr>
      <w:r w:rsidRPr="00BD22FE">
        <w:rPr>
          <w:sz w:val="22"/>
          <w:szCs w:val="22"/>
          <w:lang w:val="pl-PL"/>
        </w:rPr>
        <w:t>Każda tabletka zawiera mniej niż 1 mmol (23 mg) sodu na tabletkę, to znaczy produkt leczniczy uznaje się za „wolny od sodu”.</w:t>
      </w:r>
    </w:p>
    <w:p w14:paraId="2A46BA91" w14:textId="77777777" w:rsidR="00A610E1" w:rsidRPr="00BD22FE" w:rsidRDefault="00A610E1" w:rsidP="00A610E1">
      <w:pPr>
        <w:pStyle w:val="BodyText"/>
        <w:spacing w:line="240" w:lineRule="auto"/>
        <w:jc w:val="left"/>
        <w:rPr>
          <w:sz w:val="22"/>
          <w:szCs w:val="22"/>
          <w:lang w:val="pl-PL"/>
        </w:rPr>
      </w:pPr>
    </w:p>
    <w:p w14:paraId="76701E32" w14:textId="77777777" w:rsidR="00A610E1" w:rsidRPr="00BD22FE" w:rsidRDefault="00A610E1" w:rsidP="00A610E1">
      <w:pPr>
        <w:pStyle w:val="BodyText"/>
        <w:keepNext/>
        <w:spacing w:line="240" w:lineRule="auto"/>
        <w:ind w:left="567" w:hanging="567"/>
        <w:jc w:val="left"/>
        <w:rPr>
          <w:b/>
          <w:sz w:val="22"/>
          <w:szCs w:val="22"/>
          <w:lang w:val="pl-PL"/>
        </w:rPr>
      </w:pPr>
      <w:r w:rsidRPr="00BD22FE">
        <w:rPr>
          <w:b/>
          <w:sz w:val="22"/>
          <w:szCs w:val="22"/>
          <w:lang w:val="pl-PL"/>
        </w:rPr>
        <w:t>4.5</w:t>
      </w:r>
      <w:r w:rsidRPr="00BD22FE">
        <w:rPr>
          <w:b/>
          <w:sz w:val="22"/>
          <w:szCs w:val="22"/>
          <w:lang w:val="pl-PL"/>
        </w:rPr>
        <w:tab/>
        <w:t>Interakcje z innymi produktami leczniczymi i inne rodzaje interakcji</w:t>
      </w:r>
    </w:p>
    <w:p w14:paraId="464355FB" w14:textId="77777777" w:rsidR="00A610E1" w:rsidRPr="00BD22FE" w:rsidRDefault="00A610E1" w:rsidP="00A610E1">
      <w:pPr>
        <w:pStyle w:val="BodyText"/>
        <w:keepNext/>
        <w:spacing w:line="240" w:lineRule="auto"/>
        <w:jc w:val="left"/>
        <w:rPr>
          <w:sz w:val="22"/>
          <w:szCs w:val="22"/>
          <w:lang w:val="pl-PL"/>
        </w:rPr>
      </w:pPr>
    </w:p>
    <w:p w14:paraId="204654BA" w14:textId="77777777" w:rsidR="00A610E1" w:rsidRPr="00BD22FE" w:rsidRDefault="00A610E1" w:rsidP="00A610E1">
      <w:pPr>
        <w:pStyle w:val="BodyText"/>
        <w:keepNext/>
        <w:spacing w:line="240" w:lineRule="auto"/>
        <w:jc w:val="left"/>
        <w:rPr>
          <w:sz w:val="22"/>
          <w:szCs w:val="22"/>
          <w:lang w:val="pl-PL"/>
        </w:rPr>
      </w:pPr>
      <w:r w:rsidRPr="00BD22FE">
        <w:rPr>
          <w:sz w:val="22"/>
          <w:szCs w:val="22"/>
          <w:u w:val="single"/>
          <w:lang w:val="pl-PL"/>
        </w:rPr>
        <w:t>Lit</w:t>
      </w:r>
    </w:p>
    <w:p w14:paraId="726BE465" w14:textId="220D8F5F" w:rsidR="00A610E1" w:rsidRPr="00BD22FE" w:rsidRDefault="00A610E1" w:rsidP="00A610E1">
      <w:pPr>
        <w:pStyle w:val="BodyText"/>
        <w:spacing w:line="240" w:lineRule="auto"/>
        <w:jc w:val="left"/>
        <w:rPr>
          <w:sz w:val="22"/>
          <w:u w:val="single"/>
          <w:lang w:val="pl-PL"/>
        </w:rPr>
      </w:pPr>
      <w:r w:rsidRPr="00BD22FE">
        <w:rPr>
          <w:sz w:val="22"/>
          <w:szCs w:val="22"/>
          <w:lang w:val="pl-PL"/>
        </w:rPr>
        <w:t>Obserwowano odwracalne zwiększenie stężenia litu w surowicy i zwiększenie jego toksyczności w przypadku jednoczesnego podawania litu z inhibitorami konwertazy angiotensyny. Notowano rzadkie przypadki z blokerami receptora angiotensyny II (w tym telmisartan/HCTZ). Nie jest zalecane jednoczesne podawanie litu i telmisartanu/HCTZ (patrz punkt 4.4). Jeśli konieczne</w:t>
      </w:r>
      <w:r w:rsidRPr="00BD22FE" w:rsidDel="00BF2375">
        <w:rPr>
          <w:sz w:val="22"/>
          <w:szCs w:val="22"/>
          <w:lang w:val="pl-PL"/>
        </w:rPr>
        <w:t xml:space="preserve"> </w:t>
      </w:r>
      <w:r w:rsidRPr="00BD22FE">
        <w:rPr>
          <w:sz w:val="22"/>
          <w:szCs w:val="22"/>
          <w:lang w:val="pl-PL"/>
        </w:rPr>
        <w:t>jest stosowanie tych leków w skojarzeniu, zalecane jest ścisłe monitorowanie stężenia litu w surowicy podczas ich jednoczesnego stosowania.</w:t>
      </w:r>
    </w:p>
    <w:p w14:paraId="3025DACC" w14:textId="77777777" w:rsidR="00A610E1" w:rsidRPr="00BD22FE" w:rsidRDefault="00A610E1" w:rsidP="00A610E1">
      <w:pPr>
        <w:pStyle w:val="BodyText"/>
        <w:spacing w:line="240" w:lineRule="auto"/>
        <w:jc w:val="left"/>
        <w:rPr>
          <w:sz w:val="22"/>
          <w:szCs w:val="22"/>
          <w:u w:val="single"/>
          <w:lang w:val="pl-PL"/>
        </w:rPr>
      </w:pPr>
    </w:p>
    <w:p w14:paraId="3747915C" w14:textId="77777777" w:rsidR="00A610E1" w:rsidRPr="00BD22FE" w:rsidRDefault="00A610E1" w:rsidP="00A610E1">
      <w:pPr>
        <w:pStyle w:val="BodyText"/>
        <w:keepNext/>
        <w:spacing w:line="240" w:lineRule="auto"/>
        <w:jc w:val="left"/>
        <w:rPr>
          <w:sz w:val="22"/>
          <w:szCs w:val="22"/>
          <w:lang w:val="pl-PL"/>
        </w:rPr>
      </w:pPr>
      <w:r w:rsidRPr="00BD22FE">
        <w:rPr>
          <w:sz w:val="22"/>
          <w:szCs w:val="22"/>
          <w:u w:val="single"/>
          <w:lang w:val="pl-PL"/>
        </w:rPr>
        <w:t>Produkty lecznicze związane z utratą potasu i hipokaliemią</w:t>
      </w:r>
      <w:r w:rsidRPr="00BD22FE">
        <w:rPr>
          <w:sz w:val="22"/>
          <w:szCs w:val="22"/>
          <w:lang w:val="pl-PL"/>
        </w:rPr>
        <w:t xml:space="preserve"> (np. inne diuretyki kaliuretyczne, środki przeczyszczające, kortykosteroidy, ACTH, amfoterycyna, karbenoksolon, sól sodowa penicyliny G, kwas salicylowy i jego pochodne)</w:t>
      </w:r>
    </w:p>
    <w:p w14:paraId="4FA05AAD" w14:textId="67B2E748" w:rsidR="00A610E1" w:rsidRPr="00BD22FE" w:rsidRDefault="00A610E1" w:rsidP="00A610E1">
      <w:pPr>
        <w:pStyle w:val="BodyText"/>
        <w:spacing w:line="240" w:lineRule="auto"/>
        <w:jc w:val="left"/>
        <w:rPr>
          <w:sz w:val="22"/>
          <w:szCs w:val="22"/>
          <w:lang w:val="pl-PL"/>
        </w:rPr>
      </w:pPr>
      <w:r w:rsidRPr="00BD22FE">
        <w:rPr>
          <w:sz w:val="22"/>
          <w:szCs w:val="22"/>
          <w:lang w:val="pl-PL"/>
        </w:rPr>
        <w:t>Jeżeli istnieje konieczność stosowania tych substancji jednocześnie z produktem zawierającym HCTZ i telmisartan, zaleca się monitorowanie stężenia potasu w osoczu. Te produkty lecznicze mogą nasilić działanie HCTZ na stężenie potasu w surowicy (patrz punkt 4.4).</w:t>
      </w:r>
    </w:p>
    <w:p w14:paraId="55C37A09" w14:textId="77777777" w:rsidR="00A610E1" w:rsidRPr="00BD22FE" w:rsidRDefault="00A610E1" w:rsidP="00A610E1">
      <w:pPr>
        <w:pStyle w:val="BodyText"/>
        <w:spacing w:line="240" w:lineRule="auto"/>
        <w:jc w:val="left"/>
        <w:rPr>
          <w:sz w:val="22"/>
          <w:szCs w:val="22"/>
          <w:lang w:val="pl-PL"/>
        </w:rPr>
      </w:pPr>
    </w:p>
    <w:p w14:paraId="472D8748" w14:textId="77777777" w:rsidR="00A610E1" w:rsidRPr="00BD22FE" w:rsidRDefault="00A610E1" w:rsidP="00A610E1">
      <w:pPr>
        <w:pStyle w:val="BodyText"/>
        <w:keepNext/>
        <w:spacing w:line="240" w:lineRule="auto"/>
        <w:jc w:val="left"/>
        <w:rPr>
          <w:sz w:val="22"/>
          <w:szCs w:val="22"/>
          <w:u w:val="single"/>
          <w:lang w:val="pl-PL"/>
        </w:rPr>
      </w:pPr>
      <w:r w:rsidRPr="00BD22FE">
        <w:rPr>
          <w:sz w:val="22"/>
          <w:szCs w:val="22"/>
          <w:u w:val="single"/>
          <w:lang w:val="pl-PL"/>
        </w:rPr>
        <w:t>Jodowe środki kontrastowe</w:t>
      </w:r>
    </w:p>
    <w:p w14:paraId="38ABB118" w14:textId="77777777" w:rsidR="00A610E1" w:rsidRPr="00BD22FE" w:rsidRDefault="00A610E1" w:rsidP="00A610E1">
      <w:pPr>
        <w:pStyle w:val="BodyText"/>
        <w:spacing w:line="240" w:lineRule="auto"/>
        <w:jc w:val="left"/>
        <w:rPr>
          <w:sz w:val="22"/>
          <w:szCs w:val="22"/>
          <w:lang w:val="pl-PL"/>
        </w:rPr>
      </w:pPr>
      <w:r w:rsidRPr="00BD22FE">
        <w:rPr>
          <w:sz w:val="22"/>
          <w:szCs w:val="22"/>
          <w:lang w:val="pl-PL"/>
        </w:rPr>
        <w:t>W przypadku odwodnienia spowodowanego stosowaniem diuretyków istnieje zwiększone ryzyko ostrej czynnościowej niewydolności nerek, zwłaszcza w trakcie stosowania dużych dawek jodowych środków kontrastowych. Wymagane jest nawodnienie przed podaniem środka jodowego.</w:t>
      </w:r>
    </w:p>
    <w:p w14:paraId="2DB5BAB0" w14:textId="77777777" w:rsidR="00A610E1" w:rsidRPr="00BD22FE" w:rsidRDefault="00A610E1" w:rsidP="00A610E1">
      <w:pPr>
        <w:pStyle w:val="BodyText"/>
        <w:spacing w:line="240" w:lineRule="auto"/>
        <w:jc w:val="left"/>
        <w:rPr>
          <w:sz w:val="22"/>
          <w:szCs w:val="22"/>
          <w:lang w:val="pl-PL"/>
        </w:rPr>
      </w:pPr>
    </w:p>
    <w:p w14:paraId="2FC7CB07" w14:textId="407F9859" w:rsidR="00A610E1" w:rsidRPr="00BD22FE" w:rsidRDefault="00A610E1" w:rsidP="00A610E1">
      <w:pPr>
        <w:pStyle w:val="BodyText"/>
        <w:keepNext/>
        <w:spacing w:line="240" w:lineRule="auto"/>
        <w:jc w:val="left"/>
        <w:rPr>
          <w:sz w:val="22"/>
          <w:szCs w:val="22"/>
          <w:lang w:val="pl-PL"/>
        </w:rPr>
      </w:pPr>
      <w:r w:rsidRPr="00BD22FE">
        <w:rPr>
          <w:sz w:val="22"/>
          <w:szCs w:val="22"/>
          <w:u w:val="single"/>
          <w:lang w:val="pl-PL"/>
        </w:rPr>
        <w:t>Produkty lecznicze, które mogą zwiększać stężenie potasu lub wywołać hiperkaliemię</w:t>
      </w:r>
      <w:r w:rsidRPr="00BD22FE">
        <w:rPr>
          <w:sz w:val="22"/>
          <w:szCs w:val="22"/>
          <w:lang w:val="pl-PL"/>
        </w:rPr>
        <w:t xml:space="preserve"> (np. inhibitory ACE, diuretyki oszczędzające potas, suplementy potasu, sole zawierające potas, cyklosporyna lub inne produkty lecznicze takie jak sól sodowa heparyny)</w:t>
      </w:r>
    </w:p>
    <w:p w14:paraId="78DE5436" w14:textId="77777777" w:rsidR="00A610E1" w:rsidRPr="00BD22FE" w:rsidRDefault="00A610E1" w:rsidP="00A610E1">
      <w:pPr>
        <w:pStyle w:val="BodyText"/>
        <w:spacing w:line="240" w:lineRule="auto"/>
        <w:jc w:val="left"/>
        <w:rPr>
          <w:sz w:val="22"/>
          <w:szCs w:val="22"/>
          <w:lang w:val="pl-PL"/>
        </w:rPr>
      </w:pPr>
      <w:r w:rsidRPr="00BD22FE">
        <w:rPr>
          <w:sz w:val="22"/>
          <w:szCs w:val="22"/>
          <w:lang w:val="pl-PL"/>
        </w:rPr>
        <w:t>Jeżeli istnieje konieczność stosowania tych produktów leczniczych jednocześnie z produktem zawierającym HCTZ i telmisartan, zaleca się monitorowanie stężenia potasu w osoczu. Jak wynika z doświadczenia w stosowaniu innych produktów leczniczych, które wpływają na układ renina-angiotensyna, jednoczesne stosowanie powyższych produktów leczniczych może prowadzić do zwiększenia stężenia potasu w surowicy i w związku z tym nie jest zalecane (patrz punkt 4.4).</w:t>
      </w:r>
    </w:p>
    <w:p w14:paraId="04518C77" w14:textId="77777777" w:rsidR="00A610E1" w:rsidRPr="00BD22FE" w:rsidRDefault="00A610E1" w:rsidP="00A610E1">
      <w:pPr>
        <w:pStyle w:val="BodyText"/>
        <w:spacing w:line="240" w:lineRule="auto"/>
        <w:jc w:val="left"/>
        <w:rPr>
          <w:sz w:val="22"/>
          <w:szCs w:val="22"/>
          <w:lang w:val="pl-PL"/>
        </w:rPr>
      </w:pPr>
    </w:p>
    <w:p w14:paraId="4786539F" w14:textId="7A0475BB" w:rsidR="00A610E1" w:rsidRPr="00BD22FE" w:rsidRDefault="00A610E1" w:rsidP="00A610E1">
      <w:pPr>
        <w:pStyle w:val="BodyText"/>
        <w:keepNext/>
        <w:spacing w:line="240" w:lineRule="auto"/>
        <w:jc w:val="left"/>
        <w:rPr>
          <w:sz w:val="22"/>
          <w:szCs w:val="22"/>
          <w:lang w:val="pl-PL"/>
        </w:rPr>
      </w:pPr>
      <w:r w:rsidRPr="00BD22FE">
        <w:rPr>
          <w:sz w:val="22"/>
          <w:szCs w:val="22"/>
          <w:u w:val="single"/>
          <w:lang w:val="pl-PL"/>
        </w:rPr>
        <w:lastRenderedPageBreak/>
        <w:t>Produkty lecznicze, na których działanie wpływają zaburzenia stężenia potasu w surowicy</w:t>
      </w:r>
    </w:p>
    <w:p w14:paraId="2C07F0EB" w14:textId="035DC036" w:rsidR="00A610E1" w:rsidRPr="00BD22FE" w:rsidRDefault="00A610E1" w:rsidP="00A610E1">
      <w:pPr>
        <w:pStyle w:val="BodyText"/>
        <w:spacing w:line="240" w:lineRule="auto"/>
        <w:jc w:val="left"/>
        <w:rPr>
          <w:sz w:val="22"/>
          <w:szCs w:val="22"/>
          <w:lang w:val="pl-PL"/>
        </w:rPr>
      </w:pPr>
      <w:r w:rsidRPr="00BD22FE">
        <w:rPr>
          <w:sz w:val="22"/>
          <w:szCs w:val="22"/>
          <w:lang w:val="pl-PL"/>
        </w:rPr>
        <w:t>Zaleca się okresowe monitorowanie stężenia potasu w surowicy oraz EKG w czasie podawania telmisartanu/HCTZ jednocześnie z produktami leczniczymi, na których działanie wpływają zaburzenia stężenia potasu w surowicy (np. glikozydy naparstnicy, leki przeciwarytmiczne), oraz z następującymi produktami leczniczymi wywołującymi „torsades de pointes” (w tym niektóre leki przeciwarytmiczne), dla których hipokaliemia jest czynnikiem predysponującym:</w:t>
      </w:r>
    </w:p>
    <w:p w14:paraId="47B22CE8" w14:textId="77777777" w:rsidR="00A610E1" w:rsidRPr="00BD22FE" w:rsidRDefault="00A610E1" w:rsidP="00A610E1">
      <w:pPr>
        <w:pStyle w:val="BodyText"/>
        <w:numPr>
          <w:ilvl w:val="0"/>
          <w:numId w:val="3"/>
        </w:numPr>
        <w:tabs>
          <w:tab w:val="clear" w:pos="2520"/>
        </w:tabs>
        <w:spacing w:line="240" w:lineRule="auto"/>
        <w:ind w:left="567" w:hanging="567"/>
        <w:jc w:val="left"/>
        <w:rPr>
          <w:sz w:val="22"/>
          <w:szCs w:val="22"/>
          <w:lang w:val="pl-PL"/>
        </w:rPr>
      </w:pPr>
      <w:r w:rsidRPr="00BD22FE">
        <w:rPr>
          <w:sz w:val="22"/>
          <w:szCs w:val="22"/>
          <w:lang w:val="pl-PL"/>
        </w:rPr>
        <w:t>leki przeciwarytmiczne klasy Ia (np. chinidyna, hydrochinidyna, dyzopiramid);</w:t>
      </w:r>
    </w:p>
    <w:p w14:paraId="19718957" w14:textId="20810765" w:rsidR="00A610E1" w:rsidRPr="00BD22FE" w:rsidRDefault="00A610E1" w:rsidP="00A610E1">
      <w:pPr>
        <w:pStyle w:val="BodyText"/>
        <w:numPr>
          <w:ilvl w:val="0"/>
          <w:numId w:val="3"/>
        </w:numPr>
        <w:tabs>
          <w:tab w:val="clear" w:pos="2520"/>
        </w:tabs>
        <w:spacing w:line="240" w:lineRule="auto"/>
        <w:ind w:left="567" w:hanging="567"/>
        <w:jc w:val="left"/>
        <w:rPr>
          <w:sz w:val="22"/>
          <w:szCs w:val="22"/>
          <w:lang w:val="pl-PL"/>
        </w:rPr>
      </w:pPr>
      <w:r w:rsidRPr="00BD22FE">
        <w:rPr>
          <w:sz w:val="22"/>
          <w:szCs w:val="22"/>
          <w:lang w:val="pl-PL"/>
        </w:rPr>
        <w:t>leki przeciwarytmiczne klasy III (np. amiodaron, sotalol, dofetylid, ibutylid);</w:t>
      </w:r>
    </w:p>
    <w:p w14:paraId="33AE85E7" w14:textId="77777777" w:rsidR="00A610E1" w:rsidRPr="00BD22FE" w:rsidRDefault="00A610E1" w:rsidP="00A610E1">
      <w:pPr>
        <w:pStyle w:val="BodyText"/>
        <w:numPr>
          <w:ilvl w:val="0"/>
          <w:numId w:val="3"/>
        </w:numPr>
        <w:tabs>
          <w:tab w:val="clear" w:pos="2520"/>
        </w:tabs>
        <w:spacing w:line="240" w:lineRule="auto"/>
        <w:ind w:left="567" w:hanging="567"/>
        <w:jc w:val="left"/>
        <w:rPr>
          <w:sz w:val="22"/>
          <w:szCs w:val="22"/>
          <w:lang w:val="pl-PL"/>
        </w:rPr>
      </w:pPr>
      <w:r w:rsidRPr="00BD22FE">
        <w:rPr>
          <w:sz w:val="22"/>
          <w:szCs w:val="22"/>
          <w:lang w:val="pl-PL"/>
        </w:rPr>
        <w:t>niektóre leki przeciwpsychotyczne: (np. tiorydazyna, chloropromazyna, lewomepromazyna, trifluoperazyna, cyjamemazyna, sulpiryd, sultopryd, amisulpryd, tiapryd, pimozyd, haloperydol, droperydol);</w:t>
      </w:r>
    </w:p>
    <w:p w14:paraId="2E9448CA" w14:textId="77777777" w:rsidR="00A610E1" w:rsidRPr="00BD22FE" w:rsidRDefault="00A610E1" w:rsidP="00A610E1">
      <w:pPr>
        <w:pStyle w:val="BodyText"/>
        <w:numPr>
          <w:ilvl w:val="0"/>
          <w:numId w:val="5"/>
        </w:numPr>
        <w:tabs>
          <w:tab w:val="clear" w:pos="2520"/>
        </w:tabs>
        <w:spacing w:line="240" w:lineRule="auto"/>
        <w:ind w:left="567" w:hanging="567"/>
        <w:jc w:val="left"/>
        <w:rPr>
          <w:sz w:val="22"/>
          <w:szCs w:val="22"/>
          <w:lang w:val="pl-PL"/>
        </w:rPr>
      </w:pPr>
      <w:r w:rsidRPr="00BD22FE">
        <w:rPr>
          <w:sz w:val="22"/>
          <w:szCs w:val="22"/>
          <w:lang w:val="pl-PL"/>
        </w:rPr>
        <w:t>inne leki (np. beprydyl, cyzapryd, difemanil, erytromycyna iv., halofantryna, mizolastyna, pentamidyna, sparfloksacyna, terfenadyna, winkamina iv.).</w:t>
      </w:r>
    </w:p>
    <w:p w14:paraId="09B9285B" w14:textId="77777777" w:rsidR="00A610E1" w:rsidRPr="00BD22FE" w:rsidRDefault="00A610E1" w:rsidP="00A610E1">
      <w:pPr>
        <w:pStyle w:val="BodyText"/>
        <w:spacing w:line="240" w:lineRule="auto"/>
        <w:jc w:val="left"/>
        <w:rPr>
          <w:sz w:val="22"/>
          <w:szCs w:val="22"/>
          <w:lang w:val="pl-PL"/>
        </w:rPr>
      </w:pPr>
    </w:p>
    <w:p w14:paraId="1F4DDCAA" w14:textId="77777777" w:rsidR="00A610E1" w:rsidRPr="00BD22FE" w:rsidRDefault="00A610E1" w:rsidP="00A610E1">
      <w:pPr>
        <w:pStyle w:val="BodyText"/>
        <w:keepNext/>
        <w:spacing w:line="240" w:lineRule="auto"/>
        <w:jc w:val="left"/>
        <w:rPr>
          <w:sz w:val="22"/>
          <w:szCs w:val="22"/>
          <w:lang w:val="pl-PL"/>
        </w:rPr>
      </w:pPr>
      <w:r w:rsidRPr="00BD22FE">
        <w:rPr>
          <w:sz w:val="22"/>
          <w:szCs w:val="22"/>
          <w:u w:val="single"/>
          <w:lang w:val="pl-PL"/>
        </w:rPr>
        <w:t>Glikozydy naparstnicy</w:t>
      </w:r>
    </w:p>
    <w:p w14:paraId="579A142C" w14:textId="11058416" w:rsidR="00A610E1" w:rsidRPr="00BD22FE" w:rsidRDefault="00A610E1" w:rsidP="00A610E1">
      <w:pPr>
        <w:pStyle w:val="BodyText"/>
        <w:spacing w:line="240" w:lineRule="auto"/>
        <w:jc w:val="left"/>
        <w:rPr>
          <w:sz w:val="22"/>
          <w:szCs w:val="22"/>
          <w:lang w:val="pl-PL"/>
        </w:rPr>
      </w:pPr>
      <w:r w:rsidRPr="00BD22FE">
        <w:rPr>
          <w:sz w:val="22"/>
          <w:szCs w:val="22"/>
          <w:lang w:val="pl-PL"/>
        </w:rPr>
        <w:t>Wywołana tiazydami hipokaliemia lub hipomagnezemia sprzyja powstawaniu arytmii wywołanej glikozydami naparstnicy (patrz punkt 4.4).</w:t>
      </w:r>
    </w:p>
    <w:p w14:paraId="4D04C735" w14:textId="77777777" w:rsidR="00A610E1" w:rsidRPr="00BD22FE" w:rsidRDefault="00A610E1" w:rsidP="00A610E1">
      <w:pPr>
        <w:rPr>
          <w:rStyle w:val="hps"/>
          <w:sz w:val="22"/>
          <w:szCs w:val="22"/>
          <w:lang w:val="pl-PL"/>
        </w:rPr>
      </w:pPr>
    </w:p>
    <w:p w14:paraId="4B5B1352" w14:textId="77777777" w:rsidR="00A610E1" w:rsidRPr="00BD22FE" w:rsidRDefault="00A610E1" w:rsidP="00A610E1">
      <w:pPr>
        <w:keepNext/>
        <w:rPr>
          <w:rStyle w:val="hps"/>
          <w:sz w:val="22"/>
          <w:szCs w:val="22"/>
          <w:u w:val="single"/>
          <w:lang w:val="pl-PL"/>
        </w:rPr>
      </w:pPr>
      <w:r w:rsidRPr="00BD22FE">
        <w:rPr>
          <w:rStyle w:val="hps"/>
          <w:sz w:val="22"/>
          <w:szCs w:val="22"/>
          <w:u w:val="single"/>
          <w:lang w:val="pl-PL"/>
        </w:rPr>
        <w:t>Digoksyna</w:t>
      </w:r>
    </w:p>
    <w:p w14:paraId="00010D2E" w14:textId="1BA90408" w:rsidR="00A610E1" w:rsidRPr="00BD22FE" w:rsidRDefault="00A610E1" w:rsidP="00A610E1">
      <w:pPr>
        <w:rPr>
          <w:rStyle w:val="hps"/>
          <w:sz w:val="22"/>
          <w:szCs w:val="22"/>
          <w:lang w:val="pl-PL"/>
        </w:rPr>
      </w:pPr>
      <w:r w:rsidRPr="00BD22FE">
        <w:rPr>
          <w:rStyle w:val="hps"/>
          <w:sz w:val="22"/>
          <w:szCs w:val="22"/>
          <w:lang w:val="pl-PL"/>
        </w:rPr>
        <w:t>Zaobserwowano wzrost mediany maksymalnego stężenia digoksyny w osoczu (49%) i stężenia minimalnego (20%), gdy podawano telmisartan jednocześnie z digoksyną, Podczas rozpoczynania, dostosowywania dawki i kończenia leczenia telmisartanem należy monitorować stężenie digoksyny w celu utrzymania stężenia</w:t>
      </w:r>
      <w:r w:rsidRPr="00BD22FE">
        <w:rPr>
          <w:rStyle w:val="BodyTextIndent2Char"/>
          <w:sz w:val="22"/>
          <w:szCs w:val="22"/>
          <w:lang w:val="pl-PL"/>
        </w:rPr>
        <w:t xml:space="preserve"> </w:t>
      </w:r>
      <w:r w:rsidRPr="00BD22FE">
        <w:rPr>
          <w:rStyle w:val="hps"/>
          <w:sz w:val="22"/>
          <w:szCs w:val="22"/>
          <w:lang w:val="pl-PL"/>
        </w:rPr>
        <w:t>w zakresie terapeutycznym.</w:t>
      </w:r>
    </w:p>
    <w:p w14:paraId="43634FC3" w14:textId="77777777" w:rsidR="00A610E1" w:rsidRPr="00BD22FE" w:rsidRDefault="00A610E1" w:rsidP="00A610E1">
      <w:pPr>
        <w:rPr>
          <w:sz w:val="22"/>
          <w:szCs w:val="22"/>
          <w:lang w:val="pl-PL"/>
        </w:rPr>
      </w:pPr>
    </w:p>
    <w:p w14:paraId="53F7D291" w14:textId="3E0C57AF" w:rsidR="00A610E1" w:rsidRPr="00BD22FE" w:rsidRDefault="00A610E1" w:rsidP="00A610E1">
      <w:pPr>
        <w:pStyle w:val="BodyText"/>
        <w:keepNext/>
        <w:spacing w:line="240" w:lineRule="auto"/>
        <w:jc w:val="left"/>
        <w:rPr>
          <w:sz w:val="22"/>
          <w:szCs w:val="22"/>
          <w:lang w:val="pl-PL"/>
        </w:rPr>
      </w:pPr>
      <w:r w:rsidRPr="00BD22FE">
        <w:rPr>
          <w:sz w:val="22"/>
          <w:szCs w:val="22"/>
          <w:u w:val="single"/>
          <w:lang w:val="pl-PL"/>
        </w:rPr>
        <w:t>Inne leki przeciwnadciśnieniowe</w:t>
      </w:r>
    </w:p>
    <w:p w14:paraId="6555ED80" w14:textId="77777777" w:rsidR="00A610E1" w:rsidRPr="00BD22FE" w:rsidRDefault="00A610E1" w:rsidP="00A610E1">
      <w:pPr>
        <w:pStyle w:val="BodyText"/>
        <w:spacing w:line="240" w:lineRule="auto"/>
        <w:jc w:val="left"/>
        <w:rPr>
          <w:sz w:val="22"/>
          <w:szCs w:val="22"/>
          <w:lang w:val="pl-PL"/>
        </w:rPr>
      </w:pPr>
      <w:r w:rsidRPr="00BD22FE">
        <w:rPr>
          <w:sz w:val="22"/>
          <w:szCs w:val="22"/>
          <w:lang w:val="pl-PL"/>
        </w:rPr>
        <w:t>Telmisartan może nasilać działanie hipotensyjne innych leków przeciwnadciśnieniowych.</w:t>
      </w:r>
    </w:p>
    <w:p w14:paraId="2C8525C3" w14:textId="77777777" w:rsidR="00A610E1" w:rsidRPr="00BD22FE" w:rsidRDefault="00A610E1" w:rsidP="00A610E1">
      <w:pPr>
        <w:pStyle w:val="BodyText"/>
        <w:spacing w:line="240" w:lineRule="auto"/>
        <w:jc w:val="left"/>
        <w:rPr>
          <w:sz w:val="22"/>
          <w:szCs w:val="22"/>
          <w:lang w:val="pl-PL"/>
        </w:rPr>
      </w:pPr>
    </w:p>
    <w:p w14:paraId="0B0670A7" w14:textId="7A8CB7ED" w:rsidR="00A610E1" w:rsidRPr="00BD22FE" w:rsidRDefault="00A610E1" w:rsidP="00A610E1">
      <w:pPr>
        <w:rPr>
          <w:sz w:val="22"/>
          <w:szCs w:val="22"/>
          <w:lang w:val="pl-PL"/>
        </w:rPr>
      </w:pPr>
      <w:r w:rsidRPr="00BD22FE">
        <w:rPr>
          <w:sz w:val="22"/>
          <w:szCs w:val="22"/>
          <w:lang w:val="pl-PL"/>
        </w:rPr>
        <w:t>Dane badania klinicznego wykazały, że podwójna blokada układu renina-angiotensyna-aldosteron (RAA) w wyniku jednoczesnego zastosowania inhibitorów ACE, blokerów receptora angiotensyny II lub aliskirenu jest związana z większą częstością występowania zdarzeń niepożądanych, takich jak niedociśnienie tętnicze, hiperkaliemia oraz zaburzenia czynności nerek (w tym ostra niewydolność nerek) w porównaniu z zastosowaniem leku z grupy blokerów układu RAA w monoterapii (patrz punkty 4.3, 4.4 i 5.1).</w:t>
      </w:r>
    </w:p>
    <w:p w14:paraId="111C5CBC" w14:textId="77777777" w:rsidR="00A610E1" w:rsidRPr="00BD22FE" w:rsidRDefault="00A610E1" w:rsidP="00A610E1">
      <w:pPr>
        <w:pStyle w:val="BodyText"/>
        <w:spacing w:line="240" w:lineRule="auto"/>
        <w:jc w:val="left"/>
        <w:rPr>
          <w:sz w:val="22"/>
          <w:szCs w:val="22"/>
          <w:lang w:val="pl-PL"/>
        </w:rPr>
      </w:pPr>
    </w:p>
    <w:p w14:paraId="081E5644" w14:textId="0378F9C2" w:rsidR="00A610E1" w:rsidRPr="00BD22FE" w:rsidRDefault="00A610E1" w:rsidP="00A610E1">
      <w:pPr>
        <w:pStyle w:val="BodyText"/>
        <w:keepNext/>
        <w:spacing w:line="240" w:lineRule="auto"/>
        <w:jc w:val="left"/>
        <w:rPr>
          <w:sz w:val="22"/>
          <w:szCs w:val="22"/>
          <w:u w:val="single"/>
          <w:lang w:val="pl-PL"/>
        </w:rPr>
      </w:pPr>
      <w:r w:rsidRPr="00BD22FE">
        <w:rPr>
          <w:sz w:val="22"/>
          <w:szCs w:val="22"/>
          <w:u w:val="single"/>
          <w:lang w:val="pl-PL"/>
        </w:rPr>
        <w:t>Przeciwcukrzycowe produkty lecznicze (produkty doustne i insulina)</w:t>
      </w:r>
    </w:p>
    <w:p w14:paraId="48CB2207" w14:textId="5312484A" w:rsidR="00A610E1" w:rsidRPr="00BD22FE" w:rsidRDefault="00A610E1" w:rsidP="00A610E1">
      <w:pPr>
        <w:pStyle w:val="BodyText"/>
        <w:spacing w:line="240" w:lineRule="auto"/>
        <w:jc w:val="left"/>
        <w:rPr>
          <w:sz w:val="22"/>
          <w:szCs w:val="22"/>
          <w:lang w:val="pl-PL"/>
        </w:rPr>
      </w:pPr>
      <w:r w:rsidRPr="00BD22FE">
        <w:rPr>
          <w:sz w:val="22"/>
          <w:szCs w:val="22"/>
          <w:lang w:val="pl-PL"/>
        </w:rPr>
        <w:t>Może być konieczne dostosowanie dawki przeciwcukrzycowych produktów leczniczych (patrz punkt 4.4).</w:t>
      </w:r>
    </w:p>
    <w:p w14:paraId="33E542DB" w14:textId="77777777" w:rsidR="00A610E1" w:rsidRPr="00BD22FE" w:rsidRDefault="00A610E1" w:rsidP="00A610E1">
      <w:pPr>
        <w:pStyle w:val="BodyText"/>
        <w:spacing w:line="240" w:lineRule="auto"/>
        <w:jc w:val="left"/>
        <w:rPr>
          <w:sz w:val="22"/>
          <w:szCs w:val="22"/>
          <w:lang w:val="pl-PL"/>
        </w:rPr>
      </w:pPr>
    </w:p>
    <w:p w14:paraId="7D429D01" w14:textId="77777777" w:rsidR="00A610E1" w:rsidRPr="00BD22FE" w:rsidRDefault="00A610E1" w:rsidP="00A610E1">
      <w:pPr>
        <w:pStyle w:val="BodyText"/>
        <w:keepNext/>
        <w:spacing w:line="240" w:lineRule="auto"/>
        <w:jc w:val="left"/>
        <w:rPr>
          <w:sz w:val="22"/>
          <w:szCs w:val="22"/>
          <w:lang w:val="pl-PL"/>
        </w:rPr>
      </w:pPr>
      <w:r w:rsidRPr="00BD22FE">
        <w:rPr>
          <w:sz w:val="22"/>
          <w:szCs w:val="22"/>
          <w:u w:val="single"/>
          <w:lang w:val="pl-PL"/>
        </w:rPr>
        <w:t>Metformina</w:t>
      </w:r>
    </w:p>
    <w:p w14:paraId="7F8E1A35" w14:textId="05C2C689" w:rsidR="00A610E1" w:rsidRPr="00BD22FE" w:rsidRDefault="00A610E1" w:rsidP="00A610E1">
      <w:pPr>
        <w:pStyle w:val="BodyText"/>
        <w:spacing w:line="240" w:lineRule="auto"/>
        <w:jc w:val="left"/>
        <w:rPr>
          <w:sz w:val="22"/>
          <w:szCs w:val="22"/>
          <w:lang w:val="pl-PL"/>
        </w:rPr>
      </w:pPr>
      <w:r w:rsidRPr="00BD22FE">
        <w:rPr>
          <w:sz w:val="22"/>
          <w:szCs w:val="22"/>
          <w:lang w:val="pl-PL"/>
        </w:rPr>
        <w:t>Metformina powinna być ostrożnie stosowana: istnieje ryzyko kwasicy mleczanowej wywołanej potencjalną niewydolnością nerek związaną ze stosowaniem HCTZ.</w:t>
      </w:r>
    </w:p>
    <w:p w14:paraId="0990645C" w14:textId="77777777" w:rsidR="00A610E1" w:rsidRPr="00BD22FE" w:rsidRDefault="00A610E1" w:rsidP="00A610E1">
      <w:pPr>
        <w:pStyle w:val="BodyText"/>
        <w:spacing w:line="240" w:lineRule="auto"/>
        <w:jc w:val="left"/>
        <w:rPr>
          <w:sz w:val="22"/>
          <w:szCs w:val="22"/>
          <w:lang w:val="pl-PL"/>
        </w:rPr>
      </w:pPr>
    </w:p>
    <w:p w14:paraId="0366CFB4" w14:textId="77777777" w:rsidR="00A610E1" w:rsidRPr="00BD22FE" w:rsidRDefault="00A610E1" w:rsidP="00A610E1">
      <w:pPr>
        <w:pStyle w:val="BodyText"/>
        <w:keepNext/>
        <w:spacing w:line="240" w:lineRule="auto"/>
        <w:jc w:val="left"/>
        <w:rPr>
          <w:sz w:val="22"/>
          <w:szCs w:val="22"/>
          <w:lang w:val="pl-PL"/>
        </w:rPr>
      </w:pPr>
      <w:r w:rsidRPr="00BD22FE">
        <w:rPr>
          <w:sz w:val="22"/>
          <w:szCs w:val="22"/>
          <w:u w:val="single"/>
          <w:lang w:val="pl-PL"/>
        </w:rPr>
        <w:t>Kolestyramina i kolestypol (żywice)</w:t>
      </w:r>
    </w:p>
    <w:p w14:paraId="1A3ADB4C" w14:textId="77777777" w:rsidR="00A610E1" w:rsidRPr="00BD22FE" w:rsidRDefault="00A610E1" w:rsidP="00A610E1">
      <w:pPr>
        <w:pStyle w:val="BodyText"/>
        <w:spacing w:line="240" w:lineRule="auto"/>
        <w:jc w:val="left"/>
        <w:rPr>
          <w:sz w:val="22"/>
          <w:szCs w:val="22"/>
          <w:lang w:val="pl-PL"/>
        </w:rPr>
      </w:pPr>
      <w:r w:rsidRPr="00BD22FE">
        <w:rPr>
          <w:sz w:val="22"/>
          <w:szCs w:val="22"/>
          <w:lang w:val="pl-PL"/>
        </w:rPr>
        <w:t>Wchłanianie HCTZ jest zaburzone w obecności żywic wymieniających aniony.</w:t>
      </w:r>
    </w:p>
    <w:p w14:paraId="5EFBC135" w14:textId="77777777" w:rsidR="00A610E1" w:rsidRPr="00BD22FE" w:rsidRDefault="00A610E1" w:rsidP="00A610E1">
      <w:pPr>
        <w:pStyle w:val="BodyText"/>
        <w:spacing w:line="240" w:lineRule="auto"/>
        <w:jc w:val="left"/>
        <w:rPr>
          <w:sz w:val="22"/>
          <w:szCs w:val="22"/>
          <w:lang w:val="pl-PL"/>
        </w:rPr>
      </w:pPr>
    </w:p>
    <w:p w14:paraId="7B2FFCD8" w14:textId="77777777" w:rsidR="00A610E1" w:rsidRPr="00BD22FE" w:rsidRDefault="00A610E1" w:rsidP="00A610E1">
      <w:pPr>
        <w:pStyle w:val="BodyText"/>
        <w:keepNext/>
        <w:spacing w:line="240" w:lineRule="auto"/>
        <w:jc w:val="left"/>
        <w:rPr>
          <w:sz w:val="22"/>
          <w:szCs w:val="22"/>
          <w:u w:val="single"/>
          <w:lang w:val="pl-PL"/>
        </w:rPr>
      </w:pPr>
      <w:r w:rsidRPr="00BD22FE">
        <w:rPr>
          <w:sz w:val="22"/>
          <w:szCs w:val="22"/>
          <w:u w:val="single"/>
          <w:lang w:val="pl-PL"/>
        </w:rPr>
        <w:t>Niesteroidowe leki przeciwzapalne</w:t>
      </w:r>
    </w:p>
    <w:p w14:paraId="7B03EE90" w14:textId="2F455FA9" w:rsidR="00A610E1" w:rsidRPr="00BD22FE" w:rsidRDefault="00A610E1" w:rsidP="00A610E1">
      <w:pPr>
        <w:pStyle w:val="BodyText"/>
        <w:spacing w:line="240" w:lineRule="auto"/>
        <w:jc w:val="left"/>
        <w:rPr>
          <w:sz w:val="22"/>
          <w:szCs w:val="22"/>
          <w:lang w:val="pl-PL"/>
        </w:rPr>
      </w:pPr>
      <w:r w:rsidRPr="00BD22FE">
        <w:rPr>
          <w:sz w:val="22"/>
          <w:szCs w:val="22"/>
          <w:lang w:val="pl-PL"/>
        </w:rPr>
        <w:t>NLPZ (tj. kwas acetylosalicylowy w dawce o działaniu przeciwzapalnym, inhibitory COX</w:t>
      </w:r>
      <w:r w:rsidRPr="00BD22FE">
        <w:rPr>
          <w:sz w:val="22"/>
          <w:szCs w:val="22"/>
          <w:lang w:val="pl-PL"/>
        </w:rPr>
        <w:noBreakHyphen/>
        <w:t>2 i nieselektywne NLPZ) mogą zmniejszać działanie diuretyczne, natriuretyczne i przeciwnadciśnieniowe diuretyków tiazydowych oraz działanie przeciwnadciśnieniowe antagonistów receptora angiotensyny II.</w:t>
      </w:r>
    </w:p>
    <w:p w14:paraId="60E41381" w14:textId="6992A92E" w:rsidR="00A610E1" w:rsidRPr="00BD22FE" w:rsidRDefault="00A610E1" w:rsidP="00A610E1">
      <w:pPr>
        <w:pStyle w:val="BodyText"/>
        <w:spacing w:line="240" w:lineRule="auto"/>
        <w:jc w:val="left"/>
        <w:rPr>
          <w:sz w:val="22"/>
          <w:szCs w:val="22"/>
          <w:lang w:val="pl-PL"/>
        </w:rPr>
      </w:pPr>
      <w:r w:rsidRPr="00BD22FE">
        <w:rPr>
          <w:sz w:val="22"/>
          <w:szCs w:val="22"/>
          <w:lang w:val="pl-PL"/>
        </w:rPr>
        <w:t>U niektórych pacjentów z zaburzoną czynnością nerek (np. pacjenci odwodnieni lub pacjenci w podeszłym wieku z zaburzeniami czynności nerek) jednoczesne podanie blokerów receptora angiotensyny II i środków hamujących cyklooksygenazę może skutkować dalszym pogorszeniem czynności nerek, w tym ostrą niewydolnością nerek, która jest zwykle stanem odwracalnym. Dlatego takie skojarzenie leków powinno być podawane z dużą ostrożnością, szczególnie u osób w podeszłym wieku. Pacjenci powinni być odpowiednio nawodnieni, należy również rozważyć konieczność monitorowania czynności nerek po rozpoczęciu terapii towarzyszącej, a później okresowo.</w:t>
      </w:r>
    </w:p>
    <w:p w14:paraId="28CD2C2F" w14:textId="77777777" w:rsidR="00A610E1" w:rsidRPr="00BD22FE" w:rsidRDefault="00A610E1" w:rsidP="00A610E1">
      <w:pPr>
        <w:rPr>
          <w:sz w:val="22"/>
          <w:szCs w:val="22"/>
          <w:lang w:val="pl-PL"/>
        </w:rPr>
      </w:pPr>
    </w:p>
    <w:p w14:paraId="6224C543" w14:textId="77777777" w:rsidR="00A610E1" w:rsidRPr="00BD22FE" w:rsidRDefault="00A610E1" w:rsidP="00A610E1">
      <w:pPr>
        <w:rPr>
          <w:sz w:val="22"/>
          <w:szCs w:val="22"/>
          <w:lang w:val="pl-PL"/>
        </w:rPr>
      </w:pPr>
      <w:r w:rsidRPr="00BD22FE">
        <w:rPr>
          <w:sz w:val="22"/>
          <w:szCs w:val="22"/>
          <w:lang w:val="pl-PL"/>
        </w:rPr>
        <w:t>W jednym badaniu jednoczesne podawanie telmisartanu i ramiprylu spowodowało 2,5</w:t>
      </w:r>
      <w:r w:rsidRPr="00BD22FE">
        <w:rPr>
          <w:sz w:val="22"/>
          <w:szCs w:val="22"/>
          <w:lang w:val="pl-PL"/>
        </w:rPr>
        <w:noBreakHyphen/>
        <w:t>krotne zwiększenie AUC</w:t>
      </w:r>
      <w:r w:rsidRPr="00BD22FE">
        <w:rPr>
          <w:sz w:val="22"/>
          <w:szCs w:val="22"/>
          <w:vertAlign w:val="subscript"/>
          <w:lang w:val="pl-PL"/>
        </w:rPr>
        <w:t>0</w:t>
      </w:r>
      <w:r w:rsidRPr="00BD22FE">
        <w:rPr>
          <w:sz w:val="22"/>
          <w:szCs w:val="22"/>
          <w:vertAlign w:val="subscript"/>
          <w:lang w:val="pl-PL"/>
        </w:rPr>
        <w:noBreakHyphen/>
        <w:t>24</w:t>
      </w:r>
      <w:r w:rsidRPr="00BD22FE">
        <w:rPr>
          <w:sz w:val="22"/>
          <w:szCs w:val="22"/>
          <w:lang w:val="pl-PL"/>
        </w:rPr>
        <w:t xml:space="preserve"> i C</w:t>
      </w:r>
      <w:r w:rsidRPr="00BD22FE">
        <w:rPr>
          <w:sz w:val="22"/>
          <w:szCs w:val="22"/>
          <w:vertAlign w:val="subscript"/>
          <w:lang w:val="pl-PL"/>
        </w:rPr>
        <w:t>max</w:t>
      </w:r>
      <w:r w:rsidRPr="00BD22FE">
        <w:rPr>
          <w:sz w:val="22"/>
          <w:szCs w:val="22"/>
          <w:lang w:val="pl-PL"/>
        </w:rPr>
        <w:t xml:space="preserve"> ramiprylu i ramiprylatu. Znaczenie kliniczne tej obserwacji jest nieznane.</w:t>
      </w:r>
    </w:p>
    <w:p w14:paraId="37B09267" w14:textId="77777777" w:rsidR="00A610E1" w:rsidRPr="00BD22FE" w:rsidRDefault="00A610E1" w:rsidP="00A610E1">
      <w:pPr>
        <w:pStyle w:val="BodyText"/>
        <w:spacing w:line="240" w:lineRule="auto"/>
        <w:jc w:val="left"/>
        <w:rPr>
          <w:sz w:val="22"/>
          <w:szCs w:val="22"/>
          <w:lang w:val="pl-PL"/>
        </w:rPr>
      </w:pPr>
    </w:p>
    <w:p w14:paraId="0BED44F3" w14:textId="77777777" w:rsidR="00A610E1" w:rsidRPr="00BD22FE" w:rsidRDefault="00A610E1" w:rsidP="00A610E1">
      <w:pPr>
        <w:pStyle w:val="BodyText"/>
        <w:keepNext/>
        <w:spacing w:line="240" w:lineRule="auto"/>
        <w:jc w:val="left"/>
        <w:rPr>
          <w:sz w:val="22"/>
          <w:szCs w:val="22"/>
          <w:lang w:val="pl-PL"/>
        </w:rPr>
      </w:pPr>
      <w:r w:rsidRPr="00BD22FE">
        <w:rPr>
          <w:sz w:val="22"/>
          <w:szCs w:val="22"/>
          <w:u w:val="single"/>
          <w:lang w:val="pl-PL"/>
        </w:rPr>
        <w:t>Aminy presyjne</w:t>
      </w:r>
      <w:r w:rsidRPr="00BD22FE">
        <w:rPr>
          <w:sz w:val="22"/>
          <w:szCs w:val="22"/>
          <w:lang w:val="pl-PL"/>
        </w:rPr>
        <w:t xml:space="preserve"> (np. noradrenalina)</w:t>
      </w:r>
    </w:p>
    <w:p w14:paraId="287AD55A" w14:textId="3A71269F" w:rsidR="00A610E1" w:rsidRPr="00BD22FE" w:rsidRDefault="00A610E1" w:rsidP="00A610E1">
      <w:pPr>
        <w:pStyle w:val="BodyText"/>
        <w:spacing w:line="240" w:lineRule="auto"/>
        <w:jc w:val="left"/>
        <w:rPr>
          <w:sz w:val="22"/>
          <w:szCs w:val="22"/>
          <w:lang w:val="pl-PL"/>
        </w:rPr>
      </w:pPr>
      <w:r w:rsidRPr="00BD22FE">
        <w:rPr>
          <w:sz w:val="22"/>
          <w:szCs w:val="22"/>
          <w:lang w:val="pl-PL"/>
        </w:rPr>
        <w:t>Działanie amin presyjnych może być osłabione.</w:t>
      </w:r>
    </w:p>
    <w:p w14:paraId="0B57A495" w14:textId="77777777" w:rsidR="00A610E1" w:rsidRPr="00BD22FE" w:rsidRDefault="00A610E1" w:rsidP="00A610E1">
      <w:pPr>
        <w:pStyle w:val="BodyText"/>
        <w:spacing w:line="240" w:lineRule="auto"/>
        <w:jc w:val="left"/>
        <w:rPr>
          <w:sz w:val="22"/>
          <w:szCs w:val="22"/>
          <w:lang w:val="pl-PL"/>
        </w:rPr>
      </w:pPr>
    </w:p>
    <w:p w14:paraId="3C519529" w14:textId="77777777" w:rsidR="00A610E1" w:rsidRPr="00BD22FE" w:rsidRDefault="00A610E1" w:rsidP="00A610E1">
      <w:pPr>
        <w:pStyle w:val="BodyText"/>
        <w:keepNext/>
        <w:spacing w:line="240" w:lineRule="auto"/>
        <w:jc w:val="left"/>
        <w:rPr>
          <w:sz w:val="22"/>
          <w:szCs w:val="22"/>
          <w:u w:val="single"/>
          <w:lang w:val="pl-PL"/>
        </w:rPr>
      </w:pPr>
      <w:r w:rsidRPr="00BD22FE">
        <w:rPr>
          <w:sz w:val="22"/>
          <w:szCs w:val="22"/>
          <w:u w:val="single"/>
          <w:lang w:val="pl-PL"/>
        </w:rPr>
        <w:t>Niedepolaryzujące środki zwiotczające mięśnie szkieletowe (np. tubokuraryna)</w:t>
      </w:r>
    </w:p>
    <w:p w14:paraId="20D4261B" w14:textId="77777777" w:rsidR="00A610E1" w:rsidRPr="00BD22FE" w:rsidRDefault="00A610E1" w:rsidP="00A610E1">
      <w:pPr>
        <w:pStyle w:val="BodyText"/>
        <w:spacing w:line="240" w:lineRule="auto"/>
        <w:jc w:val="left"/>
        <w:rPr>
          <w:sz w:val="22"/>
          <w:szCs w:val="22"/>
          <w:lang w:val="pl-PL"/>
        </w:rPr>
      </w:pPr>
      <w:r w:rsidRPr="00BD22FE">
        <w:rPr>
          <w:sz w:val="22"/>
          <w:szCs w:val="22"/>
          <w:lang w:val="pl-PL"/>
        </w:rPr>
        <w:t>Działanie niedepolaryzujących środków zwiotczających mięśnie szkieletowe może być nasilone przez HCTZ.</w:t>
      </w:r>
    </w:p>
    <w:p w14:paraId="05C695FB" w14:textId="77777777" w:rsidR="00A610E1" w:rsidRPr="00BD22FE" w:rsidRDefault="00A610E1" w:rsidP="00A610E1">
      <w:pPr>
        <w:pStyle w:val="BodyText"/>
        <w:spacing w:line="240" w:lineRule="auto"/>
        <w:jc w:val="left"/>
        <w:rPr>
          <w:sz w:val="22"/>
          <w:szCs w:val="22"/>
          <w:lang w:val="pl-PL"/>
        </w:rPr>
      </w:pPr>
    </w:p>
    <w:p w14:paraId="2E746C31" w14:textId="21E38498" w:rsidR="00A610E1" w:rsidRPr="00BD22FE" w:rsidRDefault="00A610E1" w:rsidP="00A610E1">
      <w:pPr>
        <w:pStyle w:val="BodyText"/>
        <w:keepNext/>
        <w:spacing w:line="240" w:lineRule="auto"/>
        <w:jc w:val="left"/>
        <w:rPr>
          <w:sz w:val="22"/>
          <w:szCs w:val="22"/>
          <w:lang w:val="pl-PL"/>
        </w:rPr>
      </w:pPr>
      <w:r w:rsidRPr="00BD22FE">
        <w:rPr>
          <w:sz w:val="22"/>
          <w:szCs w:val="22"/>
          <w:u w:val="single"/>
          <w:lang w:val="pl-PL"/>
        </w:rPr>
        <w:t>Produkty lecznicze stosowane w leczeniu dny moczanowej (np. probenecyd, sulfinpyrazon i allopurynol</w:t>
      </w:r>
      <w:r w:rsidRPr="00BD22FE">
        <w:rPr>
          <w:sz w:val="22"/>
          <w:szCs w:val="22"/>
          <w:lang w:val="pl-PL"/>
        </w:rPr>
        <w:t>)</w:t>
      </w:r>
    </w:p>
    <w:p w14:paraId="43675B82" w14:textId="77777777" w:rsidR="00A610E1" w:rsidRPr="00BD22FE" w:rsidRDefault="00A610E1" w:rsidP="00A610E1">
      <w:pPr>
        <w:pStyle w:val="BodyText"/>
        <w:spacing w:line="240" w:lineRule="auto"/>
        <w:jc w:val="left"/>
        <w:rPr>
          <w:sz w:val="22"/>
          <w:szCs w:val="22"/>
          <w:lang w:val="pl-PL"/>
        </w:rPr>
      </w:pPr>
      <w:r w:rsidRPr="00BD22FE">
        <w:rPr>
          <w:sz w:val="22"/>
          <w:szCs w:val="22"/>
          <w:lang w:val="pl-PL"/>
        </w:rPr>
        <w:t>Może okazać się konieczne dostosowanie dawki leków zwiększających wydalanie kwasu moczowego z moczem, ponieważ HCTZ może zwiększyć stężenie kwasu moczowego w surowicy. Może okazać się konieczne zwiększenie dawki probenecydu lub sulfinpyrazonu. Jednoczesne podawanie tiazydu może zwiększyć częstość występowania reakcji nadwrażliwości na allopurynol.</w:t>
      </w:r>
    </w:p>
    <w:p w14:paraId="6F2E5D8B" w14:textId="77777777" w:rsidR="00A610E1" w:rsidRPr="00BD22FE" w:rsidRDefault="00A610E1" w:rsidP="00A610E1">
      <w:pPr>
        <w:pStyle w:val="BodyText"/>
        <w:spacing w:line="240" w:lineRule="auto"/>
        <w:jc w:val="left"/>
        <w:rPr>
          <w:sz w:val="22"/>
          <w:szCs w:val="22"/>
          <w:lang w:val="pl-PL"/>
        </w:rPr>
      </w:pPr>
    </w:p>
    <w:p w14:paraId="60C79D19" w14:textId="77777777" w:rsidR="00A610E1" w:rsidRPr="00BD22FE" w:rsidRDefault="00A610E1" w:rsidP="00A610E1">
      <w:pPr>
        <w:pStyle w:val="BodyText"/>
        <w:keepNext/>
        <w:spacing w:line="240" w:lineRule="auto"/>
        <w:jc w:val="left"/>
        <w:rPr>
          <w:sz w:val="22"/>
          <w:szCs w:val="22"/>
          <w:lang w:val="pl-PL"/>
        </w:rPr>
      </w:pPr>
      <w:r w:rsidRPr="00BD22FE">
        <w:rPr>
          <w:sz w:val="22"/>
          <w:szCs w:val="22"/>
          <w:u w:val="single"/>
          <w:lang w:val="pl-PL"/>
        </w:rPr>
        <w:t>Sole wapnia</w:t>
      </w:r>
    </w:p>
    <w:p w14:paraId="64E2AECF" w14:textId="77777777" w:rsidR="00A610E1" w:rsidRPr="00BD22FE" w:rsidRDefault="00A610E1" w:rsidP="00A610E1">
      <w:pPr>
        <w:pStyle w:val="BodyText"/>
        <w:spacing w:line="240" w:lineRule="auto"/>
        <w:jc w:val="left"/>
        <w:rPr>
          <w:sz w:val="22"/>
          <w:szCs w:val="22"/>
          <w:lang w:val="pl-PL"/>
        </w:rPr>
      </w:pPr>
      <w:r w:rsidRPr="00BD22FE">
        <w:rPr>
          <w:sz w:val="22"/>
          <w:szCs w:val="22"/>
          <w:lang w:val="pl-PL"/>
        </w:rPr>
        <w:t>Diuretyki tiazydowe mogą zwiększyć stężenie wapnia w surowicy w związku z jego zmniejszonym wydalaniem. Jeśli zajdzie potrzeba stosowania suplementów wapnia lub produktów leczniczych oszczędzających wapń (np. leczenie witaminą D), należy monitorować stężenie wapnia w surowicy i odpowiednio dostosować dawkę wapnia.</w:t>
      </w:r>
    </w:p>
    <w:p w14:paraId="67591629" w14:textId="77777777" w:rsidR="00A610E1" w:rsidRPr="00BD22FE" w:rsidRDefault="00A610E1" w:rsidP="00A610E1">
      <w:pPr>
        <w:pStyle w:val="BodyText"/>
        <w:spacing w:line="240" w:lineRule="auto"/>
        <w:jc w:val="left"/>
        <w:rPr>
          <w:sz w:val="22"/>
          <w:szCs w:val="22"/>
          <w:lang w:val="pl-PL"/>
        </w:rPr>
      </w:pPr>
    </w:p>
    <w:p w14:paraId="5FB4105D" w14:textId="77777777" w:rsidR="00A610E1" w:rsidRPr="00BD22FE" w:rsidRDefault="00A610E1" w:rsidP="00A610E1">
      <w:pPr>
        <w:pStyle w:val="BodyText"/>
        <w:keepNext/>
        <w:spacing w:line="240" w:lineRule="auto"/>
        <w:jc w:val="left"/>
        <w:rPr>
          <w:sz w:val="22"/>
          <w:szCs w:val="22"/>
          <w:u w:val="single"/>
          <w:lang w:val="pl-PL"/>
        </w:rPr>
      </w:pPr>
      <w:r w:rsidRPr="00BD22FE">
        <w:rPr>
          <w:sz w:val="22"/>
          <w:szCs w:val="22"/>
          <w:u w:val="single"/>
          <w:lang w:val="pl-PL"/>
        </w:rPr>
        <w:t>Beta</w:t>
      </w:r>
      <w:r w:rsidRPr="00BD22FE">
        <w:rPr>
          <w:sz w:val="22"/>
          <w:szCs w:val="22"/>
          <w:u w:val="single"/>
          <w:lang w:val="pl-PL"/>
        </w:rPr>
        <w:noBreakHyphen/>
        <w:t>adrenolityki i diazoksyd</w:t>
      </w:r>
    </w:p>
    <w:p w14:paraId="19E4A817" w14:textId="77777777" w:rsidR="00A610E1" w:rsidRPr="00BD22FE" w:rsidRDefault="00A610E1" w:rsidP="00A610E1">
      <w:pPr>
        <w:pStyle w:val="BodyText"/>
        <w:spacing w:line="240" w:lineRule="auto"/>
        <w:jc w:val="left"/>
        <w:rPr>
          <w:sz w:val="22"/>
          <w:szCs w:val="22"/>
          <w:lang w:val="pl-PL"/>
        </w:rPr>
      </w:pPr>
      <w:r w:rsidRPr="00BD22FE">
        <w:rPr>
          <w:sz w:val="22"/>
          <w:szCs w:val="22"/>
          <w:lang w:val="pl-PL"/>
        </w:rPr>
        <w:t>Tiazydy mogą zwiększyć działanie hiperglikemizujące beta</w:t>
      </w:r>
      <w:r w:rsidRPr="00BD22FE">
        <w:rPr>
          <w:sz w:val="22"/>
          <w:szCs w:val="22"/>
          <w:lang w:val="pl-PL"/>
        </w:rPr>
        <w:noBreakHyphen/>
        <w:t>adrenolityków i diazoksydu.</w:t>
      </w:r>
    </w:p>
    <w:p w14:paraId="741127D6" w14:textId="77777777" w:rsidR="00A610E1" w:rsidRPr="00BD22FE" w:rsidRDefault="00A610E1" w:rsidP="00A610E1">
      <w:pPr>
        <w:pStyle w:val="BodyText"/>
        <w:spacing w:line="240" w:lineRule="auto"/>
        <w:jc w:val="left"/>
        <w:rPr>
          <w:sz w:val="22"/>
          <w:szCs w:val="22"/>
          <w:lang w:val="pl-PL"/>
        </w:rPr>
      </w:pPr>
    </w:p>
    <w:p w14:paraId="51322065" w14:textId="77777777" w:rsidR="00A610E1" w:rsidRPr="00BD22FE" w:rsidRDefault="00A610E1" w:rsidP="00A610E1">
      <w:pPr>
        <w:pStyle w:val="BodyText"/>
        <w:keepNext/>
        <w:spacing w:line="240" w:lineRule="auto"/>
        <w:jc w:val="left"/>
        <w:rPr>
          <w:sz w:val="22"/>
          <w:szCs w:val="22"/>
          <w:u w:val="single"/>
          <w:lang w:val="pl-PL"/>
        </w:rPr>
      </w:pPr>
      <w:r w:rsidRPr="00BD22FE">
        <w:rPr>
          <w:sz w:val="22"/>
          <w:szCs w:val="22"/>
          <w:u w:val="single"/>
          <w:lang w:val="pl-PL"/>
        </w:rPr>
        <w:t>Środki antycholinergiczne</w:t>
      </w:r>
      <w:r w:rsidRPr="009D16CE">
        <w:rPr>
          <w:sz w:val="22"/>
          <w:szCs w:val="22"/>
          <w:lang w:val="pl-PL"/>
        </w:rPr>
        <w:t xml:space="preserve"> (np. atropina, biperyden)</w:t>
      </w:r>
    </w:p>
    <w:p w14:paraId="410D3848" w14:textId="5BE28DF0" w:rsidR="00A610E1" w:rsidRPr="00BD22FE" w:rsidRDefault="00A610E1" w:rsidP="00A610E1">
      <w:pPr>
        <w:pStyle w:val="BodyText"/>
        <w:spacing w:line="240" w:lineRule="auto"/>
        <w:jc w:val="left"/>
        <w:rPr>
          <w:sz w:val="22"/>
          <w:szCs w:val="22"/>
          <w:lang w:val="pl-PL"/>
        </w:rPr>
      </w:pPr>
      <w:r w:rsidRPr="00BD22FE">
        <w:rPr>
          <w:sz w:val="22"/>
          <w:szCs w:val="22"/>
          <w:lang w:val="pl-PL"/>
        </w:rPr>
        <w:t>Mogą zwiększyć biodostępność diuretyków tiazydowych poprzez zmniejszenie perystaltyki jelit i zmniejszenie szybkości opróżniania żołądka.</w:t>
      </w:r>
    </w:p>
    <w:p w14:paraId="3334F2DB" w14:textId="77777777" w:rsidR="00A610E1" w:rsidRPr="00BD22FE" w:rsidRDefault="00A610E1" w:rsidP="00A610E1">
      <w:pPr>
        <w:pStyle w:val="BodyText"/>
        <w:spacing w:line="240" w:lineRule="auto"/>
        <w:jc w:val="left"/>
        <w:rPr>
          <w:sz w:val="22"/>
          <w:szCs w:val="22"/>
          <w:lang w:val="pl-PL"/>
        </w:rPr>
      </w:pPr>
    </w:p>
    <w:p w14:paraId="11558717" w14:textId="77777777" w:rsidR="00A610E1" w:rsidRPr="00BD22FE" w:rsidRDefault="00A610E1" w:rsidP="00A610E1">
      <w:pPr>
        <w:pStyle w:val="BodyText"/>
        <w:keepNext/>
        <w:spacing w:line="240" w:lineRule="auto"/>
        <w:jc w:val="left"/>
        <w:rPr>
          <w:sz w:val="22"/>
          <w:szCs w:val="22"/>
          <w:u w:val="single"/>
          <w:lang w:val="pl-PL"/>
        </w:rPr>
      </w:pPr>
      <w:r w:rsidRPr="00BD22FE">
        <w:rPr>
          <w:sz w:val="22"/>
          <w:szCs w:val="22"/>
          <w:u w:val="single"/>
          <w:lang w:val="pl-PL"/>
        </w:rPr>
        <w:t>Amantadyna</w:t>
      </w:r>
    </w:p>
    <w:p w14:paraId="192C346E" w14:textId="1D6C21B5" w:rsidR="00A610E1" w:rsidRPr="00BD22FE" w:rsidRDefault="00A610E1" w:rsidP="00A610E1">
      <w:pPr>
        <w:pStyle w:val="BodyText"/>
        <w:spacing w:line="240" w:lineRule="auto"/>
        <w:jc w:val="left"/>
        <w:rPr>
          <w:sz w:val="22"/>
          <w:szCs w:val="22"/>
          <w:lang w:val="pl-PL"/>
        </w:rPr>
      </w:pPr>
      <w:r w:rsidRPr="00BD22FE">
        <w:rPr>
          <w:sz w:val="22"/>
          <w:szCs w:val="22"/>
          <w:lang w:val="pl-PL"/>
        </w:rPr>
        <w:t>Tiazydy mogą zwiększać ryzyko wystąpienia objawów niepożądanych wywoływanych przez amantadynę.</w:t>
      </w:r>
    </w:p>
    <w:p w14:paraId="4FE426D8" w14:textId="77777777" w:rsidR="00A610E1" w:rsidRPr="00BD22FE" w:rsidRDefault="00A610E1" w:rsidP="00A610E1">
      <w:pPr>
        <w:pStyle w:val="BodyText"/>
        <w:spacing w:line="240" w:lineRule="auto"/>
        <w:jc w:val="left"/>
        <w:rPr>
          <w:sz w:val="22"/>
          <w:szCs w:val="22"/>
          <w:lang w:val="pl-PL"/>
        </w:rPr>
      </w:pPr>
    </w:p>
    <w:p w14:paraId="7EB2FFDC" w14:textId="5855D759" w:rsidR="00A610E1" w:rsidRPr="00BD22FE" w:rsidRDefault="00A610E1" w:rsidP="00A610E1">
      <w:pPr>
        <w:pStyle w:val="BodyText"/>
        <w:keepNext/>
        <w:spacing w:line="240" w:lineRule="auto"/>
        <w:jc w:val="left"/>
        <w:rPr>
          <w:sz w:val="22"/>
          <w:szCs w:val="22"/>
          <w:lang w:val="pl-PL"/>
        </w:rPr>
      </w:pPr>
      <w:r w:rsidRPr="00BD22FE">
        <w:rPr>
          <w:sz w:val="22"/>
          <w:szCs w:val="22"/>
          <w:u w:val="single"/>
          <w:lang w:val="pl-PL"/>
        </w:rPr>
        <w:t>Środki cytotoksyczne</w:t>
      </w:r>
      <w:r w:rsidRPr="009D16CE">
        <w:rPr>
          <w:sz w:val="22"/>
          <w:szCs w:val="22"/>
          <w:lang w:val="pl-PL"/>
        </w:rPr>
        <w:t xml:space="preserve"> (</w:t>
      </w:r>
      <w:r w:rsidRPr="00BD22FE">
        <w:rPr>
          <w:sz w:val="22"/>
          <w:szCs w:val="22"/>
          <w:lang w:val="pl-PL"/>
        </w:rPr>
        <w:t>np. cyklofosfamid, metotreksat)</w:t>
      </w:r>
    </w:p>
    <w:p w14:paraId="340EA17E" w14:textId="77777777" w:rsidR="00A610E1" w:rsidRPr="00BD22FE" w:rsidRDefault="00A610E1" w:rsidP="00A610E1">
      <w:pPr>
        <w:pStyle w:val="BodyText"/>
        <w:spacing w:line="240" w:lineRule="auto"/>
        <w:jc w:val="left"/>
        <w:rPr>
          <w:sz w:val="22"/>
          <w:szCs w:val="22"/>
          <w:lang w:val="pl-PL"/>
        </w:rPr>
      </w:pPr>
      <w:r w:rsidRPr="00BD22FE">
        <w:rPr>
          <w:sz w:val="22"/>
          <w:szCs w:val="22"/>
          <w:lang w:val="pl-PL"/>
        </w:rPr>
        <w:t>Tiazydy mogą zmniejszyć wydalanie nerkowe cytotoksycznych produktów leczniczych i nasilić ich hamujące działanie na czynność szpiku.</w:t>
      </w:r>
    </w:p>
    <w:p w14:paraId="3056414E" w14:textId="77777777" w:rsidR="00A610E1" w:rsidRPr="00BD22FE" w:rsidRDefault="00A610E1" w:rsidP="00A610E1">
      <w:pPr>
        <w:pStyle w:val="BodyText"/>
        <w:spacing w:line="240" w:lineRule="auto"/>
        <w:jc w:val="left"/>
        <w:rPr>
          <w:sz w:val="22"/>
          <w:szCs w:val="22"/>
          <w:lang w:val="pl-PL"/>
        </w:rPr>
      </w:pPr>
    </w:p>
    <w:p w14:paraId="781421B4" w14:textId="7B16E5CF" w:rsidR="00A610E1" w:rsidRPr="00BD22FE" w:rsidRDefault="00A610E1" w:rsidP="00A610E1">
      <w:pPr>
        <w:pStyle w:val="BodyText"/>
        <w:spacing w:line="240" w:lineRule="auto"/>
        <w:jc w:val="left"/>
        <w:rPr>
          <w:sz w:val="22"/>
          <w:szCs w:val="22"/>
          <w:lang w:val="pl-PL"/>
        </w:rPr>
      </w:pPr>
      <w:r w:rsidRPr="00BD22FE">
        <w:rPr>
          <w:sz w:val="22"/>
          <w:szCs w:val="22"/>
          <w:lang w:val="pl-PL"/>
        </w:rPr>
        <w:t>Można oczekiwać, że ze względu na farmakologiczne właściwości następujące produkty lecznicze mogą nasilać działanie hipotensyjne wszystkich leków przeciwnadciśnieniowych, w tym telmisartanu: baklofen, amifostyna.</w:t>
      </w:r>
    </w:p>
    <w:p w14:paraId="375DE476" w14:textId="387B2804" w:rsidR="00A610E1" w:rsidRPr="00BD22FE" w:rsidRDefault="00A610E1" w:rsidP="00A610E1">
      <w:pPr>
        <w:pStyle w:val="BodyText"/>
        <w:spacing w:line="240" w:lineRule="auto"/>
        <w:jc w:val="left"/>
        <w:rPr>
          <w:sz w:val="22"/>
          <w:szCs w:val="22"/>
          <w:lang w:val="pl-PL"/>
        </w:rPr>
      </w:pPr>
      <w:r w:rsidRPr="00BD22FE">
        <w:rPr>
          <w:sz w:val="22"/>
          <w:szCs w:val="22"/>
          <w:lang w:val="pl-PL"/>
        </w:rPr>
        <w:t>Ponadto, niedociśnienie ortostatyczne może być spotęgowane przez alkohol, barbiturany, leki narkotyczne bądź leki przeciwdepresyjne.</w:t>
      </w:r>
    </w:p>
    <w:p w14:paraId="28125644" w14:textId="77777777" w:rsidR="00A610E1" w:rsidRPr="00BD22FE" w:rsidRDefault="00A610E1" w:rsidP="00A610E1">
      <w:pPr>
        <w:pStyle w:val="BodyText"/>
        <w:spacing w:line="240" w:lineRule="auto"/>
        <w:jc w:val="left"/>
        <w:rPr>
          <w:spacing w:val="-3"/>
          <w:sz w:val="22"/>
          <w:szCs w:val="22"/>
          <w:lang w:val="pl-PL"/>
        </w:rPr>
      </w:pPr>
    </w:p>
    <w:p w14:paraId="6284288C" w14:textId="77777777" w:rsidR="00A610E1" w:rsidRPr="00BD22FE" w:rsidRDefault="00A610E1" w:rsidP="00A610E1">
      <w:pPr>
        <w:pStyle w:val="BodyText"/>
        <w:keepNext/>
        <w:spacing w:line="240" w:lineRule="auto"/>
        <w:ind w:left="567" w:hanging="567"/>
        <w:jc w:val="left"/>
        <w:rPr>
          <w:b/>
          <w:sz w:val="22"/>
          <w:szCs w:val="22"/>
          <w:lang w:val="pl-PL"/>
        </w:rPr>
      </w:pPr>
      <w:r w:rsidRPr="00BD22FE">
        <w:rPr>
          <w:b/>
          <w:sz w:val="22"/>
          <w:szCs w:val="22"/>
          <w:lang w:val="pl-PL"/>
        </w:rPr>
        <w:t>4.6</w:t>
      </w:r>
      <w:r w:rsidRPr="00BD22FE">
        <w:rPr>
          <w:b/>
          <w:sz w:val="22"/>
          <w:szCs w:val="22"/>
          <w:lang w:val="pl-PL"/>
        </w:rPr>
        <w:tab/>
        <w:t>Wpływ na płodność, ciążę i laktację</w:t>
      </w:r>
    </w:p>
    <w:p w14:paraId="03146565" w14:textId="77777777" w:rsidR="00A610E1" w:rsidRPr="00BD22FE" w:rsidRDefault="00A610E1" w:rsidP="00A610E1">
      <w:pPr>
        <w:pStyle w:val="BodyText"/>
        <w:keepNext/>
        <w:spacing w:line="240" w:lineRule="auto"/>
        <w:jc w:val="left"/>
        <w:rPr>
          <w:sz w:val="22"/>
          <w:szCs w:val="22"/>
          <w:lang w:val="pl-PL"/>
        </w:rPr>
      </w:pPr>
    </w:p>
    <w:p w14:paraId="408281B3" w14:textId="77777777" w:rsidR="00A610E1" w:rsidRPr="00BD22FE" w:rsidRDefault="00A610E1" w:rsidP="00A610E1">
      <w:pPr>
        <w:pStyle w:val="BodyText"/>
        <w:keepNext/>
        <w:spacing w:line="240" w:lineRule="auto"/>
        <w:jc w:val="left"/>
        <w:rPr>
          <w:sz w:val="22"/>
          <w:szCs w:val="22"/>
          <w:lang w:val="pl-PL"/>
        </w:rPr>
      </w:pPr>
      <w:r w:rsidRPr="00BD22FE">
        <w:rPr>
          <w:sz w:val="22"/>
          <w:szCs w:val="22"/>
          <w:u w:val="single"/>
          <w:lang w:val="pl-PL"/>
        </w:rPr>
        <w:t>Ciąża</w:t>
      </w:r>
    </w:p>
    <w:p w14:paraId="69B677BC" w14:textId="77777777" w:rsidR="00A610E1" w:rsidRPr="00BD22FE" w:rsidRDefault="00A610E1" w:rsidP="00A610E1">
      <w:pPr>
        <w:pStyle w:val="BodyText"/>
        <w:keepNext/>
        <w:spacing w:line="240" w:lineRule="auto"/>
        <w:jc w:val="left"/>
        <w:rPr>
          <w:sz w:val="22"/>
          <w:szCs w:val="22"/>
          <w:u w:val="single"/>
          <w:lang w:val="pl-PL"/>
        </w:rPr>
      </w:pPr>
    </w:p>
    <w:p w14:paraId="181C519F" w14:textId="63A892DA" w:rsidR="00A610E1" w:rsidRPr="00BD22FE" w:rsidRDefault="00A610E1" w:rsidP="00A610E1">
      <w:pPr>
        <w:pStyle w:val="BodyText"/>
        <w:pBdr>
          <w:top w:val="single" w:sz="4" w:space="1" w:color="auto"/>
          <w:left w:val="single" w:sz="4" w:space="4" w:color="auto"/>
          <w:bottom w:val="single" w:sz="4" w:space="1" w:color="auto"/>
          <w:right w:val="single" w:sz="4" w:space="4" w:color="auto"/>
        </w:pBdr>
        <w:spacing w:line="240" w:lineRule="auto"/>
        <w:jc w:val="left"/>
        <w:rPr>
          <w:sz w:val="22"/>
          <w:szCs w:val="22"/>
          <w:lang w:val="pl-PL"/>
        </w:rPr>
      </w:pPr>
      <w:r w:rsidRPr="00BD22FE">
        <w:rPr>
          <w:sz w:val="22"/>
          <w:szCs w:val="22"/>
          <w:lang w:val="pl-PL"/>
        </w:rPr>
        <w:t xml:space="preserve">Nie zaleca się stosowania blokerów receptora angiotensyny II podczas pierwszego trymestru ciąży (patrz punkt 4.4). </w:t>
      </w:r>
      <w:r w:rsidRPr="00BD22FE">
        <w:rPr>
          <w:iCs/>
          <w:sz w:val="22"/>
          <w:szCs w:val="22"/>
          <w:lang w:val="pl-PL"/>
        </w:rPr>
        <w:t>S</w:t>
      </w:r>
      <w:r w:rsidRPr="00BD22FE">
        <w:rPr>
          <w:sz w:val="22"/>
          <w:szCs w:val="22"/>
          <w:lang w:val="pl-PL"/>
        </w:rPr>
        <w:t>tosowanie blokerów receptora angiotensyny II jest przeciwwskazane</w:t>
      </w:r>
      <w:r w:rsidRPr="00BD22FE">
        <w:rPr>
          <w:i/>
          <w:sz w:val="22"/>
          <w:szCs w:val="22"/>
          <w:lang w:val="pl-PL"/>
        </w:rPr>
        <w:t xml:space="preserve"> </w:t>
      </w:r>
      <w:r w:rsidRPr="00BD22FE">
        <w:rPr>
          <w:sz w:val="22"/>
          <w:szCs w:val="22"/>
          <w:lang w:val="pl-PL"/>
        </w:rPr>
        <w:t>podczas drugiego i trzeciego trymestru ciąży (patrz punkty 4.3 i 4.4).</w:t>
      </w:r>
    </w:p>
    <w:p w14:paraId="117410F0" w14:textId="77777777" w:rsidR="00A610E1" w:rsidRPr="00BD22FE" w:rsidRDefault="00A610E1" w:rsidP="00A610E1">
      <w:pPr>
        <w:pStyle w:val="BodyText"/>
        <w:spacing w:line="240" w:lineRule="auto"/>
        <w:jc w:val="left"/>
        <w:rPr>
          <w:sz w:val="22"/>
          <w:szCs w:val="22"/>
          <w:lang w:val="pl-PL"/>
        </w:rPr>
      </w:pPr>
    </w:p>
    <w:p w14:paraId="2CBA884D" w14:textId="1F21E9D5" w:rsidR="00A610E1" w:rsidRPr="00BD22FE" w:rsidRDefault="00A610E1" w:rsidP="00A610E1">
      <w:pPr>
        <w:pStyle w:val="BodyText"/>
        <w:spacing w:line="240" w:lineRule="auto"/>
        <w:jc w:val="left"/>
        <w:rPr>
          <w:sz w:val="22"/>
          <w:szCs w:val="22"/>
          <w:lang w:val="pl-PL"/>
        </w:rPr>
      </w:pPr>
      <w:r w:rsidRPr="00BD22FE">
        <w:rPr>
          <w:sz w:val="22"/>
          <w:szCs w:val="22"/>
          <w:lang w:val="pl-PL"/>
        </w:rPr>
        <w:t>Brak odpowiednich danych dotyczących stosowania telmisartanu/HCTZ u kobiet w ciąży. Badania na zwierzętach wykazały szkodliwy wpływ na reprodukcję</w:t>
      </w:r>
      <w:r w:rsidRPr="00BD22FE" w:rsidDel="001F7A6C">
        <w:rPr>
          <w:sz w:val="22"/>
          <w:szCs w:val="22"/>
          <w:lang w:val="pl-PL"/>
        </w:rPr>
        <w:t xml:space="preserve"> </w:t>
      </w:r>
      <w:r w:rsidRPr="00BD22FE">
        <w:rPr>
          <w:sz w:val="22"/>
          <w:szCs w:val="22"/>
          <w:lang w:val="pl-PL"/>
        </w:rPr>
        <w:t>(patrz punkt 5.3).</w:t>
      </w:r>
    </w:p>
    <w:p w14:paraId="0B0BC5E5" w14:textId="7140A5C4" w:rsidR="00A610E1" w:rsidRPr="00BD22FE" w:rsidRDefault="00A610E1" w:rsidP="00A610E1">
      <w:pPr>
        <w:pStyle w:val="BodyText"/>
        <w:spacing w:line="240" w:lineRule="auto"/>
        <w:jc w:val="left"/>
        <w:rPr>
          <w:sz w:val="22"/>
          <w:szCs w:val="22"/>
          <w:lang w:val="pl-PL"/>
        </w:rPr>
      </w:pPr>
      <w:r w:rsidRPr="00BD22FE">
        <w:rPr>
          <w:sz w:val="22"/>
          <w:szCs w:val="22"/>
          <w:lang w:val="pl-PL"/>
        </w:rPr>
        <w:t xml:space="preserve">Dane epidemiologiczne dotyczące ryzyka działania teratogennego w przypadku narażenia na inhibitory ACE podczas pierwszego trymestru ciąży nie są jednoznaczne; nie można jednak </w:t>
      </w:r>
      <w:r w:rsidRPr="00BD22FE">
        <w:rPr>
          <w:sz w:val="22"/>
          <w:szCs w:val="22"/>
          <w:lang w:val="pl-PL"/>
        </w:rPr>
        <w:lastRenderedPageBreak/>
        <w:t>wykluczyć niewielkiego zwiększenia ryzyka. Pomimo braku danych z kontrolowanych badań epidemiologicznych dotyczących ryzyka związanego z blokerami receptora angiotensyny II, z tą grupą leków mogą wiązać się podobne zagrożenia. O ile kontynuację leczenia za pomocą blokera receptora angiotensyny II nie uważa się za niezbędną, u pacjentek planujących ciążę należy zastosować inne leki przeciwnadciśnieniowe, o ustalonym profilu bezpieczeństwa stosowania w okresie ciąży. Po stwierdzeniu ciąży leczenie blokerami receptora angiotensyny II należy natychmiast przerwać i w razie potrzeby rozpocząć alternatywne leczenie.</w:t>
      </w:r>
    </w:p>
    <w:p w14:paraId="5DB3A673" w14:textId="77777777" w:rsidR="00A610E1" w:rsidRPr="00BD22FE" w:rsidRDefault="00A610E1" w:rsidP="00A610E1">
      <w:pPr>
        <w:pStyle w:val="BodyText"/>
        <w:spacing w:line="240" w:lineRule="auto"/>
        <w:jc w:val="left"/>
        <w:rPr>
          <w:sz w:val="22"/>
          <w:szCs w:val="22"/>
          <w:lang w:val="pl-PL"/>
        </w:rPr>
      </w:pPr>
    </w:p>
    <w:p w14:paraId="7C85F6A4" w14:textId="7C97D913" w:rsidR="00A610E1" w:rsidRPr="00BD22FE" w:rsidRDefault="00A610E1" w:rsidP="00A610E1">
      <w:pPr>
        <w:pStyle w:val="BodyText"/>
        <w:spacing w:line="240" w:lineRule="auto"/>
        <w:jc w:val="left"/>
        <w:rPr>
          <w:sz w:val="22"/>
          <w:szCs w:val="22"/>
          <w:lang w:val="pl-PL"/>
        </w:rPr>
      </w:pPr>
      <w:r w:rsidRPr="00BD22FE">
        <w:rPr>
          <w:sz w:val="22"/>
          <w:szCs w:val="22"/>
          <w:lang w:val="pl-PL"/>
        </w:rPr>
        <w:t>Narażenie na działanie blokerów receptora angiotensyny II podczas drugiego i trzeciego trymestru ciąży powoduje działanie toksyczne dla płodu (pogorszenie czynności nerek, małowodzie, opóźnienie kostnienia czaszki) i noworodka (niewydolność nerek, niedociśnienie tętnicze, hiperkaliemia) (patrz punkt 5.3).</w:t>
      </w:r>
    </w:p>
    <w:p w14:paraId="3A53ED5C" w14:textId="087F7211" w:rsidR="00A610E1" w:rsidRPr="00BD22FE" w:rsidRDefault="00A610E1" w:rsidP="00A610E1">
      <w:pPr>
        <w:pStyle w:val="BodyText"/>
        <w:spacing w:line="240" w:lineRule="auto"/>
        <w:jc w:val="left"/>
        <w:rPr>
          <w:sz w:val="22"/>
          <w:szCs w:val="22"/>
          <w:lang w:val="pl-PL"/>
        </w:rPr>
      </w:pPr>
      <w:r w:rsidRPr="00BD22FE">
        <w:rPr>
          <w:sz w:val="22"/>
          <w:szCs w:val="22"/>
          <w:lang w:val="pl-PL"/>
        </w:rPr>
        <w:t>Jeżeli do narażenia na działanie blokerów receptora angiotensyny II doszło od drugiego trymestru ciąży, zaleca się badanie ultrasonograficzne nerek i czaszki.</w:t>
      </w:r>
    </w:p>
    <w:p w14:paraId="40C5BEF5" w14:textId="686F9AFF" w:rsidR="00A610E1" w:rsidRPr="00BD22FE" w:rsidRDefault="00A610E1" w:rsidP="00A610E1">
      <w:pPr>
        <w:pStyle w:val="BodyText"/>
        <w:spacing w:line="240" w:lineRule="auto"/>
        <w:jc w:val="left"/>
        <w:rPr>
          <w:sz w:val="22"/>
          <w:szCs w:val="22"/>
          <w:lang w:val="pl-PL"/>
        </w:rPr>
      </w:pPr>
      <w:r w:rsidRPr="00BD22FE">
        <w:rPr>
          <w:sz w:val="22"/>
          <w:szCs w:val="22"/>
          <w:lang w:val="pl-PL"/>
        </w:rPr>
        <w:t>Noworodki, których matki przyjmowały blokery receptora angiotensyny II, należy ściśle obserwować ze względu na możliwość wystąpienia niedociśnienia tętniczego (patrz punkty 4.3 i 4.4).</w:t>
      </w:r>
    </w:p>
    <w:p w14:paraId="7D3BA35A" w14:textId="77777777" w:rsidR="00A610E1" w:rsidRPr="00BD22FE" w:rsidRDefault="00A610E1" w:rsidP="00A610E1">
      <w:pPr>
        <w:pStyle w:val="PlainText"/>
        <w:rPr>
          <w:rFonts w:ascii="Times New Roman" w:hAnsi="Times New Roman"/>
          <w:sz w:val="22"/>
          <w:szCs w:val="22"/>
          <w:lang w:val="pl-PL"/>
        </w:rPr>
      </w:pPr>
    </w:p>
    <w:p w14:paraId="73F6B88A" w14:textId="7DB68B3A" w:rsidR="00A610E1" w:rsidRPr="00BD22FE" w:rsidRDefault="00A610E1" w:rsidP="00A610E1">
      <w:pPr>
        <w:pStyle w:val="PlainText"/>
        <w:rPr>
          <w:rFonts w:ascii="Times New Roman" w:hAnsi="Times New Roman"/>
          <w:sz w:val="22"/>
          <w:szCs w:val="22"/>
          <w:lang w:val="pl-PL"/>
        </w:rPr>
      </w:pPr>
      <w:r w:rsidRPr="00BD22FE">
        <w:rPr>
          <w:rFonts w:ascii="Times New Roman" w:hAnsi="Times New Roman"/>
          <w:sz w:val="22"/>
          <w:szCs w:val="22"/>
          <w:lang w:val="pl-PL"/>
        </w:rPr>
        <w:t>Doświadczenia ze stosowaniem HCTZ w okresie ciąży, a zwłaszcza podczas pierwszego trymestru, są ograniczone. Badania na zwierzętach są niewystarczające. Hydrochlorotiazyd przenika przez łożysko. Ze względu na farmakologiczny mechanizm działania HCTZ stosowanie tego leku podczas drugiego i trzeciego trymestru może prowadzić do zmniejszenia perfuzji płodowo-łożyskowej oraz wywoływać zaburzenia u płodu i noworodka, takie jak żółtaczka, zaburzenia równowagi elektrolitowej i trombocytopenia.</w:t>
      </w:r>
    </w:p>
    <w:p w14:paraId="5B128848" w14:textId="77777777" w:rsidR="00A610E1" w:rsidRPr="00BD22FE" w:rsidRDefault="00A610E1" w:rsidP="00A610E1">
      <w:pPr>
        <w:pStyle w:val="PlainText"/>
        <w:rPr>
          <w:rFonts w:ascii="Times New Roman" w:hAnsi="Times New Roman"/>
          <w:sz w:val="22"/>
          <w:szCs w:val="22"/>
          <w:lang w:val="pl-PL"/>
        </w:rPr>
      </w:pPr>
    </w:p>
    <w:p w14:paraId="71031FA0" w14:textId="5F082508" w:rsidR="00A610E1" w:rsidRPr="00BD22FE" w:rsidRDefault="00A610E1" w:rsidP="00A610E1">
      <w:pPr>
        <w:pStyle w:val="PlainText"/>
        <w:rPr>
          <w:rFonts w:ascii="Times New Roman" w:hAnsi="Times New Roman"/>
          <w:sz w:val="22"/>
          <w:szCs w:val="22"/>
          <w:lang w:val="pl-PL"/>
        </w:rPr>
      </w:pPr>
      <w:r w:rsidRPr="00BD22FE">
        <w:rPr>
          <w:rFonts w:ascii="Times New Roman" w:hAnsi="Times New Roman"/>
          <w:sz w:val="22"/>
          <w:szCs w:val="22"/>
          <w:lang w:val="pl-PL"/>
        </w:rPr>
        <w:t>Hydrochlorotiazydu nie należy stosować w obrzękach ciążowych, nadciśnieniu ciążowym lub stanie przedrzucawkowym z powodu ryzyka zmniejszenia objętości osocza oraz niedokrwienia łożyska, bez korzystnego wpływu na przebieg choroby.</w:t>
      </w:r>
    </w:p>
    <w:p w14:paraId="1FE1256D" w14:textId="77777777" w:rsidR="00A610E1" w:rsidRPr="00BD22FE" w:rsidRDefault="00A610E1" w:rsidP="00A610E1">
      <w:pPr>
        <w:pStyle w:val="PlainText"/>
        <w:rPr>
          <w:rFonts w:ascii="Times New Roman" w:hAnsi="Times New Roman"/>
          <w:sz w:val="22"/>
          <w:szCs w:val="22"/>
          <w:lang w:val="pl-PL"/>
        </w:rPr>
      </w:pPr>
    </w:p>
    <w:p w14:paraId="1B659A72" w14:textId="77777777" w:rsidR="00A610E1" w:rsidRPr="00BD22FE" w:rsidRDefault="00A610E1" w:rsidP="00A610E1">
      <w:pPr>
        <w:pStyle w:val="PlainText"/>
        <w:rPr>
          <w:rFonts w:ascii="Times New Roman" w:hAnsi="Times New Roman"/>
          <w:sz w:val="22"/>
          <w:szCs w:val="22"/>
          <w:lang w:val="pl-PL"/>
        </w:rPr>
      </w:pPr>
      <w:r w:rsidRPr="00BD22FE">
        <w:rPr>
          <w:rFonts w:ascii="Times New Roman" w:hAnsi="Times New Roman"/>
          <w:sz w:val="22"/>
          <w:szCs w:val="22"/>
          <w:lang w:val="pl-PL"/>
        </w:rPr>
        <w:t>Nie należy stosować hydrochlorotiazydu w samoistnym nadciśnieniu tętniczym u kobiet w okresie ciąży z wyjątkiem rzadkich sytuacji, kiedy niemożliwe jest zastosowanie alternatywnego leczenia.</w:t>
      </w:r>
    </w:p>
    <w:p w14:paraId="23E2C4B5" w14:textId="77777777" w:rsidR="00A610E1" w:rsidRPr="00BD22FE" w:rsidRDefault="00A610E1" w:rsidP="00A610E1">
      <w:pPr>
        <w:pStyle w:val="BodyText"/>
        <w:spacing w:line="240" w:lineRule="auto"/>
        <w:jc w:val="left"/>
        <w:rPr>
          <w:sz w:val="22"/>
          <w:szCs w:val="22"/>
          <w:u w:val="single"/>
          <w:lang w:val="pl-PL"/>
        </w:rPr>
      </w:pPr>
    </w:p>
    <w:p w14:paraId="4DA11D8F" w14:textId="77777777" w:rsidR="00A610E1" w:rsidRPr="00BD22FE" w:rsidRDefault="00A610E1" w:rsidP="00A610E1">
      <w:pPr>
        <w:pStyle w:val="BodyText"/>
        <w:keepNext/>
        <w:spacing w:line="240" w:lineRule="auto"/>
        <w:jc w:val="left"/>
        <w:rPr>
          <w:sz w:val="22"/>
          <w:szCs w:val="22"/>
          <w:lang w:val="pl-PL"/>
        </w:rPr>
      </w:pPr>
      <w:r w:rsidRPr="00BD22FE">
        <w:rPr>
          <w:sz w:val="22"/>
          <w:szCs w:val="22"/>
          <w:u w:val="single"/>
          <w:lang w:val="pl-PL"/>
        </w:rPr>
        <w:t>Karmienie piersią</w:t>
      </w:r>
    </w:p>
    <w:p w14:paraId="38F7CD91" w14:textId="0BADB137" w:rsidR="00A610E1" w:rsidRPr="00BD22FE" w:rsidRDefault="00A610E1" w:rsidP="00A610E1">
      <w:pPr>
        <w:rPr>
          <w:sz w:val="22"/>
          <w:szCs w:val="22"/>
          <w:lang w:val="pl-PL"/>
        </w:rPr>
      </w:pPr>
      <w:r w:rsidRPr="00BD22FE">
        <w:rPr>
          <w:sz w:val="22"/>
          <w:szCs w:val="22"/>
          <w:lang w:val="pl-PL"/>
        </w:rPr>
        <w:t>Z powodu braku informacji dotyczących stosowania telmisartanu/HCTZ podczas karmienia piersią, nie jest on zalecany do stosowania w tym okresie. Podczas</w:t>
      </w:r>
      <w:r w:rsidRPr="00BD22FE" w:rsidDel="00590367">
        <w:rPr>
          <w:sz w:val="22"/>
          <w:szCs w:val="22"/>
          <w:lang w:val="pl-PL"/>
        </w:rPr>
        <w:t xml:space="preserve"> </w:t>
      </w:r>
      <w:r w:rsidRPr="00BD22FE">
        <w:rPr>
          <w:sz w:val="22"/>
          <w:szCs w:val="22"/>
          <w:lang w:val="pl-PL"/>
        </w:rPr>
        <w:t>karmienia piersią, w szczególności noworodków i dzieci urodzonych przedwcześnie, zaleca się stosowanie innych produktów leczniczych posiadających lepiej ustalony profil bezpieczeństwa stosowania.</w:t>
      </w:r>
    </w:p>
    <w:p w14:paraId="15960C9E" w14:textId="77777777" w:rsidR="00A610E1" w:rsidRPr="00BD22FE" w:rsidRDefault="00A610E1" w:rsidP="00A610E1">
      <w:pPr>
        <w:pStyle w:val="PlainText"/>
        <w:rPr>
          <w:rFonts w:ascii="Times New Roman" w:hAnsi="Times New Roman"/>
          <w:sz w:val="22"/>
          <w:szCs w:val="22"/>
          <w:u w:val="single"/>
          <w:lang w:val="pl-PL"/>
        </w:rPr>
      </w:pPr>
    </w:p>
    <w:p w14:paraId="386ED42D" w14:textId="7C272F19" w:rsidR="00A610E1" w:rsidRPr="00BD22FE" w:rsidRDefault="00A610E1" w:rsidP="00A610E1">
      <w:pPr>
        <w:pStyle w:val="PlainText"/>
        <w:rPr>
          <w:rFonts w:ascii="Times New Roman" w:hAnsi="Times New Roman"/>
          <w:sz w:val="22"/>
          <w:szCs w:val="22"/>
          <w:lang w:val="pl-PL"/>
        </w:rPr>
      </w:pPr>
      <w:r w:rsidRPr="00BD22FE">
        <w:rPr>
          <w:rFonts w:ascii="Times New Roman" w:hAnsi="Times New Roman"/>
          <w:sz w:val="22"/>
          <w:szCs w:val="22"/>
          <w:lang w:val="pl-PL"/>
        </w:rPr>
        <w:t>Hydrochlorotiazyd przenika do mleka ludzkiego w małych ilościach. Wysokie dawki tiazydów wywołujące silną diurezę mogą hamować laktację. Nie zaleca się stosowania telmisartanu/HCTZ podczas karmienia piersią. W przypadku stosowania telmisartanu/HCTZ podczas karmienia piersią należy stosować możliwie najmniejsze dawki.</w:t>
      </w:r>
    </w:p>
    <w:p w14:paraId="0ECEA6D4" w14:textId="77777777" w:rsidR="00A610E1" w:rsidRPr="00BD22FE" w:rsidRDefault="00A610E1" w:rsidP="00A610E1">
      <w:pPr>
        <w:pStyle w:val="PlainText"/>
        <w:rPr>
          <w:rFonts w:ascii="Times New Roman" w:hAnsi="Times New Roman"/>
          <w:sz w:val="22"/>
          <w:szCs w:val="22"/>
          <w:u w:val="single"/>
          <w:lang w:val="pl-PL"/>
        </w:rPr>
      </w:pPr>
    </w:p>
    <w:p w14:paraId="28E2DCBF" w14:textId="77777777" w:rsidR="00A610E1" w:rsidRPr="00BD22FE" w:rsidRDefault="00A610E1" w:rsidP="00A610E1">
      <w:pPr>
        <w:keepNext/>
        <w:rPr>
          <w:sz w:val="22"/>
          <w:szCs w:val="22"/>
          <w:u w:val="single"/>
          <w:lang w:val="pl-PL"/>
        </w:rPr>
      </w:pPr>
      <w:r w:rsidRPr="00BD22FE">
        <w:rPr>
          <w:sz w:val="22"/>
          <w:szCs w:val="22"/>
          <w:u w:val="single"/>
          <w:lang w:val="pl-PL"/>
        </w:rPr>
        <w:t>Płodność</w:t>
      </w:r>
    </w:p>
    <w:p w14:paraId="223B5B0A" w14:textId="77777777" w:rsidR="00A610E1" w:rsidRPr="00BD22FE" w:rsidRDefault="00A610E1" w:rsidP="00A610E1">
      <w:pPr>
        <w:pStyle w:val="ListBullet"/>
        <w:numPr>
          <w:ilvl w:val="0"/>
          <w:numId w:val="0"/>
        </w:numPr>
        <w:rPr>
          <w:sz w:val="22"/>
          <w:szCs w:val="22"/>
          <w:lang w:val="pl-PL"/>
        </w:rPr>
      </w:pPr>
      <w:r w:rsidRPr="00BD22FE">
        <w:rPr>
          <w:sz w:val="22"/>
          <w:szCs w:val="22"/>
          <w:lang w:val="pl-PL"/>
        </w:rPr>
        <w:t>Nie przeprowadzono badań dotyczących płodności u ludzi przyjmujących złożony produkt leczniczy o ustalonej dawce lub badań poszczególnych jego składników.</w:t>
      </w:r>
    </w:p>
    <w:p w14:paraId="5A204554" w14:textId="66150B3B" w:rsidR="00A610E1" w:rsidRPr="00BD22FE" w:rsidRDefault="00A610E1" w:rsidP="00A610E1">
      <w:pPr>
        <w:rPr>
          <w:sz w:val="22"/>
          <w:szCs w:val="22"/>
          <w:lang w:val="pl-PL"/>
        </w:rPr>
      </w:pPr>
      <w:r w:rsidRPr="00BD22FE">
        <w:rPr>
          <w:sz w:val="22"/>
          <w:szCs w:val="22"/>
          <w:lang w:val="pl-PL"/>
        </w:rPr>
        <w:t>W badaniach nieklinicznych nie obserwowano wpływu telmisartanu i HCTZ na płodność u mężczyzn i kobiet.</w:t>
      </w:r>
    </w:p>
    <w:p w14:paraId="23109849" w14:textId="77777777" w:rsidR="00A610E1" w:rsidRPr="00BD22FE" w:rsidRDefault="00A610E1" w:rsidP="00A610E1">
      <w:pPr>
        <w:pStyle w:val="BodyText"/>
        <w:spacing w:line="240" w:lineRule="auto"/>
        <w:jc w:val="left"/>
        <w:rPr>
          <w:sz w:val="22"/>
          <w:szCs w:val="22"/>
          <w:lang w:val="pl-PL"/>
        </w:rPr>
      </w:pPr>
    </w:p>
    <w:p w14:paraId="4EAEEA28" w14:textId="77777777" w:rsidR="00A610E1" w:rsidRPr="00BD22FE" w:rsidRDefault="00A610E1" w:rsidP="00A610E1">
      <w:pPr>
        <w:pStyle w:val="BodyText"/>
        <w:keepNext/>
        <w:spacing w:line="240" w:lineRule="auto"/>
        <w:ind w:left="567" w:hanging="567"/>
        <w:jc w:val="left"/>
        <w:rPr>
          <w:b/>
          <w:sz w:val="22"/>
          <w:szCs w:val="22"/>
          <w:lang w:val="pl-PL"/>
        </w:rPr>
      </w:pPr>
      <w:r w:rsidRPr="00BD22FE">
        <w:rPr>
          <w:b/>
          <w:sz w:val="22"/>
          <w:szCs w:val="22"/>
          <w:lang w:val="pl-PL"/>
        </w:rPr>
        <w:t>4.7</w:t>
      </w:r>
      <w:r w:rsidRPr="00BD22FE">
        <w:rPr>
          <w:b/>
          <w:sz w:val="22"/>
          <w:szCs w:val="22"/>
          <w:lang w:val="pl-PL"/>
        </w:rPr>
        <w:tab/>
        <w:t>Wpływ na zdolność prowadzenia pojazdów i obsługiwania maszyn</w:t>
      </w:r>
    </w:p>
    <w:p w14:paraId="2759DEDE" w14:textId="77777777" w:rsidR="00A610E1" w:rsidRPr="00BD22FE" w:rsidRDefault="00A610E1" w:rsidP="00A610E1">
      <w:pPr>
        <w:pStyle w:val="BodyText"/>
        <w:keepNext/>
        <w:spacing w:line="240" w:lineRule="auto"/>
        <w:jc w:val="left"/>
        <w:rPr>
          <w:sz w:val="22"/>
          <w:szCs w:val="22"/>
          <w:lang w:val="pl-PL"/>
        </w:rPr>
      </w:pPr>
    </w:p>
    <w:p w14:paraId="3DC7B86D" w14:textId="77777777" w:rsidR="00A610E1" w:rsidRPr="00BD22FE" w:rsidRDefault="00A610E1" w:rsidP="00A610E1">
      <w:pPr>
        <w:pStyle w:val="BodyText"/>
        <w:spacing w:line="240" w:lineRule="auto"/>
        <w:jc w:val="left"/>
        <w:rPr>
          <w:sz w:val="22"/>
          <w:szCs w:val="22"/>
          <w:lang w:val="pl-PL"/>
        </w:rPr>
      </w:pPr>
      <w:r w:rsidRPr="00BD22FE">
        <w:rPr>
          <w:sz w:val="22"/>
          <w:szCs w:val="22"/>
          <w:lang w:val="pl-PL"/>
        </w:rPr>
        <w:t>Produkt leczniczy MicardisPlus może wywierać wpływ na zdolność prowadzenia pojazdów i obsługiwania maszyn. W przypadku stosowania leków przeciwnadciśnieniowych, takich jak telmisartan/HCTZ, mogą czasami wystąpić zawroty głowy pochodzenia ośrodkowego, omdlenie lub zawroty głowy pochodzenia błędnikowego.</w:t>
      </w:r>
    </w:p>
    <w:p w14:paraId="31FAF5E8" w14:textId="77777777" w:rsidR="00A610E1" w:rsidRPr="00BD22FE" w:rsidRDefault="00A610E1" w:rsidP="00A610E1">
      <w:pPr>
        <w:pStyle w:val="BodyText"/>
        <w:spacing w:line="240" w:lineRule="auto"/>
        <w:jc w:val="left"/>
        <w:rPr>
          <w:sz w:val="22"/>
          <w:szCs w:val="22"/>
          <w:lang w:val="pl-PL"/>
        </w:rPr>
      </w:pPr>
    </w:p>
    <w:p w14:paraId="03B883A0" w14:textId="77777777" w:rsidR="00A610E1" w:rsidRPr="00BD22FE" w:rsidRDefault="00A610E1" w:rsidP="00A610E1">
      <w:pPr>
        <w:pStyle w:val="BodyText"/>
        <w:spacing w:line="240" w:lineRule="auto"/>
        <w:jc w:val="left"/>
        <w:rPr>
          <w:sz w:val="22"/>
          <w:szCs w:val="22"/>
          <w:lang w:val="pl-PL"/>
        </w:rPr>
      </w:pPr>
      <w:r w:rsidRPr="00BD22FE">
        <w:rPr>
          <w:sz w:val="22"/>
          <w:szCs w:val="22"/>
          <w:lang w:val="pl-PL"/>
        </w:rPr>
        <w:t>Jeśli u pacjenta wystąpią takie działania niepożądane, należy unikać wykonywania potencjalnie niebezpiecznych czynności, takich jak prowadzenie pojazdów lub obsługiwanie maszyn.</w:t>
      </w:r>
    </w:p>
    <w:p w14:paraId="589E4965" w14:textId="77777777" w:rsidR="00A610E1" w:rsidRPr="00BD22FE" w:rsidRDefault="00A610E1" w:rsidP="00A610E1">
      <w:pPr>
        <w:pStyle w:val="BodyText"/>
        <w:spacing w:line="240" w:lineRule="auto"/>
        <w:jc w:val="left"/>
        <w:rPr>
          <w:sz w:val="22"/>
          <w:szCs w:val="22"/>
          <w:lang w:val="pl-PL"/>
        </w:rPr>
      </w:pPr>
    </w:p>
    <w:p w14:paraId="4B729157" w14:textId="77777777" w:rsidR="00A610E1" w:rsidRPr="00BD22FE" w:rsidRDefault="00A610E1" w:rsidP="00A610E1">
      <w:pPr>
        <w:pStyle w:val="BodyText"/>
        <w:keepNext/>
        <w:spacing w:line="240" w:lineRule="auto"/>
        <w:ind w:left="567" w:hanging="567"/>
        <w:jc w:val="left"/>
        <w:rPr>
          <w:b/>
          <w:sz w:val="22"/>
          <w:szCs w:val="22"/>
          <w:lang w:val="pl-PL"/>
        </w:rPr>
      </w:pPr>
      <w:r w:rsidRPr="00BD22FE">
        <w:rPr>
          <w:b/>
          <w:sz w:val="22"/>
          <w:szCs w:val="22"/>
          <w:lang w:val="pl-PL"/>
        </w:rPr>
        <w:t>4.8</w:t>
      </w:r>
      <w:r w:rsidRPr="00BD22FE">
        <w:rPr>
          <w:b/>
          <w:sz w:val="22"/>
          <w:szCs w:val="22"/>
          <w:lang w:val="pl-PL"/>
        </w:rPr>
        <w:tab/>
        <w:t>Działania niepożądane</w:t>
      </w:r>
    </w:p>
    <w:p w14:paraId="053E94CB" w14:textId="77777777" w:rsidR="00A610E1" w:rsidRPr="00BD22FE" w:rsidRDefault="00A610E1" w:rsidP="00A610E1">
      <w:pPr>
        <w:pStyle w:val="BodyText"/>
        <w:keepNext/>
        <w:spacing w:line="240" w:lineRule="auto"/>
        <w:jc w:val="left"/>
        <w:rPr>
          <w:sz w:val="22"/>
          <w:szCs w:val="22"/>
          <w:lang w:val="pl-PL"/>
        </w:rPr>
      </w:pPr>
    </w:p>
    <w:p w14:paraId="4CDEEF96" w14:textId="77777777" w:rsidR="00A610E1" w:rsidRPr="00BD22FE" w:rsidRDefault="00A610E1" w:rsidP="00A610E1">
      <w:pPr>
        <w:keepNext/>
        <w:rPr>
          <w:sz w:val="22"/>
          <w:szCs w:val="22"/>
          <w:u w:val="single"/>
          <w:lang w:val="pl-PL"/>
        </w:rPr>
      </w:pPr>
      <w:r w:rsidRPr="00BD22FE">
        <w:rPr>
          <w:sz w:val="22"/>
          <w:szCs w:val="22"/>
          <w:u w:val="single"/>
          <w:lang w:val="pl-PL"/>
        </w:rPr>
        <w:t>Podsumowanie profilu bezpieczeństwa stosowania</w:t>
      </w:r>
    </w:p>
    <w:p w14:paraId="1F9A1E0B" w14:textId="77777777" w:rsidR="00A610E1" w:rsidRPr="00BD22FE" w:rsidRDefault="00A610E1" w:rsidP="00A610E1">
      <w:pPr>
        <w:rPr>
          <w:sz w:val="22"/>
          <w:szCs w:val="22"/>
          <w:lang w:val="pl-PL"/>
        </w:rPr>
      </w:pPr>
      <w:r w:rsidRPr="00BD22FE">
        <w:rPr>
          <w:sz w:val="22"/>
          <w:szCs w:val="22"/>
          <w:lang w:val="pl-PL"/>
        </w:rPr>
        <w:t>Najczęściej zgłaszanym działaniem niepożądanym są zawroty głowy. W rzadkich przypadkach (≥ 1/10 000 do &lt; 1/1 000) może wystąpić ciężki obrzęk naczynioruchowy.</w:t>
      </w:r>
    </w:p>
    <w:p w14:paraId="767F4996" w14:textId="77777777" w:rsidR="00A610E1" w:rsidRPr="00BD22FE" w:rsidRDefault="00A610E1" w:rsidP="00A610E1">
      <w:pPr>
        <w:pStyle w:val="BodyText"/>
        <w:spacing w:line="240" w:lineRule="auto"/>
        <w:jc w:val="left"/>
        <w:rPr>
          <w:sz w:val="22"/>
          <w:szCs w:val="22"/>
          <w:u w:val="single"/>
          <w:lang w:val="pl-PL"/>
        </w:rPr>
      </w:pPr>
    </w:p>
    <w:p w14:paraId="31028F32" w14:textId="505CBC2F" w:rsidR="00A610E1" w:rsidRPr="00BD22FE" w:rsidRDefault="00A610E1" w:rsidP="00A610E1">
      <w:pPr>
        <w:pStyle w:val="BodyText"/>
        <w:spacing w:line="240" w:lineRule="auto"/>
        <w:jc w:val="left"/>
        <w:rPr>
          <w:sz w:val="22"/>
          <w:szCs w:val="22"/>
          <w:lang w:val="pl-PL"/>
        </w:rPr>
      </w:pPr>
      <w:r w:rsidRPr="00BD22FE">
        <w:rPr>
          <w:sz w:val="22"/>
          <w:szCs w:val="22"/>
          <w:lang w:val="pl-PL"/>
        </w:rPr>
        <w:t>Całkowita częstość występowania działań niepożądanych w trakcie stosowania produktu leczniczego MicardisPlus 80 mg/25 mg była porównywalna z częstością ich występowania w trakcie stosowania produktu leczniczego MicardisPlus 80 mg/12,5 mg. Zależna od dawki częstość występowania działań niepożądanych nie została ustalona i nie zaobserwowano korelacji z płcią, wiekiem i rasą pacjentów.</w:t>
      </w:r>
    </w:p>
    <w:p w14:paraId="4A3C2C35" w14:textId="77777777" w:rsidR="00A610E1" w:rsidRPr="00BD22FE" w:rsidRDefault="00A610E1" w:rsidP="00A610E1">
      <w:pPr>
        <w:pStyle w:val="BodyText"/>
        <w:spacing w:line="240" w:lineRule="auto"/>
        <w:jc w:val="left"/>
        <w:rPr>
          <w:sz w:val="22"/>
          <w:szCs w:val="22"/>
          <w:lang w:val="pl-PL"/>
        </w:rPr>
      </w:pPr>
    </w:p>
    <w:p w14:paraId="0178CC31" w14:textId="77777777" w:rsidR="00A610E1" w:rsidRPr="00BD22FE" w:rsidRDefault="00A610E1" w:rsidP="00A610E1">
      <w:pPr>
        <w:keepNext/>
        <w:rPr>
          <w:sz w:val="22"/>
          <w:szCs w:val="22"/>
          <w:u w:val="single"/>
          <w:lang w:val="pl-PL"/>
        </w:rPr>
      </w:pPr>
      <w:r w:rsidRPr="00BD22FE">
        <w:rPr>
          <w:sz w:val="22"/>
          <w:szCs w:val="22"/>
          <w:u w:val="single"/>
          <w:lang w:val="pl-PL"/>
        </w:rPr>
        <w:t>Tabelaryczne zestawienie działań niepożądanych</w:t>
      </w:r>
    </w:p>
    <w:p w14:paraId="123E2C99" w14:textId="17B20AB6" w:rsidR="00A610E1" w:rsidRPr="00BD22FE" w:rsidRDefault="00A610E1" w:rsidP="00A610E1">
      <w:pPr>
        <w:pStyle w:val="BodyText"/>
        <w:spacing w:line="240" w:lineRule="auto"/>
        <w:jc w:val="left"/>
        <w:rPr>
          <w:sz w:val="22"/>
          <w:szCs w:val="22"/>
          <w:lang w:val="pl-PL"/>
        </w:rPr>
      </w:pPr>
      <w:r w:rsidRPr="00BD22FE">
        <w:rPr>
          <w:sz w:val="22"/>
          <w:szCs w:val="22"/>
          <w:lang w:val="pl-PL"/>
        </w:rPr>
        <w:t>Działania niepożądane odnotowane we wszystkich badaniach klinicznych, występujące częściej (p ≤ 0,05) w przypadku połączenia telmisartanu i HCTZ niż w przypadku stosowania placebo, zostały przedstawione poniżej zgodnie z klasyfikacją układów i narządów. Podczas leczenia telmisartanem/HCTZ mogą wystąpić działania niepożądane, o których wiadomo, że występują podczas stosowania każdego ze składników podanego jako lek pojedynczy, a które nie zostały zaobserwowane w badaniach klinicznych.</w:t>
      </w:r>
    </w:p>
    <w:p w14:paraId="7641B748" w14:textId="77777777" w:rsidR="00A610E1" w:rsidRPr="00BD22FE" w:rsidRDefault="00A610E1" w:rsidP="00A610E1">
      <w:pPr>
        <w:pStyle w:val="BodyText"/>
        <w:spacing w:line="240" w:lineRule="auto"/>
        <w:jc w:val="left"/>
        <w:rPr>
          <w:sz w:val="22"/>
          <w:szCs w:val="22"/>
          <w:lang w:val="pl-PL"/>
        </w:rPr>
      </w:pPr>
      <w:r w:rsidRPr="00BD22FE">
        <w:rPr>
          <w:sz w:val="22"/>
          <w:szCs w:val="22"/>
          <w:lang w:val="pl-PL"/>
        </w:rPr>
        <w:t>Działania niepożądane zgłaszane wcześniej dla jednego ze składników mogą być potencjalnymi działaniami niepożądanymi produktu leczniczego MicardisPlus, nawet jeśli nie były obserwowane w badaniach klinicznych z zastosowaniem tego produktu.</w:t>
      </w:r>
    </w:p>
    <w:p w14:paraId="5221385C" w14:textId="77777777" w:rsidR="00A610E1" w:rsidRPr="00BD22FE" w:rsidRDefault="00A610E1" w:rsidP="00A610E1">
      <w:pPr>
        <w:pStyle w:val="BodyText"/>
        <w:spacing w:line="240" w:lineRule="auto"/>
        <w:jc w:val="left"/>
        <w:rPr>
          <w:sz w:val="22"/>
          <w:szCs w:val="22"/>
          <w:lang w:val="pl-PL"/>
        </w:rPr>
      </w:pPr>
    </w:p>
    <w:p w14:paraId="5F7BF291" w14:textId="4B63E139" w:rsidR="00A610E1" w:rsidRPr="00BD22FE" w:rsidRDefault="00A610E1" w:rsidP="00A610E1">
      <w:pPr>
        <w:pStyle w:val="BodyText"/>
        <w:spacing w:line="240" w:lineRule="auto"/>
        <w:jc w:val="left"/>
        <w:rPr>
          <w:sz w:val="22"/>
          <w:szCs w:val="22"/>
          <w:lang w:val="pl-PL"/>
        </w:rPr>
      </w:pPr>
      <w:r w:rsidRPr="00BD22FE">
        <w:rPr>
          <w:sz w:val="22"/>
          <w:szCs w:val="22"/>
          <w:lang w:val="pl-PL"/>
        </w:rPr>
        <w:t>Działania niepożądane zostały przedstawione zgodnie z częstością występowania, z zastosowaniem następującej klasyfikacji:</w:t>
      </w:r>
    </w:p>
    <w:p w14:paraId="31159A04" w14:textId="09DB1E24" w:rsidR="00A610E1" w:rsidRPr="00BD22FE" w:rsidRDefault="00A610E1" w:rsidP="00A610E1">
      <w:pPr>
        <w:pStyle w:val="BodyText"/>
        <w:spacing w:line="240" w:lineRule="auto"/>
        <w:jc w:val="left"/>
        <w:rPr>
          <w:sz w:val="22"/>
          <w:szCs w:val="22"/>
          <w:lang w:val="pl-PL"/>
        </w:rPr>
      </w:pPr>
      <w:r w:rsidRPr="00BD22FE">
        <w:rPr>
          <w:sz w:val="22"/>
          <w:szCs w:val="22"/>
          <w:lang w:val="pl-PL"/>
        </w:rPr>
        <w:t>bardzo często (</w:t>
      </w:r>
      <w:r w:rsidRPr="00BD22FE">
        <w:rPr>
          <w:sz w:val="22"/>
          <w:lang w:val="pl-PL"/>
        </w:rPr>
        <w:t>≥ </w:t>
      </w:r>
      <w:r w:rsidRPr="00BD22FE">
        <w:rPr>
          <w:sz w:val="22"/>
          <w:szCs w:val="22"/>
          <w:lang w:val="pl-PL"/>
        </w:rPr>
        <w:t>1/10); często (</w:t>
      </w:r>
      <w:r w:rsidRPr="00BD22FE">
        <w:rPr>
          <w:sz w:val="22"/>
          <w:lang w:val="pl-PL"/>
        </w:rPr>
        <w:t>≥ </w:t>
      </w:r>
      <w:r w:rsidRPr="00BD22FE">
        <w:rPr>
          <w:sz w:val="22"/>
          <w:szCs w:val="22"/>
          <w:lang w:val="pl-PL"/>
        </w:rPr>
        <w:t>1/100 do &lt; 1/10); niezbyt często (</w:t>
      </w:r>
      <w:r w:rsidRPr="00BD22FE">
        <w:rPr>
          <w:sz w:val="22"/>
          <w:lang w:val="pl-PL"/>
        </w:rPr>
        <w:t>≥ </w:t>
      </w:r>
      <w:r w:rsidRPr="00BD22FE">
        <w:rPr>
          <w:sz w:val="22"/>
          <w:szCs w:val="22"/>
          <w:lang w:val="pl-PL"/>
        </w:rPr>
        <w:t>1/1 000 do &lt; 1/100), rzadko (</w:t>
      </w:r>
      <w:r w:rsidRPr="00BD22FE">
        <w:rPr>
          <w:sz w:val="22"/>
          <w:lang w:val="pl-PL"/>
        </w:rPr>
        <w:t>≥ </w:t>
      </w:r>
      <w:r w:rsidRPr="00BD22FE">
        <w:rPr>
          <w:sz w:val="22"/>
          <w:szCs w:val="22"/>
          <w:lang w:val="pl-PL"/>
        </w:rPr>
        <w:t>1/10 000 do &lt; 1/1 000), bardzo rzadko (&lt; 1/10 000), częstość nieznana (częstość nie może być określona na podstawie dostępnych danych).</w:t>
      </w:r>
    </w:p>
    <w:p w14:paraId="24C2502A" w14:textId="77777777" w:rsidR="00A610E1" w:rsidRPr="00BD22FE" w:rsidRDefault="00A610E1" w:rsidP="00A610E1">
      <w:pPr>
        <w:pStyle w:val="BodyText"/>
        <w:spacing w:line="240" w:lineRule="auto"/>
        <w:jc w:val="left"/>
        <w:rPr>
          <w:sz w:val="22"/>
          <w:szCs w:val="22"/>
          <w:lang w:val="pl-PL"/>
        </w:rPr>
      </w:pPr>
    </w:p>
    <w:p w14:paraId="4D8A2463" w14:textId="77777777" w:rsidR="00A610E1" w:rsidRPr="00BD22FE" w:rsidRDefault="00A610E1" w:rsidP="00A610E1">
      <w:pPr>
        <w:rPr>
          <w:sz w:val="22"/>
          <w:szCs w:val="22"/>
          <w:lang w:val="pl-PL"/>
        </w:rPr>
      </w:pPr>
      <w:r w:rsidRPr="00BD22FE">
        <w:rPr>
          <w:sz w:val="22"/>
          <w:szCs w:val="22"/>
          <w:lang w:val="pl-PL"/>
        </w:rPr>
        <w:t>W każdej grupie częstości działania niepożądane zostały przedstawione zgodnie z malejącym nasileniem.</w:t>
      </w:r>
    </w:p>
    <w:p w14:paraId="47A2CE98" w14:textId="77777777" w:rsidR="00A610E1" w:rsidRPr="00BD22FE" w:rsidRDefault="00A610E1" w:rsidP="00A610E1">
      <w:pPr>
        <w:pStyle w:val="BodyText"/>
        <w:spacing w:line="240" w:lineRule="auto"/>
        <w:jc w:val="left"/>
        <w:rPr>
          <w:sz w:val="22"/>
          <w:szCs w:val="22"/>
          <w:lang w:val="pl-PL"/>
        </w:rPr>
      </w:pPr>
    </w:p>
    <w:p w14:paraId="4BDC74E2" w14:textId="77777777" w:rsidR="00A610E1" w:rsidRPr="00BD22FE" w:rsidRDefault="00A610E1" w:rsidP="00A610E1">
      <w:pPr>
        <w:keepNext/>
        <w:ind w:left="907" w:hanging="907"/>
        <w:rPr>
          <w:sz w:val="22"/>
          <w:szCs w:val="22"/>
          <w:lang w:val="pl-PL"/>
        </w:rPr>
      </w:pPr>
      <w:r w:rsidRPr="00BD22FE">
        <w:rPr>
          <w:sz w:val="22"/>
          <w:szCs w:val="22"/>
          <w:lang w:val="pl-PL"/>
        </w:rPr>
        <w:lastRenderedPageBreak/>
        <w:t>Tabela 1:</w:t>
      </w:r>
      <w:r w:rsidRPr="00BD22FE">
        <w:rPr>
          <w:sz w:val="22"/>
          <w:szCs w:val="22"/>
          <w:lang w:val="pl-PL"/>
        </w:rPr>
        <w:tab/>
        <w:t>Tabelaryczne zestawienie działań niepożądanych (MedDRA) zgłaszanych w badaniach kontrolowanych placebo i z okresu po wprowadzeniu do obrotu</w:t>
      </w:r>
    </w:p>
    <w:p w14:paraId="637CEFDF" w14:textId="77777777" w:rsidR="00A610E1" w:rsidRPr="00BD22FE" w:rsidRDefault="00A610E1" w:rsidP="00A610E1">
      <w:pPr>
        <w:keepNext/>
        <w:rPr>
          <w:sz w:val="22"/>
          <w:szCs w:val="22"/>
          <w:lang w:val="pl-PL"/>
        </w:rPr>
      </w:pPr>
    </w:p>
    <w:tbl>
      <w:tblPr>
        <w:tblW w:w="5000" w:type="pct"/>
        <w:tblLook w:val="04A0" w:firstRow="1" w:lastRow="0" w:firstColumn="1" w:lastColumn="0" w:noHBand="0" w:noVBand="1"/>
      </w:tblPr>
      <w:tblGrid>
        <w:gridCol w:w="1965"/>
        <w:gridCol w:w="2221"/>
        <w:gridCol w:w="1456"/>
        <w:gridCol w:w="1428"/>
        <w:gridCol w:w="1990"/>
      </w:tblGrid>
      <w:tr w:rsidR="00A610E1" w:rsidRPr="00BD22FE" w14:paraId="07819D9C" w14:textId="77777777" w:rsidTr="00A610E1">
        <w:tc>
          <w:tcPr>
            <w:tcW w:w="1084" w:type="pct"/>
            <w:vMerge w:val="restart"/>
            <w:tcBorders>
              <w:top w:val="single" w:sz="4" w:space="0" w:color="auto"/>
              <w:left w:val="single" w:sz="4" w:space="0" w:color="auto"/>
              <w:bottom w:val="single" w:sz="4" w:space="0" w:color="auto"/>
              <w:right w:val="single" w:sz="4" w:space="0" w:color="auto"/>
            </w:tcBorders>
            <w:hideMark/>
          </w:tcPr>
          <w:p w14:paraId="4B0B1BD2" w14:textId="77777777" w:rsidR="00A610E1" w:rsidRPr="00BD22FE" w:rsidRDefault="00A610E1" w:rsidP="00A610E1">
            <w:pPr>
              <w:keepNext/>
              <w:rPr>
                <w:b/>
                <w:bCs/>
                <w:color w:val="000000"/>
                <w:sz w:val="22"/>
                <w:szCs w:val="22"/>
                <w:lang w:val="pl-PL" w:eastAsia="en-GB"/>
              </w:rPr>
            </w:pPr>
            <w:r w:rsidRPr="00BD22FE">
              <w:rPr>
                <w:b/>
                <w:bCs/>
                <w:color w:val="000000"/>
                <w:sz w:val="22"/>
                <w:szCs w:val="22"/>
                <w:lang w:val="pl-PL" w:eastAsia="en-GB"/>
              </w:rPr>
              <w:t>Klasyfikacja układów i narządów MedDRA</w:t>
            </w:r>
          </w:p>
        </w:tc>
        <w:tc>
          <w:tcPr>
            <w:tcW w:w="1226" w:type="pct"/>
            <w:vMerge w:val="restart"/>
            <w:tcBorders>
              <w:top w:val="single" w:sz="4" w:space="0" w:color="auto"/>
              <w:left w:val="single" w:sz="4" w:space="0" w:color="auto"/>
              <w:bottom w:val="single" w:sz="4" w:space="0" w:color="auto"/>
              <w:right w:val="single" w:sz="4" w:space="0" w:color="auto"/>
            </w:tcBorders>
            <w:hideMark/>
          </w:tcPr>
          <w:p w14:paraId="04373104" w14:textId="77777777" w:rsidR="00A610E1" w:rsidRPr="00BD22FE" w:rsidRDefault="00A610E1" w:rsidP="00A610E1">
            <w:pPr>
              <w:keepNext/>
              <w:rPr>
                <w:b/>
                <w:bCs/>
                <w:color w:val="000000"/>
                <w:sz w:val="22"/>
                <w:szCs w:val="22"/>
                <w:lang w:val="pl-PL" w:eastAsia="en-GB"/>
              </w:rPr>
            </w:pPr>
            <w:r w:rsidRPr="00BD22FE">
              <w:rPr>
                <w:b/>
                <w:bCs/>
                <w:color w:val="000000"/>
                <w:sz w:val="22"/>
                <w:szCs w:val="22"/>
                <w:lang w:val="pl-PL" w:eastAsia="en-GB"/>
              </w:rPr>
              <w:t>Działania niepożądane</w:t>
            </w:r>
          </w:p>
        </w:tc>
        <w:tc>
          <w:tcPr>
            <w:tcW w:w="2690" w:type="pct"/>
            <w:gridSpan w:val="3"/>
            <w:tcBorders>
              <w:top w:val="single" w:sz="4" w:space="0" w:color="auto"/>
              <w:left w:val="single" w:sz="4" w:space="0" w:color="auto"/>
              <w:bottom w:val="single" w:sz="4" w:space="0" w:color="auto"/>
              <w:right w:val="single" w:sz="4" w:space="0" w:color="auto"/>
            </w:tcBorders>
            <w:vAlign w:val="bottom"/>
            <w:hideMark/>
          </w:tcPr>
          <w:p w14:paraId="5460253E" w14:textId="77777777" w:rsidR="00A610E1" w:rsidRPr="00BD22FE" w:rsidRDefault="00A610E1" w:rsidP="00A610E1">
            <w:pPr>
              <w:keepNext/>
              <w:jc w:val="center"/>
              <w:rPr>
                <w:b/>
                <w:bCs/>
                <w:color w:val="000000"/>
                <w:sz w:val="22"/>
                <w:szCs w:val="22"/>
                <w:lang w:val="pl-PL" w:eastAsia="en-GB"/>
              </w:rPr>
            </w:pPr>
            <w:r w:rsidRPr="00BD22FE">
              <w:rPr>
                <w:b/>
                <w:bCs/>
                <w:color w:val="000000"/>
                <w:sz w:val="22"/>
                <w:szCs w:val="22"/>
                <w:lang w:val="pl-PL" w:eastAsia="en-GB"/>
              </w:rPr>
              <w:t>Częstość występowania</w:t>
            </w:r>
          </w:p>
        </w:tc>
      </w:tr>
      <w:tr w:rsidR="00A610E1" w:rsidRPr="00BD22FE" w14:paraId="4911BF51" w14:textId="77777777" w:rsidTr="00A610E1">
        <w:tc>
          <w:tcPr>
            <w:tcW w:w="1084" w:type="pct"/>
            <w:vMerge/>
            <w:tcBorders>
              <w:top w:val="single" w:sz="4" w:space="0" w:color="auto"/>
              <w:left w:val="single" w:sz="4" w:space="0" w:color="auto"/>
              <w:bottom w:val="single" w:sz="4" w:space="0" w:color="auto"/>
              <w:right w:val="single" w:sz="4" w:space="0" w:color="auto"/>
            </w:tcBorders>
            <w:hideMark/>
          </w:tcPr>
          <w:p w14:paraId="1288143C" w14:textId="77777777" w:rsidR="00A610E1" w:rsidRPr="00BD22FE" w:rsidRDefault="00A610E1" w:rsidP="00A610E1">
            <w:pPr>
              <w:keepNext/>
              <w:rPr>
                <w:b/>
                <w:bCs/>
                <w:color w:val="000000"/>
                <w:sz w:val="22"/>
                <w:szCs w:val="22"/>
                <w:lang w:val="pl-PL" w:eastAsia="en-GB"/>
              </w:rPr>
            </w:pPr>
          </w:p>
        </w:tc>
        <w:tc>
          <w:tcPr>
            <w:tcW w:w="1226" w:type="pct"/>
            <w:vMerge/>
            <w:tcBorders>
              <w:top w:val="single" w:sz="4" w:space="0" w:color="auto"/>
              <w:left w:val="single" w:sz="4" w:space="0" w:color="auto"/>
              <w:bottom w:val="single" w:sz="4" w:space="0" w:color="auto"/>
              <w:right w:val="single" w:sz="4" w:space="0" w:color="auto"/>
            </w:tcBorders>
            <w:vAlign w:val="center"/>
            <w:hideMark/>
          </w:tcPr>
          <w:p w14:paraId="097CFBDF" w14:textId="77777777" w:rsidR="00A610E1" w:rsidRPr="00BD22FE" w:rsidRDefault="00A610E1" w:rsidP="00A610E1">
            <w:pPr>
              <w:keepNext/>
              <w:rPr>
                <w:b/>
                <w:bCs/>
                <w:color w:val="000000"/>
                <w:sz w:val="22"/>
                <w:szCs w:val="22"/>
                <w:lang w:val="pl-PL" w:eastAsia="en-GB"/>
              </w:rPr>
            </w:pPr>
          </w:p>
        </w:tc>
        <w:tc>
          <w:tcPr>
            <w:tcW w:w="804" w:type="pct"/>
            <w:tcBorders>
              <w:top w:val="single" w:sz="4" w:space="0" w:color="auto"/>
              <w:left w:val="single" w:sz="4" w:space="0" w:color="auto"/>
              <w:bottom w:val="single" w:sz="4" w:space="0" w:color="auto"/>
              <w:right w:val="single" w:sz="4" w:space="0" w:color="auto"/>
            </w:tcBorders>
            <w:vAlign w:val="bottom"/>
            <w:hideMark/>
          </w:tcPr>
          <w:p w14:paraId="1AD744B9" w14:textId="77777777" w:rsidR="00A610E1" w:rsidRPr="00BD22FE" w:rsidRDefault="00A610E1" w:rsidP="00A610E1">
            <w:pPr>
              <w:keepNext/>
              <w:rPr>
                <w:b/>
                <w:bCs/>
                <w:color w:val="000000"/>
                <w:sz w:val="22"/>
                <w:szCs w:val="22"/>
                <w:lang w:val="pl-PL" w:eastAsia="en-GB"/>
              </w:rPr>
            </w:pPr>
            <w:r w:rsidRPr="00BD22FE">
              <w:rPr>
                <w:b/>
                <w:bCs/>
                <w:color w:val="000000"/>
                <w:sz w:val="22"/>
                <w:szCs w:val="22"/>
                <w:lang w:val="pl-PL" w:eastAsia="en-GB"/>
              </w:rPr>
              <w:t>Produkt leczniczy MicardisPlus</w:t>
            </w:r>
          </w:p>
        </w:tc>
        <w:tc>
          <w:tcPr>
            <w:tcW w:w="788" w:type="pct"/>
            <w:tcBorders>
              <w:top w:val="single" w:sz="4" w:space="0" w:color="auto"/>
              <w:left w:val="single" w:sz="4" w:space="0" w:color="auto"/>
              <w:bottom w:val="single" w:sz="4" w:space="0" w:color="auto"/>
              <w:right w:val="single" w:sz="4" w:space="0" w:color="auto"/>
            </w:tcBorders>
            <w:vAlign w:val="bottom"/>
            <w:hideMark/>
          </w:tcPr>
          <w:p w14:paraId="4F743536" w14:textId="77777777" w:rsidR="00A610E1" w:rsidRPr="00BD22FE" w:rsidRDefault="00A610E1" w:rsidP="00A610E1">
            <w:pPr>
              <w:keepNext/>
              <w:rPr>
                <w:b/>
                <w:bCs/>
                <w:color w:val="000000"/>
                <w:sz w:val="22"/>
                <w:szCs w:val="22"/>
                <w:lang w:val="pl-PL" w:eastAsia="en-GB"/>
              </w:rPr>
            </w:pPr>
            <w:r w:rsidRPr="00BD22FE">
              <w:rPr>
                <w:b/>
                <w:bCs/>
                <w:color w:val="000000"/>
                <w:sz w:val="22"/>
                <w:szCs w:val="22"/>
                <w:lang w:val="pl-PL" w:eastAsia="en-GB"/>
              </w:rPr>
              <w:t>Telmisartan</w:t>
            </w:r>
            <w:r w:rsidRPr="00BD22FE">
              <w:rPr>
                <w:b/>
                <w:bCs/>
                <w:color w:val="000000"/>
                <w:sz w:val="22"/>
                <w:szCs w:val="22"/>
                <w:vertAlign w:val="superscript"/>
                <w:lang w:val="pl-PL" w:eastAsia="en-GB"/>
              </w:rPr>
              <w:t>a</w:t>
            </w:r>
          </w:p>
        </w:tc>
        <w:tc>
          <w:tcPr>
            <w:tcW w:w="1098" w:type="pct"/>
            <w:tcBorders>
              <w:top w:val="single" w:sz="4" w:space="0" w:color="auto"/>
              <w:left w:val="single" w:sz="4" w:space="0" w:color="auto"/>
              <w:bottom w:val="single" w:sz="4" w:space="0" w:color="auto"/>
              <w:right w:val="single" w:sz="4" w:space="0" w:color="auto"/>
            </w:tcBorders>
            <w:vAlign w:val="bottom"/>
            <w:hideMark/>
          </w:tcPr>
          <w:p w14:paraId="382A47D0" w14:textId="77777777" w:rsidR="00A610E1" w:rsidRPr="00BD22FE" w:rsidRDefault="00A610E1" w:rsidP="00A610E1">
            <w:pPr>
              <w:keepNext/>
              <w:rPr>
                <w:b/>
                <w:bCs/>
                <w:color w:val="000000"/>
                <w:sz w:val="22"/>
                <w:szCs w:val="22"/>
                <w:lang w:val="pl-PL" w:eastAsia="en-GB"/>
              </w:rPr>
            </w:pPr>
            <w:r w:rsidRPr="00BD22FE">
              <w:rPr>
                <w:b/>
                <w:bCs/>
                <w:color w:val="000000"/>
                <w:sz w:val="22"/>
                <w:szCs w:val="22"/>
                <w:lang w:val="pl-PL" w:eastAsia="en-GB"/>
              </w:rPr>
              <w:t>Hydrochlorotiazyd</w:t>
            </w:r>
          </w:p>
        </w:tc>
      </w:tr>
      <w:tr w:rsidR="00A610E1" w:rsidRPr="00BD22FE" w14:paraId="02EBEF3E" w14:textId="77777777" w:rsidTr="00A610E1">
        <w:tc>
          <w:tcPr>
            <w:tcW w:w="1084" w:type="pct"/>
            <w:vMerge w:val="restart"/>
            <w:tcBorders>
              <w:top w:val="single" w:sz="4" w:space="0" w:color="auto"/>
              <w:left w:val="single" w:sz="4" w:space="0" w:color="auto"/>
              <w:right w:val="single" w:sz="4" w:space="0" w:color="auto"/>
            </w:tcBorders>
            <w:hideMark/>
          </w:tcPr>
          <w:p w14:paraId="48E56E93" w14:textId="77777777" w:rsidR="00A610E1" w:rsidRPr="00BD22FE" w:rsidRDefault="00A610E1" w:rsidP="00A610E1">
            <w:pPr>
              <w:keepNext/>
              <w:rPr>
                <w:b/>
                <w:bCs/>
                <w:color w:val="000000"/>
                <w:sz w:val="22"/>
                <w:szCs w:val="22"/>
                <w:highlight w:val="yellow"/>
                <w:lang w:val="pl-PL" w:eastAsia="en-GB"/>
              </w:rPr>
            </w:pPr>
            <w:r w:rsidRPr="00BD22FE">
              <w:rPr>
                <w:b/>
                <w:bCs/>
                <w:sz w:val="22"/>
                <w:szCs w:val="22"/>
                <w:lang w:val="pl-PL"/>
              </w:rPr>
              <w:t>Zakażenia i zarażenia pasożytnicze</w:t>
            </w:r>
          </w:p>
        </w:tc>
        <w:tc>
          <w:tcPr>
            <w:tcW w:w="1226" w:type="pct"/>
            <w:tcBorders>
              <w:top w:val="single" w:sz="4" w:space="0" w:color="auto"/>
              <w:left w:val="single" w:sz="4" w:space="0" w:color="auto"/>
              <w:bottom w:val="single" w:sz="4" w:space="0" w:color="auto"/>
              <w:right w:val="single" w:sz="4" w:space="0" w:color="auto"/>
            </w:tcBorders>
            <w:vAlign w:val="bottom"/>
            <w:hideMark/>
          </w:tcPr>
          <w:p w14:paraId="24CFE9AD" w14:textId="77777777" w:rsidR="00A610E1" w:rsidRPr="00BD22FE" w:rsidRDefault="00A610E1" w:rsidP="00A610E1">
            <w:pPr>
              <w:keepNext/>
              <w:rPr>
                <w:color w:val="000000"/>
                <w:sz w:val="22"/>
                <w:szCs w:val="22"/>
                <w:lang w:val="pl-PL" w:eastAsia="en-GB"/>
              </w:rPr>
            </w:pPr>
            <w:r w:rsidRPr="00BD22FE">
              <w:rPr>
                <w:color w:val="000000"/>
                <w:sz w:val="22"/>
                <w:szCs w:val="22"/>
                <w:lang w:val="pl-PL" w:eastAsia="en-GB"/>
              </w:rPr>
              <w:t>Posocznica, w tym zakończona zgonem</w:t>
            </w:r>
          </w:p>
        </w:tc>
        <w:tc>
          <w:tcPr>
            <w:tcW w:w="804" w:type="pct"/>
            <w:tcBorders>
              <w:top w:val="single" w:sz="4" w:space="0" w:color="auto"/>
              <w:left w:val="single" w:sz="4" w:space="0" w:color="auto"/>
              <w:bottom w:val="single" w:sz="4" w:space="0" w:color="auto"/>
              <w:right w:val="single" w:sz="4" w:space="0" w:color="auto"/>
            </w:tcBorders>
            <w:vAlign w:val="bottom"/>
            <w:hideMark/>
          </w:tcPr>
          <w:p w14:paraId="57445761" w14:textId="77777777" w:rsidR="00A610E1" w:rsidRPr="00BD22FE" w:rsidRDefault="00A610E1" w:rsidP="00A610E1">
            <w:pPr>
              <w:keepNext/>
              <w:rPr>
                <w:color w:val="000000"/>
                <w:sz w:val="22"/>
                <w:szCs w:val="22"/>
                <w:lang w:val="pl-PL" w:eastAsia="en-GB"/>
              </w:rPr>
            </w:pPr>
          </w:p>
        </w:tc>
        <w:tc>
          <w:tcPr>
            <w:tcW w:w="788" w:type="pct"/>
            <w:tcBorders>
              <w:top w:val="single" w:sz="4" w:space="0" w:color="auto"/>
              <w:left w:val="single" w:sz="4" w:space="0" w:color="auto"/>
              <w:bottom w:val="single" w:sz="4" w:space="0" w:color="auto"/>
              <w:right w:val="single" w:sz="4" w:space="0" w:color="auto"/>
            </w:tcBorders>
            <w:vAlign w:val="bottom"/>
            <w:hideMark/>
          </w:tcPr>
          <w:p w14:paraId="73D913A7" w14:textId="77777777" w:rsidR="00A610E1" w:rsidRPr="00BD22FE" w:rsidRDefault="00A610E1" w:rsidP="00A610E1">
            <w:pPr>
              <w:keepNext/>
              <w:rPr>
                <w:color w:val="000000"/>
                <w:sz w:val="22"/>
                <w:szCs w:val="22"/>
                <w:lang w:val="pl-PL" w:eastAsia="en-GB"/>
              </w:rPr>
            </w:pPr>
            <w:r w:rsidRPr="00BD22FE">
              <w:rPr>
                <w:color w:val="000000"/>
                <w:sz w:val="22"/>
                <w:szCs w:val="22"/>
                <w:lang w:val="pl-PL" w:eastAsia="en-GB"/>
              </w:rPr>
              <w:t>rzadko</w:t>
            </w:r>
            <w:r w:rsidRPr="00BD22FE">
              <w:rPr>
                <w:color w:val="000000"/>
                <w:sz w:val="22"/>
                <w:szCs w:val="22"/>
                <w:vertAlign w:val="superscript"/>
                <w:lang w:val="pl-PL" w:eastAsia="en-GB"/>
              </w:rPr>
              <w:t>2</w:t>
            </w:r>
          </w:p>
        </w:tc>
        <w:tc>
          <w:tcPr>
            <w:tcW w:w="1098" w:type="pct"/>
            <w:tcBorders>
              <w:top w:val="single" w:sz="4" w:space="0" w:color="auto"/>
              <w:left w:val="single" w:sz="4" w:space="0" w:color="auto"/>
              <w:bottom w:val="single" w:sz="4" w:space="0" w:color="auto"/>
              <w:right w:val="single" w:sz="4" w:space="0" w:color="auto"/>
            </w:tcBorders>
            <w:vAlign w:val="bottom"/>
            <w:hideMark/>
          </w:tcPr>
          <w:p w14:paraId="69D3F1B0" w14:textId="77777777" w:rsidR="00A610E1" w:rsidRPr="00BD22FE" w:rsidRDefault="00A610E1" w:rsidP="00A610E1">
            <w:pPr>
              <w:keepNext/>
              <w:rPr>
                <w:color w:val="000000"/>
                <w:sz w:val="22"/>
                <w:szCs w:val="22"/>
                <w:lang w:val="pl-PL" w:eastAsia="en-GB"/>
              </w:rPr>
            </w:pPr>
          </w:p>
        </w:tc>
      </w:tr>
      <w:tr w:rsidR="00A610E1" w:rsidRPr="00BD22FE" w14:paraId="75BF6F8C" w14:textId="77777777" w:rsidTr="00A610E1">
        <w:tc>
          <w:tcPr>
            <w:tcW w:w="1084" w:type="pct"/>
            <w:vMerge/>
            <w:tcBorders>
              <w:left w:val="single" w:sz="4" w:space="0" w:color="auto"/>
              <w:right w:val="single" w:sz="4" w:space="0" w:color="auto"/>
            </w:tcBorders>
            <w:hideMark/>
          </w:tcPr>
          <w:p w14:paraId="3045CC21" w14:textId="77777777" w:rsidR="00A610E1" w:rsidRPr="00BD22FE" w:rsidRDefault="00A610E1" w:rsidP="00A610E1">
            <w:pPr>
              <w:keepNext/>
              <w:rPr>
                <w:sz w:val="22"/>
                <w:szCs w:val="22"/>
                <w:highlight w:val="yellow"/>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00B4E716" w14:textId="77777777" w:rsidR="00A610E1" w:rsidRPr="00BD22FE" w:rsidRDefault="00A610E1" w:rsidP="00A610E1">
            <w:pPr>
              <w:keepNext/>
              <w:rPr>
                <w:color w:val="000000"/>
                <w:sz w:val="22"/>
                <w:szCs w:val="22"/>
                <w:lang w:val="pl-PL" w:eastAsia="en-GB"/>
              </w:rPr>
            </w:pPr>
            <w:r w:rsidRPr="00BD22FE">
              <w:rPr>
                <w:sz w:val="22"/>
                <w:szCs w:val="22"/>
                <w:lang w:val="pl-PL"/>
              </w:rPr>
              <w:t>Zapalenie oskrzeli</w:t>
            </w:r>
          </w:p>
        </w:tc>
        <w:tc>
          <w:tcPr>
            <w:tcW w:w="804" w:type="pct"/>
            <w:tcBorders>
              <w:top w:val="single" w:sz="4" w:space="0" w:color="auto"/>
              <w:left w:val="single" w:sz="4" w:space="0" w:color="auto"/>
              <w:bottom w:val="single" w:sz="4" w:space="0" w:color="auto"/>
              <w:right w:val="single" w:sz="4" w:space="0" w:color="auto"/>
            </w:tcBorders>
            <w:hideMark/>
          </w:tcPr>
          <w:p w14:paraId="3711D9FC" w14:textId="77777777" w:rsidR="00A610E1" w:rsidRPr="00BD22FE" w:rsidRDefault="00A610E1" w:rsidP="00A610E1">
            <w:pPr>
              <w:keepNext/>
              <w:rPr>
                <w:color w:val="000000"/>
                <w:sz w:val="22"/>
                <w:szCs w:val="22"/>
                <w:lang w:val="pl-PL" w:eastAsia="en-GB"/>
              </w:rPr>
            </w:pPr>
            <w:r w:rsidRPr="00BD22FE">
              <w:rPr>
                <w:color w:val="000000"/>
                <w:sz w:val="22"/>
                <w:szCs w:val="22"/>
                <w:lang w:val="pl-PL" w:eastAsia="en-GB"/>
              </w:rPr>
              <w:t>rzadko</w:t>
            </w:r>
          </w:p>
        </w:tc>
        <w:tc>
          <w:tcPr>
            <w:tcW w:w="788" w:type="pct"/>
            <w:tcBorders>
              <w:top w:val="single" w:sz="4" w:space="0" w:color="auto"/>
              <w:left w:val="single" w:sz="4" w:space="0" w:color="auto"/>
              <w:bottom w:val="single" w:sz="4" w:space="0" w:color="auto"/>
              <w:right w:val="single" w:sz="4" w:space="0" w:color="auto"/>
            </w:tcBorders>
            <w:vAlign w:val="bottom"/>
            <w:hideMark/>
          </w:tcPr>
          <w:p w14:paraId="42E46BB8" w14:textId="77777777" w:rsidR="00A610E1" w:rsidRPr="00BD22FE" w:rsidRDefault="00A610E1" w:rsidP="00A610E1">
            <w:pPr>
              <w:keepNext/>
              <w:rPr>
                <w:color w:val="000000"/>
                <w:sz w:val="22"/>
                <w:szCs w:val="22"/>
                <w:lang w:val="pl-PL" w:eastAsia="en-GB"/>
              </w:rPr>
            </w:pPr>
          </w:p>
        </w:tc>
        <w:tc>
          <w:tcPr>
            <w:tcW w:w="1098" w:type="pct"/>
            <w:tcBorders>
              <w:top w:val="single" w:sz="4" w:space="0" w:color="auto"/>
              <w:left w:val="single" w:sz="4" w:space="0" w:color="auto"/>
              <w:bottom w:val="single" w:sz="4" w:space="0" w:color="auto"/>
              <w:right w:val="single" w:sz="4" w:space="0" w:color="auto"/>
            </w:tcBorders>
            <w:vAlign w:val="bottom"/>
            <w:hideMark/>
          </w:tcPr>
          <w:p w14:paraId="5005489C" w14:textId="77777777" w:rsidR="00A610E1" w:rsidRPr="00BD22FE" w:rsidRDefault="00A610E1" w:rsidP="00A610E1">
            <w:pPr>
              <w:keepNext/>
              <w:rPr>
                <w:sz w:val="22"/>
                <w:szCs w:val="22"/>
                <w:lang w:val="pl-PL" w:eastAsia="en-GB"/>
              </w:rPr>
            </w:pPr>
          </w:p>
        </w:tc>
      </w:tr>
      <w:tr w:rsidR="00A610E1" w:rsidRPr="00BD22FE" w14:paraId="65B7B1E9" w14:textId="77777777" w:rsidTr="00A610E1">
        <w:tc>
          <w:tcPr>
            <w:tcW w:w="1084" w:type="pct"/>
            <w:vMerge/>
            <w:tcBorders>
              <w:left w:val="single" w:sz="4" w:space="0" w:color="auto"/>
              <w:right w:val="single" w:sz="4" w:space="0" w:color="auto"/>
            </w:tcBorders>
            <w:hideMark/>
          </w:tcPr>
          <w:p w14:paraId="4C2736C2" w14:textId="77777777" w:rsidR="00A610E1" w:rsidRPr="00BD22FE" w:rsidRDefault="00A610E1" w:rsidP="00A610E1">
            <w:pPr>
              <w:keepNext/>
              <w:rPr>
                <w:sz w:val="22"/>
                <w:szCs w:val="22"/>
                <w:highlight w:val="yellow"/>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176C95B5" w14:textId="77777777" w:rsidR="00A610E1" w:rsidRPr="00BD22FE" w:rsidRDefault="00A610E1" w:rsidP="00A610E1">
            <w:pPr>
              <w:keepNext/>
              <w:rPr>
                <w:color w:val="000000"/>
                <w:sz w:val="22"/>
                <w:szCs w:val="22"/>
                <w:lang w:val="pl-PL" w:eastAsia="en-GB"/>
              </w:rPr>
            </w:pPr>
            <w:r w:rsidRPr="00BD22FE">
              <w:rPr>
                <w:sz w:val="22"/>
                <w:szCs w:val="22"/>
                <w:lang w:val="pl-PL"/>
              </w:rPr>
              <w:t>Zapalenie gardła</w:t>
            </w:r>
          </w:p>
        </w:tc>
        <w:tc>
          <w:tcPr>
            <w:tcW w:w="804" w:type="pct"/>
            <w:tcBorders>
              <w:top w:val="single" w:sz="4" w:space="0" w:color="auto"/>
              <w:left w:val="single" w:sz="4" w:space="0" w:color="auto"/>
              <w:bottom w:val="single" w:sz="4" w:space="0" w:color="auto"/>
              <w:right w:val="single" w:sz="4" w:space="0" w:color="auto"/>
            </w:tcBorders>
            <w:hideMark/>
          </w:tcPr>
          <w:p w14:paraId="3BB80371" w14:textId="77777777" w:rsidR="00A610E1" w:rsidRPr="00BD22FE" w:rsidRDefault="00A610E1" w:rsidP="00A610E1">
            <w:pPr>
              <w:keepNext/>
              <w:rPr>
                <w:color w:val="000000"/>
                <w:sz w:val="22"/>
                <w:szCs w:val="22"/>
                <w:lang w:val="pl-PL" w:eastAsia="en-GB"/>
              </w:rPr>
            </w:pPr>
            <w:r w:rsidRPr="00BD22FE">
              <w:rPr>
                <w:color w:val="000000"/>
                <w:sz w:val="22"/>
                <w:szCs w:val="22"/>
                <w:lang w:val="pl-PL" w:eastAsia="en-GB"/>
              </w:rPr>
              <w:t>rzadko</w:t>
            </w:r>
          </w:p>
        </w:tc>
        <w:tc>
          <w:tcPr>
            <w:tcW w:w="788" w:type="pct"/>
            <w:tcBorders>
              <w:top w:val="single" w:sz="4" w:space="0" w:color="auto"/>
              <w:left w:val="single" w:sz="4" w:space="0" w:color="auto"/>
              <w:bottom w:val="single" w:sz="4" w:space="0" w:color="auto"/>
              <w:right w:val="single" w:sz="4" w:space="0" w:color="auto"/>
            </w:tcBorders>
            <w:vAlign w:val="bottom"/>
            <w:hideMark/>
          </w:tcPr>
          <w:p w14:paraId="1D68D2DB" w14:textId="77777777" w:rsidR="00A610E1" w:rsidRPr="00BD22FE" w:rsidRDefault="00A610E1" w:rsidP="00A610E1">
            <w:pPr>
              <w:keepNext/>
              <w:rPr>
                <w:color w:val="000000"/>
                <w:sz w:val="22"/>
                <w:szCs w:val="22"/>
                <w:lang w:val="pl-PL" w:eastAsia="en-GB"/>
              </w:rPr>
            </w:pPr>
          </w:p>
        </w:tc>
        <w:tc>
          <w:tcPr>
            <w:tcW w:w="1098" w:type="pct"/>
            <w:tcBorders>
              <w:top w:val="single" w:sz="4" w:space="0" w:color="auto"/>
              <w:left w:val="single" w:sz="4" w:space="0" w:color="auto"/>
              <w:bottom w:val="single" w:sz="4" w:space="0" w:color="auto"/>
              <w:right w:val="single" w:sz="4" w:space="0" w:color="auto"/>
            </w:tcBorders>
            <w:vAlign w:val="bottom"/>
            <w:hideMark/>
          </w:tcPr>
          <w:p w14:paraId="596DD600" w14:textId="77777777" w:rsidR="00A610E1" w:rsidRPr="00BD22FE" w:rsidRDefault="00A610E1" w:rsidP="00A610E1">
            <w:pPr>
              <w:keepNext/>
              <w:rPr>
                <w:sz w:val="22"/>
                <w:szCs w:val="22"/>
                <w:lang w:val="pl-PL" w:eastAsia="en-GB"/>
              </w:rPr>
            </w:pPr>
          </w:p>
        </w:tc>
      </w:tr>
      <w:tr w:rsidR="00A610E1" w:rsidRPr="00BD22FE" w14:paraId="4D0AA1DD" w14:textId="77777777" w:rsidTr="00A610E1">
        <w:tc>
          <w:tcPr>
            <w:tcW w:w="1084" w:type="pct"/>
            <w:vMerge/>
            <w:tcBorders>
              <w:left w:val="single" w:sz="4" w:space="0" w:color="auto"/>
              <w:right w:val="single" w:sz="4" w:space="0" w:color="auto"/>
            </w:tcBorders>
            <w:hideMark/>
          </w:tcPr>
          <w:p w14:paraId="533137C5" w14:textId="77777777" w:rsidR="00A610E1" w:rsidRPr="00BD22FE" w:rsidRDefault="00A610E1" w:rsidP="00A610E1">
            <w:pPr>
              <w:keepNext/>
              <w:rPr>
                <w:sz w:val="22"/>
                <w:szCs w:val="22"/>
                <w:highlight w:val="yellow"/>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223571A3" w14:textId="77777777" w:rsidR="00A610E1" w:rsidRPr="00BD22FE" w:rsidRDefault="00A610E1" w:rsidP="00A610E1">
            <w:pPr>
              <w:keepNext/>
              <w:rPr>
                <w:color w:val="000000"/>
                <w:sz w:val="22"/>
                <w:szCs w:val="22"/>
                <w:lang w:val="pl-PL" w:eastAsia="en-GB"/>
              </w:rPr>
            </w:pPr>
            <w:r w:rsidRPr="00BD22FE">
              <w:rPr>
                <w:sz w:val="22"/>
                <w:szCs w:val="22"/>
                <w:lang w:val="pl-PL"/>
              </w:rPr>
              <w:t>Zapalenie zatok</w:t>
            </w:r>
          </w:p>
        </w:tc>
        <w:tc>
          <w:tcPr>
            <w:tcW w:w="804" w:type="pct"/>
            <w:tcBorders>
              <w:top w:val="single" w:sz="4" w:space="0" w:color="auto"/>
              <w:left w:val="single" w:sz="4" w:space="0" w:color="auto"/>
              <w:bottom w:val="single" w:sz="4" w:space="0" w:color="auto"/>
              <w:right w:val="single" w:sz="4" w:space="0" w:color="auto"/>
            </w:tcBorders>
            <w:hideMark/>
          </w:tcPr>
          <w:p w14:paraId="7755315C" w14:textId="77777777" w:rsidR="00A610E1" w:rsidRPr="00BD22FE" w:rsidRDefault="00A610E1" w:rsidP="00A610E1">
            <w:pPr>
              <w:keepNext/>
              <w:rPr>
                <w:color w:val="000000"/>
                <w:sz w:val="22"/>
                <w:szCs w:val="22"/>
                <w:lang w:val="pl-PL" w:eastAsia="en-GB"/>
              </w:rPr>
            </w:pPr>
            <w:r w:rsidRPr="00BD22FE">
              <w:rPr>
                <w:color w:val="000000"/>
                <w:sz w:val="22"/>
                <w:szCs w:val="22"/>
                <w:lang w:val="pl-PL" w:eastAsia="en-GB"/>
              </w:rPr>
              <w:t>rzadko</w:t>
            </w:r>
          </w:p>
        </w:tc>
        <w:tc>
          <w:tcPr>
            <w:tcW w:w="788" w:type="pct"/>
            <w:tcBorders>
              <w:top w:val="single" w:sz="4" w:space="0" w:color="auto"/>
              <w:left w:val="single" w:sz="4" w:space="0" w:color="auto"/>
              <w:bottom w:val="single" w:sz="4" w:space="0" w:color="auto"/>
              <w:right w:val="single" w:sz="4" w:space="0" w:color="auto"/>
            </w:tcBorders>
            <w:vAlign w:val="bottom"/>
            <w:hideMark/>
          </w:tcPr>
          <w:p w14:paraId="1A538AA3" w14:textId="77777777" w:rsidR="00A610E1" w:rsidRPr="00BD22FE" w:rsidRDefault="00A610E1" w:rsidP="00A610E1">
            <w:pPr>
              <w:keepNext/>
              <w:rPr>
                <w:color w:val="000000"/>
                <w:sz w:val="22"/>
                <w:szCs w:val="22"/>
                <w:lang w:val="pl-PL" w:eastAsia="en-GB"/>
              </w:rPr>
            </w:pPr>
          </w:p>
        </w:tc>
        <w:tc>
          <w:tcPr>
            <w:tcW w:w="1098" w:type="pct"/>
            <w:tcBorders>
              <w:top w:val="single" w:sz="4" w:space="0" w:color="auto"/>
              <w:left w:val="single" w:sz="4" w:space="0" w:color="auto"/>
              <w:bottom w:val="single" w:sz="4" w:space="0" w:color="auto"/>
              <w:right w:val="single" w:sz="4" w:space="0" w:color="auto"/>
            </w:tcBorders>
            <w:vAlign w:val="bottom"/>
            <w:hideMark/>
          </w:tcPr>
          <w:p w14:paraId="11FA5E91" w14:textId="77777777" w:rsidR="00A610E1" w:rsidRPr="00BD22FE" w:rsidRDefault="00A610E1" w:rsidP="00A610E1">
            <w:pPr>
              <w:keepNext/>
              <w:rPr>
                <w:sz w:val="22"/>
                <w:szCs w:val="22"/>
                <w:lang w:val="pl-PL" w:eastAsia="en-GB"/>
              </w:rPr>
            </w:pPr>
          </w:p>
        </w:tc>
      </w:tr>
      <w:tr w:rsidR="00A610E1" w:rsidRPr="00BD22FE" w14:paraId="52538C52" w14:textId="77777777" w:rsidTr="00A610E1">
        <w:tc>
          <w:tcPr>
            <w:tcW w:w="1084" w:type="pct"/>
            <w:vMerge/>
            <w:tcBorders>
              <w:left w:val="single" w:sz="4" w:space="0" w:color="auto"/>
              <w:right w:val="single" w:sz="4" w:space="0" w:color="auto"/>
            </w:tcBorders>
            <w:hideMark/>
          </w:tcPr>
          <w:p w14:paraId="2BF0762D" w14:textId="77777777" w:rsidR="00A610E1" w:rsidRPr="00BD22FE" w:rsidRDefault="00A610E1" w:rsidP="00A610E1">
            <w:pPr>
              <w:keepNext/>
              <w:rPr>
                <w:sz w:val="22"/>
                <w:szCs w:val="22"/>
                <w:highlight w:val="yellow"/>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42F25C7D" w14:textId="77777777" w:rsidR="00A610E1" w:rsidRPr="00BD22FE" w:rsidRDefault="00A610E1" w:rsidP="00A610E1">
            <w:pPr>
              <w:keepNext/>
              <w:rPr>
                <w:color w:val="000000"/>
                <w:sz w:val="22"/>
                <w:szCs w:val="22"/>
                <w:lang w:val="pl-PL" w:eastAsia="en-GB"/>
              </w:rPr>
            </w:pPr>
            <w:r w:rsidRPr="00BD22FE">
              <w:rPr>
                <w:color w:val="000000"/>
                <w:sz w:val="22"/>
                <w:szCs w:val="22"/>
                <w:lang w:val="pl-PL" w:eastAsia="en-GB"/>
              </w:rPr>
              <w:t>Zakażenie górnych dróg oddechowych</w:t>
            </w:r>
          </w:p>
        </w:tc>
        <w:tc>
          <w:tcPr>
            <w:tcW w:w="804" w:type="pct"/>
            <w:tcBorders>
              <w:top w:val="single" w:sz="4" w:space="0" w:color="auto"/>
              <w:left w:val="single" w:sz="4" w:space="0" w:color="auto"/>
              <w:bottom w:val="single" w:sz="4" w:space="0" w:color="auto"/>
              <w:right w:val="single" w:sz="4" w:space="0" w:color="auto"/>
            </w:tcBorders>
            <w:vAlign w:val="bottom"/>
            <w:hideMark/>
          </w:tcPr>
          <w:p w14:paraId="66D2ED77" w14:textId="77777777" w:rsidR="00A610E1" w:rsidRPr="00BD22FE" w:rsidRDefault="00A610E1" w:rsidP="00A610E1">
            <w:pPr>
              <w:keepNext/>
              <w:rPr>
                <w:color w:val="000000"/>
                <w:sz w:val="22"/>
                <w:szCs w:val="22"/>
                <w:lang w:val="pl-PL" w:eastAsia="en-GB"/>
              </w:rPr>
            </w:pPr>
          </w:p>
        </w:tc>
        <w:tc>
          <w:tcPr>
            <w:tcW w:w="788" w:type="pct"/>
            <w:tcBorders>
              <w:top w:val="single" w:sz="4" w:space="0" w:color="auto"/>
              <w:left w:val="single" w:sz="4" w:space="0" w:color="auto"/>
              <w:bottom w:val="single" w:sz="4" w:space="0" w:color="auto"/>
              <w:right w:val="single" w:sz="4" w:space="0" w:color="auto"/>
            </w:tcBorders>
            <w:vAlign w:val="bottom"/>
            <w:hideMark/>
          </w:tcPr>
          <w:p w14:paraId="44ECE810" w14:textId="77777777" w:rsidR="00A610E1" w:rsidRPr="00BD22FE" w:rsidRDefault="00A610E1" w:rsidP="00A610E1">
            <w:pPr>
              <w:keepNext/>
              <w:rPr>
                <w:color w:val="000000"/>
                <w:sz w:val="22"/>
                <w:szCs w:val="22"/>
                <w:lang w:val="pl-PL" w:eastAsia="en-GB"/>
              </w:rPr>
            </w:pPr>
            <w:r w:rsidRPr="00BD22FE">
              <w:rPr>
                <w:color w:val="000000"/>
                <w:sz w:val="22"/>
                <w:szCs w:val="22"/>
                <w:lang w:val="pl-PL" w:eastAsia="en-GB"/>
              </w:rPr>
              <w:t>niezbyt często</w:t>
            </w:r>
          </w:p>
        </w:tc>
        <w:tc>
          <w:tcPr>
            <w:tcW w:w="1098" w:type="pct"/>
            <w:tcBorders>
              <w:top w:val="single" w:sz="4" w:space="0" w:color="auto"/>
              <w:left w:val="single" w:sz="4" w:space="0" w:color="auto"/>
              <w:bottom w:val="single" w:sz="4" w:space="0" w:color="auto"/>
              <w:right w:val="single" w:sz="4" w:space="0" w:color="auto"/>
            </w:tcBorders>
            <w:vAlign w:val="bottom"/>
            <w:hideMark/>
          </w:tcPr>
          <w:p w14:paraId="4F8F94FD" w14:textId="77777777" w:rsidR="00A610E1" w:rsidRPr="00BD22FE" w:rsidRDefault="00A610E1" w:rsidP="00A610E1">
            <w:pPr>
              <w:keepNext/>
              <w:rPr>
                <w:color w:val="000000"/>
                <w:sz w:val="22"/>
                <w:szCs w:val="22"/>
                <w:lang w:val="pl-PL" w:eastAsia="en-GB"/>
              </w:rPr>
            </w:pPr>
          </w:p>
        </w:tc>
      </w:tr>
      <w:tr w:rsidR="00A610E1" w:rsidRPr="00BD22FE" w14:paraId="5D3F7D4F" w14:textId="77777777" w:rsidTr="00A610E1">
        <w:tc>
          <w:tcPr>
            <w:tcW w:w="1084" w:type="pct"/>
            <w:vMerge/>
            <w:tcBorders>
              <w:left w:val="single" w:sz="4" w:space="0" w:color="auto"/>
              <w:right w:val="single" w:sz="4" w:space="0" w:color="auto"/>
            </w:tcBorders>
          </w:tcPr>
          <w:p w14:paraId="6A3AFA88" w14:textId="77777777" w:rsidR="00A610E1" w:rsidRPr="00BD22FE" w:rsidRDefault="00A610E1" w:rsidP="00A610E1">
            <w:pPr>
              <w:keepNext/>
              <w:rPr>
                <w:sz w:val="22"/>
                <w:szCs w:val="22"/>
                <w:highlight w:val="yellow"/>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tcPr>
          <w:p w14:paraId="73AA1DF4" w14:textId="77777777" w:rsidR="00A610E1" w:rsidRPr="00BD22FE" w:rsidRDefault="00A610E1" w:rsidP="00A610E1">
            <w:pPr>
              <w:keepNext/>
              <w:rPr>
                <w:color w:val="000000"/>
                <w:sz w:val="22"/>
                <w:szCs w:val="22"/>
                <w:lang w:val="pl-PL" w:eastAsia="en-GB"/>
              </w:rPr>
            </w:pPr>
            <w:r w:rsidRPr="00BD22FE">
              <w:rPr>
                <w:color w:val="000000"/>
                <w:sz w:val="22"/>
                <w:szCs w:val="22"/>
                <w:lang w:val="pl-PL" w:eastAsia="en-GB"/>
              </w:rPr>
              <w:t>Zakażenie dróg moczowych</w:t>
            </w:r>
          </w:p>
        </w:tc>
        <w:tc>
          <w:tcPr>
            <w:tcW w:w="804" w:type="pct"/>
            <w:tcBorders>
              <w:top w:val="single" w:sz="4" w:space="0" w:color="auto"/>
              <w:left w:val="single" w:sz="4" w:space="0" w:color="auto"/>
              <w:bottom w:val="single" w:sz="4" w:space="0" w:color="auto"/>
              <w:right w:val="single" w:sz="4" w:space="0" w:color="auto"/>
            </w:tcBorders>
            <w:vAlign w:val="bottom"/>
          </w:tcPr>
          <w:p w14:paraId="604BFEB8" w14:textId="77777777" w:rsidR="00A610E1" w:rsidRPr="00BD22FE" w:rsidRDefault="00A610E1" w:rsidP="00A610E1">
            <w:pPr>
              <w:keepNext/>
              <w:rPr>
                <w:color w:val="000000"/>
                <w:sz w:val="22"/>
                <w:szCs w:val="22"/>
                <w:lang w:val="pl-PL" w:eastAsia="en-GB"/>
              </w:rPr>
            </w:pPr>
          </w:p>
        </w:tc>
        <w:tc>
          <w:tcPr>
            <w:tcW w:w="788" w:type="pct"/>
            <w:tcBorders>
              <w:top w:val="single" w:sz="4" w:space="0" w:color="auto"/>
              <w:left w:val="single" w:sz="4" w:space="0" w:color="auto"/>
              <w:bottom w:val="single" w:sz="4" w:space="0" w:color="auto"/>
              <w:right w:val="single" w:sz="4" w:space="0" w:color="auto"/>
            </w:tcBorders>
          </w:tcPr>
          <w:p w14:paraId="5E77B408" w14:textId="77777777" w:rsidR="00A610E1" w:rsidRPr="00BD22FE" w:rsidRDefault="00A610E1" w:rsidP="00A610E1">
            <w:pPr>
              <w:keepNext/>
              <w:rPr>
                <w:color w:val="000000"/>
                <w:sz w:val="22"/>
                <w:szCs w:val="22"/>
                <w:lang w:val="pl-PL" w:eastAsia="en-GB"/>
              </w:rPr>
            </w:pPr>
            <w:r w:rsidRPr="00BD22FE">
              <w:rPr>
                <w:color w:val="000000"/>
                <w:sz w:val="22"/>
                <w:szCs w:val="22"/>
                <w:lang w:val="pl-PL" w:eastAsia="en-GB"/>
              </w:rPr>
              <w:t>niezbyt często</w:t>
            </w:r>
          </w:p>
        </w:tc>
        <w:tc>
          <w:tcPr>
            <w:tcW w:w="1098" w:type="pct"/>
            <w:tcBorders>
              <w:top w:val="single" w:sz="4" w:space="0" w:color="auto"/>
              <w:left w:val="single" w:sz="4" w:space="0" w:color="auto"/>
              <w:bottom w:val="single" w:sz="4" w:space="0" w:color="auto"/>
              <w:right w:val="single" w:sz="4" w:space="0" w:color="auto"/>
            </w:tcBorders>
            <w:vAlign w:val="bottom"/>
          </w:tcPr>
          <w:p w14:paraId="314272EB" w14:textId="77777777" w:rsidR="00A610E1" w:rsidRPr="00BD22FE" w:rsidRDefault="00A610E1" w:rsidP="00A610E1">
            <w:pPr>
              <w:keepNext/>
              <w:rPr>
                <w:color w:val="000000"/>
                <w:sz w:val="22"/>
                <w:szCs w:val="22"/>
                <w:lang w:val="pl-PL" w:eastAsia="en-GB"/>
              </w:rPr>
            </w:pPr>
          </w:p>
        </w:tc>
      </w:tr>
      <w:tr w:rsidR="00A610E1" w:rsidRPr="00BD22FE" w14:paraId="5C74F4D8" w14:textId="77777777" w:rsidTr="00A610E1">
        <w:tc>
          <w:tcPr>
            <w:tcW w:w="1084" w:type="pct"/>
            <w:vMerge/>
            <w:tcBorders>
              <w:left w:val="single" w:sz="4" w:space="0" w:color="auto"/>
              <w:bottom w:val="single" w:sz="4" w:space="0" w:color="auto"/>
              <w:right w:val="single" w:sz="4" w:space="0" w:color="auto"/>
            </w:tcBorders>
            <w:hideMark/>
          </w:tcPr>
          <w:p w14:paraId="67B714AA" w14:textId="77777777" w:rsidR="00A610E1" w:rsidRPr="00BD22FE" w:rsidRDefault="00A610E1" w:rsidP="00A610E1">
            <w:pPr>
              <w:keepNext/>
              <w:rPr>
                <w:sz w:val="22"/>
                <w:szCs w:val="22"/>
                <w:highlight w:val="yellow"/>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75A0BD35" w14:textId="77777777" w:rsidR="00A610E1" w:rsidRPr="00BD22FE" w:rsidRDefault="00A610E1" w:rsidP="00A610E1">
            <w:pPr>
              <w:keepNext/>
              <w:rPr>
                <w:color w:val="000000"/>
                <w:sz w:val="22"/>
                <w:szCs w:val="22"/>
                <w:lang w:val="pl-PL" w:eastAsia="en-GB"/>
              </w:rPr>
            </w:pPr>
            <w:r w:rsidRPr="00BD22FE">
              <w:rPr>
                <w:color w:val="000000"/>
                <w:sz w:val="22"/>
                <w:szCs w:val="22"/>
                <w:lang w:val="pl-PL" w:eastAsia="en-GB"/>
              </w:rPr>
              <w:t>Zapalenie pęcherza moczowego</w:t>
            </w:r>
          </w:p>
        </w:tc>
        <w:tc>
          <w:tcPr>
            <w:tcW w:w="804" w:type="pct"/>
            <w:tcBorders>
              <w:top w:val="single" w:sz="4" w:space="0" w:color="auto"/>
              <w:left w:val="single" w:sz="4" w:space="0" w:color="auto"/>
              <w:bottom w:val="single" w:sz="4" w:space="0" w:color="auto"/>
              <w:right w:val="single" w:sz="4" w:space="0" w:color="auto"/>
            </w:tcBorders>
            <w:vAlign w:val="bottom"/>
            <w:hideMark/>
          </w:tcPr>
          <w:p w14:paraId="32879955" w14:textId="77777777" w:rsidR="00A610E1" w:rsidRPr="00BD22FE" w:rsidRDefault="00A610E1" w:rsidP="00A610E1">
            <w:pPr>
              <w:keepNext/>
              <w:rPr>
                <w:color w:val="000000"/>
                <w:sz w:val="22"/>
                <w:szCs w:val="22"/>
                <w:lang w:val="pl-PL" w:eastAsia="en-GB"/>
              </w:rPr>
            </w:pPr>
          </w:p>
        </w:tc>
        <w:tc>
          <w:tcPr>
            <w:tcW w:w="788" w:type="pct"/>
            <w:tcBorders>
              <w:top w:val="single" w:sz="4" w:space="0" w:color="auto"/>
              <w:left w:val="single" w:sz="4" w:space="0" w:color="auto"/>
              <w:bottom w:val="single" w:sz="4" w:space="0" w:color="auto"/>
              <w:right w:val="single" w:sz="4" w:space="0" w:color="auto"/>
            </w:tcBorders>
            <w:hideMark/>
          </w:tcPr>
          <w:p w14:paraId="17122E1E" w14:textId="77777777" w:rsidR="00A610E1" w:rsidRPr="00BD22FE" w:rsidRDefault="00A610E1" w:rsidP="00A610E1">
            <w:pPr>
              <w:keepNext/>
              <w:rPr>
                <w:color w:val="000000"/>
                <w:sz w:val="22"/>
                <w:szCs w:val="22"/>
                <w:lang w:val="pl-PL" w:eastAsia="en-GB"/>
              </w:rPr>
            </w:pPr>
            <w:r w:rsidRPr="00BD22FE">
              <w:rPr>
                <w:color w:val="000000"/>
                <w:sz w:val="22"/>
                <w:szCs w:val="22"/>
                <w:lang w:val="pl-PL" w:eastAsia="en-GB"/>
              </w:rPr>
              <w:t>niezbyt często</w:t>
            </w:r>
          </w:p>
        </w:tc>
        <w:tc>
          <w:tcPr>
            <w:tcW w:w="1098" w:type="pct"/>
            <w:tcBorders>
              <w:top w:val="single" w:sz="4" w:space="0" w:color="auto"/>
              <w:left w:val="single" w:sz="4" w:space="0" w:color="auto"/>
              <w:bottom w:val="single" w:sz="4" w:space="0" w:color="auto"/>
              <w:right w:val="single" w:sz="4" w:space="0" w:color="auto"/>
            </w:tcBorders>
            <w:vAlign w:val="bottom"/>
            <w:hideMark/>
          </w:tcPr>
          <w:p w14:paraId="2F7FFF61" w14:textId="77777777" w:rsidR="00A610E1" w:rsidRPr="00BD22FE" w:rsidRDefault="00A610E1" w:rsidP="00A610E1">
            <w:pPr>
              <w:keepNext/>
              <w:rPr>
                <w:color w:val="000000"/>
                <w:sz w:val="22"/>
                <w:szCs w:val="22"/>
                <w:lang w:val="pl-PL" w:eastAsia="en-GB"/>
              </w:rPr>
            </w:pPr>
          </w:p>
        </w:tc>
      </w:tr>
      <w:tr w:rsidR="00A610E1" w:rsidRPr="00BD22FE" w14:paraId="4BF03CAC" w14:textId="77777777" w:rsidTr="00A610E1">
        <w:tc>
          <w:tcPr>
            <w:tcW w:w="1084" w:type="pct"/>
            <w:tcBorders>
              <w:top w:val="single" w:sz="4" w:space="0" w:color="auto"/>
              <w:left w:val="single" w:sz="4" w:space="0" w:color="auto"/>
              <w:bottom w:val="single" w:sz="4" w:space="0" w:color="auto"/>
              <w:right w:val="single" w:sz="4" w:space="0" w:color="auto"/>
            </w:tcBorders>
            <w:hideMark/>
          </w:tcPr>
          <w:p w14:paraId="0DE1DCB0" w14:textId="77777777" w:rsidR="00A610E1" w:rsidRPr="00BD22FE" w:rsidRDefault="00A610E1" w:rsidP="00A610E1">
            <w:pPr>
              <w:keepNext/>
              <w:rPr>
                <w:b/>
                <w:bCs/>
                <w:color w:val="000000"/>
                <w:sz w:val="22"/>
                <w:szCs w:val="22"/>
                <w:highlight w:val="yellow"/>
                <w:lang w:val="pl-PL" w:eastAsia="en-GB"/>
              </w:rPr>
            </w:pPr>
            <w:r w:rsidRPr="00BD22FE">
              <w:rPr>
                <w:b/>
                <w:sz w:val="22"/>
                <w:szCs w:val="22"/>
                <w:lang w:val="pl-PL"/>
              </w:rPr>
              <w:t>Nowotwory łagodne, złośliwe i nieokreślone (w tym torbiele i polipy)</w:t>
            </w:r>
          </w:p>
        </w:tc>
        <w:tc>
          <w:tcPr>
            <w:tcW w:w="1226" w:type="pct"/>
            <w:tcBorders>
              <w:top w:val="single" w:sz="4" w:space="0" w:color="auto"/>
              <w:left w:val="single" w:sz="4" w:space="0" w:color="auto"/>
              <w:bottom w:val="single" w:sz="4" w:space="0" w:color="auto"/>
              <w:right w:val="single" w:sz="4" w:space="0" w:color="auto"/>
            </w:tcBorders>
            <w:vAlign w:val="bottom"/>
            <w:hideMark/>
          </w:tcPr>
          <w:p w14:paraId="2CDBF3BA" w14:textId="77777777" w:rsidR="00A610E1" w:rsidRPr="00BD22FE" w:rsidRDefault="00A610E1" w:rsidP="00A610E1">
            <w:pPr>
              <w:keepNext/>
              <w:rPr>
                <w:color w:val="000000"/>
                <w:sz w:val="22"/>
                <w:szCs w:val="22"/>
                <w:lang w:val="pl-PL" w:eastAsia="en-GB"/>
              </w:rPr>
            </w:pPr>
            <w:r w:rsidRPr="00BD22FE">
              <w:rPr>
                <w:color w:val="000000"/>
                <w:sz w:val="22"/>
                <w:szCs w:val="22"/>
                <w:lang w:val="pl-PL" w:eastAsia="en-GB"/>
              </w:rPr>
              <w:t>Nieczerniakowe nowotwory złośliwe skóry (rak podstawnokomórkowy i rak kolczystokomórkowy)</w:t>
            </w:r>
          </w:p>
        </w:tc>
        <w:tc>
          <w:tcPr>
            <w:tcW w:w="804" w:type="pct"/>
            <w:tcBorders>
              <w:top w:val="single" w:sz="4" w:space="0" w:color="auto"/>
              <w:left w:val="single" w:sz="4" w:space="0" w:color="auto"/>
              <w:bottom w:val="single" w:sz="4" w:space="0" w:color="auto"/>
              <w:right w:val="single" w:sz="4" w:space="0" w:color="auto"/>
            </w:tcBorders>
            <w:vAlign w:val="bottom"/>
            <w:hideMark/>
          </w:tcPr>
          <w:p w14:paraId="0D21EB5C" w14:textId="77777777" w:rsidR="00A610E1" w:rsidRPr="00BD22FE" w:rsidRDefault="00A610E1" w:rsidP="00A610E1">
            <w:pPr>
              <w:keepNext/>
              <w:rPr>
                <w:color w:val="000000"/>
                <w:sz w:val="22"/>
                <w:szCs w:val="22"/>
                <w:lang w:val="pl-PL" w:eastAsia="en-GB"/>
              </w:rPr>
            </w:pPr>
          </w:p>
        </w:tc>
        <w:tc>
          <w:tcPr>
            <w:tcW w:w="788" w:type="pct"/>
            <w:tcBorders>
              <w:top w:val="single" w:sz="4" w:space="0" w:color="auto"/>
              <w:left w:val="single" w:sz="4" w:space="0" w:color="auto"/>
              <w:bottom w:val="single" w:sz="4" w:space="0" w:color="auto"/>
              <w:right w:val="single" w:sz="4" w:space="0" w:color="auto"/>
            </w:tcBorders>
            <w:vAlign w:val="bottom"/>
            <w:hideMark/>
          </w:tcPr>
          <w:p w14:paraId="694ED228" w14:textId="77777777" w:rsidR="00A610E1" w:rsidRPr="00BD22FE" w:rsidRDefault="00A610E1" w:rsidP="00A610E1">
            <w:pPr>
              <w:keepNext/>
              <w:rPr>
                <w:sz w:val="22"/>
                <w:szCs w:val="22"/>
                <w:lang w:val="pl-PL" w:eastAsia="en-GB"/>
              </w:rPr>
            </w:pPr>
          </w:p>
        </w:tc>
        <w:tc>
          <w:tcPr>
            <w:tcW w:w="1098" w:type="pct"/>
            <w:tcBorders>
              <w:top w:val="single" w:sz="4" w:space="0" w:color="auto"/>
              <w:left w:val="single" w:sz="4" w:space="0" w:color="auto"/>
              <w:bottom w:val="single" w:sz="4" w:space="0" w:color="auto"/>
              <w:right w:val="single" w:sz="4" w:space="0" w:color="auto"/>
            </w:tcBorders>
            <w:vAlign w:val="bottom"/>
            <w:hideMark/>
          </w:tcPr>
          <w:p w14:paraId="0FE1290B" w14:textId="77777777" w:rsidR="00A610E1" w:rsidRPr="00BD22FE" w:rsidRDefault="00A610E1" w:rsidP="00A610E1">
            <w:pPr>
              <w:keepNext/>
              <w:rPr>
                <w:color w:val="000000"/>
                <w:sz w:val="22"/>
                <w:szCs w:val="22"/>
                <w:lang w:val="pl-PL" w:eastAsia="en-GB"/>
              </w:rPr>
            </w:pPr>
            <w:r w:rsidRPr="00BD22FE">
              <w:rPr>
                <w:sz w:val="22"/>
                <w:szCs w:val="22"/>
                <w:lang w:val="pl-PL"/>
              </w:rPr>
              <w:t>częstość nieznana</w:t>
            </w:r>
            <w:r w:rsidRPr="00BD22FE">
              <w:rPr>
                <w:color w:val="000000"/>
                <w:sz w:val="22"/>
                <w:szCs w:val="22"/>
                <w:vertAlign w:val="superscript"/>
                <w:lang w:val="pl-PL" w:eastAsia="en-GB"/>
              </w:rPr>
              <w:t>2</w:t>
            </w:r>
          </w:p>
        </w:tc>
      </w:tr>
      <w:tr w:rsidR="00A610E1" w:rsidRPr="00BD22FE" w14:paraId="1FF66E5B" w14:textId="77777777" w:rsidTr="00A610E1">
        <w:tc>
          <w:tcPr>
            <w:tcW w:w="1084" w:type="pct"/>
            <w:vMerge w:val="restart"/>
            <w:tcBorders>
              <w:top w:val="single" w:sz="4" w:space="0" w:color="auto"/>
              <w:left w:val="single" w:sz="4" w:space="0" w:color="auto"/>
              <w:right w:val="single" w:sz="4" w:space="0" w:color="auto"/>
            </w:tcBorders>
            <w:hideMark/>
          </w:tcPr>
          <w:p w14:paraId="5A547CBB" w14:textId="77777777" w:rsidR="00A610E1" w:rsidRPr="00BD22FE" w:rsidRDefault="00A610E1" w:rsidP="00A610E1">
            <w:pPr>
              <w:rPr>
                <w:b/>
                <w:bCs/>
                <w:color w:val="000000"/>
                <w:sz w:val="22"/>
                <w:szCs w:val="22"/>
                <w:highlight w:val="yellow"/>
                <w:lang w:val="pl-PL" w:eastAsia="en-GB"/>
              </w:rPr>
            </w:pPr>
            <w:r w:rsidRPr="00BD22FE">
              <w:rPr>
                <w:b/>
                <w:sz w:val="22"/>
                <w:szCs w:val="22"/>
                <w:lang w:val="pl-PL"/>
              </w:rPr>
              <w:t>Zaburzenia krwi i układu chłonnego</w:t>
            </w:r>
          </w:p>
        </w:tc>
        <w:tc>
          <w:tcPr>
            <w:tcW w:w="1226" w:type="pct"/>
            <w:tcBorders>
              <w:top w:val="single" w:sz="4" w:space="0" w:color="auto"/>
              <w:left w:val="single" w:sz="4" w:space="0" w:color="auto"/>
              <w:bottom w:val="single" w:sz="4" w:space="0" w:color="auto"/>
              <w:right w:val="single" w:sz="4" w:space="0" w:color="auto"/>
            </w:tcBorders>
            <w:vAlign w:val="bottom"/>
            <w:hideMark/>
          </w:tcPr>
          <w:p w14:paraId="76420180"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Niedokrwistość</w:t>
            </w:r>
          </w:p>
        </w:tc>
        <w:tc>
          <w:tcPr>
            <w:tcW w:w="804" w:type="pct"/>
            <w:tcBorders>
              <w:top w:val="single" w:sz="4" w:space="0" w:color="auto"/>
              <w:left w:val="single" w:sz="4" w:space="0" w:color="auto"/>
              <w:bottom w:val="single" w:sz="4" w:space="0" w:color="auto"/>
              <w:right w:val="single" w:sz="4" w:space="0" w:color="auto"/>
            </w:tcBorders>
            <w:vAlign w:val="bottom"/>
            <w:hideMark/>
          </w:tcPr>
          <w:p w14:paraId="5D407718" w14:textId="77777777" w:rsidR="00A610E1" w:rsidRPr="00BD22FE" w:rsidRDefault="00A610E1" w:rsidP="00A610E1">
            <w:pPr>
              <w:rPr>
                <w:color w:val="000000"/>
                <w:sz w:val="22"/>
                <w:szCs w:val="22"/>
                <w:lang w:val="pl-PL" w:eastAsia="en-GB"/>
              </w:rPr>
            </w:pPr>
          </w:p>
        </w:tc>
        <w:tc>
          <w:tcPr>
            <w:tcW w:w="788" w:type="pct"/>
            <w:tcBorders>
              <w:top w:val="single" w:sz="4" w:space="0" w:color="auto"/>
              <w:left w:val="single" w:sz="4" w:space="0" w:color="auto"/>
              <w:bottom w:val="single" w:sz="4" w:space="0" w:color="auto"/>
              <w:right w:val="single" w:sz="4" w:space="0" w:color="auto"/>
            </w:tcBorders>
            <w:vAlign w:val="bottom"/>
            <w:hideMark/>
          </w:tcPr>
          <w:p w14:paraId="0D25CDA1"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niezbyt często</w:t>
            </w:r>
          </w:p>
        </w:tc>
        <w:tc>
          <w:tcPr>
            <w:tcW w:w="1098" w:type="pct"/>
            <w:tcBorders>
              <w:top w:val="single" w:sz="4" w:space="0" w:color="auto"/>
              <w:left w:val="single" w:sz="4" w:space="0" w:color="auto"/>
              <w:bottom w:val="single" w:sz="4" w:space="0" w:color="auto"/>
              <w:right w:val="single" w:sz="4" w:space="0" w:color="auto"/>
            </w:tcBorders>
            <w:vAlign w:val="bottom"/>
            <w:hideMark/>
          </w:tcPr>
          <w:p w14:paraId="7E4E6144" w14:textId="77777777" w:rsidR="00A610E1" w:rsidRPr="00BD22FE" w:rsidRDefault="00A610E1" w:rsidP="00A610E1">
            <w:pPr>
              <w:rPr>
                <w:color w:val="000000"/>
                <w:sz w:val="22"/>
                <w:szCs w:val="22"/>
                <w:lang w:val="pl-PL" w:eastAsia="en-GB"/>
              </w:rPr>
            </w:pPr>
          </w:p>
        </w:tc>
      </w:tr>
      <w:tr w:rsidR="00A610E1" w:rsidRPr="00BD22FE" w14:paraId="16E45193" w14:textId="77777777" w:rsidTr="00A610E1">
        <w:tc>
          <w:tcPr>
            <w:tcW w:w="1084" w:type="pct"/>
            <w:vMerge/>
            <w:tcBorders>
              <w:left w:val="single" w:sz="4" w:space="0" w:color="auto"/>
              <w:right w:val="single" w:sz="4" w:space="0" w:color="auto"/>
            </w:tcBorders>
            <w:hideMark/>
          </w:tcPr>
          <w:p w14:paraId="4BF46E40" w14:textId="77777777" w:rsidR="00A610E1" w:rsidRPr="00BD22FE" w:rsidRDefault="00A610E1" w:rsidP="00A610E1">
            <w:pPr>
              <w:rPr>
                <w:sz w:val="22"/>
                <w:szCs w:val="22"/>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7B367B3E"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Eozynofilia</w:t>
            </w:r>
          </w:p>
        </w:tc>
        <w:tc>
          <w:tcPr>
            <w:tcW w:w="804" w:type="pct"/>
            <w:tcBorders>
              <w:top w:val="single" w:sz="4" w:space="0" w:color="auto"/>
              <w:left w:val="single" w:sz="4" w:space="0" w:color="auto"/>
              <w:bottom w:val="single" w:sz="4" w:space="0" w:color="auto"/>
              <w:right w:val="single" w:sz="4" w:space="0" w:color="auto"/>
            </w:tcBorders>
            <w:vAlign w:val="bottom"/>
            <w:hideMark/>
          </w:tcPr>
          <w:p w14:paraId="7422EC3C" w14:textId="77777777" w:rsidR="00A610E1" w:rsidRPr="00BD22FE" w:rsidRDefault="00A610E1" w:rsidP="00A610E1">
            <w:pPr>
              <w:rPr>
                <w:color w:val="000000"/>
                <w:sz w:val="22"/>
                <w:szCs w:val="22"/>
                <w:lang w:val="pl-PL" w:eastAsia="en-GB"/>
              </w:rPr>
            </w:pPr>
          </w:p>
        </w:tc>
        <w:tc>
          <w:tcPr>
            <w:tcW w:w="788" w:type="pct"/>
            <w:tcBorders>
              <w:top w:val="single" w:sz="4" w:space="0" w:color="auto"/>
              <w:left w:val="single" w:sz="4" w:space="0" w:color="auto"/>
              <w:bottom w:val="single" w:sz="4" w:space="0" w:color="auto"/>
              <w:right w:val="single" w:sz="4" w:space="0" w:color="auto"/>
            </w:tcBorders>
            <w:hideMark/>
          </w:tcPr>
          <w:p w14:paraId="7ACDBD98"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rzadko</w:t>
            </w:r>
          </w:p>
        </w:tc>
        <w:tc>
          <w:tcPr>
            <w:tcW w:w="1098" w:type="pct"/>
            <w:tcBorders>
              <w:top w:val="single" w:sz="4" w:space="0" w:color="auto"/>
              <w:left w:val="single" w:sz="4" w:space="0" w:color="auto"/>
              <w:bottom w:val="single" w:sz="4" w:space="0" w:color="auto"/>
              <w:right w:val="single" w:sz="4" w:space="0" w:color="auto"/>
            </w:tcBorders>
            <w:vAlign w:val="bottom"/>
            <w:hideMark/>
          </w:tcPr>
          <w:p w14:paraId="41EF5D8A" w14:textId="77777777" w:rsidR="00A610E1" w:rsidRPr="00BD22FE" w:rsidRDefault="00A610E1" w:rsidP="00A610E1">
            <w:pPr>
              <w:rPr>
                <w:color w:val="000000"/>
                <w:sz w:val="22"/>
                <w:szCs w:val="22"/>
                <w:lang w:val="pl-PL" w:eastAsia="en-GB"/>
              </w:rPr>
            </w:pPr>
          </w:p>
        </w:tc>
      </w:tr>
      <w:tr w:rsidR="00A610E1" w:rsidRPr="00BD22FE" w14:paraId="3FEC41CC" w14:textId="77777777" w:rsidTr="00A610E1">
        <w:tc>
          <w:tcPr>
            <w:tcW w:w="1084" w:type="pct"/>
            <w:vMerge/>
            <w:tcBorders>
              <w:left w:val="single" w:sz="4" w:space="0" w:color="auto"/>
              <w:right w:val="single" w:sz="4" w:space="0" w:color="auto"/>
            </w:tcBorders>
            <w:hideMark/>
          </w:tcPr>
          <w:p w14:paraId="501A3118" w14:textId="77777777" w:rsidR="00A610E1" w:rsidRPr="00BD22FE" w:rsidRDefault="00A610E1" w:rsidP="00A610E1">
            <w:pPr>
              <w:rPr>
                <w:sz w:val="22"/>
                <w:szCs w:val="22"/>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17DA4481"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Małopłytkowość</w:t>
            </w:r>
          </w:p>
        </w:tc>
        <w:tc>
          <w:tcPr>
            <w:tcW w:w="804" w:type="pct"/>
            <w:tcBorders>
              <w:top w:val="single" w:sz="4" w:space="0" w:color="auto"/>
              <w:left w:val="single" w:sz="4" w:space="0" w:color="auto"/>
              <w:bottom w:val="single" w:sz="4" w:space="0" w:color="auto"/>
              <w:right w:val="single" w:sz="4" w:space="0" w:color="auto"/>
            </w:tcBorders>
            <w:vAlign w:val="bottom"/>
            <w:hideMark/>
          </w:tcPr>
          <w:p w14:paraId="2B82DA16" w14:textId="77777777" w:rsidR="00A610E1" w:rsidRPr="00BD22FE" w:rsidRDefault="00A610E1" w:rsidP="00A610E1">
            <w:pPr>
              <w:rPr>
                <w:color w:val="000000"/>
                <w:sz w:val="22"/>
                <w:szCs w:val="22"/>
                <w:lang w:val="pl-PL" w:eastAsia="en-GB"/>
              </w:rPr>
            </w:pPr>
          </w:p>
        </w:tc>
        <w:tc>
          <w:tcPr>
            <w:tcW w:w="788" w:type="pct"/>
            <w:tcBorders>
              <w:top w:val="single" w:sz="4" w:space="0" w:color="auto"/>
              <w:left w:val="single" w:sz="4" w:space="0" w:color="auto"/>
              <w:bottom w:val="single" w:sz="4" w:space="0" w:color="auto"/>
              <w:right w:val="single" w:sz="4" w:space="0" w:color="auto"/>
            </w:tcBorders>
            <w:hideMark/>
          </w:tcPr>
          <w:p w14:paraId="55F553EF"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rzadko</w:t>
            </w:r>
          </w:p>
        </w:tc>
        <w:tc>
          <w:tcPr>
            <w:tcW w:w="1098" w:type="pct"/>
            <w:tcBorders>
              <w:top w:val="single" w:sz="4" w:space="0" w:color="auto"/>
              <w:left w:val="single" w:sz="4" w:space="0" w:color="auto"/>
              <w:bottom w:val="single" w:sz="4" w:space="0" w:color="auto"/>
              <w:right w:val="single" w:sz="4" w:space="0" w:color="auto"/>
            </w:tcBorders>
            <w:vAlign w:val="bottom"/>
            <w:hideMark/>
          </w:tcPr>
          <w:p w14:paraId="3FA1DEC7"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rzadko</w:t>
            </w:r>
          </w:p>
        </w:tc>
      </w:tr>
      <w:tr w:rsidR="00A610E1" w:rsidRPr="00BD22FE" w14:paraId="60A10BE4" w14:textId="77777777" w:rsidTr="00A610E1">
        <w:tc>
          <w:tcPr>
            <w:tcW w:w="1084" w:type="pct"/>
            <w:vMerge/>
            <w:tcBorders>
              <w:left w:val="single" w:sz="4" w:space="0" w:color="auto"/>
              <w:right w:val="single" w:sz="4" w:space="0" w:color="auto"/>
            </w:tcBorders>
            <w:hideMark/>
          </w:tcPr>
          <w:p w14:paraId="65A51037" w14:textId="77777777" w:rsidR="00A610E1" w:rsidRPr="00BD22FE" w:rsidRDefault="00A610E1" w:rsidP="00A610E1">
            <w:pPr>
              <w:rPr>
                <w:sz w:val="22"/>
                <w:szCs w:val="22"/>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086BF769"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Skaza krwotoczna małopłytkowa</w:t>
            </w:r>
          </w:p>
        </w:tc>
        <w:tc>
          <w:tcPr>
            <w:tcW w:w="804" w:type="pct"/>
            <w:tcBorders>
              <w:top w:val="single" w:sz="4" w:space="0" w:color="auto"/>
              <w:left w:val="single" w:sz="4" w:space="0" w:color="auto"/>
              <w:bottom w:val="single" w:sz="4" w:space="0" w:color="auto"/>
              <w:right w:val="single" w:sz="4" w:space="0" w:color="auto"/>
            </w:tcBorders>
            <w:vAlign w:val="bottom"/>
            <w:hideMark/>
          </w:tcPr>
          <w:p w14:paraId="30FF1A10" w14:textId="77777777" w:rsidR="00A610E1" w:rsidRPr="00BD22FE" w:rsidRDefault="00A610E1" w:rsidP="00A610E1">
            <w:pPr>
              <w:rPr>
                <w:color w:val="000000"/>
                <w:sz w:val="22"/>
                <w:szCs w:val="22"/>
                <w:lang w:val="pl-PL" w:eastAsia="en-GB"/>
              </w:rPr>
            </w:pPr>
          </w:p>
        </w:tc>
        <w:tc>
          <w:tcPr>
            <w:tcW w:w="788" w:type="pct"/>
            <w:tcBorders>
              <w:top w:val="single" w:sz="4" w:space="0" w:color="auto"/>
              <w:left w:val="single" w:sz="4" w:space="0" w:color="auto"/>
              <w:bottom w:val="single" w:sz="4" w:space="0" w:color="auto"/>
              <w:right w:val="single" w:sz="4" w:space="0" w:color="auto"/>
            </w:tcBorders>
            <w:vAlign w:val="bottom"/>
            <w:hideMark/>
          </w:tcPr>
          <w:p w14:paraId="4597A404" w14:textId="77777777" w:rsidR="00A610E1" w:rsidRPr="00BD22FE" w:rsidRDefault="00A610E1" w:rsidP="00A610E1">
            <w:pPr>
              <w:rPr>
                <w:sz w:val="22"/>
                <w:szCs w:val="22"/>
                <w:lang w:val="pl-PL" w:eastAsia="en-GB"/>
              </w:rPr>
            </w:pPr>
          </w:p>
        </w:tc>
        <w:tc>
          <w:tcPr>
            <w:tcW w:w="1098" w:type="pct"/>
            <w:tcBorders>
              <w:top w:val="single" w:sz="4" w:space="0" w:color="auto"/>
              <w:left w:val="single" w:sz="4" w:space="0" w:color="auto"/>
              <w:bottom w:val="single" w:sz="4" w:space="0" w:color="auto"/>
              <w:right w:val="single" w:sz="4" w:space="0" w:color="auto"/>
            </w:tcBorders>
            <w:vAlign w:val="bottom"/>
            <w:hideMark/>
          </w:tcPr>
          <w:p w14:paraId="657BFCE0"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rzadko</w:t>
            </w:r>
          </w:p>
        </w:tc>
      </w:tr>
      <w:tr w:rsidR="00A610E1" w:rsidRPr="00BD22FE" w14:paraId="5A5A073F" w14:textId="77777777" w:rsidTr="00A610E1">
        <w:tc>
          <w:tcPr>
            <w:tcW w:w="1084" w:type="pct"/>
            <w:vMerge/>
            <w:tcBorders>
              <w:left w:val="single" w:sz="4" w:space="0" w:color="auto"/>
              <w:right w:val="single" w:sz="4" w:space="0" w:color="auto"/>
            </w:tcBorders>
            <w:hideMark/>
          </w:tcPr>
          <w:p w14:paraId="1D5226F6" w14:textId="77777777" w:rsidR="00A610E1" w:rsidRPr="00BD22FE" w:rsidRDefault="00A610E1" w:rsidP="00A610E1">
            <w:pPr>
              <w:rPr>
                <w:color w:val="000000"/>
                <w:sz w:val="22"/>
                <w:szCs w:val="22"/>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73AD6BE1"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Niedokrwistość aplastyczna</w:t>
            </w:r>
          </w:p>
        </w:tc>
        <w:tc>
          <w:tcPr>
            <w:tcW w:w="804" w:type="pct"/>
            <w:tcBorders>
              <w:top w:val="single" w:sz="4" w:space="0" w:color="auto"/>
              <w:left w:val="single" w:sz="4" w:space="0" w:color="auto"/>
              <w:bottom w:val="single" w:sz="4" w:space="0" w:color="auto"/>
              <w:right w:val="single" w:sz="4" w:space="0" w:color="auto"/>
            </w:tcBorders>
            <w:vAlign w:val="bottom"/>
            <w:hideMark/>
          </w:tcPr>
          <w:p w14:paraId="5F107FA3" w14:textId="77777777" w:rsidR="00A610E1" w:rsidRPr="00BD22FE" w:rsidRDefault="00A610E1" w:rsidP="00A610E1">
            <w:pPr>
              <w:rPr>
                <w:color w:val="000000"/>
                <w:sz w:val="22"/>
                <w:szCs w:val="22"/>
                <w:lang w:val="pl-PL" w:eastAsia="en-GB"/>
              </w:rPr>
            </w:pPr>
          </w:p>
        </w:tc>
        <w:tc>
          <w:tcPr>
            <w:tcW w:w="788" w:type="pct"/>
            <w:tcBorders>
              <w:top w:val="single" w:sz="4" w:space="0" w:color="auto"/>
              <w:left w:val="single" w:sz="4" w:space="0" w:color="auto"/>
              <w:bottom w:val="single" w:sz="4" w:space="0" w:color="auto"/>
              <w:right w:val="single" w:sz="4" w:space="0" w:color="auto"/>
            </w:tcBorders>
            <w:vAlign w:val="bottom"/>
            <w:hideMark/>
          </w:tcPr>
          <w:p w14:paraId="16FD7572" w14:textId="77777777" w:rsidR="00A610E1" w:rsidRPr="00BD22FE" w:rsidRDefault="00A610E1" w:rsidP="00A610E1">
            <w:pPr>
              <w:rPr>
                <w:sz w:val="22"/>
                <w:szCs w:val="22"/>
                <w:lang w:val="pl-PL" w:eastAsia="en-GB"/>
              </w:rPr>
            </w:pPr>
          </w:p>
        </w:tc>
        <w:tc>
          <w:tcPr>
            <w:tcW w:w="1098" w:type="pct"/>
            <w:tcBorders>
              <w:top w:val="single" w:sz="4" w:space="0" w:color="auto"/>
              <w:left w:val="single" w:sz="4" w:space="0" w:color="auto"/>
              <w:bottom w:val="single" w:sz="4" w:space="0" w:color="auto"/>
              <w:right w:val="single" w:sz="4" w:space="0" w:color="auto"/>
            </w:tcBorders>
            <w:vAlign w:val="bottom"/>
            <w:hideMark/>
          </w:tcPr>
          <w:p w14:paraId="148F591A" w14:textId="77777777" w:rsidR="00A610E1" w:rsidRPr="00BD22FE" w:rsidRDefault="00A610E1" w:rsidP="00A610E1">
            <w:pPr>
              <w:rPr>
                <w:color w:val="000000"/>
                <w:sz w:val="22"/>
                <w:szCs w:val="22"/>
                <w:lang w:val="pl-PL" w:eastAsia="en-GB"/>
              </w:rPr>
            </w:pPr>
            <w:r w:rsidRPr="00BD22FE">
              <w:rPr>
                <w:sz w:val="22"/>
                <w:szCs w:val="22"/>
                <w:lang w:val="pl-PL"/>
              </w:rPr>
              <w:t>częstość nieznana</w:t>
            </w:r>
          </w:p>
        </w:tc>
      </w:tr>
      <w:tr w:rsidR="00A610E1" w:rsidRPr="00BD22FE" w14:paraId="3CECB880" w14:textId="77777777" w:rsidTr="00A610E1">
        <w:tc>
          <w:tcPr>
            <w:tcW w:w="1084" w:type="pct"/>
            <w:vMerge/>
            <w:tcBorders>
              <w:left w:val="single" w:sz="4" w:space="0" w:color="auto"/>
              <w:right w:val="single" w:sz="4" w:space="0" w:color="auto"/>
            </w:tcBorders>
            <w:hideMark/>
          </w:tcPr>
          <w:p w14:paraId="4AD4DCB2" w14:textId="77777777" w:rsidR="00A610E1" w:rsidRPr="00BD22FE" w:rsidRDefault="00A610E1" w:rsidP="00A610E1">
            <w:pPr>
              <w:rPr>
                <w:color w:val="000000"/>
                <w:sz w:val="22"/>
                <w:szCs w:val="22"/>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63236637"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Niedokrwistość hemolityczna</w:t>
            </w:r>
          </w:p>
        </w:tc>
        <w:tc>
          <w:tcPr>
            <w:tcW w:w="804" w:type="pct"/>
            <w:tcBorders>
              <w:top w:val="single" w:sz="4" w:space="0" w:color="auto"/>
              <w:left w:val="single" w:sz="4" w:space="0" w:color="auto"/>
              <w:bottom w:val="single" w:sz="4" w:space="0" w:color="auto"/>
              <w:right w:val="single" w:sz="4" w:space="0" w:color="auto"/>
            </w:tcBorders>
            <w:vAlign w:val="bottom"/>
            <w:hideMark/>
          </w:tcPr>
          <w:p w14:paraId="601525BE" w14:textId="77777777" w:rsidR="00A610E1" w:rsidRPr="00BD22FE" w:rsidRDefault="00A610E1" w:rsidP="00A610E1">
            <w:pPr>
              <w:rPr>
                <w:color w:val="000000"/>
                <w:sz w:val="22"/>
                <w:szCs w:val="22"/>
                <w:lang w:val="pl-PL" w:eastAsia="en-GB"/>
              </w:rPr>
            </w:pPr>
          </w:p>
        </w:tc>
        <w:tc>
          <w:tcPr>
            <w:tcW w:w="788" w:type="pct"/>
            <w:tcBorders>
              <w:top w:val="single" w:sz="4" w:space="0" w:color="auto"/>
              <w:left w:val="single" w:sz="4" w:space="0" w:color="auto"/>
              <w:bottom w:val="single" w:sz="4" w:space="0" w:color="auto"/>
              <w:right w:val="single" w:sz="4" w:space="0" w:color="auto"/>
            </w:tcBorders>
            <w:vAlign w:val="bottom"/>
            <w:hideMark/>
          </w:tcPr>
          <w:p w14:paraId="2655DB18" w14:textId="77777777" w:rsidR="00A610E1" w:rsidRPr="00BD22FE" w:rsidRDefault="00A610E1" w:rsidP="00A610E1">
            <w:pPr>
              <w:rPr>
                <w:sz w:val="22"/>
                <w:szCs w:val="22"/>
                <w:lang w:val="pl-PL" w:eastAsia="en-GB"/>
              </w:rPr>
            </w:pPr>
          </w:p>
        </w:tc>
        <w:tc>
          <w:tcPr>
            <w:tcW w:w="1098" w:type="pct"/>
            <w:tcBorders>
              <w:top w:val="single" w:sz="4" w:space="0" w:color="auto"/>
              <w:left w:val="single" w:sz="4" w:space="0" w:color="auto"/>
              <w:bottom w:val="single" w:sz="4" w:space="0" w:color="auto"/>
              <w:right w:val="single" w:sz="4" w:space="0" w:color="auto"/>
            </w:tcBorders>
            <w:vAlign w:val="bottom"/>
            <w:hideMark/>
          </w:tcPr>
          <w:p w14:paraId="46C2DEDE"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bardzo rzadko</w:t>
            </w:r>
          </w:p>
        </w:tc>
      </w:tr>
      <w:tr w:rsidR="00A610E1" w:rsidRPr="00BD22FE" w14:paraId="4290AFBE" w14:textId="77777777" w:rsidTr="00A610E1">
        <w:tc>
          <w:tcPr>
            <w:tcW w:w="1084" w:type="pct"/>
            <w:vMerge/>
            <w:tcBorders>
              <w:left w:val="single" w:sz="4" w:space="0" w:color="auto"/>
              <w:right w:val="single" w:sz="4" w:space="0" w:color="auto"/>
            </w:tcBorders>
            <w:hideMark/>
          </w:tcPr>
          <w:p w14:paraId="606ED5C6" w14:textId="77777777" w:rsidR="00A610E1" w:rsidRPr="00BD22FE" w:rsidRDefault="00A610E1" w:rsidP="00A610E1">
            <w:pPr>
              <w:rPr>
                <w:color w:val="000000"/>
                <w:sz w:val="22"/>
                <w:szCs w:val="22"/>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170BED84"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Niewydolność szpiku kostnego</w:t>
            </w:r>
          </w:p>
        </w:tc>
        <w:tc>
          <w:tcPr>
            <w:tcW w:w="804" w:type="pct"/>
            <w:tcBorders>
              <w:top w:val="single" w:sz="4" w:space="0" w:color="auto"/>
              <w:left w:val="single" w:sz="4" w:space="0" w:color="auto"/>
              <w:bottom w:val="single" w:sz="4" w:space="0" w:color="auto"/>
              <w:right w:val="single" w:sz="4" w:space="0" w:color="auto"/>
            </w:tcBorders>
            <w:vAlign w:val="bottom"/>
            <w:hideMark/>
          </w:tcPr>
          <w:p w14:paraId="3FA39999" w14:textId="77777777" w:rsidR="00A610E1" w:rsidRPr="00BD22FE" w:rsidRDefault="00A610E1" w:rsidP="00A610E1">
            <w:pPr>
              <w:rPr>
                <w:color w:val="000000"/>
                <w:sz w:val="22"/>
                <w:szCs w:val="22"/>
                <w:lang w:val="pl-PL" w:eastAsia="en-GB"/>
              </w:rPr>
            </w:pPr>
          </w:p>
        </w:tc>
        <w:tc>
          <w:tcPr>
            <w:tcW w:w="788" w:type="pct"/>
            <w:tcBorders>
              <w:top w:val="single" w:sz="4" w:space="0" w:color="auto"/>
              <w:left w:val="single" w:sz="4" w:space="0" w:color="auto"/>
              <w:bottom w:val="single" w:sz="4" w:space="0" w:color="auto"/>
              <w:right w:val="single" w:sz="4" w:space="0" w:color="auto"/>
            </w:tcBorders>
            <w:vAlign w:val="bottom"/>
            <w:hideMark/>
          </w:tcPr>
          <w:p w14:paraId="024868B7" w14:textId="77777777" w:rsidR="00A610E1" w:rsidRPr="00BD22FE" w:rsidRDefault="00A610E1" w:rsidP="00A610E1">
            <w:pPr>
              <w:rPr>
                <w:sz w:val="22"/>
                <w:szCs w:val="22"/>
                <w:lang w:val="pl-PL" w:eastAsia="en-GB"/>
              </w:rPr>
            </w:pPr>
          </w:p>
        </w:tc>
        <w:tc>
          <w:tcPr>
            <w:tcW w:w="1098" w:type="pct"/>
            <w:tcBorders>
              <w:top w:val="single" w:sz="4" w:space="0" w:color="auto"/>
              <w:left w:val="single" w:sz="4" w:space="0" w:color="auto"/>
              <w:bottom w:val="single" w:sz="4" w:space="0" w:color="auto"/>
              <w:right w:val="single" w:sz="4" w:space="0" w:color="auto"/>
            </w:tcBorders>
            <w:vAlign w:val="bottom"/>
            <w:hideMark/>
          </w:tcPr>
          <w:p w14:paraId="2EE5D7B3"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bardzo rzadko</w:t>
            </w:r>
          </w:p>
        </w:tc>
      </w:tr>
      <w:tr w:rsidR="00A610E1" w:rsidRPr="00BD22FE" w14:paraId="0F397778" w14:textId="77777777" w:rsidTr="00A610E1">
        <w:tc>
          <w:tcPr>
            <w:tcW w:w="1084" w:type="pct"/>
            <w:vMerge/>
            <w:tcBorders>
              <w:left w:val="single" w:sz="4" w:space="0" w:color="auto"/>
              <w:right w:val="single" w:sz="4" w:space="0" w:color="auto"/>
            </w:tcBorders>
            <w:hideMark/>
          </w:tcPr>
          <w:p w14:paraId="43B2E1F7" w14:textId="77777777" w:rsidR="00A610E1" w:rsidRPr="00BD22FE" w:rsidRDefault="00A610E1" w:rsidP="00A610E1">
            <w:pPr>
              <w:rPr>
                <w:color w:val="000000"/>
                <w:sz w:val="22"/>
                <w:szCs w:val="22"/>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4093A7AF"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Leukopenia</w:t>
            </w:r>
          </w:p>
        </w:tc>
        <w:tc>
          <w:tcPr>
            <w:tcW w:w="804" w:type="pct"/>
            <w:tcBorders>
              <w:top w:val="single" w:sz="4" w:space="0" w:color="auto"/>
              <w:left w:val="single" w:sz="4" w:space="0" w:color="auto"/>
              <w:bottom w:val="single" w:sz="4" w:space="0" w:color="auto"/>
              <w:right w:val="single" w:sz="4" w:space="0" w:color="auto"/>
            </w:tcBorders>
            <w:vAlign w:val="bottom"/>
            <w:hideMark/>
          </w:tcPr>
          <w:p w14:paraId="7B94AE13" w14:textId="77777777" w:rsidR="00A610E1" w:rsidRPr="00BD22FE" w:rsidRDefault="00A610E1" w:rsidP="00A610E1">
            <w:pPr>
              <w:rPr>
                <w:color w:val="000000"/>
                <w:sz w:val="22"/>
                <w:szCs w:val="22"/>
                <w:lang w:val="pl-PL" w:eastAsia="en-GB"/>
              </w:rPr>
            </w:pPr>
          </w:p>
        </w:tc>
        <w:tc>
          <w:tcPr>
            <w:tcW w:w="788" w:type="pct"/>
            <w:tcBorders>
              <w:top w:val="single" w:sz="4" w:space="0" w:color="auto"/>
              <w:left w:val="single" w:sz="4" w:space="0" w:color="auto"/>
              <w:bottom w:val="single" w:sz="4" w:space="0" w:color="auto"/>
              <w:right w:val="single" w:sz="4" w:space="0" w:color="auto"/>
            </w:tcBorders>
            <w:vAlign w:val="bottom"/>
            <w:hideMark/>
          </w:tcPr>
          <w:p w14:paraId="11E71660" w14:textId="77777777" w:rsidR="00A610E1" w:rsidRPr="00BD22FE" w:rsidRDefault="00A610E1" w:rsidP="00A610E1">
            <w:pPr>
              <w:rPr>
                <w:sz w:val="22"/>
                <w:szCs w:val="22"/>
                <w:lang w:val="pl-PL" w:eastAsia="en-GB"/>
              </w:rPr>
            </w:pPr>
          </w:p>
        </w:tc>
        <w:tc>
          <w:tcPr>
            <w:tcW w:w="1098" w:type="pct"/>
            <w:tcBorders>
              <w:top w:val="single" w:sz="4" w:space="0" w:color="auto"/>
              <w:left w:val="single" w:sz="4" w:space="0" w:color="auto"/>
              <w:bottom w:val="single" w:sz="4" w:space="0" w:color="auto"/>
              <w:right w:val="single" w:sz="4" w:space="0" w:color="auto"/>
            </w:tcBorders>
            <w:hideMark/>
          </w:tcPr>
          <w:p w14:paraId="695223EF"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bardzo rzadko</w:t>
            </w:r>
          </w:p>
        </w:tc>
      </w:tr>
      <w:tr w:rsidR="00A610E1" w:rsidRPr="00BD22FE" w14:paraId="65B01ECB" w14:textId="77777777" w:rsidTr="00A610E1">
        <w:tc>
          <w:tcPr>
            <w:tcW w:w="1084" w:type="pct"/>
            <w:vMerge/>
            <w:tcBorders>
              <w:left w:val="single" w:sz="4" w:space="0" w:color="auto"/>
              <w:bottom w:val="single" w:sz="4" w:space="0" w:color="auto"/>
              <w:right w:val="single" w:sz="4" w:space="0" w:color="auto"/>
            </w:tcBorders>
            <w:hideMark/>
          </w:tcPr>
          <w:p w14:paraId="2AA902CC" w14:textId="77777777" w:rsidR="00A610E1" w:rsidRPr="00BD22FE" w:rsidRDefault="00A610E1" w:rsidP="00A610E1">
            <w:pPr>
              <w:rPr>
                <w:color w:val="000000"/>
                <w:sz w:val="22"/>
                <w:szCs w:val="22"/>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30DD1B89"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Agranulocytoza</w:t>
            </w:r>
          </w:p>
        </w:tc>
        <w:tc>
          <w:tcPr>
            <w:tcW w:w="804" w:type="pct"/>
            <w:tcBorders>
              <w:top w:val="single" w:sz="4" w:space="0" w:color="auto"/>
              <w:left w:val="single" w:sz="4" w:space="0" w:color="auto"/>
              <w:bottom w:val="single" w:sz="4" w:space="0" w:color="auto"/>
              <w:right w:val="single" w:sz="4" w:space="0" w:color="auto"/>
            </w:tcBorders>
            <w:vAlign w:val="bottom"/>
            <w:hideMark/>
          </w:tcPr>
          <w:p w14:paraId="2D761EED" w14:textId="77777777" w:rsidR="00A610E1" w:rsidRPr="00BD22FE" w:rsidRDefault="00A610E1" w:rsidP="00A610E1">
            <w:pPr>
              <w:rPr>
                <w:color w:val="000000"/>
                <w:sz w:val="22"/>
                <w:szCs w:val="22"/>
                <w:lang w:val="pl-PL" w:eastAsia="en-GB"/>
              </w:rPr>
            </w:pPr>
          </w:p>
        </w:tc>
        <w:tc>
          <w:tcPr>
            <w:tcW w:w="788" w:type="pct"/>
            <w:tcBorders>
              <w:top w:val="single" w:sz="4" w:space="0" w:color="auto"/>
              <w:left w:val="single" w:sz="4" w:space="0" w:color="auto"/>
              <w:bottom w:val="single" w:sz="4" w:space="0" w:color="auto"/>
              <w:right w:val="single" w:sz="4" w:space="0" w:color="auto"/>
            </w:tcBorders>
            <w:vAlign w:val="bottom"/>
            <w:hideMark/>
          </w:tcPr>
          <w:p w14:paraId="278D40DE" w14:textId="77777777" w:rsidR="00A610E1" w:rsidRPr="00BD22FE" w:rsidRDefault="00A610E1" w:rsidP="00A610E1">
            <w:pPr>
              <w:rPr>
                <w:sz w:val="22"/>
                <w:szCs w:val="22"/>
                <w:lang w:val="pl-PL" w:eastAsia="en-GB"/>
              </w:rPr>
            </w:pPr>
          </w:p>
        </w:tc>
        <w:tc>
          <w:tcPr>
            <w:tcW w:w="1098" w:type="pct"/>
            <w:tcBorders>
              <w:top w:val="single" w:sz="4" w:space="0" w:color="auto"/>
              <w:left w:val="single" w:sz="4" w:space="0" w:color="auto"/>
              <w:bottom w:val="single" w:sz="4" w:space="0" w:color="auto"/>
              <w:right w:val="single" w:sz="4" w:space="0" w:color="auto"/>
            </w:tcBorders>
            <w:hideMark/>
          </w:tcPr>
          <w:p w14:paraId="70FE4529"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bardzo rzadko</w:t>
            </w:r>
          </w:p>
        </w:tc>
      </w:tr>
      <w:tr w:rsidR="00A610E1" w:rsidRPr="00BD22FE" w14:paraId="46C430A7" w14:textId="77777777" w:rsidTr="00A610E1">
        <w:tc>
          <w:tcPr>
            <w:tcW w:w="1084" w:type="pct"/>
            <w:vMerge w:val="restart"/>
            <w:tcBorders>
              <w:top w:val="single" w:sz="4" w:space="0" w:color="auto"/>
              <w:left w:val="single" w:sz="4" w:space="0" w:color="auto"/>
              <w:right w:val="single" w:sz="4" w:space="0" w:color="auto"/>
            </w:tcBorders>
            <w:hideMark/>
          </w:tcPr>
          <w:p w14:paraId="309A36FA" w14:textId="77777777" w:rsidR="00A610E1" w:rsidRPr="00BD22FE" w:rsidRDefault="00A610E1" w:rsidP="00A610E1">
            <w:pPr>
              <w:rPr>
                <w:b/>
                <w:bCs/>
                <w:color w:val="000000"/>
                <w:sz w:val="22"/>
                <w:szCs w:val="22"/>
                <w:highlight w:val="yellow"/>
                <w:lang w:val="pl-PL" w:eastAsia="en-GB"/>
              </w:rPr>
            </w:pPr>
            <w:r w:rsidRPr="00BD22FE">
              <w:rPr>
                <w:b/>
                <w:bCs/>
                <w:sz w:val="22"/>
                <w:szCs w:val="22"/>
                <w:lang w:val="pl-PL"/>
              </w:rPr>
              <w:t>Zaburzenia układu immunologicznego</w:t>
            </w:r>
          </w:p>
        </w:tc>
        <w:tc>
          <w:tcPr>
            <w:tcW w:w="1226" w:type="pct"/>
            <w:tcBorders>
              <w:top w:val="single" w:sz="4" w:space="0" w:color="auto"/>
              <w:left w:val="single" w:sz="4" w:space="0" w:color="auto"/>
              <w:bottom w:val="single" w:sz="4" w:space="0" w:color="auto"/>
              <w:right w:val="single" w:sz="4" w:space="0" w:color="auto"/>
            </w:tcBorders>
            <w:vAlign w:val="bottom"/>
          </w:tcPr>
          <w:p w14:paraId="273BD782"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Reakcja anafilaktyczna</w:t>
            </w:r>
          </w:p>
        </w:tc>
        <w:tc>
          <w:tcPr>
            <w:tcW w:w="804" w:type="pct"/>
            <w:tcBorders>
              <w:top w:val="single" w:sz="4" w:space="0" w:color="auto"/>
              <w:left w:val="single" w:sz="4" w:space="0" w:color="auto"/>
              <w:bottom w:val="single" w:sz="4" w:space="0" w:color="auto"/>
              <w:right w:val="single" w:sz="4" w:space="0" w:color="auto"/>
            </w:tcBorders>
            <w:vAlign w:val="bottom"/>
          </w:tcPr>
          <w:p w14:paraId="3DC76307" w14:textId="77777777" w:rsidR="00A610E1" w:rsidRPr="00BD22FE" w:rsidRDefault="00A610E1" w:rsidP="00A610E1">
            <w:pPr>
              <w:rPr>
                <w:color w:val="000000"/>
                <w:sz w:val="22"/>
                <w:szCs w:val="22"/>
                <w:lang w:val="pl-PL" w:eastAsia="en-GB"/>
              </w:rPr>
            </w:pPr>
          </w:p>
        </w:tc>
        <w:tc>
          <w:tcPr>
            <w:tcW w:w="788" w:type="pct"/>
            <w:tcBorders>
              <w:top w:val="single" w:sz="4" w:space="0" w:color="auto"/>
              <w:left w:val="single" w:sz="4" w:space="0" w:color="auto"/>
              <w:bottom w:val="single" w:sz="4" w:space="0" w:color="auto"/>
              <w:right w:val="single" w:sz="4" w:space="0" w:color="auto"/>
            </w:tcBorders>
            <w:vAlign w:val="bottom"/>
          </w:tcPr>
          <w:p w14:paraId="252EE45A"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rzadko</w:t>
            </w:r>
          </w:p>
        </w:tc>
        <w:tc>
          <w:tcPr>
            <w:tcW w:w="1098" w:type="pct"/>
            <w:tcBorders>
              <w:top w:val="single" w:sz="4" w:space="0" w:color="auto"/>
              <w:left w:val="single" w:sz="4" w:space="0" w:color="auto"/>
              <w:bottom w:val="single" w:sz="4" w:space="0" w:color="auto"/>
              <w:right w:val="single" w:sz="4" w:space="0" w:color="auto"/>
            </w:tcBorders>
            <w:vAlign w:val="bottom"/>
          </w:tcPr>
          <w:p w14:paraId="12FB1E40" w14:textId="77777777" w:rsidR="00A610E1" w:rsidRPr="00BD22FE" w:rsidRDefault="00A610E1" w:rsidP="00A610E1">
            <w:pPr>
              <w:rPr>
                <w:color w:val="000000"/>
                <w:sz w:val="22"/>
                <w:szCs w:val="22"/>
                <w:lang w:val="pl-PL" w:eastAsia="en-GB"/>
              </w:rPr>
            </w:pPr>
          </w:p>
        </w:tc>
      </w:tr>
      <w:tr w:rsidR="00A610E1" w:rsidRPr="00BD22FE" w14:paraId="0A202A42" w14:textId="77777777" w:rsidTr="00A610E1">
        <w:tc>
          <w:tcPr>
            <w:tcW w:w="1084" w:type="pct"/>
            <w:vMerge/>
            <w:tcBorders>
              <w:left w:val="single" w:sz="4" w:space="0" w:color="auto"/>
              <w:right w:val="single" w:sz="4" w:space="0" w:color="auto"/>
            </w:tcBorders>
          </w:tcPr>
          <w:p w14:paraId="6F8B415E" w14:textId="77777777" w:rsidR="00A610E1" w:rsidRPr="00BD22FE" w:rsidRDefault="00A610E1" w:rsidP="00A610E1">
            <w:pPr>
              <w:rPr>
                <w:b/>
                <w:bCs/>
                <w:color w:val="000000"/>
                <w:sz w:val="22"/>
                <w:szCs w:val="22"/>
                <w:highlight w:val="yellow"/>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tcPr>
          <w:p w14:paraId="4C57B706"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Nadwrażliwość</w:t>
            </w:r>
          </w:p>
        </w:tc>
        <w:tc>
          <w:tcPr>
            <w:tcW w:w="804" w:type="pct"/>
            <w:tcBorders>
              <w:top w:val="single" w:sz="4" w:space="0" w:color="auto"/>
              <w:left w:val="single" w:sz="4" w:space="0" w:color="auto"/>
              <w:bottom w:val="single" w:sz="4" w:space="0" w:color="auto"/>
              <w:right w:val="single" w:sz="4" w:space="0" w:color="auto"/>
            </w:tcBorders>
            <w:vAlign w:val="bottom"/>
          </w:tcPr>
          <w:p w14:paraId="5C152F07" w14:textId="77777777" w:rsidR="00A610E1" w:rsidRPr="00BD22FE" w:rsidRDefault="00A610E1" w:rsidP="00A610E1">
            <w:pPr>
              <w:rPr>
                <w:color w:val="000000"/>
                <w:sz w:val="22"/>
                <w:szCs w:val="22"/>
                <w:lang w:val="pl-PL" w:eastAsia="en-GB"/>
              </w:rPr>
            </w:pPr>
          </w:p>
        </w:tc>
        <w:tc>
          <w:tcPr>
            <w:tcW w:w="788" w:type="pct"/>
            <w:tcBorders>
              <w:top w:val="single" w:sz="4" w:space="0" w:color="auto"/>
              <w:left w:val="single" w:sz="4" w:space="0" w:color="auto"/>
              <w:bottom w:val="single" w:sz="4" w:space="0" w:color="auto"/>
              <w:right w:val="single" w:sz="4" w:space="0" w:color="auto"/>
            </w:tcBorders>
            <w:vAlign w:val="bottom"/>
          </w:tcPr>
          <w:p w14:paraId="33BA152E"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rzadko</w:t>
            </w:r>
          </w:p>
        </w:tc>
        <w:tc>
          <w:tcPr>
            <w:tcW w:w="1098" w:type="pct"/>
            <w:tcBorders>
              <w:top w:val="single" w:sz="4" w:space="0" w:color="auto"/>
              <w:left w:val="single" w:sz="4" w:space="0" w:color="auto"/>
              <w:bottom w:val="single" w:sz="4" w:space="0" w:color="auto"/>
              <w:right w:val="single" w:sz="4" w:space="0" w:color="auto"/>
            </w:tcBorders>
            <w:vAlign w:val="bottom"/>
          </w:tcPr>
          <w:p w14:paraId="04CB664C"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bardzo rzadko</w:t>
            </w:r>
          </w:p>
        </w:tc>
      </w:tr>
      <w:tr w:rsidR="00A610E1" w:rsidRPr="00BD22FE" w14:paraId="401E520D" w14:textId="77777777" w:rsidTr="00A610E1">
        <w:tc>
          <w:tcPr>
            <w:tcW w:w="1084" w:type="pct"/>
            <w:vMerge w:val="restart"/>
            <w:tcBorders>
              <w:top w:val="single" w:sz="4" w:space="0" w:color="auto"/>
              <w:left w:val="single" w:sz="4" w:space="0" w:color="auto"/>
              <w:right w:val="single" w:sz="4" w:space="0" w:color="auto"/>
            </w:tcBorders>
            <w:hideMark/>
          </w:tcPr>
          <w:p w14:paraId="0F01E5BE" w14:textId="77777777" w:rsidR="00A610E1" w:rsidRPr="00BD22FE" w:rsidRDefault="00A610E1" w:rsidP="00A610E1">
            <w:pPr>
              <w:rPr>
                <w:b/>
                <w:bCs/>
                <w:color w:val="000000"/>
                <w:sz w:val="22"/>
                <w:szCs w:val="22"/>
                <w:highlight w:val="yellow"/>
                <w:lang w:val="pl-PL" w:eastAsia="en-GB"/>
              </w:rPr>
            </w:pPr>
            <w:r w:rsidRPr="00BD22FE">
              <w:rPr>
                <w:b/>
                <w:bCs/>
                <w:sz w:val="22"/>
                <w:szCs w:val="22"/>
                <w:lang w:val="pl-PL"/>
              </w:rPr>
              <w:t>Zaburzenia metabolizmu i odżywiania</w:t>
            </w:r>
          </w:p>
        </w:tc>
        <w:tc>
          <w:tcPr>
            <w:tcW w:w="1226" w:type="pct"/>
            <w:tcBorders>
              <w:top w:val="single" w:sz="4" w:space="0" w:color="auto"/>
              <w:left w:val="single" w:sz="4" w:space="0" w:color="auto"/>
              <w:bottom w:val="single" w:sz="4" w:space="0" w:color="auto"/>
              <w:right w:val="single" w:sz="4" w:space="0" w:color="auto"/>
            </w:tcBorders>
            <w:vAlign w:val="bottom"/>
            <w:hideMark/>
          </w:tcPr>
          <w:p w14:paraId="56D7739A"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Hipokaliemia</w:t>
            </w:r>
          </w:p>
        </w:tc>
        <w:tc>
          <w:tcPr>
            <w:tcW w:w="804" w:type="pct"/>
            <w:tcBorders>
              <w:top w:val="single" w:sz="4" w:space="0" w:color="auto"/>
              <w:left w:val="single" w:sz="4" w:space="0" w:color="auto"/>
              <w:bottom w:val="single" w:sz="4" w:space="0" w:color="auto"/>
              <w:right w:val="single" w:sz="4" w:space="0" w:color="auto"/>
            </w:tcBorders>
            <w:vAlign w:val="bottom"/>
            <w:hideMark/>
          </w:tcPr>
          <w:p w14:paraId="227AC306"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niezbyt często</w:t>
            </w:r>
          </w:p>
        </w:tc>
        <w:tc>
          <w:tcPr>
            <w:tcW w:w="788" w:type="pct"/>
            <w:tcBorders>
              <w:top w:val="single" w:sz="4" w:space="0" w:color="auto"/>
              <w:left w:val="single" w:sz="4" w:space="0" w:color="auto"/>
              <w:bottom w:val="single" w:sz="4" w:space="0" w:color="auto"/>
              <w:right w:val="single" w:sz="4" w:space="0" w:color="auto"/>
            </w:tcBorders>
            <w:vAlign w:val="bottom"/>
            <w:hideMark/>
          </w:tcPr>
          <w:p w14:paraId="5A987C1E" w14:textId="77777777" w:rsidR="00A610E1" w:rsidRPr="00BD22FE" w:rsidRDefault="00A610E1" w:rsidP="00A610E1">
            <w:pPr>
              <w:rPr>
                <w:color w:val="000000"/>
                <w:sz w:val="22"/>
                <w:szCs w:val="22"/>
                <w:lang w:val="pl-PL" w:eastAsia="en-GB"/>
              </w:rPr>
            </w:pPr>
          </w:p>
        </w:tc>
        <w:tc>
          <w:tcPr>
            <w:tcW w:w="1098" w:type="pct"/>
            <w:tcBorders>
              <w:top w:val="single" w:sz="4" w:space="0" w:color="auto"/>
              <w:left w:val="single" w:sz="4" w:space="0" w:color="auto"/>
              <w:bottom w:val="single" w:sz="4" w:space="0" w:color="auto"/>
              <w:right w:val="single" w:sz="4" w:space="0" w:color="auto"/>
            </w:tcBorders>
            <w:vAlign w:val="bottom"/>
            <w:hideMark/>
          </w:tcPr>
          <w:p w14:paraId="26DE7AEB" w14:textId="77777777" w:rsidR="00A610E1" w:rsidRPr="00BD22FE" w:rsidRDefault="00A610E1" w:rsidP="00A610E1">
            <w:pPr>
              <w:rPr>
                <w:sz w:val="22"/>
                <w:szCs w:val="22"/>
                <w:lang w:val="pl-PL" w:eastAsia="en-GB"/>
              </w:rPr>
            </w:pPr>
            <w:r w:rsidRPr="00BD22FE">
              <w:rPr>
                <w:color w:val="000000"/>
                <w:sz w:val="22"/>
                <w:szCs w:val="22"/>
                <w:lang w:val="pl-PL" w:eastAsia="en-GB"/>
              </w:rPr>
              <w:t>bardzo często</w:t>
            </w:r>
          </w:p>
        </w:tc>
      </w:tr>
      <w:tr w:rsidR="00A610E1" w:rsidRPr="00BD22FE" w14:paraId="18E4B527" w14:textId="77777777" w:rsidTr="00A610E1">
        <w:tc>
          <w:tcPr>
            <w:tcW w:w="1084" w:type="pct"/>
            <w:vMerge/>
            <w:tcBorders>
              <w:left w:val="single" w:sz="4" w:space="0" w:color="auto"/>
              <w:right w:val="single" w:sz="4" w:space="0" w:color="auto"/>
            </w:tcBorders>
            <w:hideMark/>
          </w:tcPr>
          <w:p w14:paraId="663E9DE7" w14:textId="77777777" w:rsidR="00A610E1" w:rsidRPr="00BD22FE" w:rsidRDefault="00A610E1" w:rsidP="00A610E1">
            <w:pPr>
              <w:rPr>
                <w:sz w:val="22"/>
                <w:szCs w:val="22"/>
                <w:highlight w:val="yellow"/>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0B3C9750"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Hiperurikemia</w:t>
            </w:r>
          </w:p>
        </w:tc>
        <w:tc>
          <w:tcPr>
            <w:tcW w:w="804" w:type="pct"/>
            <w:tcBorders>
              <w:top w:val="single" w:sz="4" w:space="0" w:color="auto"/>
              <w:left w:val="single" w:sz="4" w:space="0" w:color="auto"/>
              <w:bottom w:val="single" w:sz="4" w:space="0" w:color="auto"/>
              <w:right w:val="single" w:sz="4" w:space="0" w:color="auto"/>
            </w:tcBorders>
            <w:vAlign w:val="bottom"/>
            <w:hideMark/>
          </w:tcPr>
          <w:p w14:paraId="2E859D39"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rzadko</w:t>
            </w:r>
          </w:p>
        </w:tc>
        <w:tc>
          <w:tcPr>
            <w:tcW w:w="788" w:type="pct"/>
            <w:tcBorders>
              <w:top w:val="single" w:sz="4" w:space="0" w:color="auto"/>
              <w:left w:val="single" w:sz="4" w:space="0" w:color="auto"/>
              <w:bottom w:val="single" w:sz="4" w:space="0" w:color="auto"/>
              <w:right w:val="single" w:sz="4" w:space="0" w:color="auto"/>
            </w:tcBorders>
            <w:vAlign w:val="bottom"/>
            <w:hideMark/>
          </w:tcPr>
          <w:p w14:paraId="56ED6048" w14:textId="77777777" w:rsidR="00A610E1" w:rsidRPr="00BD22FE" w:rsidRDefault="00A610E1" w:rsidP="00A610E1">
            <w:pPr>
              <w:rPr>
                <w:color w:val="000000"/>
                <w:sz w:val="22"/>
                <w:szCs w:val="22"/>
                <w:lang w:val="pl-PL" w:eastAsia="en-GB"/>
              </w:rPr>
            </w:pPr>
          </w:p>
        </w:tc>
        <w:tc>
          <w:tcPr>
            <w:tcW w:w="1098" w:type="pct"/>
            <w:tcBorders>
              <w:top w:val="single" w:sz="4" w:space="0" w:color="auto"/>
              <w:left w:val="single" w:sz="4" w:space="0" w:color="auto"/>
              <w:bottom w:val="single" w:sz="4" w:space="0" w:color="auto"/>
              <w:right w:val="single" w:sz="4" w:space="0" w:color="auto"/>
            </w:tcBorders>
            <w:vAlign w:val="bottom"/>
            <w:hideMark/>
          </w:tcPr>
          <w:p w14:paraId="6B939C6B" w14:textId="77777777" w:rsidR="00A610E1" w:rsidRPr="00BD22FE" w:rsidRDefault="00A610E1" w:rsidP="00A610E1">
            <w:pPr>
              <w:rPr>
                <w:sz w:val="22"/>
                <w:szCs w:val="22"/>
                <w:lang w:val="pl-PL" w:eastAsia="en-GB"/>
              </w:rPr>
            </w:pPr>
            <w:r w:rsidRPr="00BD22FE">
              <w:rPr>
                <w:color w:val="000000"/>
                <w:sz w:val="22"/>
                <w:szCs w:val="22"/>
                <w:lang w:val="pl-PL" w:eastAsia="en-GB"/>
              </w:rPr>
              <w:t>często</w:t>
            </w:r>
          </w:p>
        </w:tc>
      </w:tr>
      <w:tr w:rsidR="00A610E1" w:rsidRPr="00BD22FE" w14:paraId="1F3BE755" w14:textId="77777777" w:rsidTr="00A610E1">
        <w:tc>
          <w:tcPr>
            <w:tcW w:w="1084" w:type="pct"/>
            <w:vMerge/>
            <w:tcBorders>
              <w:left w:val="single" w:sz="4" w:space="0" w:color="auto"/>
              <w:right w:val="single" w:sz="4" w:space="0" w:color="auto"/>
            </w:tcBorders>
            <w:hideMark/>
          </w:tcPr>
          <w:p w14:paraId="19064B73" w14:textId="77777777" w:rsidR="00A610E1" w:rsidRPr="00BD22FE" w:rsidRDefault="00A610E1" w:rsidP="00A610E1">
            <w:pPr>
              <w:rPr>
                <w:sz w:val="22"/>
                <w:szCs w:val="22"/>
                <w:highlight w:val="yellow"/>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218929AF"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Hiponatremia</w:t>
            </w:r>
          </w:p>
        </w:tc>
        <w:tc>
          <w:tcPr>
            <w:tcW w:w="804" w:type="pct"/>
            <w:tcBorders>
              <w:top w:val="single" w:sz="4" w:space="0" w:color="auto"/>
              <w:left w:val="single" w:sz="4" w:space="0" w:color="auto"/>
              <w:bottom w:val="single" w:sz="4" w:space="0" w:color="auto"/>
              <w:right w:val="single" w:sz="4" w:space="0" w:color="auto"/>
            </w:tcBorders>
            <w:hideMark/>
          </w:tcPr>
          <w:p w14:paraId="2610ED2D"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rzadko</w:t>
            </w:r>
          </w:p>
        </w:tc>
        <w:tc>
          <w:tcPr>
            <w:tcW w:w="788" w:type="pct"/>
            <w:tcBorders>
              <w:top w:val="single" w:sz="4" w:space="0" w:color="auto"/>
              <w:left w:val="single" w:sz="4" w:space="0" w:color="auto"/>
              <w:bottom w:val="single" w:sz="4" w:space="0" w:color="auto"/>
              <w:right w:val="single" w:sz="4" w:space="0" w:color="auto"/>
            </w:tcBorders>
            <w:hideMark/>
          </w:tcPr>
          <w:p w14:paraId="72679F93"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rzadko</w:t>
            </w:r>
          </w:p>
        </w:tc>
        <w:tc>
          <w:tcPr>
            <w:tcW w:w="1098" w:type="pct"/>
            <w:tcBorders>
              <w:top w:val="single" w:sz="4" w:space="0" w:color="auto"/>
              <w:left w:val="single" w:sz="4" w:space="0" w:color="auto"/>
              <w:bottom w:val="single" w:sz="4" w:space="0" w:color="auto"/>
              <w:right w:val="single" w:sz="4" w:space="0" w:color="auto"/>
            </w:tcBorders>
            <w:vAlign w:val="bottom"/>
            <w:hideMark/>
          </w:tcPr>
          <w:p w14:paraId="0C61CE81"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często</w:t>
            </w:r>
          </w:p>
        </w:tc>
      </w:tr>
      <w:tr w:rsidR="00A610E1" w:rsidRPr="00BD22FE" w14:paraId="663F816D" w14:textId="77777777" w:rsidTr="00A610E1">
        <w:tc>
          <w:tcPr>
            <w:tcW w:w="1084" w:type="pct"/>
            <w:vMerge/>
            <w:tcBorders>
              <w:left w:val="single" w:sz="4" w:space="0" w:color="auto"/>
              <w:right w:val="single" w:sz="4" w:space="0" w:color="auto"/>
            </w:tcBorders>
            <w:hideMark/>
          </w:tcPr>
          <w:p w14:paraId="582671C2" w14:textId="77777777" w:rsidR="00A610E1" w:rsidRPr="00BD22FE" w:rsidRDefault="00A610E1" w:rsidP="00A610E1">
            <w:pPr>
              <w:rPr>
                <w:color w:val="000000"/>
                <w:sz w:val="22"/>
                <w:szCs w:val="22"/>
                <w:highlight w:val="yellow"/>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55E6FD10"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Hiperkaliemia</w:t>
            </w:r>
          </w:p>
        </w:tc>
        <w:tc>
          <w:tcPr>
            <w:tcW w:w="804" w:type="pct"/>
            <w:tcBorders>
              <w:top w:val="single" w:sz="4" w:space="0" w:color="auto"/>
              <w:left w:val="single" w:sz="4" w:space="0" w:color="auto"/>
              <w:bottom w:val="single" w:sz="4" w:space="0" w:color="auto"/>
              <w:right w:val="single" w:sz="4" w:space="0" w:color="auto"/>
            </w:tcBorders>
            <w:vAlign w:val="bottom"/>
            <w:hideMark/>
          </w:tcPr>
          <w:p w14:paraId="198723A2" w14:textId="77777777" w:rsidR="00A610E1" w:rsidRPr="00BD22FE" w:rsidRDefault="00A610E1" w:rsidP="00A610E1">
            <w:pPr>
              <w:rPr>
                <w:color w:val="000000"/>
                <w:sz w:val="22"/>
                <w:szCs w:val="22"/>
                <w:lang w:val="pl-PL" w:eastAsia="en-GB"/>
              </w:rPr>
            </w:pPr>
          </w:p>
        </w:tc>
        <w:tc>
          <w:tcPr>
            <w:tcW w:w="788" w:type="pct"/>
            <w:tcBorders>
              <w:top w:val="single" w:sz="4" w:space="0" w:color="auto"/>
              <w:left w:val="single" w:sz="4" w:space="0" w:color="auto"/>
              <w:bottom w:val="single" w:sz="4" w:space="0" w:color="auto"/>
              <w:right w:val="single" w:sz="4" w:space="0" w:color="auto"/>
            </w:tcBorders>
            <w:vAlign w:val="bottom"/>
            <w:hideMark/>
          </w:tcPr>
          <w:p w14:paraId="706EC901"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niezbyt często</w:t>
            </w:r>
          </w:p>
        </w:tc>
        <w:tc>
          <w:tcPr>
            <w:tcW w:w="1098" w:type="pct"/>
            <w:tcBorders>
              <w:top w:val="single" w:sz="4" w:space="0" w:color="auto"/>
              <w:left w:val="single" w:sz="4" w:space="0" w:color="auto"/>
              <w:bottom w:val="single" w:sz="4" w:space="0" w:color="auto"/>
              <w:right w:val="single" w:sz="4" w:space="0" w:color="auto"/>
            </w:tcBorders>
            <w:vAlign w:val="bottom"/>
            <w:hideMark/>
          </w:tcPr>
          <w:p w14:paraId="65220C52" w14:textId="77777777" w:rsidR="00A610E1" w:rsidRPr="00BD22FE" w:rsidRDefault="00A610E1" w:rsidP="00A610E1">
            <w:pPr>
              <w:rPr>
                <w:color w:val="000000"/>
                <w:sz w:val="22"/>
                <w:szCs w:val="22"/>
                <w:lang w:val="pl-PL" w:eastAsia="en-GB"/>
              </w:rPr>
            </w:pPr>
          </w:p>
        </w:tc>
      </w:tr>
      <w:tr w:rsidR="00A610E1" w:rsidRPr="00BD22FE" w14:paraId="6453328B" w14:textId="77777777" w:rsidTr="00A610E1">
        <w:tc>
          <w:tcPr>
            <w:tcW w:w="1084" w:type="pct"/>
            <w:vMerge/>
            <w:tcBorders>
              <w:left w:val="single" w:sz="4" w:space="0" w:color="auto"/>
              <w:right w:val="single" w:sz="4" w:space="0" w:color="auto"/>
            </w:tcBorders>
            <w:hideMark/>
          </w:tcPr>
          <w:p w14:paraId="2D55120F" w14:textId="77777777" w:rsidR="00A610E1" w:rsidRPr="00BD22FE" w:rsidRDefault="00A610E1" w:rsidP="00A610E1">
            <w:pPr>
              <w:rPr>
                <w:sz w:val="22"/>
                <w:szCs w:val="22"/>
                <w:highlight w:val="yellow"/>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33A28CA9"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Hipoglikemia (u pacjentów z cukrzycą)</w:t>
            </w:r>
          </w:p>
        </w:tc>
        <w:tc>
          <w:tcPr>
            <w:tcW w:w="804" w:type="pct"/>
            <w:tcBorders>
              <w:top w:val="single" w:sz="4" w:space="0" w:color="auto"/>
              <w:left w:val="single" w:sz="4" w:space="0" w:color="auto"/>
              <w:bottom w:val="single" w:sz="4" w:space="0" w:color="auto"/>
              <w:right w:val="single" w:sz="4" w:space="0" w:color="auto"/>
            </w:tcBorders>
            <w:vAlign w:val="bottom"/>
            <w:hideMark/>
          </w:tcPr>
          <w:p w14:paraId="7DFB069C" w14:textId="77777777" w:rsidR="00A610E1" w:rsidRPr="00BD22FE" w:rsidRDefault="00A610E1" w:rsidP="00A610E1">
            <w:pPr>
              <w:rPr>
                <w:color w:val="000000"/>
                <w:sz w:val="22"/>
                <w:szCs w:val="22"/>
                <w:lang w:val="pl-PL" w:eastAsia="en-GB"/>
              </w:rPr>
            </w:pPr>
          </w:p>
        </w:tc>
        <w:tc>
          <w:tcPr>
            <w:tcW w:w="788" w:type="pct"/>
            <w:tcBorders>
              <w:top w:val="single" w:sz="4" w:space="0" w:color="auto"/>
              <w:left w:val="single" w:sz="4" w:space="0" w:color="auto"/>
              <w:bottom w:val="single" w:sz="4" w:space="0" w:color="auto"/>
              <w:right w:val="single" w:sz="4" w:space="0" w:color="auto"/>
            </w:tcBorders>
            <w:vAlign w:val="bottom"/>
            <w:hideMark/>
          </w:tcPr>
          <w:p w14:paraId="223978FF"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rzadko</w:t>
            </w:r>
          </w:p>
        </w:tc>
        <w:tc>
          <w:tcPr>
            <w:tcW w:w="1098" w:type="pct"/>
            <w:tcBorders>
              <w:top w:val="single" w:sz="4" w:space="0" w:color="auto"/>
              <w:left w:val="single" w:sz="4" w:space="0" w:color="auto"/>
              <w:bottom w:val="single" w:sz="4" w:space="0" w:color="auto"/>
              <w:right w:val="single" w:sz="4" w:space="0" w:color="auto"/>
            </w:tcBorders>
            <w:vAlign w:val="bottom"/>
            <w:hideMark/>
          </w:tcPr>
          <w:p w14:paraId="11E39EE3" w14:textId="77777777" w:rsidR="00A610E1" w:rsidRPr="00BD22FE" w:rsidRDefault="00A610E1" w:rsidP="00A610E1">
            <w:pPr>
              <w:rPr>
                <w:color w:val="000000"/>
                <w:sz w:val="22"/>
                <w:szCs w:val="22"/>
                <w:lang w:val="pl-PL" w:eastAsia="en-GB"/>
              </w:rPr>
            </w:pPr>
          </w:p>
        </w:tc>
      </w:tr>
      <w:tr w:rsidR="00A610E1" w:rsidRPr="00BD22FE" w14:paraId="400A9926" w14:textId="77777777" w:rsidTr="00A610E1">
        <w:tc>
          <w:tcPr>
            <w:tcW w:w="1084" w:type="pct"/>
            <w:vMerge/>
            <w:tcBorders>
              <w:left w:val="single" w:sz="4" w:space="0" w:color="auto"/>
              <w:right w:val="single" w:sz="4" w:space="0" w:color="auto"/>
            </w:tcBorders>
            <w:hideMark/>
          </w:tcPr>
          <w:p w14:paraId="66C6F4A8" w14:textId="77777777" w:rsidR="00A610E1" w:rsidRPr="00BD22FE" w:rsidRDefault="00A610E1" w:rsidP="00A610E1">
            <w:pPr>
              <w:rPr>
                <w:sz w:val="22"/>
                <w:szCs w:val="22"/>
                <w:highlight w:val="yellow"/>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79A4BC07"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Hipomagnezemia</w:t>
            </w:r>
          </w:p>
        </w:tc>
        <w:tc>
          <w:tcPr>
            <w:tcW w:w="804" w:type="pct"/>
            <w:tcBorders>
              <w:top w:val="single" w:sz="4" w:space="0" w:color="auto"/>
              <w:left w:val="single" w:sz="4" w:space="0" w:color="auto"/>
              <w:bottom w:val="single" w:sz="4" w:space="0" w:color="auto"/>
              <w:right w:val="single" w:sz="4" w:space="0" w:color="auto"/>
            </w:tcBorders>
            <w:vAlign w:val="bottom"/>
            <w:hideMark/>
          </w:tcPr>
          <w:p w14:paraId="3FCE4111" w14:textId="77777777" w:rsidR="00A610E1" w:rsidRPr="00BD22FE" w:rsidRDefault="00A610E1" w:rsidP="00A610E1">
            <w:pPr>
              <w:rPr>
                <w:color w:val="000000"/>
                <w:sz w:val="22"/>
                <w:szCs w:val="22"/>
                <w:lang w:val="pl-PL" w:eastAsia="en-GB"/>
              </w:rPr>
            </w:pPr>
          </w:p>
        </w:tc>
        <w:tc>
          <w:tcPr>
            <w:tcW w:w="788" w:type="pct"/>
            <w:tcBorders>
              <w:top w:val="single" w:sz="4" w:space="0" w:color="auto"/>
              <w:left w:val="single" w:sz="4" w:space="0" w:color="auto"/>
              <w:bottom w:val="single" w:sz="4" w:space="0" w:color="auto"/>
              <w:right w:val="single" w:sz="4" w:space="0" w:color="auto"/>
            </w:tcBorders>
            <w:vAlign w:val="bottom"/>
            <w:hideMark/>
          </w:tcPr>
          <w:p w14:paraId="66A31200" w14:textId="77777777" w:rsidR="00A610E1" w:rsidRPr="00BD22FE" w:rsidRDefault="00A610E1" w:rsidP="00A610E1">
            <w:pPr>
              <w:rPr>
                <w:sz w:val="22"/>
                <w:szCs w:val="22"/>
                <w:lang w:val="pl-PL" w:eastAsia="en-GB"/>
              </w:rPr>
            </w:pPr>
          </w:p>
        </w:tc>
        <w:tc>
          <w:tcPr>
            <w:tcW w:w="1098" w:type="pct"/>
            <w:tcBorders>
              <w:top w:val="single" w:sz="4" w:space="0" w:color="auto"/>
              <w:left w:val="single" w:sz="4" w:space="0" w:color="auto"/>
              <w:bottom w:val="single" w:sz="4" w:space="0" w:color="auto"/>
              <w:right w:val="single" w:sz="4" w:space="0" w:color="auto"/>
            </w:tcBorders>
            <w:vAlign w:val="bottom"/>
            <w:hideMark/>
          </w:tcPr>
          <w:p w14:paraId="18F66843"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często</w:t>
            </w:r>
          </w:p>
        </w:tc>
      </w:tr>
      <w:tr w:rsidR="00A610E1" w:rsidRPr="00BD22FE" w14:paraId="07A54B9A" w14:textId="77777777" w:rsidTr="00A610E1">
        <w:tc>
          <w:tcPr>
            <w:tcW w:w="1084" w:type="pct"/>
            <w:vMerge/>
            <w:tcBorders>
              <w:left w:val="single" w:sz="4" w:space="0" w:color="auto"/>
              <w:right w:val="single" w:sz="4" w:space="0" w:color="auto"/>
            </w:tcBorders>
            <w:hideMark/>
          </w:tcPr>
          <w:p w14:paraId="71A2133B" w14:textId="77777777" w:rsidR="00A610E1" w:rsidRPr="00BD22FE" w:rsidRDefault="00A610E1" w:rsidP="00A610E1">
            <w:pPr>
              <w:rPr>
                <w:color w:val="000000"/>
                <w:sz w:val="22"/>
                <w:szCs w:val="22"/>
                <w:highlight w:val="yellow"/>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71C8A2C3"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Hiperkalcemia</w:t>
            </w:r>
          </w:p>
        </w:tc>
        <w:tc>
          <w:tcPr>
            <w:tcW w:w="804" w:type="pct"/>
            <w:tcBorders>
              <w:top w:val="single" w:sz="4" w:space="0" w:color="auto"/>
              <w:left w:val="single" w:sz="4" w:space="0" w:color="auto"/>
              <w:bottom w:val="single" w:sz="4" w:space="0" w:color="auto"/>
              <w:right w:val="single" w:sz="4" w:space="0" w:color="auto"/>
            </w:tcBorders>
            <w:vAlign w:val="bottom"/>
            <w:hideMark/>
          </w:tcPr>
          <w:p w14:paraId="3918F512" w14:textId="77777777" w:rsidR="00A610E1" w:rsidRPr="00BD22FE" w:rsidRDefault="00A610E1" w:rsidP="00A610E1">
            <w:pPr>
              <w:rPr>
                <w:color w:val="000000"/>
                <w:sz w:val="22"/>
                <w:szCs w:val="22"/>
                <w:lang w:val="pl-PL" w:eastAsia="en-GB"/>
              </w:rPr>
            </w:pPr>
          </w:p>
        </w:tc>
        <w:tc>
          <w:tcPr>
            <w:tcW w:w="788" w:type="pct"/>
            <w:tcBorders>
              <w:top w:val="single" w:sz="4" w:space="0" w:color="auto"/>
              <w:left w:val="single" w:sz="4" w:space="0" w:color="auto"/>
              <w:bottom w:val="single" w:sz="4" w:space="0" w:color="auto"/>
              <w:right w:val="single" w:sz="4" w:space="0" w:color="auto"/>
            </w:tcBorders>
            <w:vAlign w:val="bottom"/>
            <w:hideMark/>
          </w:tcPr>
          <w:p w14:paraId="0D7E927A" w14:textId="77777777" w:rsidR="00A610E1" w:rsidRPr="00BD22FE" w:rsidRDefault="00A610E1" w:rsidP="00A610E1">
            <w:pPr>
              <w:rPr>
                <w:sz w:val="22"/>
                <w:szCs w:val="22"/>
                <w:lang w:val="pl-PL" w:eastAsia="en-GB"/>
              </w:rPr>
            </w:pPr>
          </w:p>
        </w:tc>
        <w:tc>
          <w:tcPr>
            <w:tcW w:w="1098" w:type="pct"/>
            <w:tcBorders>
              <w:top w:val="single" w:sz="4" w:space="0" w:color="auto"/>
              <w:left w:val="single" w:sz="4" w:space="0" w:color="auto"/>
              <w:bottom w:val="single" w:sz="4" w:space="0" w:color="auto"/>
              <w:right w:val="single" w:sz="4" w:space="0" w:color="auto"/>
            </w:tcBorders>
            <w:vAlign w:val="bottom"/>
            <w:hideMark/>
          </w:tcPr>
          <w:p w14:paraId="4BC60B1E"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rzadko</w:t>
            </w:r>
          </w:p>
        </w:tc>
      </w:tr>
      <w:tr w:rsidR="00A610E1" w:rsidRPr="00BD22FE" w14:paraId="139DE0E3" w14:textId="77777777" w:rsidTr="00A610E1">
        <w:tc>
          <w:tcPr>
            <w:tcW w:w="1084" w:type="pct"/>
            <w:vMerge/>
            <w:tcBorders>
              <w:left w:val="single" w:sz="4" w:space="0" w:color="auto"/>
              <w:right w:val="single" w:sz="4" w:space="0" w:color="auto"/>
            </w:tcBorders>
            <w:hideMark/>
          </w:tcPr>
          <w:p w14:paraId="6B521448" w14:textId="77777777" w:rsidR="00A610E1" w:rsidRPr="00BD22FE" w:rsidRDefault="00A610E1" w:rsidP="00A610E1">
            <w:pPr>
              <w:rPr>
                <w:color w:val="000000"/>
                <w:sz w:val="22"/>
                <w:szCs w:val="22"/>
                <w:highlight w:val="yellow"/>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46E0F6FB"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Alkaloza hipochloremiczna</w:t>
            </w:r>
          </w:p>
        </w:tc>
        <w:tc>
          <w:tcPr>
            <w:tcW w:w="804" w:type="pct"/>
            <w:tcBorders>
              <w:top w:val="single" w:sz="4" w:space="0" w:color="auto"/>
              <w:left w:val="single" w:sz="4" w:space="0" w:color="auto"/>
              <w:bottom w:val="single" w:sz="4" w:space="0" w:color="auto"/>
              <w:right w:val="single" w:sz="4" w:space="0" w:color="auto"/>
            </w:tcBorders>
            <w:vAlign w:val="bottom"/>
            <w:hideMark/>
          </w:tcPr>
          <w:p w14:paraId="3F6FD985" w14:textId="77777777" w:rsidR="00A610E1" w:rsidRPr="00BD22FE" w:rsidRDefault="00A610E1" w:rsidP="00A610E1">
            <w:pPr>
              <w:rPr>
                <w:color w:val="000000"/>
                <w:sz w:val="22"/>
                <w:szCs w:val="22"/>
                <w:lang w:val="pl-PL" w:eastAsia="en-GB"/>
              </w:rPr>
            </w:pPr>
          </w:p>
        </w:tc>
        <w:tc>
          <w:tcPr>
            <w:tcW w:w="788" w:type="pct"/>
            <w:tcBorders>
              <w:top w:val="single" w:sz="4" w:space="0" w:color="auto"/>
              <w:left w:val="single" w:sz="4" w:space="0" w:color="auto"/>
              <w:bottom w:val="single" w:sz="4" w:space="0" w:color="auto"/>
              <w:right w:val="single" w:sz="4" w:space="0" w:color="auto"/>
            </w:tcBorders>
            <w:vAlign w:val="bottom"/>
            <w:hideMark/>
          </w:tcPr>
          <w:p w14:paraId="40F89118" w14:textId="77777777" w:rsidR="00A610E1" w:rsidRPr="00BD22FE" w:rsidRDefault="00A610E1" w:rsidP="00A610E1">
            <w:pPr>
              <w:rPr>
                <w:sz w:val="22"/>
                <w:szCs w:val="22"/>
                <w:lang w:val="pl-PL" w:eastAsia="en-GB"/>
              </w:rPr>
            </w:pPr>
          </w:p>
        </w:tc>
        <w:tc>
          <w:tcPr>
            <w:tcW w:w="1098" w:type="pct"/>
            <w:tcBorders>
              <w:top w:val="single" w:sz="4" w:space="0" w:color="auto"/>
              <w:left w:val="single" w:sz="4" w:space="0" w:color="auto"/>
              <w:bottom w:val="single" w:sz="4" w:space="0" w:color="auto"/>
              <w:right w:val="single" w:sz="4" w:space="0" w:color="auto"/>
            </w:tcBorders>
            <w:vAlign w:val="bottom"/>
            <w:hideMark/>
          </w:tcPr>
          <w:p w14:paraId="1AE30E07"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bardzo rzadko</w:t>
            </w:r>
          </w:p>
        </w:tc>
      </w:tr>
      <w:tr w:rsidR="00A610E1" w:rsidRPr="00BD22FE" w14:paraId="39A26053" w14:textId="77777777" w:rsidTr="00A610E1">
        <w:tc>
          <w:tcPr>
            <w:tcW w:w="1084" w:type="pct"/>
            <w:vMerge/>
            <w:tcBorders>
              <w:left w:val="single" w:sz="4" w:space="0" w:color="auto"/>
              <w:right w:val="single" w:sz="4" w:space="0" w:color="auto"/>
            </w:tcBorders>
            <w:hideMark/>
          </w:tcPr>
          <w:p w14:paraId="2AC91CBD" w14:textId="77777777" w:rsidR="00A610E1" w:rsidRPr="00BD22FE" w:rsidRDefault="00A610E1" w:rsidP="00A610E1">
            <w:pPr>
              <w:rPr>
                <w:color w:val="000000"/>
                <w:sz w:val="22"/>
                <w:szCs w:val="22"/>
                <w:highlight w:val="yellow"/>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006041F3"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Zmniejszony apetyt</w:t>
            </w:r>
          </w:p>
        </w:tc>
        <w:tc>
          <w:tcPr>
            <w:tcW w:w="804" w:type="pct"/>
            <w:tcBorders>
              <w:top w:val="single" w:sz="4" w:space="0" w:color="auto"/>
              <w:left w:val="single" w:sz="4" w:space="0" w:color="auto"/>
              <w:bottom w:val="single" w:sz="4" w:space="0" w:color="auto"/>
              <w:right w:val="single" w:sz="4" w:space="0" w:color="auto"/>
            </w:tcBorders>
            <w:vAlign w:val="bottom"/>
            <w:hideMark/>
          </w:tcPr>
          <w:p w14:paraId="07CEBF1A" w14:textId="77777777" w:rsidR="00A610E1" w:rsidRPr="00BD22FE" w:rsidRDefault="00A610E1" w:rsidP="00A610E1">
            <w:pPr>
              <w:rPr>
                <w:color w:val="000000"/>
                <w:sz w:val="22"/>
                <w:szCs w:val="22"/>
                <w:lang w:val="pl-PL" w:eastAsia="en-GB"/>
              </w:rPr>
            </w:pPr>
          </w:p>
        </w:tc>
        <w:tc>
          <w:tcPr>
            <w:tcW w:w="788" w:type="pct"/>
            <w:tcBorders>
              <w:top w:val="single" w:sz="4" w:space="0" w:color="auto"/>
              <w:left w:val="single" w:sz="4" w:space="0" w:color="auto"/>
              <w:bottom w:val="single" w:sz="4" w:space="0" w:color="auto"/>
              <w:right w:val="single" w:sz="4" w:space="0" w:color="auto"/>
            </w:tcBorders>
            <w:vAlign w:val="bottom"/>
            <w:hideMark/>
          </w:tcPr>
          <w:p w14:paraId="2186084A" w14:textId="77777777" w:rsidR="00A610E1" w:rsidRPr="00BD22FE" w:rsidRDefault="00A610E1" w:rsidP="00A610E1">
            <w:pPr>
              <w:rPr>
                <w:sz w:val="22"/>
                <w:szCs w:val="22"/>
                <w:lang w:val="pl-PL" w:eastAsia="en-GB"/>
              </w:rPr>
            </w:pPr>
          </w:p>
        </w:tc>
        <w:tc>
          <w:tcPr>
            <w:tcW w:w="1098" w:type="pct"/>
            <w:tcBorders>
              <w:top w:val="single" w:sz="4" w:space="0" w:color="auto"/>
              <w:left w:val="single" w:sz="4" w:space="0" w:color="auto"/>
              <w:bottom w:val="single" w:sz="4" w:space="0" w:color="auto"/>
              <w:right w:val="single" w:sz="4" w:space="0" w:color="auto"/>
            </w:tcBorders>
            <w:vAlign w:val="bottom"/>
            <w:hideMark/>
          </w:tcPr>
          <w:p w14:paraId="2DF8B772"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często</w:t>
            </w:r>
          </w:p>
        </w:tc>
      </w:tr>
      <w:tr w:rsidR="00A610E1" w:rsidRPr="00BD22FE" w14:paraId="7981C255" w14:textId="77777777" w:rsidTr="00A610E1">
        <w:tc>
          <w:tcPr>
            <w:tcW w:w="1084" w:type="pct"/>
            <w:vMerge/>
            <w:tcBorders>
              <w:left w:val="single" w:sz="4" w:space="0" w:color="auto"/>
              <w:right w:val="single" w:sz="4" w:space="0" w:color="auto"/>
            </w:tcBorders>
            <w:hideMark/>
          </w:tcPr>
          <w:p w14:paraId="2556326C" w14:textId="77777777" w:rsidR="00A610E1" w:rsidRPr="00BD22FE" w:rsidRDefault="00A610E1" w:rsidP="00A610E1">
            <w:pPr>
              <w:rPr>
                <w:color w:val="000000"/>
                <w:sz w:val="22"/>
                <w:szCs w:val="22"/>
                <w:highlight w:val="yellow"/>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76D9285B"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Hiperlipidemia</w:t>
            </w:r>
          </w:p>
        </w:tc>
        <w:tc>
          <w:tcPr>
            <w:tcW w:w="804" w:type="pct"/>
            <w:tcBorders>
              <w:top w:val="single" w:sz="4" w:space="0" w:color="auto"/>
              <w:left w:val="single" w:sz="4" w:space="0" w:color="auto"/>
              <w:bottom w:val="single" w:sz="4" w:space="0" w:color="auto"/>
              <w:right w:val="single" w:sz="4" w:space="0" w:color="auto"/>
            </w:tcBorders>
            <w:vAlign w:val="bottom"/>
            <w:hideMark/>
          </w:tcPr>
          <w:p w14:paraId="03EE2412" w14:textId="77777777" w:rsidR="00A610E1" w:rsidRPr="00BD22FE" w:rsidRDefault="00A610E1" w:rsidP="00A610E1">
            <w:pPr>
              <w:rPr>
                <w:color w:val="000000"/>
                <w:sz w:val="22"/>
                <w:szCs w:val="22"/>
                <w:lang w:val="pl-PL" w:eastAsia="en-GB"/>
              </w:rPr>
            </w:pPr>
          </w:p>
        </w:tc>
        <w:tc>
          <w:tcPr>
            <w:tcW w:w="788" w:type="pct"/>
            <w:tcBorders>
              <w:top w:val="single" w:sz="4" w:space="0" w:color="auto"/>
              <w:left w:val="single" w:sz="4" w:space="0" w:color="auto"/>
              <w:bottom w:val="single" w:sz="4" w:space="0" w:color="auto"/>
              <w:right w:val="single" w:sz="4" w:space="0" w:color="auto"/>
            </w:tcBorders>
            <w:vAlign w:val="bottom"/>
            <w:hideMark/>
          </w:tcPr>
          <w:p w14:paraId="61EA8780" w14:textId="77777777" w:rsidR="00A610E1" w:rsidRPr="00BD22FE" w:rsidRDefault="00A610E1" w:rsidP="00A610E1">
            <w:pPr>
              <w:rPr>
                <w:sz w:val="22"/>
                <w:szCs w:val="22"/>
                <w:lang w:val="pl-PL" w:eastAsia="en-GB"/>
              </w:rPr>
            </w:pPr>
          </w:p>
        </w:tc>
        <w:tc>
          <w:tcPr>
            <w:tcW w:w="1098" w:type="pct"/>
            <w:tcBorders>
              <w:top w:val="single" w:sz="4" w:space="0" w:color="auto"/>
              <w:left w:val="single" w:sz="4" w:space="0" w:color="auto"/>
              <w:bottom w:val="single" w:sz="4" w:space="0" w:color="auto"/>
              <w:right w:val="single" w:sz="4" w:space="0" w:color="auto"/>
            </w:tcBorders>
            <w:vAlign w:val="bottom"/>
            <w:hideMark/>
          </w:tcPr>
          <w:p w14:paraId="7D5D25D8"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bardzo często</w:t>
            </w:r>
          </w:p>
        </w:tc>
      </w:tr>
      <w:tr w:rsidR="00A610E1" w:rsidRPr="00BD22FE" w14:paraId="6FA84AFF" w14:textId="77777777" w:rsidTr="00A610E1">
        <w:tc>
          <w:tcPr>
            <w:tcW w:w="1084" w:type="pct"/>
            <w:vMerge/>
            <w:tcBorders>
              <w:left w:val="single" w:sz="4" w:space="0" w:color="auto"/>
              <w:right w:val="single" w:sz="4" w:space="0" w:color="auto"/>
            </w:tcBorders>
            <w:hideMark/>
          </w:tcPr>
          <w:p w14:paraId="02092241" w14:textId="77777777" w:rsidR="00A610E1" w:rsidRPr="00BD22FE" w:rsidRDefault="00A610E1" w:rsidP="00A610E1">
            <w:pPr>
              <w:rPr>
                <w:color w:val="000000"/>
                <w:sz w:val="22"/>
                <w:szCs w:val="22"/>
                <w:highlight w:val="yellow"/>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3373D654"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Hiperglikemia</w:t>
            </w:r>
          </w:p>
        </w:tc>
        <w:tc>
          <w:tcPr>
            <w:tcW w:w="804" w:type="pct"/>
            <w:tcBorders>
              <w:top w:val="single" w:sz="4" w:space="0" w:color="auto"/>
              <w:left w:val="single" w:sz="4" w:space="0" w:color="auto"/>
              <w:bottom w:val="single" w:sz="4" w:space="0" w:color="auto"/>
              <w:right w:val="single" w:sz="4" w:space="0" w:color="auto"/>
            </w:tcBorders>
            <w:vAlign w:val="bottom"/>
            <w:hideMark/>
          </w:tcPr>
          <w:p w14:paraId="7DF22FA1" w14:textId="77777777" w:rsidR="00A610E1" w:rsidRPr="00BD22FE" w:rsidRDefault="00A610E1" w:rsidP="00A610E1">
            <w:pPr>
              <w:rPr>
                <w:color w:val="000000"/>
                <w:sz w:val="22"/>
                <w:szCs w:val="22"/>
                <w:lang w:val="pl-PL" w:eastAsia="en-GB"/>
              </w:rPr>
            </w:pPr>
          </w:p>
        </w:tc>
        <w:tc>
          <w:tcPr>
            <w:tcW w:w="788" w:type="pct"/>
            <w:tcBorders>
              <w:top w:val="single" w:sz="4" w:space="0" w:color="auto"/>
              <w:left w:val="single" w:sz="4" w:space="0" w:color="auto"/>
              <w:bottom w:val="single" w:sz="4" w:space="0" w:color="auto"/>
              <w:right w:val="single" w:sz="4" w:space="0" w:color="auto"/>
            </w:tcBorders>
            <w:vAlign w:val="bottom"/>
            <w:hideMark/>
          </w:tcPr>
          <w:p w14:paraId="4F1A1F89" w14:textId="77777777" w:rsidR="00A610E1" w:rsidRPr="00BD22FE" w:rsidRDefault="00A610E1" w:rsidP="00A610E1">
            <w:pPr>
              <w:rPr>
                <w:sz w:val="22"/>
                <w:szCs w:val="22"/>
                <w:lang w:val="pl-PL" w:eastAsia="en-GB"/>
              </w:rPr>
            </w:pPr>
          </w:p>
        </w:tc>
        <w:tc>
          <w:tcPr>
            <w:tcW w:w="1098" w:type="pct"/>
            <w:tcBorders>
              <w:top w:val="single" w:sz="4" w:space="0" w:color="auto"/>
              <w:left w:val="single" w:sz="4" w:space="0" w:color="auto"/>
              <w:bottom w:val="single" w:sz="4" w:space="0" w:color="auto"/>
              <w:right w:val="single" w:sz="4" w:space="0" w:color="auto"/>
            </w:tcBorders>
            <w:vAlign w:val="bottom"/>
            <w:hideMark/>
          </w:tcPr>
          <w:p w14:paraId="3838A1E9"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rzadko</w:t>
            </w:r>
          </w:p>
        </w:tc>
      </w:tr>
      <w:tr w:rsidR="00A610E1" w:rsidRPr="00BD22FE" w14:paraId="33CE5857" w14:textId="77777777" w:rsidTr="00A610E1">
        <w:tc>
          <w:tcPr>
            <w:tcW w:w="1084" w:type="pct"/>
            <w:vMerge/>
            <w:tcBorders>
              <w:left w:val="single" w:sz="4" w:space="0" w:color="auto"/>
              <w:bottom w:val="single" w:sz="4" w:space="0" w:color="auto"/>
              <w:right w:val="single" w:sz="4" w:space="0" w:color="auto"/>
            </w:tcBorders>
          </w:tcPr>
          <w:p w14:paraId="2652134C" w14:textId="77777777" w:rsidR="00A610E1" w:rsidRPr="00BD22FE" w:rsidRDefault="00A610E1" w:rsidP="00A610E1">
            <w:pPr>
              <w:rPr>
                <w:color w:val="000000"/>
                <w:sz w:val="22"/>
                <w:szCs w:val="22"/>
                <w:highlight w:val="yellow"/>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tcPr>
          <w:p w14:paraId="35BB0B6C"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Niewłaściwa kontrola cukrzycy</w:t>
            </w:r>
          </w:p>
        </w:tc>
        <w:tc>
          <w:tcPr>
            <w:tcW w:w="804" w:type="pct"/>
            <w:tcBorders>
              <w:top w:val="single" w:sz="4" w:space="0" w:color="auto"/>
              <w:left w:val="single" w:sz="4" w:space="0" w:color="auto"/>
              <w:bottom w:val="single" w:sz="4" w:space="0" w:color="auto"/>
              <w:right w:val="single" w:sz="4" w:space="0" w:color="auto"/>
            </w:tcBorders>
            <w:vAlign w:val="bottom"/>
          </w:tcPr>
          <w:p w14:paraId="63B20CA4" w14:textId="77777777" w:rsidR="00A610E1" w:rsidRPr="00BD22FE" w:rsidRDefault="00A610E1" w:rsidP="00A610E1">
            <w:pPr>
              <w:rPr>
                <w:color w:val="000000"/>
                <w:sz w:val="22"/>
                <w:szCs w:val="22"/>
                <w:lang w:val="pl-PL" w:eastAsia="en-GB"/>
              </w:rPr>
            </w:pPr>
          </w:p>
        </w:tc>
        <w:tc>
          <w:tcPr>
            <w:tcW w:w="788" w:type="pct"/>
            <w:tcBorders>
              <w:top w:val="single" w:sz="4" w:space="0" w:color="auto"/>
              <w:left w:val="single" w:sz="4" w:space="0" w:color="auto"/>
              <w:bottom w:val="single" w:sz="4" w:space="0" w:color="auto"/>
              <w:right w:val="single" w:sz="4" w:space="0" w:color="auto"/>
            </w:tcBorders>
            <w:vAlign w:val="bottom"/>
          </w:tcPr>
          <w:p w14:paraId="409BEAB0" w14:textId="77777777" w:rsidR="00A610E1" w:rsidRPr="00BD22FE" w:rsidRDefault="00A610E1" w:rsidP="00A610E1">
            <w:pPr>
              <w:rPr>
                <w:sz w:val="22"/>
                <w:szCs w:val="22"/>
                <w:lang w:val="pl-PL" w:eastAsia="en-GB"/>
              </w:rPr>
            </w:pPr>
          </w:p>
        </w:tc>
        <w:tc>
          <w:tcPr>
            <w:tcW w:w="1098" w:type="pct"/>
            <w:tcBorders>
              <w:top w:val="single" w:sz="4" w:space="0" w:color="auto"/>
              <w:left w:val="single" w:sz="4" w:space="0" w:color="auto"/>
              <w:bottom w:val="single" w:sz="4" w:space="0" w:color="auto"/>
              <w:right w:val="single" w:sz="4" w:space="0" w:color="auto"/>
            </w:tcBorders>
            <w:vAlign w:val="bottom"/>
          </w:tcPr>
          <w:p w14:paraId="3887261F"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rzadko</w:t>
            </w:r>
          </w:p>
        </w:tc>
      </w:tr>
      <w:tr w:rsidR="00A610E1" w:rsidRPr="00BD22FE" w14:paraId="1AD51AE3" w14:textId="77777777" w:rsidTr="00A610E1">
        <w:tc>
          <w:tcPr>
            <w:tcW w:w="1084" w:type="pct"/>
            <w:vMerge w:val="restart"/>
            <w:tcBorders>
              <w:top w:val="single" w:sz="4" w:space="0" w:color="auto"/>
              <w:left w:val="single" w:sz="4" w:space="0" w:color="auto"/>
              <w:right w:val="single" w:sz="4" w:space="0" w:color="auto"/>
            </w:tcBorders>
            <w:hideMark/>
          </w:tcPr>
          <w:p w14:paraId="0E1FDCB9" w14:textId="77777777" w:rsidR="00A610E1" w:rsidRPr="00BD22FE" w:rsidRDefault="00A610E1" w:rsidP="00A610E1">
            <w:pPr>
              <w:rPr>
                <w:b/>
                <w:bCs/>
                <w:color w:val="000000"/>
                <w:sz w:val="22"/>
                <w:szCs w:val="22"/>
                <w:highlight w:val="yellow"/>
                <w:lang w:val="pl-PL" w:eastAsia="en-GB"/>
              </w:rPr>
            </w:pPr>
            <w:r w:rsidRPr="00BD22FE">
              <w:rPr>
                <w:b/>
                <w:bCs/>
                <w:sz w:val="22"/>
                <w:szCs w:val="22"/>
                <w:lang w:val="pl-PL"/>
              </w:rPr>
              <w:t>Zaburzenia psychiczne</w:t>
            </w:r>
          </w:p>
        </w:tc>
        <w:tc>
          <w:tcPr>
            <w:tcW w:w="1226" w:type="pct"/>
            <w:tcBorders>
              <w:top w:val="single" w:sz="4" w:space="0" w:color="auto"/>
              <w:left w:val="single" w:sz="4" w:space="0" w:color="auto"/>
              <w:bottom w:val="single" w:sz="4" w:space="0" w:color="auto"/>
              <w:right w:val="single" w:sz="4" w:space="0" w:color="auto"/>
            </w:tcBorders>
            <w:vAlign w:val="bottom"/>
            <w:hideMark/>
          </w:tcPr>
          <w:p w14:paraId="776353E2"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Lęk</w:t>
            </w:r>
          </w:p>
        </w:tc>
        <w:tc>
          <w:tcPr>
            <w:tcW w:w="804" w:type="pct"/>
            <w:tcBorders>
              <w:top w:val="single" w:sz="4" w:space="0" w:color="auto"/>
              <w:left w:val="single" w:sz="4" w:space="0" w:color="auto"/>
              <w:bottom w:val="single" w:sz="4" w:space="0" w:color="auto"/>
              <w:right w:val="single" w:sz="4" w:space="0" w:color="auto"/>
            </w:tcBorders>
            <w:vAlign w:val="bottom"/>
            <w:hideMark/>
          </w:tcPr>
          <w:p w14:paraId="38960B86"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niezbyt często</w:t>
            </w:r>
          </w:p>
        </w:tc>
        <w:tc>
          <w:tcPr>
            <w:tcW w:w="788" w:type="pct"/>
            <w:tcBorders>
              <w:top w:val="single" w:sz="4" w:space="0" w:color="auto"/>
              <w:left w:val="single" w:sz="4" w:space="0" w:color="auto"/>
              <w:bottom w:val="single" w:sz="4" w:space="0" w:color="auto"/>
              <w:right w:val="single" w:sz="4" w:space="0" w:color="auto"/>
            </w:tcBorders>
            <w:vAlign w:val="bottom"/>
            <w:hideMark/>
          </w:tcPr>
          <w:p w14:paraId="6F44E86C"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rzadko</w:t>
            </w:r>
          </w:p>
        </w:tc>
        <w:tc>
          <w:tcPr>
            <w:tcW w:w="1098" w:type="pct"/>
            <w:tcBorders>
              <w:top w:val="single" w:sz="4" w:space="0" w:color="auto"/>
              <w:left w:val="single" w:sz="4" w:space="0" w:color="auto"/>
              <w:bottom w:val="single" w:sz="4" w:space="0" w:color="auto"/>
              <w:right w:val="single" w:sz="4" w:space="0" w:color="auto"/>
            </w:tcBorders>
            <w:vAlign w:val="bottom"/>
            <w:hideMark/>
          </w:tcPr>
          <w:p w14:paraId="419561C8" w14:textId="77777777" w:rsidR="00A610E1" w:rsidRPr="00BD22FE" w:rsidRDefault="00A610E1" w:rsidP="00A610E1">
            <w:pPr>
              <w:rPr>
                <w:color w:val="000000"/>
                <w:sz w:val="22"/>
                <w:szCs w:val="22"/>
                <w:lang w:val="pl-PL" w:eastAsia="en-GB"/>
              </w:rPr>
            </w:pPr>
          </w:p>
        </w:tc>
      </w:tr>
      <w:tr w:rsidR="00A610E1" w:rsidRPr="00BD22FE" w14:paraId="3FD22354" w14:textId="77777777" w:rsidTr="00A610E1">
        <w:tc>
          <w:tcPr>
            <w:tcW w:w="1084" w:type="pct"/>
            <w:vMerge/>
            <w:tcBorders>
              <w:left w:val="single" w:sz="4" w:space="0" w:color="auto"/>
              <w:right w:val="single" w:sz="4" w:space="0" w:color="auto"/>
            </w:tcBorders>
            <w:hideMark/>
          </w:tcPr>
          <w:p w14:paraId="7C753926" w14:textId="77777777" w:rsidR="00A610E1" w:rsidRPr="00BD22FE" w:rsidRDefault="00A610E1" w:rsidP="00A610E1">
            <w:pPr>
              <w:rPr>
                <w:sz w:val="22"/>
                <w:szCs w:val="22"/>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381E59F8"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Depresja</w:t>
            </w:r>
          </w:p>
        </w:tc>
        <w:tc>
          <w:tcPr>
            <w:tcW w:w="804" w:type="pct"/>
            <w:tcBorders>
              <w:top w:val="single" w:sz="4" w:space="0" w:color="auto"/>
              <w:left w:val="single" w:sz="4" w:space="0" w:color="auto"/>
              <w:bottom w:val="single" w:sz="4" w:space="0" w:color="auto"/>
              <w:right w:val="single" w:sz="4" w:space="0" w:color="auto"/>
            </w:tcBorders>
            <w:hideMark/>
          </w:tcPr>
          <w:p w14:paraId="7F6E5FF9"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rzadko</w:t>
            </w:r>
          </w:p>
        </w:tc>
        <w:tc>
          <w:tcPr>
            <w:tcW w:w="788" w:type="pct"/>
            <w:tcBorders>
              <w:top w:val="single" w:sz="4" w:space="0" w:color="auto"/>
              <w:left w:val="single" w:sz="4" w:space="0" w:color="auto"/>
              <w:bottom w:val="single" w:sz="4" w:space="0" w:color="auto"/>
              <w:right w:val="single" w:sz="4" w:space="0" w:color="auto"/>
            </w:tcBorders>
            <w:hideMark/>
          </w:tcPr>
          <w:p w14:paraId="4864CE57"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niezbyt często</w:t>
            </w:r>
          </w:p>
        </w:tc>
        <w:tc>
          <w:tcPr>
            <w:tcW w:w="1098" w:type="pct"/>
            <w:tcBorders>
              <w:top w:val="single" w:sz="4" w:space="0" w:color="auto"/>
              <w:left w:val="single" w:sz="4" w:space="0" w:color="auto"/>
              <w:bottom w:val="single" w:sz="4" w:space="0" w:color="auto"/>
              <w:right w:val="single" w:sz="4" w:space="0" w:color="auto"/>
            </w:tcBorders>
            <w:vAlign w:val="bottom"/>
            <w:hideMark/>
          </w:tcPr>
          <w:p w14:paraId="5E4CB53F"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rzadko</w:t>
            </w:r>
          </w:p>
        </w:tc>
      </w:tr>
      <w:tr w:rsidR="00A610E1" w:rsidRPr="00BD22FE" w14:paraId="5307BE10" w14:textId="77777777" w:rsidTr="00A610E1">
        <w:tc>
          <w:tcPr>
            <w:tcW w:w="1084" w:type="pct"/>
            <w:vMerge/>
            <w:tcBorders>
              <w:left w:val="single" w:sz="4" w:space="0" w:color="auto"/>
              <w:right w:val="single" w:sz="4" w:space="0" w:color="auto"/>
            </w:tcBorders>
          </w:tcPr>
          <w:p w14:paraId="7BA22780" w14:textId="77777777" w:rsidR="00A610E1" w:rsidRPr="00BD22FE" w:rsidRDefault="00A610E1" w:rsidP="00A610E1">
            <w:pPr>
              <w:rPr>
                <w:sz w:val="22"/>
                <w:szCs w:val="22"/>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tcPr>
          <w:p w14:paraId="16D25F7A"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Bezsenność</w:t>
            </w:r>
          </w:p>
        </w:tc>
        <w:tc>
          <w:tcPr>
            <w:tcW w:w="804" w:type="pct"/>
            <w:tcBorders>
              <w:top w:val="single" w:sz="4" w:space="0" w:color="auto"/>
              <w:left w:val="single" w:sz="4" w:space="0" w:color="auto"/>
              <w:bottom w:val="single" w:sz="4" w:space="0" w:color="auto"/>
              <w:right w:val="single" w:sz="4" w:space="0" w:color="auto"/>
            </w:tcBorders>
          </w:tcPr>
          <w:p w14:paraId="1FA5761B"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rzadko</w:t>
            </w:r>
          </w:p>
        </w:tc>
        <w:tc>
          <w:tcPr>
            <w:tcW w:w="788" w:type="pct"/>
            <w:tcBorders>
              <w:top w:val="single" w:sz="4" w:space="0" w:color="auto"/>
              <w:left w:val="single" w:sz="4" w:space="0" w:color="auto"/>
              <w:bottom w:val="single" w:sz="4" w:space="0" w:color="auto"/>
              <w:right w:val="single" w:sz="4" w:space="0" w:color="auto"/>
            </w:tcBorders>
          </w:tcPr>
          <w:p w14:paraId="29B0B8C9"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niezbyt często</w:t>
            </w:r>
          </w:p>
        </w:tc>
        <w:tc>
          <w:tcPr>
            <w:tcW w:w="1098" w:type="pct"/>
            <w:tcBorders>
              <w:top w:val="single" w:sz="4" w:space="0" w:color="auto"/>
              <w:left w:val="single" w:sz="4" w:space="0" w:color="auto"/>
              <w:bottom w:val="single" w:sz="4" w:space="0" w:color="auto"/>
              <w:right w:val="single" w:sz="4" w:space="0" w:color="auto"/>
            </w:tcBorders>
            <w:vAlign w:val="bottom"/>
          </w:tcPr>
          <w:p w14:paraId="7BADBBBA" w14:textId="77777777" w:rsidR="00A610E1" w:rsidRPr="00BD22FE" w:rsidRDefault="00A610E1" w:rsidP="00A610E1">
            <w:pPr>
              <w:rPr>
                <w:color w:val="000000"/>
                <w:sz w:val="22"/>
                <w:szCs w:val="22"/>
                <w:lang w:val="pl-PL" w:eastAsia="en-GB"/>
              </w:rPr>
            </w:pPr>
          </w:p>
        </w:tc>
      </w:tr>
      <w:tr w:rsidR="00A610E1" w:rsidRPr="00BD22FE" w14:paraId="23FA578C" w14:textId="77777777" w:rsidTr="00A610E1">
        <w:tc>
          <w:tcPr>
            <w:tcW w:w="1084" w:type="pct"/>
            <w:vMerge/>
            <w:tcBorders>
              <w:left w:val="single" w:sz="4" w:space="0" w:color="auto"/>
              <w:bottom w:val="single" w:sz="4" w:space="0" w:color="auto"/>
              <w:right w:val="single" w:sz="4" w:space="0" w:color="auto"/>
            </w:tcBorders>
          </w:tcPr>
          <w:p w14:paraId="6B135070" w14:textId="77777777" w:rsidR="00A610E1" w:rsidRPr="00BD22FE" w:rsidRDefault="00A610E1" w:rsidP="00A610E1">
            <w:pPr>
              <w:rPr>
                <w:sz w:val="22"/>
                <w:szCs w:val="22"/>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tcPr>
          <w:p w14:paraId="5F01D6B7"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Zaburzenia snu</w:t>
            </w:r>
          </w:p>
        </w:tc>
        <w:tc>
          <w:tcPr>
            <w:tcW w:w="804" w:type="pct"/>
            <w:tcBorders>
              <w:top w:val="single" w:sz="4" w:space="0" w:color="auto"/>
              <w:left w:val="single" w:sz="4" w:space="0" w:color="auto"/>
              <w:bottom w:val="single" w:sz="4" w:space="0" w:color="auto"/>
              <w:right w:val="single" w:sz="4" w:space="0" w:color="auto"/>
            </w:tcBorders>
          </w:tcPr>
          <w:p w14:paraId="64971866"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rzadko</w:t>
            </w:r>
          </w:p>
        </w:tc>
        <w:tc>
          <w:tcPr>
            <w:tcW w:w="788" w:type="pct"/>
            <w:tcBorders>
              <w:top w:val="single" w:sz="4" w:space="0" w:color="auto"/>
              <w:left w:val="single" w:sz="4" w:space="0" w:color="auto"/>
              <w:bottom w:val="single" w:sz="4" w:space="0" w:color="auto"/>
              <w:right w:val="single" w:sz="4" w:space="0" w:color="auto"/>
            </w:tcBorders>
            <w:vAlign w:val="bottom"/>
          </w:tcPr>
          <w:p w14:paraId="138FECCE" w14:textId="77777777" w:rsidR="00A610E1" w:rsidRPr="00BD22FE" w:rsidRDefault="00A610E1" w:rsidP="00A610E1">
            <w:pPr>
              <w:rPr>
                <w:color w:val="000000"/>
                <w:sz w:val="22"/>
                <w:szCs w:val="22"/>
                <w:lang w:val="pl-PL" w:eastAsia="en-GB"/>
              </w:rPr>
            </w:pPr>
          </w:p>
        </w:tc>
        <w:tc>
          <w:tcPr>
            <w:tcW w:w="1098" w:type="pct"/>
            <w:tcBorders>
              <w:top w:val="single" w:sz="4" w:space="0" w:color="auto"/>
              <w:left w:val="single" w:sz="4" w:space="0" w:color="auto"/>
              <w:bottom w:val="single" w:sz="4" w:space="0" w:color="auto"/>
              <w:right w:val="single" w:sz="4" w:space="0" w:color="auto"/>
            </w:tcBorders>
          </w:tcPr>
          <w:p w14:paraId="137C55F5"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rzadko</w:t>
            </w:r>
          </w:p>
        </w:tc>
      </w:tr>
      <w:tr w:rsidR="00A610E1" w:rsidRPr="00BD22FE" w14:paraId="1DD29A05" w14:textId="77777777" w:rsidTr="00A610E1">
        <w:tc>
          <w:tcPr>
            <w:tcW w:w="1084" w:type="pct"/>
            <w:vMerge w:val="restart"/>
            <w:tcBorders>
              <w:top w:val="single" w:sz="4" w:space="0" w:color="auto"/>
              <w:left w:val="single" w:sz="4" w:space="0" w:color="auto"/>
              <w:right w:val="single" w:sz="4" w:space="0" w:color="auto"/>
            </w:tcBorders>
            <w:hideMark/>
          </w:tcPr>
          <w:p w14:paraId="55FD4A88" w14:textId="77777777" w:rsidR="00A610E1" w:rsidRPr="00BD22FE" w:rsidRDefault="00A610E1" w:rsidP="00A610E1">
            <w:pPr>
              <w:rPr>
                <w:b/>
                <w:bCs/>
                <w:color w:val="000000"/>
                <w:sz w:val="22"/>
                <w:szCs w:val="22"/>
                <w:highlight w:val="yellow"/>
                <w:lang w:val="pl-PL" w:eastAsia="en-GB"/>
              </w:rPr>
            </w:pPr>
            <w:r w:rsidRPr="00BD22FE">
              <w:rPr>
                <w:b/>
                <w:bCs/>
                <w:sz w:val="22"/>
                <w:szCs w:val="22"/>
                <w:lang w:val="pl-PL"/>
              </w:rPr>
              <w:t>Zaburzenia układu nerwowego</w:t>
            </w:r>
          </w:p>
        </w:tc>
        <w:tc>
          <w:tcPr>
            <w:tcW w:w="1226" w:type="pct"/>
            <w:tcBorders>
              <w:top w:val="single" w:sz="4" w:space="0" w:color="auto"/>
              <w:left w:val="single" w:sz="4" w:space="0" w:color="auto"/>
              <w:bottom w:val="single" w:sz="4" w:space="0" w:color="auto"/>
              <w:right w:val="single" w:sz="4" w:space="0" w:color="auto"/>
            </w:tcBorders>
            <w:vAlign w:val="bottom"/>
            <w:hideMark/>
          </w:tcPr>
          <w:p w14:paraId="712137D8"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Zawroty głowy</w:t>
            </w:r>
          </w:p>
        </w:tc>
        <w:tc>
          <w:tcPr>
            <w:tcW w:w="804" w:type="pct"/>
            <w:tcBorders>
              <w:top w:val="single" w:sz="4" w:space="0" w:color="auto"/>
              <w:left w:val="single" w:sz="4" w:space="0" w:color="auto"/>
              <w:bottom w:val="single" w:sz="4" w:space="0" w:color="auto"/>
              <w:right w:val="single" w:sz="4" w:space="0" w:color="auto"/>
            </w:tcBorders>
            <w:vAlign w:val="bottom"/>
            <w:hideMark/>
          </w:tcPr>
          <w:p w14:paraId="22683DA6"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często</w:t>
            </w:r>
          </w:p>
        </w:tc>
        <w:tc>
          <w:tcPr>
            <w:tcW w:w="788" w:type="pct"/>
            <w:tcBorders>
              <w:top w:val="single" w:sz="4" w:space="0" w:color="auto"/>
              <w:left w:val="single" w:sz="4" w:space="0" w:color="auto"/>
              <w:bottom w:val="single" w:sz="4" w:space="0" w:color="auto"/>
              <w:right w:val="single" w:sz="4" w:space="0" w:color="auto"/>
            </w:tcBorders>
            <w:vAlign w:val="bottom"/>
            <w:hideMark/>
          </w:tcPr>
          <w:p w14:paraId="1411DD9A" w14:textId="77777777" w:rsidR="00A610E1" w:rsidRPr="00BD22FE" w:rsidRDefault="00A610E1" w:rsidP="00A610E1">
            <w:pPr>
              <w:rPr>
                <w:color w:val="000000"/>
                <w:sz w:val="22"/>
                <w:szCs w:val="22"/>
                <w:lang w:val="pl-PL" w:eastAsia="en-GB"/>
              </w:rPr>
            </w:pPr>
          </w:p>
        </w:tc>
        <w:tc>
          <w:tcPr>
            <w:tcW w:w="1098" w:type="pct"/>
            <w:tcBorders>
              <w:top w:val="single" w:sz="4" w:space="0" w:color="auto"/>
              <w:left w:val="single" w:sz="4" w:space="0" w:color="auto"/>
              <w:bottom w:val="single" w:sz="4" w:space="0" w:color="auto"/>
              <w:right w:val="single" w:sz="4" w:space="0" w:color="auto"/>
            </w:tcBorders>
            <w:hideMark/>
          </w:tcPr>
          <w:p w14:paraId="0C6F1DB0"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rzadko</w:t>
            </w:r>
          </w:p>
        </w:tc>
      </w:tr>
      <w:tr w:rsidR="00A610E1" w:rsidRPr="00BD22FE" w14:paraId="0CF74987" w14:textId="77777777" w:rsidTr="00A610E1">
        <w:tc>
          <w:tcPr>
            <w:tcW w:w="1084" w:type="pct"/>
            <w:vMerge/>
            <w:tcBorders>
              <w:left w:val="single" w:sz="4" w:space="0" w:color="auto"/>
              <w:right w:val="single" w:sz="4" w:space="0" w:color="auto"/>
            </w:tcBorders>
            <w:hideMark/>
          </w:tcPr>
          <w:p w14:paraId="336B6452" w14:textId="77777777" w:rsidR="00A610E1" w:rsidRPr="00BD22FE" w:rsidRDefault="00A610E1" w:rsidP="00A610E1">
            <w:pPr>
              <w:rPr>
                <w:color w:val="000000"/>
                <w:sz w:val="22"/>
                <w:szCs w:val="22"/>
                <w:highlight w:val="yellow"/>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39F4619A"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Omdlenia</w:t>
            </w:r>
          </w:p>
        </w:tc>
        <w:tc>
          <w:tcPr>
            <w:tcW w:w="804" w:type="pct"/>
            <w:tcBorders>
              <w:top w:val="single" w:sz="4" w:space="0" w:color="auto"/>
              <w:left w:val="single" w:sz="4" w:space="0" w:color="auto"/>
              <w:bottom w:val="single" w:sz="4" w:space="0" w:color="auto"/>
              <w:right w:val="single" w:sz="4" w:space="0" w:color="auto"/>
            </w:tcBorders>
            <w:hideMark/>
          </w:tcPr>
          <w:p w14:paraId="6F51132E"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niezbyt często</w:t>
            </w:r>
          </w:p>
        </w:tc>
        <w:tc>
          <w:tcPr>
            <w:tcW w:w="788" w:type="pct"/>
            <w:tcBorders>
              <w:top w:val="single" w:sz="4" w:space="0" w:color="auto"/>
              <w:left w:val="single" w:sz="4" w:space="0" w:color="auto"/>
              <w:bottom w:val="single" w:sz="4" w:space="0" w:color="auto"/>
              <w:right w:val="single" w:sz="4" w:space="0" w:color="auto"/>
            </w:tcBorders>
            <w:vAlign w:val="bottom"/>
            <w:hideMark/>
          </w:tcPr>
          <w:p w14:paraId="1459BB6F"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niezbyt często</w:t>
            </w:r>
          </w:p>
        </w:tc>
        <w:tc>
          <w:tcPr>
            <w:tcW w:w="1098" w:type="pct"/>
            <w:tcBorders>
              <w:top w:val="single" w:sz="4" w:space="0" w:color="auto"/>
              <w:left w:val="single" w:sz="4" w:space="0" w:color="auto"/>
              <w:bottom w:val="single" w:sz="4" w:space="0" w:color="auto"/>
              <w:right w:val="single" w:sz="4" w:space="0" w:color="auto"/>
            </w:tcBorders>
            <w:vAlign w:val="bottom"/>
            <w:hideMark/>
          </w:tcPr>
          <w:p w14:paraId="51783E35" w14:textId="77777777" w:rsidR="00A610E1" w:rsidRPr="00BD22FE" w:rsidRDefault="00A610E1" w:rsidP="00A610E1">
            <w:pPr>
              <w:rPr>
                <w:color w:val="000000"/>
                <w:sz w:val="22"/>
                <w:szCs w:val="22"/>
                <w:lang w:val="pl-PL" w:eastAsia="en-GB"/>
              </w:rPr>
            </w:pPr>
          </w:p>
        </w:tc>
      </w:tr>
      <w:tr w:rsidR="00A610E1" w:rsidRPr="00BD22FE" w14:paraId="142B63BC" w14:textId="77777777" w:rsidTr="00A610E1">
        <w:tc>
          <w:tcPr>
            <w:tcW w:w="1084" w:type="pct"/>
            <w:vMerge/>
            <w:tcBorders>
              <w:left w:val="single" w:sz="4" w:space="0" w:color="auto"/>
              <w:right w:val="single" w:sz="4" w:space="0" w:color="auto"/>
            </w:tcBorders>
            <w:hideMark/>
          </w:tcPr>
          <w:p w14:paraId="05CC8475" w14:textId="77777777" w:rsidR="00A610E1" w:rsidRPr="00BD22FE" w:rsidRDefault="00A610E1" w:rsidP="00A610E1">
            <w:pPr>
              <w:rPr>
                <w:sz w:val="22"/>
                <w:szCs w:val="22"/>
                <w:highlight w:val="yellow"/>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120229C4"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Parestezje</w:t>
            </w:r>
          </w:p>
        </w:tc>
        <w:tc>
          <w:tcPr>
            <w:tcW w:w="804" w:type="pct"/>
            <w:tcBorders>
              <w:top w:val="single" w:sz="4" w:space="0" w:color="auto"/>
              <w:left w:val="single" w:sz="4" w:space="0" w:color="auto"/>
              <w:bottom w:val="single" w:sz="4" w:space="0" w:color="auto"/>
              <w:right w:val="single" w:sz="4" w:space="0" w:color="auto"/>
            </w:tcBorders>
            <w:hideMark/>
          </w:tcPr>
          <w:p w14:paraId="7808EC96"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niezbyt często</w:t>
            </w:r>
          </w:p>
        </w:tc>
        <w:tc>
          <w:tcPr>
            <w:tcW w:w="788" w:type="pct"/>
            <w:tcBorders>
              <w:top w:val="single" w:sz="4" w:space="0" w:color="auto"/>
              <w:left w:val="single" w:sz="4" w:space="0" w:color="auto"/>
              <w:bottom w:val="single" w:sz="4" w:space="0" w:color="auto"/>
              <w:right w:val="single" w:sz="4" w:space="0" w:color="auto"/>
            </w:tcBorders>
            <w:vAlign w:val="bottom"/>
            <w:hideMark/>
          </w:tcPr>
          <w:p w14:paraId="09693307" w14:textId="77777777" w:rsidR="00A610E1" w:rsidRPr="00BD22FE" w:rsidRDefault="00A610E1" w:rsidP="00A610E1">
            <w:pPr>
              <w:rPr>
                <w:color w:val="000000"/>
                <w:sz w:val="22"/>
                <w:szCs w:val="22"/>
                <w:lang w:val="pl-PL" w:eastAsia="en-GB"/>
              </w:rPr>
            </w:pPr>
          </w:p>
        </w:tc>
        <w:tc>
          <w:tcPr>
            <w:tcW w:w="1098" w:type="pct"/>
            <w:tcBorders>
              <w:top w:val="single" w:sz="4" w:space="0" w:color="auto"/>
              <w:left w:val="single" w:sz="4" w:space="0" w:color="auto"/>
              <w:bottom w:val="single" w:sz="4" w:space="0" w:color="auto"/>
              <w:right w:val="single" w:sz="4" w:space="0" w:color="auto"/>
            </w:tcBorders>
            <w:vAlign w:val="bottom"/>
            <w:hideMark/>
          </w:tcPr>
          <w:p w14:paraId="23D742D3"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rzadko</w:t>
            </w:r>
          </w:p>
        </w:tc>
      </w:tr>
      <w:tr w:rsidR="00A610E1" w:rsidRPr="00BD22FE" w14:paraId="1D95B820" w14:textId="77777777" w:rsidTr="00A610E1">
        <w:tc>
          <w:tcPr>
            <w:tcW w:w="1084" w:type="pct"/>
            <w:vMerge/>
            <w:tcBorders>
              <w:left w:val="single" w:sz="4" w:space="0" w:color="auto"/>
              <w:right w:val="single" w:sz="4" w:space="0" w:color="auto"/>
            </w:tcBorders>
            <w:hideMark/>
          </w:tcPr>
          <w:p w14:paraId="5F9DD6EC" w14:textId="77777777" w:rsidR="00A610E1" w:rsidRPr="00BD22FE" w:rsidRDefault="00A610E1" w:rsidP="00A610E1">
            <w:pPr>
              <w:rPr>
                <w:color w:val="000000"/>
                <w:sz w:val="22"/>
                <w:szCs w:val="22"/>
                <w:highlight w:val="yellow"/>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454AFB58"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Bezsenność</w:t>
            </w:r>
          </w:p>
        </w:tc>
        <w:tc>
          <w:tcPr>
            <w:tcW w:w="804" w:type="pct"/>
            <w:tcBorders>
              <w:top w:val="single" w:sz="4" w:space="0" w:color="auto"/>
              <w:left w:val="single" w:sz="4" w:space="0" w:color="auto"/>
              <w:bottom w:val="single" w:sz="4" w:space="0" w:color="auto"/>
              <w:right w:val="single" w:sz="4" w:space="0" w:color="auto"/>
            </w:tcBorders>
            <w:vAlign w:val="bottom"/>
            <w:hideMark/>
          </w:tcPr>
          <w:p w14:paraId="6899301D" w14:textId="77777777" w:rsidR="00A610E1" w:rsidRPr="00BD22FE" w:rsidRDefault="00A610E1" w:rsidP="00A610E1">
            <w:pPr>
              <w:rPr>
                <w:color w:val="000000"/>
                <w:sz w:val="22"/>
                <w:szCs w:val="22"/>
                <w:lang w:val="pl-PL" w:eastAsia="en-GB"/>
              </w:rPr>
            </w:pPr>
          </w:p>
        </w:tc>
        <w:tc>
          <w:tcPr>
            <w:tcW w:w="788" w:type="pct"/>
            <w:tcBorders>
              <w:top w:val="single" w:sz="4" w:space="0" w:color="auto"/>
              <w:left w:val="single" w:sz="4" w:space="0" w:color="auto"/>
              <w:bottom w:val="single" w:sz="4" w:space="0" w:color="auto"/>
              <w:right w:val="single" w:sz="4" w:space="0" w:color="auto"/>
            </w:tcBorders>
            <w:vAlign w:val="bottom"/>
            <w:hideMark/>
          </w:tcPr>
          <w:p w14:paraId="57D7BDDF"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rzadko</w:t>
            </w:r>
          </w:p>
        </w:tc>
        <w:tc>
          <w:tcPr>
            <w:tcW w:w="1098" w:type="pct"/>
            <w:tcBorders>
              <w:top w:val="single" w:sz="4" w:space="0" w:color="auto"/>
              <w:left w:val="single" w:sz="4" w:space="0" w:color="auto"/>
              <w:bottom w:val="single" w:sz="4" w:space="0" w:color="auto"/>
              <w:right w:val="single" w:sz="4" w:space="0" w:color="auto"/>
            </w:tcBorders>
            <w:vAlign w:val="bottom"/>
            <w:hideMark/>
          </w:tcPr>
          <w:p w14:paraId="0A9BFF16" w14:textId="77777777" w:rsidR="00A610E1" w:rsidRPr="00BD22FE" w:rsidRDefault="00A610E1" w:rsidP="00A610E1">
            <w:pPr>
              <w:rPr>
                <w:color w:val="000000"/>
                <w:sz w:val="22"/>
                <w:szCs w:val="22"/>
                <w:lang w:val="pl-PL" w:eastAsia="en-GB"/>
              </w:rPr>
            </w:pPr>
          </w:p>
        </w:tc>
      </w:tr>
      <w:tr w:rsidR="00A610E1" w:rsidRPr="00BD22FE" w14:paraId="1E36529B" w14:textId="77777777" w:rsidTr="00A610E1">
        <w:tc>
          <w:tcPr>
            <w:tcW w:w="1084" w:type="pct"/>
            <w:vMerge/>
            <w:tcBorders>
              <w:left w:val="single" w:sz="4" w:space="0" w:color="auto"/>
              <w:bottom w:val="single" w:sz="4" w:space="0" w:color="auto"/>
              <w:right w:val="single" w:sz="4" w:space="0" w:color="auto"/>
            </w:tcBorders>
            <w:hideMark/>
          </w:tcPr>
          <w:p w14:paraId="13C561E5" w14:textId="77777777" w:rsidR="00A610E1" w:rsidRPr="00BD22FE" w:rsidRDefault="00A610E1" w:rsidP="00A610E1">
            <w:pPr>
              <w:rPr>
                <w:sz w:val="22"/>
                <w:szCs w:val="22"/>
                <w:highlight w:val="yellow"/>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16493F7F"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Ból głowy</w:t>
            </w:r>
          </w:p>
        </w:tc>
        <w:tc>
          <w:tcPr>
            <w:tcW w:w="804" w:type="pct"/>
            <w:tcBorders>
              <w:top w:val="single" w:sz="4" w:space="0" w:color="auto"/>
              <w:left w:val="single" w:sz="4" w:space="0" w:color="auto"/>
              <w:bottom w:val="single" w:sz="4" w:space="0" w:color="auto"/>
              <w:right w:val="single" w:sz="4" w:space="0" w:color="auto"/>
            </w:tcBorders>
            <w:vAlign w:val="bottom"/>
            <w:hideMark/>
          </w:tcPr>
          <w:p w14:paraId="1315B28C" w14:textId="77777777" w:rsidR="00A610E1" w:rsidRPr="00BD22FE" w:rsidRDefault="00A610E1" w:rsidP="00A610E1">
            <w:pPr>
              <w:rPr>
                <w:color w:val="000000"/>
                <w:sz w:val="22"/>
                <w:szCs w:val="22"/>
                <w:lang w:val="pl-PL" w:eastAsia="en-GB"/>
              </w:rPr>
            </w:pPr>
          </w:p>
        </w:tc>
        <w:tc>
          <w:tcPr>
            <w:tcW w:w="788" w:type="pct"/>
            <w:tcBorders>
              <w:top w:val="single" w:sz="4" w:space="0" w:color="auto"/>
              <w:left w:val="single" w:sz="4" w:space="0" w:color="auto"/>
              <w:bottom w:val="single" w:sz="4" w:space="0" w:color="auto"/>
              <w:right w:val="single" w:sz="4" w:space="0" w:color="auto"/>
            </w:tcBorders>
            <w:vAlign w:val="bottom"/>
            <w:hideMark/>
          </w:tcPr>
          <w:p w14:paraId="426F5C4E" w14:textId="77777777" w:rsidR="00A610E1" w:rsidRPr="00BD22FE" w:rsidRDefault="00A610E1" w:rsidP="00A610E1">
            <w:pPr>
              <w:rPr>
                <w:sz w:val="22"/>
                <w:szCs w:val="22"/>
                <w:lang w:val="pl-PL" w:eastAsia="en-GB"/>
              </w:rPr>
            </w:pPr>
          </w:p>
        </w:tc>
        <w:tc>
          <w:tcPr>
            <w:tcW w:w="1098" w:type="pct"/>
            <w:tcBorders>
              <w:top w:val="single" w:sz="4" w:space="0" w:color="auto"/>
              <w:left w:val="single" w:sz="4" w:space="0" w:color="auto"/>
              <w:bottom w:val="single" w:sz="4" w:space="0" w:color="auto"/>
              <w:right w:val="single" w:sz="4" w:space="0" w:color="auto"/>
            </w:tcBorders>
            <w:vAlign w:val="bottom"/>
            <w:hideMark/>
          </w:tcPr>
          <w:p w14:paraId="4535060F"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rzadko</w:t>
            </w:r>
          </w:p>
        </w:tc>
      </w:tr>
      <w:tr w:rsidR="00A610E1" w:rsidRPr="00BD22FE" w14:paraId="53BB814C" w14:textId="77777777" w:rsidTr="00A610E1">
        <w:tc>
          <w:tcPr>
            <w:tcW w:w="1084" w:type="pct"/>
            <w:vMerge w:val="restart"/>
            <w:tcBorders>
              <w:top w:val="single" w:sz="4" w:space="0" w:color="auto"/>
              <w:left w:val="single" w:sz="4" w:space="0" w:color="auto"/>
              <w:right w:val="single" w:sz="4" w:space="0" w:color="auto"/>
            </w:tcBorders>
            <w:hideMark/>
          </w:tcPr>
          <w:p w14:paraId="250BC007" w14:textId="77777777" w:rsidR="00A610E1" w:rsidRPr="00BD22FE" w:rsidRDefault="00A610E1" w:rsidP="00A610E1">
            <w:pPr>
              <w:rPr>
                <w:b/>
                <w:bCs/>
                <w:color w:val="000000"/>
                <w:sz w:val="22"/>
                <w:szCs w:val="22"/>
                <w:highlight w:val="yellow"/>
                <w:lang w:val="pl-PL" w:eastAsia="en-GB"/>
              </w:rPr>
            </w:pPr>
            <w:r w:rsidRPr="00BD22FE">
              <w:rPr>
                <w:b/>
                <w:bCs/>
                <w:sz w:val="22"/>
                <w:szCs w:val="22"/>
                <w:lang w:val="pl-PL"/>
              </w:rPr>
              <w:t>Zaburzenia oka</w:t>
            </w:r>
          </w:p>
        </w:tc>
        <w:tc>
          <w:tcPr>
            <w:tcW w:w="1226" w:type="pct"/>
            <w:tcBorders>
              <w:top w:val="single" w:sz="4" w:space="0" w:color="auto"/>
              <w:left w:val="single" w:sz="4" w:space="0" w:color="auto"/>
              <w:bottom w:val="single" w:sz="4" w:space="0" w:color="auto"/>
              <w:right w:val="single" w:sz="4" w:space="0" w:color="auto"/>
            </w:tcBorders>
            <w:vAlign w:val="bottom"/>
            <w:hideMark/>
          </w:tcPr>
          <w:p w14:paraId="4ED29D77"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Zaburzenia widzenia</w:t>
            </w:r>
          </w:p>
        </w:tc>
        <w:tc>
          <w:tcPr>
            <w:tcW w:w="804" w:type="pct"/>
            <w:tcBorders>
              <w:top w:val="single" w:sz="4" w:space="0" w:color="auto"/>
              <w:left w:val="single" w:sz="4" w:space="0" w:color="auto"/>
              <w:bottom w:val="single" w:sz="4" w:space="0" w:color="auto"/>
              <w:right w:val="single" w:sz="4" w:space="0" w:color="auto"/>
            </w:tcBorders>
            <w:vAlign w:val="bottom"/>
            <w:hideMark/>
          </w:tcPr>
          <w:p w14:paraId="00EFBEAB"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rzadko</w:t>
            </w:r>
          </w:p>
        </w:tc>
        <w:tc>
          <w:tcPr>
            <w:tcW w:w="788" w:type="pct"/>
            <w:tcBorders>
              <w:top w:val="single" w:sz="4" w:space="0" w:color="auto"/>
              <w:left w:val="single" w:sz="4" w:space="0" w:color="auto"/>
              <w:bottom w:val="single" w:sz="4" w:space="0" w:color="auto"/>
              <w:right w:val="single" w:sz="4" w:space="0" w:color="auto"/>
            </w:tcBorders>
            <w:vAlign w:val="bottom"/>
            <w:hideMark/>
          </w:tcPr>
          <w:p w14:paraId="087250D5"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rzadko</w:t>
            </w:r>
          </w:p>
        </w:tc>
        <w:tc>
          <w:tcPr>
            <w:tcW w:w="1098" w:type="pct"/>
            <w:tcBorders>
              <w:top w:val="single" w:sz="4" w:space="0" w:color="auto"/>
              <w:left w:val="single" w:sz="4" w:space="0" w:color="auto"/>
              <w:bottom w:val="single" w:sz="4" w:space="0" w:color="auto"/>
              <w:right w:val="single" w:sz="4" w:space="0" w:color="auto"/>
            </w:tcBorders>
            <w:vAlign w:val="bottom"/>
            <w:hideMark/>
          </w:tcPr>
          <w:p w14:paraId="2493C363"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rzadko</w:t>
            </w:r>
          </w:p>
        </w:tc>
      </w:tr>
      <w:tr w:rsidR="00A610E1" w:rsidRPr="00BD22FE" w14:paraId="02D23C97" w14:textId="77777777" w:rsidTr="00A610E1">
        <w:tc>
          <w:tcPr>
            <w:tcW w:w="1084" w:type="pct"/>
            <w:vMerge/>
            <w:tcBorders>
              <w:left w:val="single" w:sz="4" w:space="0" w:color="auto"/>
              <w:right w:val="single" w:sz="4" w:space="0" w:color="auto"/>
            </w:tcBorders>
            <w:hideMark/>
          </w:tcPr>
          <w:p w14:paraId="5B5C1803" w14:textId="77777777" w:rsidR="00A610E1" w:rsidRPr="00BD22FE" w:rsidRDefault="00A610E1" w:rsidP="00A610E1">
            <w:pPr>
              <w:rPr>
                <w:color w:val="000000"/>
                <w:sz w:val="22"/>
                <w:szCs w:val="22"/>
                <w:highlight w:val="yellow"/>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771213B0" w14:textId="77777777" w:rsidR="00A610E1" w:rsidRPr="00BD22FE" w:rsidRDefault="00A610E1" w:rsidP="00A610E1">
            <w:pPr>
              <w:rPr>
                <w:color w:val="000000"/>
                <w:sz w:val="22"/>
                <w:szCs w:val="22"/>
                <w:lang w:val="pl-PL" w:eastAsia="en-GB"/>
              </w:rPr>
            </w:pPr>
            <w:r w:rsidRPr="00BD22FE">
              <w:rPr>
                <w:sz w:val="22"/>
                <w:szCs w:val="22"/>
                <w:lang w:val="pl-PL"/>
              </w:rPr>
              <w:t>Niewyraźne widzenie</w:t>
            </w:r>
          </w:p>
        </w:tc>
        <w:tc>
          <w:tcPr>
            <w:tcW w:w="804" w:type="pct"/>
            <w:tcBorders>
              <w:top w:val="single" w:sz="4" w:space="0" w:color="auto"/>
              <w:left w:val="single" w:sz="4" w:space="0" w:color="auto"/>
              <w:bottom w:val="single" w:sz="4" w:space="0" w:color="auto"/>
              <w:right w:val="single" w:sz="4" w:space="0" w:color="auto"/>
            </w:tcBorders>
            <w:vAlign w:val="bottom"/>
            <w:hideMark/>
          </w:tcPr>
          <w:p w14:paraId="0B8A36A9"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rzadko</w:t>
            </w:r>
          </w:p>
        </w:tc>
        <w:tc>
          <w:tcPr>
            <w:tcW w:w="788" w:type="pct"/>
            <w:tcBorders>
              <w:top w:val="single" w:sz="4" w:space="0" w:color="auto"/>
              <w:left w:val="single" w:sz="4" w:space="0" w:color="auto"/>
              <w:bottom w:val="single" w:sz="4" w:space="0" w:color="auto"/>
              <w:right w:val="single" w:sz="4" w:space="0" w:color="auto"/>
            </w:tcBorders>
            <w:vAlign w:val="bottom"/>
            <w:hideMark/>
          </w:tcPr>
          <w:p w14:paraId="505F9E47" w14:textId="77777777" w:rsidR="00A610E1" w:rsidRPr="00BD22FE" w:rsidRDefault="00A610E1" w:rsidP="00A610E1">
            <w:pPr>
              <w:rPr>
                <w:color w:val="000000"/>
                <w:sz w:val="22"/>
                <w:szCs w:val="22"/>
                <w:lang w:val="pl-PL" w:eastAsia="en-GB"/>
              </w:rPr>
            </w:pPr>
          </w:p>
        </w:tc>
        <w:tc>
          <w:tcPr>
            <w:tcW w:w="1098" w:type="pct"/>
            <w:tcBorders>
              <w:top w:val="single" w:sz="4" w:space="0" w:color="auto"/>
              <w:left w:val="single" w:sz="4" w:space="0" w:color="auto"/>
              <w:bottom w:val="single" w:sz="4" w:space="0" w:color="auto"/>
              <w:right w:val="single" w:sz="4" w:space="0" w:color="auto"/>
            </w:tcBorders>
            <w:vAlign w:val="bottom"/>
            <w:hideMark/>
          </w:tcPr>
          <w:p w14:paraId="7F47DC10" w14:textId="77777777" w:rsidR="00A610E1" w:rsidRPr="00BD22FE" w:rsidRDefault="00A610E1" w:rsidP="00A610E1">
            <w:pPr>
              <w:rPr>
                <w:sz w:val="22"/>
                <w:szCs w:val="22"/>
                <w:lang w:val="pl-PL" w:eastAsia="en-GB"/>
              </w:rPr>
            </w:pPr>
          </w:p>
        </w:tc>
      </w:tr>
      <w:tr w:rsidR="00A610E1" w:rsidRPr="00BD22FE" w14:paraId="5CD00F9E" w14:textId="77777777" w:rsidTr="00A610E1">
        <w:tc>
          <w:tcPr>
            <w:tcW w:w="1084" w:type="pct"/>
            <w:vMerge/>
            <w:tcBorders>
              <w:left w:val="single" w:sz="4" w:space="0" w:color="auto"/>
              <w:right w:val="single" w:sz="4" w:space="0" w:color="auto"/>
            </w:tcBorders>
            <w:hideMark/>
          </w:tcPr>
          <w:p w14:paraId="566B1A30" w14:textId="77777777" w:rsidR="00A610E1" w:rsidRPr="00BD22FE" w:rsidRDefault="00A610E1" w:rsidP="00A610E1">
            <w:pPr>
              <w:rPr>
                <w:sz w:val="22"/>
                <w:szCs w:val="22"/>
                <w:highlight w:val="yellow"/>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65D87928"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Ostra jaskra z zamkniętym kątem przesączania</w:t>
            </w:r>
          </w:p>
        </w:tc>
        <w:tc>
          <w:tcPr>
            <w:tcW w:w="804" w:type="pct"/>
            <w:tcBorders>
              <w:top w:val="single" w:sz="4" w:space="0" w:color="auto"/>
              <w:left w:val="single" w:sz="4" w:space="0" w:color="auto"/>
              <w:bottom w:val="single" w:sz="4" w:space="0" w:color="auto"/>
              <w:right w:val="single" w:sz="4" w:space="0" w:color="auto"/>
            </w:tcBorders>
            <w:vAlign w:val="bottom"/>
            <w:hideMark/>
          </w:tcPr>
          <w:p w14:paraId="3CACDC95" w14:textId="77777777" w:rsidR="00A610E1" w:rsidRPr="00BD22FE" w:rsidRDefault="00A610E1" w:rsidP="00A610E1">
            <w:pPr>
              <w:rPr>
                <w:color w:val="000000"/>
                <w:sz w:val="22"/>
                <w:szCs w:val="22"/>
                <w:lang w:val="pl-PL" w:eastAsia="en-GB"/>
              </w:rPr>
            </w:pPr>
          </w:p>
        </w:tc>
        <w:tc>
          <w:tcPr>
            <w:tcW w:w="788" w:type="pct"/>
            <w:tcBorders>
              <w:top w:val="single" w:sz="4" w:space="0" w:color="auto"/>
              <w:left w:val="single" w:sz="4" w:space="0" w:color="auto"/>
              <w:bottom w:val="single" w:sz="4" w:space="0" w:color="auto"/>
              <w:right w:val="single" w:sz="4" w:space="0" w:color="auto"/>
            </w:tcBorders>
            <w:vAlign w:val="bottom"/>
            <w:hideMark/>
          </w:tcPr>
          <w:p w14:paraId="4E970CEE" w14:textId="77777777" w:rsidR="00A610E1" w:rsidRPr="00BD22FE" w:rsidRDefault="00A610E1" w:rsidP="00A610E1">
            <w:pPr>
              <w:rPr>
                <w:sz w:val="22"/>
                <w:szCs w:val="22"/>
                <w:lang w:val="pl-PL" w:eastAsia="en-GB"/>
              </w:rPr>
            </w:pPr>
          </w:p>
        </w:tc>
        <w:tc>
          <w:tcPr>
            <w:tcW w:w="1098" w:type="pct"/>
            <w:tcBorders>
              <w:top w:val="single" w:sz="4" w:space="0" w:color="auto"/>
              <w:left w:val="single" w:sz="4" w:space="0" w:color="auto"/>
              <w:bottom w:val="single" w:sz="4" w:space="0" w:color="auto"/>
              <w:right w:val="single" w:sz="4" w:space="0" w:color="auto"/>
            </w:tcBorders>
            <w:vAlign w:val="bottom"/>
            <w:hideMark/>
          </w:tcPr>
          <w:p w14:paraId="13D7E745" w14:textId="77777777" w:rsidR="00A610E1" w:rsidRPr="00BD22FE" w:rsidRDefault="00A610E1" w:rsidP="00A610E1">
            <w:pPr>
              <w:rPr>
                <w:color w:val="000000"/>
                <w:sz w:val="22"/>
                <w:szCs w:val="22"/>
                <w:lang w:val="pl-PL" w:eastAsia="en-GB"/>
              </w:rPr>
            </w:pPr>
            <w:r w:rsidRPr="00BD22FE">
              <w:rPr>
                <w:sz w:val="22"/>
                <w:szCs w:val="22"/>
                <w:lang w:val="pl-PL"/>
              </w:rPr>
              <w:t>częstość nieznana</w:t>
            </w:r>
          </w:p>
        </w:tc>
      </w:tr>
      <w:tr w:rsidR="00A610E1" w:rsidRPr="00BD22FE" w14:paraId="59120871" w14:textId="77777777" w:rsidTr="00A610E1">
        <w:tc>
          <w:tcPr>
            <w:tcW w:w="1084" w:type="pct"/>
            <w:vMerge/>
            <w:tcBorders>
              <w:left w:val="single" w:sz="4" w:space="0" w:color="auto"/>
              <w:bottom w:val="single" w:sz="4" w:space="0" w:color="auto"/>
              <w:right w:val="single" w:sz="4" w:space="0" w:color="auto"/>
            </w:tcBorders>
            <w:hideMark/>
          </w:tcPr>
          <w:p w14:paraId="34F3FA2A" w14:textId="77777777" w:rsidR="00A610E1" w:rsidRPr="00BD22FE" w:rsidRDefault="00A610E1" w:rsidP="00A610E1">
            <w:pPr>
              <w:rPr>
                <w:color w:val="000000"/>
                <w:sz w:val="22"/>
                <w:szCs w:val="22"/>
                <w:highlight w:val="yellow"/>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0ED0E7F7"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Nadmierne nagromadzenie płynu między naczyniówką a twardówką</w:t>
            </w:r>
          </w:p>
        </w:tc>
        <w:tc>
          <w:tcPr>
            <w:tcW w:w="804" w:type="pct"/>
            <w:tcBorders>
              <w:top w:val="single" w:sz="4" w:space="0" w:color="auto"/>
              <w:left w:val="single" w:sz="4" w:space="0" w:color="auto"/>
              <w:bottom w:val="single" w:sz="4" w:space="0" w:color="auto"/>
              <w:right w:val="single" w:sz="4" w:space="0" w:color="auto"/>
            </w:tcBorders>
            <w:vAlign w:val="bottom"/>
            <w:hideMark/>
          </w:tcPr>
          <w:p w14:paraId="7F5FA5E0" w14:textId="77777777" w:rsidR="00A610E1" w:rsidRPr="00BD22FE" w:rsidRDefault="00A610E1" w:rsidP="00A610E1">
            <w:pPr>
              <w:rPr>
                <w:color w:val="000000"/>
                <w:sz w:val="22"/>
                <w:szCs w:val="22"/>
                <w:lang w:val="pl-PL" w:eastAsia="en-GB"/>
              </w:rPr>
            </w:pPr>
          </w:p>
        </w:tc>
        <w:tc>
          <w:tcPr>
            <w:tcW w:w="788" w:type="pct"/>
            <w:tcBorders>
              <w:top w:val="single" w:sz="4" w:space="0" w:color="auto"/>
              <w:left w:val="single" w:sz="4" w:space="0" w:color="auto"/>
              <w:bottom w:val="single" w:sz="4" w:space="0" w:color="auto"/>
              <w:right w:val="single" w:sz="4" w:space="0" w:color="auto"/>
            </w:tcBorders>
            <w:vAlign w:val="bottom"/>
            <w:hideMark/>
          </w:tcPr>
          <w:p w14:paraId="136B7698" w14:textId="77777777" w:rsidR="00A610E1" w:rsidRPr="00BD22FE" w:rsidRDefault="00A610E1" w:rsidP="00A610E1">
            <w:pPr>
              <w:rPr>
                <w:sz w:val="22"/>
                <w:szCs w:val="22"/>
                <w:lang w:val="pl-PL" w:eastAsia="en-GB"/>
              </w:rPr>
            </w:pPr>
          </w:p>
        </w:tc>
        <w:tc>
          <w:tcPr>
            <w:tcW w:w="1098" w:type="pct"/>
            <w:tcBorders>
              <w:top w:val="single" w:sz="4" w:space="0" w:color="auto"/>
              <w:left w:val="single" w:sz="4" w:space="0" w:color="auto"/>
              <w:bottom w:val="single" w:sz="4" w:space="0" w:color="auto"/>
              <w:right w:val="single" w:sz="4" w:space="0" w:color="auto"/>
            </w:tcBorders>
            <w:vAlign w:val="bottom"/>
            <w:hideMark/>
          </w:tcPr>
          <w:p w14:paraId="1CB14E35" w14:textId="77777777" w:rsidR="00A610E1" w:rsidRPr="00BD22FE" w:rsidRDefault="00A610E1" w:rsidP="00A610E1">
            <w:pPr>
              <w:rPr>
                <w:color w:val="000000"/>
                <w:sz w:val="22"/>
                <w:szCs w:val="22"/>
                <w:lang w:val="pl-PL" w:eastAsia="en-GB"/>
              </w:rPr>
            </w:pPr>
            <w:r w:rsidRPr="00BD22FE">
              <w:rPr>
                <w:sz w:val="22"/>
                <w:szCs w:val="22"/>
                <w:lang w:val="pl-PL"/>
              </w:rPr>
              <w:t>częstość nieznana</w:t>
            </w:r>
          </w:p>
        </w:tc>
      </w:tr>
      <w:tr w:rsidR="00A610E1" w:rsidRPr="00BD22FE" w14:paraId="3D48D0C6" w14:textId="77777777" w:rsidTr="00A610E1">
        <w:tc>
          <w:tcPr>
            <w:tcW w:w="1084" w:type="pct"/>
            <w:tcBorders>
              <w:top w:val="single" w:sz="4" w:space="0" w:color="auto"/>
              <w:left w:val="single" w:sz="4" w:space="0" w:color="auto"/>
              <w:bottom w:val="single" w:sz="4" w:space="0" w:color="auto"/>
              <w:right w:val="single" w:sz="4" w:space="0" w:color="auto"/>
            </w:tcBorders>
            <w:hideMark/>
          </w:tcPr>
          <w:p w14:paraId="23DAB1F1" w14:textId="77777777" w:rsidR="00A610E1" w:rsidRPr="00BD22FE" w:rsidRDefault="00A610E1" w:rsidP="00A610E1">
            <w:pPr>
              <w:rPr>
                <w:b/>
                <w:bCs/>
                <w:color w:val="000000"/>
                <w:sz w:val="22"/>
                <w:szCs w:val="22"/>
                <w:highlight w:val="yellow"/>
                <w:lang w:val="pl-PL" w:eastAsia="en-GB"/>
              </w:rPr>
            </w:pPr>
            <w:r w:rsidRPr="00BD22FE">
              <w:rPr>
                <w:b/>
                <w:bCs/>
                <w:sz w:val="22"/>
                <w:szCs w:val="22"/>
                <w:lang w:val="pl-PL"/>
              </w:rPr>
              <w:t>Zaburzenia ucha i błędnika</w:t>
            </w:r>
          </w:p>
        </w:tc>
        <w:tc>
          <w:tcPr>
            <w:tcW w:w="1226" w:type="pct"/>
            <w:tcBorders>
              <w:top w:val="single" w:sz="4" w:space="0" w:color="auto"/>
              <w:left w:val="single" w:sz="4" w:space="0" w:color="auto"/>
              <w:bottom w:val="single" w:sz="4" w:space="0" w:color="auto"/>
              <w:right w:val="single" w:sz="4" w:space="0" w:color="auto"/>
            </w:tcBorders>
            <w:vAlign w:val="bottom"/>
            <w:hideMark/>
          </w:tcPr>
          <w:p w14:paraId="17E92AB1"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Zawroty głowy pochodzenia błędnikowego</w:t>
            </w:r>
          </w:p>
        </w:tc>
        <w:tc>
          <w:tcPr>
            <w:tcW w:w="804" w:type="pct"/>
            <w:tcBorders>
              <w:top w:val="single" w:sz="4" w:space="0" w:color="auto"/>
              <w:left w:val="single" w:sz="4" w:space="0" w:color="auto"/>
              <w:bottom w:val="single" w:sz="4" w:space="0" w:color="auto"/>
              <w:right w:val="single" w:sz="4" w:space="0" w:color="auto"/>
            </w:tcBorders>
            <w:vAlign w:val="bottom"/>
            <w:hideMark/>
          </w:tcPr>
          <w:p w14:paraId="67178E5B"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niezbyt często</w:t>
            </w:r>
          </w:p>
        </w:tc>
        <w:tc>
          <w:tcPr>
            <w:tcW w:w="788" w:type="pct"/>
            <w:tcBorders>
              <w:top w:val="single" w:sz="4" w:space="0" w:color="auto"/>
              <w:left w:val="single" w:sz="4" w:space="0" w:color="auto"/>
              <w:bottom w:val="single" w:sz="4" w:space="0" w:color="auto"/>
              <w:right w:val="single" w:sz="4" w:space="0" w:color="auto"/>
            </w:tcBorders>
            <w:vAlign w:val="bottom"/>
            <w:hideMark/>
          </w:tcPr>
          <w:p w14:paraId="0DBD32E5"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niezbyt często</w:t>
            </w:r>
          </w:p>
        </w:tc>
        <w:tc>
          <w:tcPr>
            <w:tcW w:w="1098" w:type="pct"/>
            <w:tcBorders>
              <w:top w:val="single" w:sz="4" w:space="0" w:color="auto"/>
              <w:left w:val="single" w:sz="4" w:space="0" w:color="auto"/>
              <w:bottom w:val="single" w:sz="4" w:space="0" w:color="auto"/>
              <w:right w:val="single" w:sz="4" w:space="0" w:color="auto"/>
            </w:tcBorders>
            <w:vAlign w:val="bottom"/>
            <w:hideMark/>
          </w:tcPr>
          <w:p w14:paraId="2E563C01" w14:textId="77777777" w:rsidR="00A610E1" w:rsidRPr="00BD22FE" w:rsidRDefault="00A610E1" w:rsidP="00A610E1">
            <w:pPr>
              <w:rPr>
                <w:color w:val="000000"/>
                <w:sz w:val="22"/>
                <w:szCs w:val="22"/>
                <w:lang w:val="pl-PL" w:eastAsia="en-GB"/>
              </w:rPr>
            </w:pPr>
          </w:p>
        </w:tc>
      </w:tr>
      <w:tr w:rsidR="00A610E1" w:rsidRPr="00BD22FE" w14:paraId="28CF02BF" w14:textId="77777777" w:rsidTr="00A610E1">
        <w:tc>
          <w:tcPr>
            <w:tcW w:w="1084" w:type="pct"/>
            <w:vMerge w:val="restart"/>
            <w:tcBorders>
              <w:top w:val="single" w:sz="4" w:space="0" w:color="auto"/>
              <w:left w:val="single" w:sz="4" w:space="0" w:color="auto"/>
              <w:right w:val="single" w:sz="4" w:space="0" w:color="auto"/>
            </w:tcBorders>
            <w:hideMark/>
          </w:tcPr>
          <w:p w14:paraId="2D7E10AD" w14:textId="77777777" w:rsidR="00A610E1" w:rsidRPr="00BD22FE" w:rsidRDefault="00A610E1" w:rsidP="00A610E1">
            <w:pPr>
              <w:rPr>
                <w:b/>
                <w:bCs/>
                <w:color w:val="000000"/>
                <w:sz w:val="22"/>
                <w:szCs w:val="22"/>
                <w:highlight w:val="yellow"/>
                <w:lang w:val="pl-PL" w:eastAsia="en-GB"/>
              </w:rPr>
            </w:pPr>
            <w:r w:rsidRPr="00BD22FE">
              <w:rPr>
                <w:b/>
                <w:bCs/>
                <w:sz w:val="22"/>
                <w:szCs w:val="22"/>
                <w:lang w:val="pl-PL"/>
              </w:rPr>
              <w:t>Zaburzenia serca</w:t>
            </w:r>
          </w:p>
        </w:tc>
        <w:tc>
          <w:tcPr>
            <w:tcW w:w="1226" w:type="pct"/>
            <w:tcBorders>
              <w:top w:val="single" w:sz="4" w:space="0" w:color="auto"/>
              <w:left w:val="single" w:sz="4" w:space="0" w:color="auto"/>
              <w:bottom w:val="single" w:sz="4" w:space="0" w:color="auto"/>
              <w:right w:val="single" w:sz="4" w:space="0" w:color="auto"/>
            </w:tcBorders>
            <w:vAlign w:val="bottom"/>
            <w:hideMark/>
          </w:tcPr>
          <w:p w14:paraId="58528108" w14:textId="77777777" w:rsidR="00A610E1" w:rsidRPr="00BD22FE" w:rsidRDefault="00A610E1" w:rsidP="00A610E1">
            <w:pPr>
              <w:rPr>
                <w:color w:val="000000"/>
                <w:sz w:val="22"/>
                <w:szCs w:val="22"/>
                <w:lang w:val="pl-PL" w:eastAsia="en-GB"/>
              </w:rPr>
            </w:pPr>
            <w:r w:rsidRPr="00BD22FE">
              <w:rPr>
                <w:sz w:val="22"/>
                <w:szCs w:val="22"/>
                <w:lang w:val="pl-PL"/>
              </w:rPr>
              <w:t>Częstoskurcz</w:t>
            </w:r>
          </w:p>
        </w:tc>
        <w:tc>
          <w:tcPr>
            <w:tcW w:w="804" w:type="pct"/>
            <w:tcBorders>
              <w:top w:val="single" w:sz="4" w:space="0" w:color="auto"/>
              <w:left w:val="single" w:sz="4" w:space="0" w:color="auto"/>
              <w:bottom w:val="single" w:sz="4" w:space="0" w:color="auto"/>
              <w:right w:val="single" w:sz="4" w:space="0" w:color="auto"/>
            </w:tcBorders>
            <w:hideMark/>
          </w:tcPr>
          <w:p w14:paraId="702CF4FB"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niezbyt często</w:t>
            </w:r>
          </w:p>
        </w:tc>
        <w:tc>
          <w:tcPr>
            <w:tcW w:w="788" w:type="pct"/>
            <w:tcBorders>
              <w:top w:val="single" w:sz="4" w:space="0" w:color="auto"/>
              <w:left w:val="single" w:sz="4" w:space="0" w:color="auto"/>
              <w:bottom w:val="single" w:sz="4" w:space="0" w:color="auto"/>
              <w:right w:val="single" w:sz="4" w:space="0" w:color="auto"/>
            </w:tcBorders>
            <w:vAlign w:val="bottom"/>
            <w:hideMark/>
          </w:tcPr>
          <w:p w14:paraId="07BF42AA"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rzadko</w:t>
            </w:r>
          </w:p>
        </w:tc>
        <w:tc>
          <w:tcPr>
            <w:tcW w:w="1098" w:type="pct"/>
            <w:tcBorders>
              <w:top w:val="single" w:sz="4" w:space="0" w:color="auto"/>
              <w:left w:val="single" w:sz="4" w:space="0" w:color="auto"/>
              <w:bottom w:val="single" w:sz="4" w:space="0" w:color="auto"/>
              <w:right w:val="single" w:sz="4" w:space="0" w:color="auto"/>
            </w:tcBorders>
            <w:vAlign w:val="bottom"/>
            <w:hideMark/>
          </w:tcPr>
          <w:p w14:paraId="4F6D2270" w14:textId="77777777" w:rsidR="00A610E1" w:rsidRPr="00BD22FE" w:rsidRDefault="00A610E1" w:rsidP="00A610E1">
            <w:pPr>
              <w:rPr>
                <w:color w:val="000000"/>
                <w:sz w:val="22"/>
                <w:szCs w:val="22"/>
                <w:lang w:val="pl-PL" w:eastAsia="en-GB"/>
              </w:rPr>
            </w:pPr>
          </w:p>
        </w:tc>
      </w:tr>
      <w:tr w:rsidR="00A610E1" w:rsidRPr="00BD22FE" w14:paraId="715B1823" w14:textId="77777777" w:rsidTr="00A610E1">
        <w:tc>
          <w:tcPr>
            <w:tcW w:w="1084" w:type="pct"/>
            <w:vMerge/>
            <w:tcBorders>
              <w:left w:val="single" w:sz="4" w:space="0" w:color="auto"/>
              <w:right w:val="single" w:sz="4" w:space="0" w:color="auto"/>
            </w:tcBorders>
            <w:hideMark/>
          </w:tcPr>
          <w:p w14:paraId="28A92DFC" w14:textId="77777777" w:rsidR="00A610E1" w:rsidRPr="00BD22FE" w:rsidRDefault="00A610E1" w:rsidP="00A610E1">
            <w:pPr>
              <w:rPr>
                <w:sz w:val="22"/>
                <w:szCs w:val="22"/>
                <w:highlight w:val="yellow"/>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7D55D2CB" w14:textId="77777777" w:rsidR="00A610E1" w:rsidRPr="00BD22FE" w:rsidRDefault="00A610E1" w:rsidP="00A610E1">
            <w:pPr>
              <w:rPr>
                <w:color w:val="000000"/>
                <w:sz w:val="22"/>
                <w:szCs w:val="22"/>
                <w:lang w:val="pl-PL" w:eastAsia="en-GB"/>
              </w:rPr>
            </w:pPr>
            <w:r w:rsidRPr="00BD22FE">
              <w:rPr>
                <w:sz w:val="22"/>
                <w:szCs w:val="22"/>
                <w:lang w:val="pl-PL"/>
              </w:rPr>
              <w:t>Arytmie</w:t>
            </w:r>
          </w:p>
        </w:tc>
        <w:tc>
          <w:tcPr>
            <w:tcW w:w="804" w:type="pct"/>
            <w:tcBorders>
              <w:top w:val="single" w:sz="4" w:space="0" w:color="auto"/>
              <w:left w:val="single" w:sz="4" w:space="0" w:color="auto"/>
              <w:bottom w:val="single" w:sz="4" w:space="0" w:color="auto"/>
              <w:right w:val="single" w:sz="4" w:space="0" w:color="auto"/>
            </w:tcBorders>
            <w:hideMark/>
          </w:tcPr>
          <w:p w14:paraId="6084A311"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niezbyt często</w:t>
            </w:r>
          </w:p>
        </w:tc>
        <w:tc>
          <w:tcPr>
            <w:tcW w:w="788" w:type="pct"/>
            <w:tcBorders>
              <w:top w:val="single" w:sz="4" w:space="0" w:color="auto"/>
              <w:left w:val="single" w:sz="4" w:space="0" w:color="auto"/>
              <w:bottom w:val="single" w:sz="4" w:space="0" w:color="auto"/>
              <w:right w:val="single" w:sz="4" w:space="0" w:color="auto"/>
            </w:tcBorders>
            <w:vAlign w:val="bottom"/>
            <w:hideMark/>
          </w:tcPr>
          <w:p w14:paraId="5B709D9D" w14:textId="77777777" w:rsidR="00A610E1" w:rsidRPr="00BD22FE" w:rsidRDefault="00A610E1" w:rsidP="00A610E1">
            <w:pPr>
              <w:rPr>
                <w:color w:val="000000"/>
                <w:sz w:val="22"/>
                <w:szCs w:val="22"/>
                <w:lang w:val="pl-PL" w:eastAsia="en-GB"/>
              </w:rPr>
            </w:pPr>
          </w:p>
        </w:tc>
        <w:tc>
          <w:tcPr>
            <w:tcW w:w="1098" w:type="pct"/>
            <w:tcBorders>
              <w:top w:val="single" w:sz="4" w:space="0" w:color="auto"/>
              <w:left w:val="single" w:sz="4" w:space="0" w:color="auto"/>
              <w:bottom w:val="single" w:sz="4" w:space="0" w:color="auto"/>
              <w:right w:val="single" w:sz="4" w:space="0" w:color="auto"/>
            </w:tcBorders>
            <w:vAlign w:val="bottom"/>
            <w:hideMark/>
          </w:tcPr>
          <w:p w14:paraId="0A5B7318"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rzadko</w:t>
            </w:r>
          </w:p>
        </w:tc>
      </w:tr>
      <w:tr w:rsidR="00A610E1" w:rsidRPr="00BD22FE" w14:paraId="49A41253" w14:textId="77777777" w:rsidTr="00A610E1">
        <w:tc>
          <w:tcPr>
            <w:tcW w:w="1084" w:type="pct"/>
            <w:vMerge/>
            <w:tcBorders>
              <w:left w:val="single" w:sz="4" w:space="0" w:color="auto"/>
              <w:bottom w:val="single" w:sz="4" w:space="0" w:color="auto"/>
              <w:right w:val="single" w:sz="4" w:space="0" w:color="auto"/>
            </w:tcBorders>
            <w:hideMark/>
          </w:tcPr>
          <w:p w14:paraId="4EB9EE4D" w14:textId="77777777" w:rsidR="00A610E1" w:rsidRPr="00BD22FE" w:rsidRDefault="00A610E1" w:rsidP="00A610E1">
            <w:pPr>
              <w:rPr>
                <w:color w:val="000000"/>
                <w:sz w:val="22"/>
                <w:szCs w:val="22"/>
                <w:highlight w:val="yellow"/>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4DF7D5EA"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Bradykardia</w:t>
            </w:r>
          </w:p>
        </w:tc>
        <w:tc>
          <w:tcPr>
            <w:tcW w:w="804" w:type="pct"/>
            <w:tcBorders>
              <w:top w:val="single" w:sz="4" w:space="0" w:color="auto"/>
              <w:left w:val="single" w:sz="4" w:space="0" w:color="auto"/>
              <w:bottom w:val="single" w:sz="4" w:space="0" w:color="auto"/>
              <w:right w:val="single" w:sz="4" w:space="0" w:color="auto"/>
            </w:tcBorders>
            <w:vAlign w:val="bottom"/>
            <w:hideMark/>
          </w:tcPr>
          <w:p w14:paraId="37D658F6" w14:textId="77777777" w:rsidR="00A610E1" w:rsidRPr="00BD22FE" w:rsidRDefault="00A610E1" w:rsidP="00A610E1">
            <w:pPr>
              <w:rPr>
                <w:color w:val="000000"/>
                <w:sz w:val="22"/>
                <w:szCs w:val="22"/>
                <w:lang w:val="pl-PL" w:eastAsia="en-GB"/>
              </w:rPr>
            </w:pPr>
          </w:p>
        </w:tc>
        <w:tc>
          <w:tcPr>
            <w:tcW w:w="788" w:type="pct"/>
            <w:tcBorders>
              <w:top w:val="single" w:sz="4" w:space="0" w:color="auto"/>
              <w:left w:val="single" w:sz="4" w:space="0" w:color="auto"/>
              <w:bottom w:val="single" w:sz="4" w:space="0" w:color="auto"/>
              <w:right w:val="single" w:sz="4" w:space="0" w:color="auto"/>
            </w:tcBorders>
            <w:hideMark/>
          </w:tcPr>
          <w:p w14:paraId="351F9EDF"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niezbyt często</w:t>
            </w:r>
          </w:p>
        </w:tc>
        <w:tc>
          <w:tcPr>
            <w:tcW w:w="1098" w:type="pct"/>
            <w:tcBorders>
              <w:top w:val="single" w:sz="4" w:space="0" w:color="auto"/>
              <w:left w:val="single" w:sz="4" w:space="0" w:color="auto"/>
              <w:bottom w:val="single" w:sz="4" w:space="0" w:color="auto"/>
              <w:right w:val="single" w:sz="4" w:space="0" w:color="auto"/>
            </w:tcBorders>
            <w:vAlign w:val="bottom"/>
            <w:hideMark/>
          </w:tcPr>
          <w:p w14:paraId="191EB21F" w14:textId="77777777" w:rsidR="00A610E1" w:rsidRPr="00BD22FE" w:rsidRDefault="00A610E1" w:rsidP="00A610E1">
            <w:pPr>
              <w:rPr>
                <w:color w:val="000000"/>
                <w:sz w:val="22"/>
                <w:szCs w:val="22"/>
                <w:lang w:val="pl-PL" w:eastAsia="en-GB"/>
              </w:rPr>
            </w:pPr>
          </w:p>
        </w:tc>
      </w:tr>
      <w:tr w:rsidR="00A610E1" w:rsidRPr="00BD22FE" w14:paraId="281DFCD5" w14:textId="77777777" w:rsidTr="00A610E1">
        <w:tc>
          <w:tcPr>
            <w:tcW w:w="1084" w:type="pct"/>
            <w:vMerge w:val="restart"/>
            <w:tcBorders>
              <w:top w:val="single" w:sz="4" w:space="0" w:color="auto"/>
              <w:left w:val="single" w:sz="4" w:space="0" w:color="auto"/>
              <w:right w:val="single" w:sz="4" w:space="0" w:color="auto"/>
            </w:tcBorders>
            <w:hideMark/>
          </w:tcPr>
          <w:p w14:paraId="365FC36F" w14:textId="77777777" w:rsidR="00A610E1" w:rsidRPr="00BD22FE" w:rsidRDefault="00A610E1" w:rsidP="00A610E1">
            <w:pPr>
              <w:rPr>
                <w:b/>
                <w:bCs/>
                <w:color w:val="000000"/>
                <w:sz w:val="22"/>
                <w:szCs w:val="22"/>
                <w:highlight w:val="yellow"/>
                <w:lang w:val="pl-PL" w:eastAsia="en-GB"/>
              </w:rPr>
            </w:pPr>
            <w:r w:rsidRPr="00BD22FE">
              <w:rPr>
                <w:b/>
                <w:bCs/>
                <w:sz w:val="22"/>
                <w:szCs w:val="22"/>
                <w:lang w:val="pl-PL"/>
              </w:rPr>
              <w:t>Zaburzenia naczyniowe</w:t>
            </w:r>
          </w:p>
        </w:tc>
        <w:tc>
          <w:tcPr>
            <w:tcW w:w="1226" w:type="pct"/>
            <w:tcBorders>
              <w:top w:val="single" w:sz="4" w:space="0" w:color="auto"/>
              <w:left w:val="single" w:sz="4" w:space="0" w:color="auto"/>
              <w:bottom w:val="single" w:sz="4" w:space="0" w:color="auto"/>
              <w:right w:val="single" w:sz="4" w:space="0" w:color="auto"/>
            </w:tcBorders>
            <w:vAlign w:val="bottom"/>
            <w:hideMark/>
          </w:tcPr>
          <w:p w14:paraId="12D94588"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Niedociśnienie tętnicze</w:t>
            </w:r>
          </w:p>
        </w:tc>
        <w:tc>
          <w:tcPr>
            <w:tcW w:w="804" w:type="pct"/>
            <w:tcBorders>
              <w:top w:val="single" w:sz="4" w:space="0" w:color="auto"/>
              <w:left w:val="single" w:sz="4" w:space="0" w:color="auto"/>
              <w:bottom w:val="single" w:sz="4" w:space="0" w:color="auto"/>
              <w:right w:val="single" w:sz="4" w:space="0" w:color="auto"/>
            </w:tcBorders>
            <w:hideMark/>
          </w:tcPr>
          <w:p w14:paraId="344D1B78"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niezbyt często</w:t>
            </w:r>
          </w:p>
        </w:tc>
        <w:tc>
          <w:tcPr>
            <w:tcW w:w="788" w:type="pct"/>
            <w:tcBorders>
              <w:top w:val="single" w:sz="4" w:space="0" w:color="auto"/>
              <w:left w:val="single" w:sz="4" w:space="0" w:color="auto"/>
              <w:bottom w:val="single" w:sz="4" w:space="0" w:color="auto"/>
              <w:right w:val="single" w:sz="4" w:space="0" w:color="auto"/>
            </w:tcBorders>
            <w:hideMark/>
          </w:tcPr>
          <w:p w14:paraId="0D2392C1"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niezbyt często</w:t>
            </w:r>
          </w:p>
        </w:tc>
        <w:tc>
          <w:tcPr>
            <w:tcW w:w="1098" w:type="pct"/>
            <w:tcBorders>
              <w:top w:val="single" w:sz="4" w:space="0" w:color="auto"/>
              <w:left w:val="single" w:sz="4" w:space="0" w:color="auto"/>
              <w:bottom w:val="single" w:sz="4" w:space="0" w:color="auto"/>
              <w:right w:val="single" w:sz="4" w:space="0" w:color="auto"/>
            </w:tcBorders>
            <w:vAlign w:val="bottom"/>
            <w:hideMark/>
          </w:tcPr>
          <w:p w14:paraId="28C1A685" w14:textId="77777777" w:rsidR="00A610E1" w:rsidRPr="00BD22FE" w:rsidRDefault="00A610E1" w:rsidP="00A610E1">
            <w:pPr>
              <w:rPr>
                <w:color w:val="000000"/>
                <w:sz w:val="22"/>
                <w:szCs w:val="22"/>
                <w:lang w:val="pl-PL" w:eastAsia="en-GB"/>
              </w:rPr>
            </w:pPr>
          </w:p>
        </w:tc>
      </w:tr>
      <w:tr w:rsidR="00A610E1" w:rsidRPr="00BD22FE" w14:paraId="6A25FDF1" w14:textId="77777777" w:rsidTr="00A610E1">
        <w:tc>
          <w:tcPr>
            <w:tcW w:w="1084" w:type="pct"/>
            <w:vMerge/>
            <w:tcBorders>
              <w:left w:val="single" w:sz="4" w:space="0" w:color="auto"/>
              <w:right w:val="single" w:sz="4" w:space="0" w:color="auto"/>
            </w:tcBorders>
            <w:hideMark/>
          </w:tcPr>
          <w:p w14:paraId="217939EB" w14:textId="77777777" w:rsidR="00A610E1" w:rsidRPr="00BD22FE" w:rsidRDefault="00A610E1" w:rsidP="00A610E1">
            <w:pPr>
              <w:rPr>
                <w:sz w:val="22"/>
                <w:szCs w:val="22"/>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42AFAB3C"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Niedociśnienie ortostatyczne</w:t>
            </w:r>
          </w:p>
        </w:tc>
        <w:tc>
          <w:tcPr>
            <w:tcW w:w="804" w:type="pct"/>
            <w:tcBorders>
              <w:top w:val="single" w:sz="4" w:space="0" w:color="auto"/>
              <w:left w:val="single" w:sz="4" w:space="0" w:color="auto"/>
              <w:bottom w:val="single" w:sz="4" w:space="0" w:color="auto"/>
              <w:right w:val="single" w:sz="4" w:space="0" w:color="auto"/>
            </w:tcBorders>
            <w:vAlign w:val="bottom"/>
            <w:hideMark/>
          </w:tcPr>
          <w:p w14:paraId="684905D8"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niezbyt często</w:t>
            </w:r>
          </w:p>
        </w:tc>
        <w:tc>
          <w:tcPr>
            <w:tcW w:w="788" w:type="pct"/>
            <w:tcBorders>
              <w:top w:val="single" w:sz="4" w:space="0" w:color="auto"/>
              <w:left w:val="single" w:sz="4" w:space="0" w:color="auto"/>
              <w:bottom w:val="single" w:sz="4" w:space="0" w:color="auto"/>
              <w:right w:val="single" w:sz="4" w:space="0" w:color="auto"/>
            </w:tcBorders>
            <w:vAlign w:val="bottom"/>
            <w:hideMark/>
          </w:tcPr>
          <w:p w14:paraId="547222A2"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niezbyt często</w:t>
            </w:r>
          </w:p>
        </w:tc>
        <w:tc>
          <w:tcPr>
            <w:tcW w:w="1098" w:type="pct"/>
            <w:tcBorders>
              <w:top w:val="single" w:sz="4" w:space="0" w:color="auto"/>
              <w:left w:val="single" w:sz="4" w:space="0" w:color="auto"/>
              <w:bottom w:val="single" w:sz="4" w:space="0" w:color="auto"/>
              <w:right w:val="single" w:sz="4" w:space="0" w:color="auto"/>
            </w:tcBorders>
            <w:vAlign w:val="bottom"/>
            <w:hideMark/>
          </w:tcPr>
          <w:p w14:paraId="39A781A9"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często</w:t>
            </w:r>
          </w:p>
        </w:tc>
      </w:tr>
      <w:tr w:rsidR="00A610E1" w:rsidRPr="00BD22FE" w14:paraId="39BBAEC6" w14:textId="77777777" w:rsidTr="00A610E1">
        <w:tc>
          <w:tcPr>
            <w:tcW w:w="1084" w:type="pct"/>
            <w:vMerge/>
            <w:tcBorders>
              <w:left w:val="single" w:sz="4" w:space="0" w:color="auto"/>
              <w:bottom w:val="single" w:sz="4" w:space="0" w:color="auto"/>
              <w:right w:val="single" w:sz="4" w:space="0" w:color="auto"/>
            </w:tcBorders>
            <w:hideMark/>
          </w:tcPr>
          <w:p w14:paraId="4E8C06AD" w14:textId="77777777" w:rsidR="00A610E1" w:rsidRPr="00BD22FE" w:rsidRDefault="00A610E1" w:rsidP="00A610E1">
            <w:pPr>
              <w:rPr>
                <w:color w:val="000000"/>
                <w:sz w:val="22"/>
                <w:szCs w:val="22"/>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6CE90BE9"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Martwicze zapalenie naczyń</w:t>
            </w:r>
          </w:p>
        </w:tc>
        <w:tc>
          <w:tcPr>
            <w:tcW w:w="804" w:type="pct"/>
            <w:tcBorders>
              <w:top w:val="single" w:sz="4" w:space="0" w:color="auto"/>
              <w:left w:val="single" w:sz="4" w:space="0" w:color="auto"/>
              <w:bottom w:val="single" w:sz="4" w:space="0" w:color="auto"/>
              <w:right w:val="single" w:sz="4" w:space="0" w:color="auto"/>
            </w:tcBorders>
            <w:vAlign w:val="bottom"/>
            <w:hideMark/>
          </w:tcPr>
          <w:p w14:paraId="437AED85" w14:textId="77777777" w:rsidR="00A610E1" w:rsidRPr="00BD22FE" w:rsidRDefault="00A610E1" w:rsidP="00A610E1">
            <w:pPr>
              <w:rPr>
                <w:color w:val="000000"/>
                <w:sz w:val="22"/>
                <w:szCs w:val="22"/>
                <w:lang w:val="pl-PL" w:eastAsia="en-GB"/>
              </w:rPr>
            </w:pPr>
          </w:p>
        </w:tc>
        <w:tc>
          <w:tcPr>
            <w:tcW w:w="788" w:type="pct"/>
            <w:tcBorders>
              <w:top w:val="single" w:sz="4" w:space="0" w:color="auto"/>
              <w:left w:val="single" w:sz="4" w:space="0" w:color="auto"/>
              <w:bottom w:val="single" w:sz="4" w:space="0" w:color="auto"/>
              <w:right w:val="single" w:sz="4" w:space="0" w:color="auto"/>
            </w:tcBorders>
            <w:vAlign w:val="bottom"/>
            <w:hideMark/>
          </w:tcPr>
          <w:p w14:paraId="5DF6D52A" w14:textId="77777777" w:rsidR="00A610E1" w:rsidRPr="00BD22FE" w:rsidRDefault="00A610E1" w:rsidP="00A610E1">
            <w:pPr>
              <w:rPr>
                <w:sz w:val="22"/>
                <w:szCs w:val="22"/>
                <w:lang w:val="pl-PL" w:eastAsia="en-GB"/>
              </w:rPr>
            </w:pPr>
          </w:p>
        </w:tc>
        <w:tc>
          <w:tcPr>
            <w:tcW w:w="1098" w:type="pct"/>
            <w:tcBorders>
              <w:top w:val="single" w:sz="4" w:space="0" w:color="auto"/>
              <w:left w:val="single" w:sz="4" w:space="0" w:color="auto"/>
              <w:bottom w:val="single" w:sz="4" w:space="0" w:color="auto"/>
              <w:right w:val="single" w:sz="4" w:space="0" w:color="auto"/>
            </w:tcBorders>
            <w:vAlign w:val="bottom"/>
            <w:hideMark/>
          </w:tcPr>
          <w:p w14:paraId="615CA1E5"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bardzo rzadko</w:t>
            </w:r>
          </w:p>
        </w:tc>
      </w:tr>
      <w:tr w:rsidR="00A610E1" w:rsidRPr="00BD22FE" w14:paraId="2AB33906" w14:textId="77777777" w:rsidTr="00A610E1">
        <w:tc>
          <w:tcPr>
            <w:tcW w:w="1084" w:type="pct"/>
            <w:vMerge w:val="restart"/>
            <w:tcBorders>
              <w:top w:val="single" w:sz="4" w:space="0" w:color="auto"/>
              <w:left w:val="single" w:sz="4" w:space="0" w:color="auto"/>
              <w:right w:val="single" w:sz="4" w:space="0" w:color="auto"/>
            </w:tcBorders>
            <w:hideMark/>
          </w:tcPr>
          <w:p w14:paraId="702CC0F0" w14:textId="77777777" w:rsidR="00A610E1" w:rsidRPr="00BD22FE" w:rsidRDefault="00A610E1" w:rsidP="00A610E1">
            <w:pPr>
              <w:rPr>
                <w:b/>
                <w:bCs/>
                <w:color w:val="000000"/>
                <w:sz w:val="22"/>
                <w:szCs w:val="22"/>
                <w:highlight w:val="yellow"/>
                <w:lang w:val="pl-PL" w:eastAsia="en-GB"/>
              </w:rPr>
            </w:pPr>
            <w:r w:rsidRPr="00BD22FE">
              <w:rPr>
                <w:b/>
                <w:bCs/>
                <w:sz w:val="22"/>
                <w:szCs w:val="22"/>
                <w:lang w:val="pl-PL"/>
              </w:rPr>
              <w:t>Zaburzenia układu oddechowego, klatki piersiowej i śródpiersia</w:t>
            </w:r>
          </w:p>
        </w:tc>
        <w:tc>
          <w:tcPr>
            <w:tcW w:w="1226" w:type="pct"/>
            <w:tcBorders>
              <w:top w:val="single" w:sz="4" w:space="0" w:color="auto"/>
              <w:left w:val="single" w:sz="4" w:space="0" w:color="auto"/>
              <w:bottom w:val="single" w:sz="4" w:space="0" w:color="auto"/>
              <w:right w:val="single" w:sz="4" w:space="0" w:color="auto"/>
            </w:tcBorders>
            <w:vAlign w:val="bottom"/>
            <w:hideMark/>
          </w:tcPr>
          <w:p w14:paraId="7FF29D50" w14:textId="77777777" w:rsidR="00A610E1" w:rsidRPr="00BD22FE" w:rsidRDefault="00A610E1" w:rsidP="00A610E1">
            <w:pPr>
              <w:rPr>
                <w:color w:val="000000"/>
                <w:sz w:val="22"/>
                <w:szCs w:val="22"/>
                <w:lang w:val="pl-PL" w:eastAsia="en-GB"/>
              </w:rPr>
            </w:pPr>
            <w:r w:rsidRPr="00BD22FE">
              <w:rPr>
                <w:sz w:val="22"/>
                <w:szCs w:val="22"/>
                <w:lang w:val="pl-PL"/>
              </w:rPr>
              <w:t>Duszność</w:t>
            </w:r>
          </w:p>
        </w:tc>
        <w:tc>
          <w:tcPr>
            <w:tcW w:w="804" w:type="pct"/>
            <w:tcBorders>
              <w:top w:val="single" w:sz="4" w:space="0" w:color="auto"/>
              <w:left w:val="single" w:sz="4" w:space="0" w:color="auto"/>
              <w:bottom w:val="single" w:sz="4" w:space="0" w:color="auto"/>
              <w:right w:val="single" w:sz="4" w:space="0" w:color="auto"/>
            </w:tcBorders>
            <w:hideMark/>
          </w:tcPr>
          <w:p w14:paraId="1989F615"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niezbyt często</w:t>
            </w:r>
          </w:p>
        </w:tc>
        <w:tc>
          <w:tcPr>
            <w:tcW w:w="788" w:type="pct"/>
            <w:tcBorders>
              <w:top w:val="single" w:sz="4" w:space="0" w:color="auto"/>
              <w:left w:val="single" w:sz="4" w:space="0" w:color="auto"/>
              <w:bottom w:val="single" w:sz="4" w:space="0" w:color="auto"/>
              <w:right w:val="single" w:sz="4" w:space="0" w:color="auto"/>
            </w:tcBorders>
            <w:hideMark/>
          </w:tcPr>
          <w:p w14:paraId="5CB24C62"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niezbyt często</w:t>
            </w:r>
          </w:p>
        </w:tc>
        <w:tc>
          <w:tcPr>
            <w:tcW w:w="1098" w:type="pct"/>
            <w:tcBorders>
              <w:top w:val="single" w:sz="4" w:space="0" w:color="auto"/>
              <w:left w:val="single" w:sz="4" w:space="0" w:color="auto"/>
              <w:bottom w:val="single" w:sz="4" w:space="0" w:color="auto"/>
              <w:right w:val="single" w:sz="4" w:space="0" w:color="auto"/>
            </w:tcBorders>
            <w:vAlign w:val="bottom"/>
            <w:hideMark/>
          </w:tcPr>
          <w:p w14:paraId="3F2933C1" w14:textId="77777777" w:rsidR="00A610E1" w:rsidRPr="00BD22FE" w:rsidRDefault="00A610E1" w:rsidP="00A610E1">
            <w:pPr>
              <w:rPr>
                <w:color w:val="000000"/>
                <w:sz w:val="22"/>
                <w:szCs w:val="22"/>
                <w:lang w:val="pl-PL" w:eastAsia="en-GB"/>
              </w:rPr>
            </w:pPr>
          </w:p>
        </w:tc>
      </w:tr>
      <w:tr w:rsidR="00A610E1" w:rsidRPr="00BD22FE" w14:paraId="0D1022FE" w14:textId="77777777" w:rsidTr="00A610E1">
        <w:tc>
          <w:tcPr>
            <w:tcW w:w="1084" w:type="pct"/>
            <w:vMerge/>
            <w:tcBorders>
              <w:left w:val="single" w:sz="4" w:space="0" w:color="auto"/>
              <w:right w:val="single" w:sz="4" w:space="0" w:color="auto"/>
            </w:tcBorders>
            <w:hideMark/>
          </w:tcPr>
          <w:p w14:paraId="389F60B7" w14:textId="77777777" w:rsidR="00A610E1" w:rsidRPr="00BD22FE" w:rsidRDefault="00A610E1" w:rsidP="00A610E1">
            <w:pPr>
              <w:rPr>
                <w:sz w:val="22"/>
                <w:szCs w:val="22"/>
                <w:highlight w:val="yellow"/>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554E1589" w14:textId="77777777" w:rsidR="00A610E1" w:rsidRPr="00BD22FE" w:rsidRDefault="00A610E1" w:rsidP="00A610E1">
            <w:pPr>
              <w:rPr>
                <w:color w:val="000000"/>
                <w:sz w:val="22"/>
                <w:szCs w:val="22"/>
                <w:lang w:val="pl-PL" w:eastAsia="en-GB"/>
              </w:rPr>
            </w:pPr>
            <w:r w:rsidRPr="00BD22FE">
              <w:rPr>
                <w:sz w:val="22"/>
                <w:szCs w:val="22"/>
                <w:lang w:val="pl-PL"/>
              </w:rPr>
              <w:t>Zespół zaburzeń oddechowych</w:t>
            </w:r>
          </w:p>
        </w:tc>
        <w:tc>
          <w:tcPr>
            <w:tcW w:w="804" w:type="pct"/>
            <w:tcBorders>
              <w:top w:val="single" w:sz="4" w:space="0" w:color="auto"/>
              <w:left w:val="single" w:sz="4" w:space="0" w:color="auto"/>
              <w:bottom w:val="single" w:sz="4" w:space="0" w:color="auto"/>
              <w:right w:val="single" w:sz="4" w:space="0" w:color="auto"/>
            </w:tcBorders>
            <w:vAlign w:val="bottom"/>
            <w:hideMark/>
          </w:tcPr>
          <w:p w14:paraId="2F9D066E"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rzadko</w:t>
            </w:r>
          </w:p>
        </w:tc>
        <w:tc>
          <w:tcPr>
            <w:tcW w:w="788" w:type="pct"/>
            <w:tcBorders>
              <w:top w:val="single" w:sz="4" w:space="0" w:color="auto"/>
              <w:left w:val="single" w:sz="4" w:space="0" w:color="auto"/>
              <w:bottom w:val="single" w:sz="4" w:space="0" w:color="auto"/>
              <w:right w:val="single" w:sz="4" w:space="0" w:color="auto"/>
            </w:tcBorders>
            <w:vAlign w:val="bottom"/>
            <w:hideMark/>
          </w:tcPr>
          <w:p w14:paraId="360C85C0" w14:textId="77777777" w:rsidR="00A610E1" w:rsidRPr="00BD22FE" w:rsidRDefault="00A610E1" w:rsidP="00A610E1">
            <w:pPr>
              <w:rPr>
                <w:color w:val="000000"/>
                <w:sz w:val="22"/>
                <w:szCs w:val="22"/>
                <w:lang w:val="pl-PL" w:eastAsia="en-GB"/>
              </w:rPr>
            </w:pPr>
          </w:p>
        </w:tc>
        <w:tc>
          <w:tcPr>
            <w:tcW w:w="1098" w:type="pct"/>
            <w:tcBorders>
              <w:top w:val="single" w:sz="4" w:space="0" w:color="auto"/>
              <w:left w:val="single" w:sz="4" w:space="0" w:color="auto"/>
              <w:bottom w:val="single" w:sz="4" w:space="0" w:color="auto"/>
              <w:right w:val="single" w:sz="4" w:space="0" w:color="auto"/>
            </w:tcBorders>
            <w:vAlign w:val="bottom"/>
            <w:hideMark/>
          </w:tcPr>
          <w:p w14:paraId="1973DDC9"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bardzo rzadko</w:t>
            </w:r>
          </w:p>
        </w:tc>
      </w:tr>
      <w:tr w:rsidR="00A610E1" w:rsidRPr="00BD22FE" w14:paraId="19D2F73F" w14:textId="77777777" w:rsidTr="00A610E1">
        <w:tc>
          <w:tcPr>
            <w:tcW w:w="1084" w:type="pct"/>
            <w:vMerge/>
            <w:tcBorders>
              <w:left w:val="single" w:sz="4" w:space="0" w:color="auto"/>
              <w:right w:val="single" w:sz="4" w:space="0" w:color="auto"/>
            </w:tcBorders>
          </w:tcPr>
          <w:p w14:paraId="3F1B1BE0" w14:textId="77777777" w:rsidR="00A610E1" w:rsidRPr="00BD22FE" w:rsidRDefault="00A610E1" w:rsidP="00A610E1">
            <w:pPr>
              <w:rPr>
                <w:sz w:val="22"/>
                <w:szCs w:val="22"/>
                <w:highlight w:val="yellow"/>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tcPr>
          <w:p w14:paraId="0E0943A9" w14:textId="77777777" w:rsidR="00A610E1" w:rsidRPr="00BD22FE" w:rsidRDefault="00A610E1" w:rsidP="00A610E1">
            <w:pPr>
              <w:rPr>
                <w:color w:val="000000"/>
                <w:sz w:val="22"/>
                <w:szCs w:val="22"/>
                <w:lang w:val="pl-PL" w:eastAsia="en-GB"/>
              </w:rPr>
            </w:pPr>
            <w:r w:rsidRPr="00BD22FE">
              <w:rPr>
                <w:sz w:val="22"/>
                <w:szCs w:val="22"/>
                <w:lang w:val="pl-PL"/>
              </w:rPr>
              <w:t>Zapalenie płuc</w:t>
            </w:r>
          </w:p>
        </w:tc>
        <w:tc>
          <w:tcPr>
            <w:tcW w:w="804" w:type="pct"/>
            <w:tcBorders>
              <w:top w:val="single" w:sz="4" w:space="0" w:color="auto"/>
              <w:left w:val="single" w:sz="4" w:space="0" w:color="auto"/>
              <w:bottom w:val="single" w:sz="4" w:space="0" w:color="auto"/>
              <w:right w:val="single" w:sz="4" w:space="0" w:color="auto"/>
            </w:tcBorders>
          </w:tcPr>
          <w:p w14:paraId="1475515C"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rzadko</w:t>
            </w:r>
          </w:p>
        </w:tc>
        <w:tc>
          <w:tcPr>
            <w:tcW w:w="788" w:type="pct"/>
            <w:tcBorders>
              <w:top w:val="single" w:sz="4" w:space="0" w:color="auto"/>
              <w:left w:val="single" w:sz="4" w:space="0" w:color="auto"/>
              <w:bottom w:val="single" w:sz="4" w:space="0" w:color="auto"/>
              <w:right w:val="single" w:sz="4" w:space="0" w:color="auto"/>
            </w:tcBorders>
            <w:vAlign w:val="bottom"/>
          </w:tcPr>
          <w:p w14:paraId="73BEFB47" w14:textId="77777777" w:rsidR="00A610E1" w:rsidRPr="00BD22FE" w:rsidRDefault="00A610E1" w:rsidP="00A610E1">
            <w:pPr>
              <w:rPr>
                <w:color w:val="000000"/>
                <w:sz w:val="22"/>
                <w:szCs w:val="22"/>
                <w:highlight w:val="yellow"/>
                <w:lang w:val="pl-PL" w:eastAsia="en-GB"/>
              </w:rPr>
            </w:pPr>
          </w:p>
        </w:tc>
        <w:tc>
          <w:tcPr>
            <w:tcW w:w="1098" w:type="pct"/>
            <w:tcBorders>
              <w:top w:val="single" w:sz="4" w:space="0" w:color="auto"/>
              <w:left w:val="single" w:sz="4" w:space="0" w:color="auto"/>
              <w:bottom w:val="single" w:sz="4" w:space="0" w:color="auto"/>
              <w:right w:val="single" w:sz="4" w:space="0" w:color="auto"/>
            </w:tcBorders>
          </w:tcPr>
          <w:p w14:paraId="00BAD03A" w14:textId="77777777" w:rsidR="00A610E1" w:rsidRPr="00BD22FE" w:rsidRDefault="00A610E1" w:rsidP="00A610E1">
            <w:pPr>
              <w:rPr>
                <w:color w:val="000000"/>
                <w:sz w:val="22"/>
                <w:szCs w:val="22"/>
                <w:highlight w:val="yellow"/>
                <w:lang w:val="pl-PL" w:eastAsia="en-GB"/>
              </w:rPr>
            </w:pPr>
            <w:r w:rsidRPr="00BD22FE">
              <w:rPr>
                <w:color w:val="000000"/>
                <w:sz w:val="22"/>
                <w:szCs w:val="22"/>
                <w:lang w:val="pl-PL" w:eastAsia="en-GB"/>
              </w:rPr>
              <w:t>bardzo rzadko</w:t>
            </w:r>
          </w:p>
        </w:tc>
      </w:tr>
      <w:tr w:rsidR="00A610E1" w:rsidRPr="00BD22FE" w14:paraId="3EDCFAB8" w14:textId="77777777" w:rsidTr="00A610E1">
        <w:tc>
          <w:tcPr>
            <w:tcW w:w="1084" w:type="pct"/>
            <w:vMerge/>
            <w:tcBorders>
              <w:left w:val="single" w:sz="4" w:space="0" w:color="auto"/>
              <w:right w:val="single" w:sz="4" w:space="0" w:color="auto"/>
            </w:tcBorders>
          </w:tcPr>
          <w:p w14:paraId="4D63EBE0" w14:textId="77777777" w:rsidR="00A610E1" w:rsidRPr="00BD22FE" w:rsidRDefault="00A610E1" w:rsidP="00A610E1">
            <w:pPr>
              <w:rPr>
                <w:sz w:val="22"/>
                <w:szCs w:val="22"/>
                <w:highlight w:val="yellow"/>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tcPr>
          <w:p w14:paraId="0D5CDA5D" w14:textId="77777777" w:rsidR="00A610E1" w:rsidRPr="00BD22FE" w:rsidRDefault="00A610E1" w:rsidP="00A610E1">
            <w:pPr>
              <w:rPr>
                <w:color w:val="000000"/>
                <w:sz w:val="22"/>
                <w:szCs w:val="22"/>
                <w:lang w:val="pl-PL" w:eastAsia="en-GB"/>
              </w:rPr>
            </w:pPr>
            <w:r w:rsidRPr="00BD22FE">
              <w:rPr>
                <w:sz w:val="22"/>
                <w:szCs w:val="22"/>
                <w:lang w:val="pl-PL"/>
              </w:rPr>
              <w:t>Obrzęk płuc</w:t>
            </w:r>
          </w:p>
        </w:tc>
        <w:tc>
          <w:tcPr>
            <w:tcW w:w="804" w:type="pct"/>
            <w:tcBorders>
              <w:top w:val="single" w:sz="4" w:space="0" w:color="auto"/>
              <w:left w:val="single" w:sz="4" w:space="0" w:color="auto"/>
              <w:bottom w:val="single" w:sz="4" w:space="0" w:color="auto"/>
              <w:right w:val="single" w:sz="4" w:space="0" w:color="auto"/>
            </w:tcBorders>
            <w:vAlign w:val="bottom"/>
          </w:tcPr>
          <w:p w14:paraId="3E31E5D2"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rzadko</w:t>
            </w:r>
          </w:p>
        </w:tc>
        <w:tc>
          <w:tcPr>
            <w:tcW w:w="788" w:type="pct"/>
            <w:tcBorders>
              <w:top w:val="single" w:sz="4" w:space="0" w:color="auto"/>
              <w:left w:val="single" w:sz="4" w:space="0" w:color="auto"/>
              <w:bottom w:val="single" w:sz="4" w:space="0" w:color="auto"/>
              <w:right w:val="single" w:sz="4" w:space="0" w:color="auto"/>
            </w:tcBorders>
            <w:vAlign w:val="bottom"/>
          </w:tcPr>
          <w:p w14:paraId="1B4A806F" w14:textId="77777777" w:rsidR="00A610E1" w:rsidRPr="00BD22FE" w:rsidRDefault="00A610E1" w:rsidP="00A610E1">
            <w:pPr>
              <w:rPr>
                <w:color w:val="000000"/>
                <w:sz w:val="22"/>
                <w:szCs w:val="22"/>
                <w:highlight w:val="yellow"/>
                <w:lang w:val="pl-PL" w:eastAsia="en-GB"/>
              </w:rPr>
            </w:pPr>
          </w:p>
        </w:tc>
        <w:tc>
          <w:tcPr>
            <w:tcW w:w="1098" w:type="pct"/>
            <w:tcBorders>
              <w:top w:val="single" w:sz="4" w:space="0" w:color="auto"/>
              <w:left w:val="single" w:sz="4" w:space="0" w:color="auto"/>
              <w:bottom w:val="single" w:sz="4" w:space="0" w:color="auto"/>
              <w:right w:val="single" w:sz="4" w:space="0" w:color="auto"/>
            </w:tcBorders>
            <w:vAlign w:val="bottom"/>
          </w:tcPr>
          <w:p w14:paraId="142DDF52" w14:textId="77777777" w:rsidR="00A610E1" w:rsidRPr="00BD22FE" w:rsidRDefault="00A610E1" w:rsidP="00A610E1">
            <w:pPr>
              <w:rPr>
                <w:color w:val="000000"/>
                <w:sz w:val="22"/>
                <w:szCs w:val="22"/>
                <w:highlight w:val="yellow"/>
                <w:lang w:val="pl-PL" w:eastAsia="en-GB"/>
              </w:rPr>
            </w:pPr>
            <w:r w:rsidRPr="00BD22FE">
              <w:rPr>
                <w:color w:val="000000"/>
                <w:sz w:val="22"/>
                <w:szCs w:val="22"/>
                <w:lang w:val="pl-PL" w:eastAsia="en-GB"/>
              </w:rPr>
              <w:t>bardzo rzadko</w:t>
            </w:r>
          </w:p>
        </w:tc>
      </w:tr>
      <w:tr w:rsidR="00A610E1" w:rsidRPr="00BD22FE" w14:paraId="20ACFFA5" w14:textId="77777777" w:rsidTr="00A610E1">
        <w:tc>
          <w:tcPr>
            <w:tcW w:w="1084" w:type="pct"/>
            <w:vMerge/>
            <w:tcBorders>
              <w:left w:val="single" w:sz="4" w:space="0" w:color="auto"/>
              <w:right w:val="single" w:sz="4" w:space="0" w:color="auto"/>
            </w:tcBorders>
            <w:hideMark/>
          </w:tcPr>
          <w:p w14:paraId="3E8B4BF2" w14:textId="77777777" w:rsidR="00A610E1" w:rsidRPr="00BD22FE" w:rsidRDefault="00A610E1" w:rsidP="00A610E1">
            <w:pPr>
              <w:rPr>
                <w:color w:val="000000"/>
                <w:sz w:val="22"/>
                <w:szCs w:val="22"/>
                <w:highlight w:val="yellow"/>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00ED5A5C"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Kaszel</w:t>
            </w:r>
          </w:p>
        </w:tc>
        <w:tc>
          <w:tcPr>
            <w:tcW w:w="804" w:type="pct"/>
            <w:tcBorders>
              <w:top w:val="single" w:sz="4" w:space="0" w:color="auto"/>
              <w:left w:val="single" w:sz="4" w:space="0" w:color="auto"/>
              <w:bottom w:val="single" w:sz="4" w:space="0" w:color="auto"/>
              <w:right w:val="single" w:sz="4" w:space="0" w:color="auto"/>
            </w:tcBorders>
            <w:vAlign w:val="bottom"/>
            <w:hideMark/>
          </w:tcPr>
          <w:p w14:paraId="2CB02DED" w14:textId="77777777" w:rsidR="00A610E1" w:rsidRPr="00BD22FE" w:rsidRDefault="00A610E1" w:rsidP="00A610E1">
            <w:pPr>
              <w:rPr>
                <w:color w:val="000000"/>
                <w:sz w:val="22"/>
                <w:szCs w:val="22"/>
                <w:lang w:val="pl-PL" w:eastAsia="en-GB"/>
              </w:rPr>
            </w:pPr>
          </w:p>
        </w:tc>
        <w:tc>
          <w:tcPr>
            <w:tcW w:w="788" w:type="pct"/>
            <w:tcBorders>
              <w:top w:val="single" w:sz="4" w:space="0" w:color="auto"/>
              <w:left w:val="single" w:sz="4" w:space="0" w:color="auto"/>
              <w:bottom w:val="single" w:sz="4" w:space="0" w:color="auto"/>
              <w:right w:val="single" w:sz="4" w:space="0" w:color="auto"/>
            </w:tcBorders>
            <w:vAlign w:val="bottom"/>
            <w:hideMark/>
          </w:tcPr>
          <w:p w14:paraId="7DDEA0E8"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niezbyt często</w:t>
            </w:r>
          </w:p>
        </w:tc>
        <w:tc>
          <w:tcPr>
            <w:tcW w:w="1098" w:type="pct"/>
            <w:tcBorders>
              <w:top w:val="single" w:sz="4" w:space="0" w:color="auto"/>
              <w:left w:val="single" w:sz="4" w:space="0" w:color="auto"/>
              <w:bottom w:val="single" w:sz="4" w:space="0" w:color="auto"/>
              <w:right w:val="single" w:sz="4" w:space="0" w:color="auto"/>
            </w:tcBorders>
            <w:vAlign w:val="bottom"/>
            <w:hideMark/>
          </w:tcPr>
          <w:p w14:paraId="60CFD862" w14:textId="77777777" w:rsidR="00A610E1" w:rsidRPr="00BD22FE" w:rsidRDefault="00A610E1" w:rsidP="00A610E1">
            <w:pPr>
              <w:rPr>
                <w:color w:val="000000"/>
                <w:sz w:val="22"/>
                <w:szCs w:val="22"/>
                <w:lang w:val="pl-PL" w:eastAsia="en-GB"/>
              </w:rPr>
            </w:pPr>
          </w:p>
        </w:tc>
      </w:tr>
      <w:tr w:rsidR="00A610E1" w:rsidRPr="00BD22FE" w14:paraId="2FA6F893" w14:textId="77777777" w:rsidTr="00A610E1">
        <w:tc>
          <w:tcPr>
            <w:tcW w:w="1084" w:type="pct"/>
            <w:vMerge/>
            <w:tcBorders>
              <w:left w:val="single" w:sz="4" w:space="0" w:color="auto"/>
              <w:right w:val="single" w:sz="4" w:space="0" w:color="auto"/>
            </w:tcBorders>
            <w:hideMark/>
          </w:tcPr>
          <w:p w14:paraId="27D820D4" w14:textId="77777777" w:rsidR="00A610E1" w:rsidRPr="00BD22FE" w:rsidRDefault="00A610E1" w:rsidP="00A610E1">
            <w:pPr>
              <w:rPr>
                <w:sz w:val="22"/>
                <w:szCs w:val="22"/>
                <w:highlight w:val="yellow"/>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29702E39"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Śródmiąższowa choroba płuc</w:t>
            </w:r>
          </w:p>
        </w:tc>
        <w:tc>
          <w:tcPr>
            <w:tcW w:w="804" w:type="pct"/>
            <w:tcBorders>
              <w:top w:val="single" w:sz="4" w:space="0" w:color="auto"/>
              <w:left w:val="single" w:sz="4" w:space="0" w:color="auto"/>
              <w:bottom w:val="single" w:sz="4" w:space="0" w:color="auto"/>
              <w:right w:val="single" w:sz="4" w:space="0" w:color="auto"/>
            </w:tcBorders>
            <w:vAlign w:val="bottom"/>
            <w:hideMark/>
          </w:tcPr>
          <w:p w14:paraId="4FAA05F1" w14:textId="77777777" w:rsidR="00A610E1" w:rsidRPr="00BD22FE" w:rsidRDefault="00A610E1" w:rsidP="00A610E1">
            <w:pPr>
              <w:rPr>
                <w:color w:val="000000"/>
                <w:sz w:val="22"/>
                <w:szCs w:val="22"/>
                <w:lang w:val="pl-PL" w:eastAsia="en-GB"/>
              </w:rPr>
            </w:pPr>
          </w:p>
        </w:tc>
        <w:tc>
          <w:tcPr>
            <w:tcW w:w="788" w:type="pct"/>
            <w:tcBorders>
              <w:top w:val="single" w:sz="4" w:space="0" w:color="auto"/>
              <w:left w:val="single" w:sz="4" w:space="0" w:color="auto"/>
              <w:bottom w:val="single" w:sz="4" w:space="0" w:color="auto"/>
              <w:right w:val="single" w:sz="4" w:space="0" w:color="auto"/>
            </w:tcBorders>
            <w:vAlign w:val="bottom"/>
            <w:hideMark/>
          </w:tcPr>
          <w:p w14:paraId="48B2C218"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bardzo rzadko</w:t>
            </w:r>
            <w:r w:rsidRPr="00BD22FE">
              <w:rPr>
                <w:color w:val="000000"/>
                <w:sz w:val="22"/>
                <w:szCs w:val="22"/>
                <w:vertAlign w:val="superscript"/>
                <w:lang w:val="pl-PL" w:eastAsia="en-GB"/>
              </w:rPr>
              <w:t>1,2</w:t>
            </w:r>
          </w:p>
        </w:tc>
        <w:tc>
          <w:tcPr>
            <w:tcW w:w="1098" w:type="pct"/>
            <w:tcBorders>
              <w:top w:val="single" w:sz="4" w:space="0" w:color="auto"/>
              <w:left w:val="single" w:sz="4" w:space="0" w:color="auto"/>
              <w:bottom w:val="single" w:sz="4" w:space="0" w:color="auto"/>
              <w:right w:val="single" w:sz="4" w:space="0" w:color="auto"/>
            </w:tcBorders>
            <w:vAlign w:val="bottom"/>
            <w:hideMark/>
          </w:tcPr>
          <w:p w14:paraId="0CCD00DE" w14:textId="77777777" w:rsidR="00A610E1" w:rsidRPr="00BD22FE" w:rsidRDefault="00A610E1" w:rsidP="00A610E1">
            <w:pPr>
              <w:rPr>
                <w:color w:val="000000"/>
                <w:sz w:val="22"/>
                <w:szCs w:val="22"/>
                <w:lang w:val="pl-PL" w:eastAsia="en-GB"/>
              </w:rPr>
            </w:pPr>
          </w:p>
        </w:tc>
      </w:tr>
      <w:tr w:rsidR="00A610E1" w:rsidRPr="00BD22FE" w14:paraId="47D7C44C" w14:textId="77777777" w:rsidTr="00A610E1">
        <w:tc>
          <w:tcPr>
            <w:tcW w:w="1084" w:type="pct"/>
            <w:vMerge/>
            <w:tcBorders>
              <w:left w:val="single" w:sz="4" w:space="0" w:color="auto"/>
              <w:bottom w:val="single" w:sz="4" w:space="0" w:color="auto"/>
              <w:right w:val="single" w:sz="4" w:space="0" w:color="auto"/>
            </w:tcBorders>
            <w:hideMark/>
          </w:tcPr>
          <w:p w14:paraId="339AF486" w14:textId="77777777" w:rsidR="00A610E1" w:rsidRPr="00BD22FE" w:rsidRDefault="00A610E1" w:rsidP="00A610E1">
            <w:pPr>
              <w:rPr>
                <w:sz w:val="22"/>
                <w:szCs w:val="22"/>
                <w:highlight w:val="yellow"/>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5AA37957" w14:textId="77777777" w:rsidR="00A610E1" w:rsidRPr="00BD22FE" w:rsidRDefault="00A610E1" w:rsidP="00A610E1">
            <w:pPr>
              <w:rPr>
                <w:color w:val="000000"/>
                <w:sz w:val="22"/>
                <w:szCs w:val="22"/>
                <w:lang w:val="pl-PL" w:eastAsia="en-GB"/>
              </w:rPr>
            </w:pPr>
            <w:r w:rsidRPr="00BD22FE">
              <w:rPr>
                <w:sz w:val="22"/>
                <w:szCs w:val="22"/>
                <w:lang w:val="pl-PL"/>
              </w:rPr>
              <w:t xml:space="preserve">Zespół ostrej niewydolności </w:t>
            </w:r>
            <w:r w:rsidRPr="00BD22FE">
              <w:rPr>
                <w:sz w:val="22"/>
                <w:szCs w:val="22"/>
                <w:lang w:val="pl-PL"/>
              </w:rPr>
              <w:lastRenderedPageBreak/>
              <w:t>oddechowej (ARDS) (patrz punkt 4.4)</w:t>
            </w:r>
          </w:p>
        </w:tc>
        <w:tc>
          <w:tcPr>
            <w:tcW w:w="804" w:type="pct"/>
            <w:tcBorders>
              <w:top w:val="single" w:sz="4" w:space="0" w:color="auto"/>
              <w:left w:val="single" w:sz="4" w:space="0" w:color="auto"/>
              <w:bottom w:val="single" w:sz="4" w:space="0" w:color="auto"/>
              <w:right w:val="single" w:sz="4" w:space="0" w:color="auto"/>
            </w:tcBorders>
            <w:vAlign w:val="bottom"/>
            <w:hideMark/>
          </w:tcPr>
          <w:p w14:paraId="4C72F571" w14:textId="77777777" w:rsidR="00A610E1" w:rsidRPr="00BD22FE" w:rsidRDefault="00A610E1" w:rsidP="00A610E1">
            <w:pPr>
              <w:rPr>
                <w:color w:val="000000"/>
                <w:sz w:val="22"/>
                <w:szCs w:val="22"/>
                <w:lang w:val="pl-PL" w:eastAsia="en-GB"/>
              </w:rPr>
            </w:pPr>
          </w:p>
        </w:tc>
        <w:tc>
          <w:tcPr>
            <w:tcW w:w="788" w:type="pct"/>
            <w:tcBorders>
              <w:top w:val="single" w:sz="4" w:space="0" w:color="auto"/>
              <w:left w:val="single" w:sz="4" w:space="0" w:color="auto"/>
              <w:bottom w:val="single" w:sz="4" w:space="0" w:color="auto"/>
              <w:right w:val="single" w:sz="4" w:space="0" w:color="auto"/>
            </w:tcBorders>
            <w:vAlign w:val="bottom"/>
            <w:hideMark/>
          </w:tcPr>
          <w:p w14:paraId="713ECD09" w14:textId="77777777" w:rsidR="00A610E1" w:rsidRPr="00BD22FE" w:rsidRDefault="00A610E1" w:rsidP="00A610E1">
            <w:pPr>
              <w:rPr>
                <w:sz w:val="22"/>
                <w:szCs w:val="22"/>
                <w:lang w:val="pl-PL" w:eastAsia="en-GB"/>
              </w:rPr>
            </w:pPr>
          </w:p>
        </w:tc>
        <w:tc>
          <w:tcPr>
            <w:tcW w:w="1098" w:type="pct"/>
            <w:tcBorders>
              <w:top w:val="single" w:sz="4" w:space="0" w:color="auto"/>
              <w:left w:val="single" w:sz="4" w:space="0" w:color="auto"/>
              <w:bottom w:val="single" w:sz="4" w:space="0" w:color="auto"/>
              <w:right w:val="single" w:sz="4" w:space="0" w:color="auto"/>
            </w:tcBorders>
            <w:vAlign w:val="bottom"/>
            <w:hideMark/>
          </w:tcPr>
          <w:p w14:paraId="114CBC12"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bardzo rzadko</w:t>
            </w:r>
          </w:p>
        </w:tc>
      </w:tr>
      <w:tr w:rsidR="00A610E1" w:rsidRPr="00BD22FE" w14:paraId="6C61D052" w14:textId="77777777" w:rsidTr="00A610E1">
        <w:tc>
          <w:tcPr>
            <w:tcW w:w="1084" w:type="pct"/>
            <w:vMerge w:val="restart"/>
            <w:tcBorders>
              <w:top w:val="single" w:sz="4" w:space="0" w:color="auto"/>
              <w:left w:val="single" w:sz="4" w:space="0" w:color="auto"/>
              <w:right w:val="single" w:sz="4" w:space="0" w:color="auto"/>
            </w:tcBorders>
            <w:hideMark/>
          </w:tcPr>
          <w:p w14:paraId="3B927592" w14:textId="77777777" w:rsidR="00A610E1" w:rsidRPr="00BD22FE" w:rsidRDefault="00A610E1" w:rsidP="00A610E1">
            <w:pPr>
              <w:rPr>
                <w:b/>
                <w:bCs/>
                <w:color w:val="000000"/>
                <w:sz w:val="22"/>
                <w:szCs w:val="22"/>
                <w:highlight w:val="yellow"/>
                <w:lang w:val="pl-PL" w:eastAsia="en-GB"/>
              </w:rPr>
            </w:pPr>
            <w:r w:rsidRPr="00BD22FE">
              <w:rPr>
                <w:b/>
                <w:bCs/>
                <w:sz w:val="22"/>
                <w:szCs w:val="22"/>
                <w:lang w:val="pl-PL"/>
              </w:rPr>
              <w:t>Zaburzenia żołądka i jelit</w:t>
            </w:r>
          </w:p>
        </w:tc>
        <w:tc>
          <w:tcPr>
            <w:tcW w:w="1226" w:type="pct"/>
            <w:tcBorders>
              <w:top w:val="single" w:sz="4" w:space="0" w:color="auto"/>
              <w:left w:val="single" w:sz="4" w:space="0" w:color="auto"/>
              <w:bottom w:val="single" w:sz="4" w:space="0" w:color="auto"/>
              <w:right w:val="single" w:sz="4" w:space="0" w:color="auto"/>
            </w:tcBorders>
            <w:vAlign w:val="bottom"/>
            <w:hideMark/>
          </w:tcPr>
          <w:p w14:paraId="7CB53355" w14:textId="77777777" w:rsidR="00A610E1" w:rsidRPr="00BD22FE" w:rsidRDefault="00A610E1" w:rsidP="00A610E1">
            <w:pPr>
              <w:rPr>
                <w:color w:val="000000"/>
                <w:sz w:val="22"/>
                <w:szCs w:val="22"/>
                <w:lang w:val="pl-PL" w:eastAsia="en-GB"/>
              </w:rPr>
            </w:pPr>
            <w:r w:rsidRPr="00BD22FE">
              <w:rPr>
                <w:sz w:val="22"/>
                <w:szCs w:val="22"/>
                <w:lang w:val="pl-PL"/>
              </w:rPr>
              <w:t>Biegunka</w:t>
            </w:r>
          </w:p>
        </w:tc>
        <w:tc>
          <w:tcPr>
            <w:tcW w:w="804" w:type="pct"/>
            <w:tcBorders>
              <w:top w:val="single" w:sz="4" w:space="0" w:color="auto"/>
              <w:left w:val="single" w:sz="4" w:space="0" w:color="auto"/>
              <w:bottom w:val="single" w:sz="4" w:space="0" w:color="auto"/>
              <w:right w:val="single" w:sz="4" w:space="0" w:color="auto"/>
            </w:tcBorders>
            <w:hideMark/>
          </w:tcPr>
          <w:p w14:paraId="4E7F4727"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niezbyt często</w:t>
            </w:r>
          </w:p>
        </w:tc>
        <w:tc>
          <w:tcPr>
            <w:tcW w:w="788" w:type="pct"/>
            <w:tcBorders>
              <w:top w:val="single" w:sz="4" w:space="0" w:color="auto"/>
              <w:left w:val="single" w:sz="4" w:space="0" w:color="auto"/>
              <w:bottom w:val="single" w:sz="4" w:space="0" w:color="auto"/>
              <w:right w:val="single" w:sz="4" w:space="0" w:color="auto"/>
            </w:tcBorders>
            <w:hideMark/>
          </w:tcPr>
          <w:p w14:paraId="03D98601"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niezbyt często</w:t>
            </w:r>
          </w:p>
        </w:tc>
        <w:tc>
          <w:tcPr>
            <w:tcW w:w="1098" w:type="pct"/>
            <w:tcBorders>
              <w:top w:val="single" w:sz="4" w:space="0" w:color="auto"/>
              <w:left w:val="single" w:sz="4" w:space="0" w:color="auto"/>
              <w:bottom w:val="single" w:sz="4" w:space="0" w:color="auto"/>
              <w:right w:val="single" w:sz="4" w:space="0" w:color="auto"/>
            </w:tcBorders>
            <w:vAlign w:val="bottom"/>
            <w:hideMark/>
          </w:tcPr>
          <w:p w14:paraId="4AF677E1"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często</w:t>
            </w:r>
          </w:p>
        </w:tc>
      </w:tr>
      <w:tr w:rsidR="00A610E1" w:rsidRPr="00BD22FE" w14:paraId="7DD61AB2" w14:textId="77777777" w:rsidTr="00A610E1">
        <w:tc>
          <w:tcPr>
            <w:tcW w:w="1084" w:type="pct"/>
            <w:vMerge/>
            <w:tcBorders>
              <w:left w:val="single" w:sz="4" w:space="0" w:color="auto"/>
              <w:right w:val="single" w:sz="4" w:space="0" w:color="auto"/>
            </w:tcBorders>
            <w:hideMark/>
          </w:tcPr>
          <w:p w14:paraId="7F81D4F8" w14:textId="77777777" w:rsidR="00A610E1" w:rsidRPr="00BD22FE" w:rsidRDefault="00A610E1" w:rsidP="00A610E1">
            <w:pPr>
              <w:rPr>
                <w:color w:val="000000"/>
                <w:sz w:val="22"/>
                <w:szCs w:val="22"/>
                <w:highlight w:val="yellow"/>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32D41F9C" w14:textId="77777777" w:rsidR="00A610E1" w:rsidRPr="00BD22FE" w:rsidRDefault="00A610E1" w:rsidP="00A610E1">
            <w:pPr>
              <w:rPr>
                <w:color w:val="000000"/>
                <w:sz w:val="22"/>
                <w:szCs w:val="22"/>
                <w:lang w:val="pl-PL" w:eastAsia="en-GB"/>
              </w:rPr>
            </w:pPr>
            <w:r w:rsidRPr="00BD22FE">
              <w:rPr>
                <w:sz w:val="22"/>
                <w:szCs w:val="22"/>
                <w:lang w:val="pl-PL"/>
              </w:rPr>
              <w:t>Suchość błon śluzowych w jamie ustnej</w:t>
            </w:r>
          </w:p>
        </w:tc>
        <w:tc>
          <w:tcPr>
            <w:tcW w:w="804" w:type="pct"/>
            <w:tcBorders>
              <w:top w:val="single" w:sz="4" w:space="0" w:color="auto"/>
              <w:left w:val="single" w:sz="4" w:space="0" w:color="auto"/>
              <w:bottom w:val="single" w:sz="4" w:space="0" w:color="auto"/>
              <w:right w:val="single" w:sz="4" w:space="0" w:color="auto"/>
            </w:tcBorders>
            <w:vAlign w:val="bottom"/>
            <w:hideMark/>
          </w:tcPr>
          <w:p w14:paraId="0ECD84B5"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niezbyt często</w:t>
            </w:r>
          </w:p>
        </w:tc>
        <w:tc>
          <w:tcPr>
            <w:tcW w:w="788" w:type="pct"/>
            <w:tcBorders>
              <w:top w:val="single" w:sz="4" w:space="0" w:color="auto"/>
              <w:left w:val="single" w:sz="4" w:space="0" w:color="auto"/>
              <w:bottom w:val="single" w:sz="4" w:space="0" w:color="auto"/>
              <w:right w:val="single" w:sz="4" w:space="0" w:color="auto"/>
            </w:tcBorders>
            <w:vAlign w:val="bottom"/>
            <w:hideMark/>
          </w:tcPr>
          <w:p w14:paraId="7D68CFD8"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rzadko</w:t>
            </w:r>
          </w:p>
        </w:tc>
        <w:tc>
          <w:tcPr>
            <w:tcW w:w="1098" w:type="pct"/>
            <w:tcBorders>
              <w:top w:val="single" w:sz="4" w:space="0" w:color="auto"/>
              <w:left w:val="single" w:sz="4" w:space="0" w:color="auto"/>
              <w:bottom w:val="single" w:sz="4" w:space="0" w:color="auto"/>
              <w:right w:val="single" w:sz="4" w:space="0" w:color="auto"/>
            </w:tcBorders>
            <w:vAlign w:val="bottom"/>
            <w:hideMark/>
          </w:tcPr>
          <w:p w14:paraId="38FA853C" w14:textId="77777777" w:rsidR="00A610E1" w:rsidRPr="00BD22FE" w:rsidRDefault="00A610E1" w:rsidP="00A610E1">
            <w:pPr>
              <w:rPr>
                <w:color w:val="000000"/>
                <w:sz w:val="22"/>
                <w:szCs w:val="22"/>
                <w:lang w:val="pl-PL" w:eastAsia="en-GB"/>
              </w:rPr>
            </w:pPr>
          </w:p>
        </w:tc>
      </w:tr>
      <w:tr w:rsidR="00A610E1" w:rsidRPr="00BD22FE" w14:paraId="0A5CD370" w14:textId="77777777" w:rsidTr="00A610E1">
        <w:tc>
          <w:tcPr>
            <w:tcW w:w="1084" w:type="pct"/>
            <w:vMerge/>
            <w:tcBorders>
              <w:left w:val="single" w:sz="4" w:space="0" w:color="auto"/>
              <w:right w:val="single" w:sz="4" w:space="0" w:color="auto"/>
            </w:tcBorders>
            <w:hideMark/>
          </w:tcPr>
          <w:p w14:paraId="19CB1EF2" w14:textId="77777777" w:rsidR="00A610E1" w:rsidRPr="00BD22FE" w:rsidRDefault="00A610E1" w:rsidP="00A610E1">
            <w:pPr>
              <w:rPr>
                <w:sz w:val="22"/>
                <w:szCs w:val="22"/>
                <w:highlight w:val="yellow"/>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206EDC31" w14:textId="77777777" w:rsidR="00A610E1" w:rsidRPr="00BD22FE" w:rsidRDefault="00A610E1" w:rsidP="00A610E1">
            <w:pPr>
              <w:rPr>
                <w:color w:val="000000"/>
                <w:sz w:val="22"/>
                <w:szCs w:val="22"/>
                <w:lang w:val="pl-PL" w:eastAsia="en-GB"/>
              </w:rPr>
            </w:pPr>
            <w:r w:rsidRPr="00BD22FE">
              <w:rPr>
                <w:sz w:val="22"/>
                <w:szCs w:val="22"/>
                <w:lang w:val="pl-PL"/>
              </w:rPr>
              <w:t>Wzdęcia</w:t>
            </w:r>
          </w:p>
        </w:tc>
        <w:tc>
          <w:tcPr>
            <w:tcW w:w="804" w:type="pct"/>
            <w:tcBorders>
              <w:top w:val="single" w:sz="4" w:space="0" w:color="auto"/>
              <w:left w:val="single" w:sz="4" w:space="0" w:color="auto"/>
              <w:bottom w:val="single" w:sz="4" w:space="0" w:color="auto"/>
              <w:right w:val="single" w:sz="4" w:space="0" w:color="auto"/>
            </w:tcBorders>
            <w:hideMark/>
          </w:tcPr>
          <w:p w14:paraId="58021911"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niezbyt często</w:t>
            </w:r>
          </w:p>
        </w:tc>
        <w:tc>
          <w:tcPr>
            <w:tcW w:w="788" w:type="pct"/>
            <w:tcBorders>
              <w:top w:val="single" w:sz="4" w:space="0" w:color="auto"/>
              <w:left w:val="single" w:sz="4" w:space="0" w:color="auto"/>
              <w:bottom w:val="single" w:sz="4" w:space="0" w:color="auto"/>
              <w:right w:val="single" w:sz="4" w:space="0" w:color="auto"/>
            </w:tcBorders>
            <w:hideMark/>
          </w:tcPr>
          <w:p w14:paraId="63889623"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niezbyt często</w:t>
            </w:r>
          </w:p>
        </w:tc>
        <w:tc>
          <w:tcPr>
            <w:tcW w:w="1098" w:type="pct"/>
            <w:tcBorders>
              <w:top w:val="single" w:sz="4" w:space="0" w:color="auto"/>
              <w:left w:val="single" w:sz="4" w:space="0" w:color="auto"/>
              <w:bottom w:val="single" w:sz="4" w:space="0" w:color="auto"/>
              <w:right w:val="single" w:sz="4" w:space="0" w:color="auto"/>
            </w:tcBorders>
            <w:vAlign w:val="bottom"/>
            <w:hideMark/>
          </w:tcPr>
          <w:p w14:paraId="09F4AB50" w14:textId="77777777" w:rsidR="00A610E1" w:rsidRPr="00BD22FE" w:rsidRDefault="00A610E1" w:rsidP="00A610E1">
            <w:pPr>
              <w:rPr>
                <w:color w:val="000000"/>
                <w:sz w:val="22"/>
                <w:szCs w:val="22"/>
                <w:lang w:val="pl-PL" w:eastAsia="en-GB"/>
              </w:rPr>
            </w:pPr>
          </w:p>
        </w:tc>
      </w:tr>
      <w:tr w:rsidR="00A610E1" w:rsidRPr="00BD22FE" w14:paraId="626C74E7" w14:textId="77777777" w:rsidTr="00A610E1">
        <w:tc>
          <w:tcPr>
            <w:tcW w:w="1084" w:type="pct"/>
            <w:vMerge/>
            <w:tcBorders>
              <w:left w:val="single" w:sz="4" w:space="0" w:color="auto"/>
              <w:right w:val="single" w:sz="4" w:space="0" w:color="auto"/>
            </w:tcBorders>
            <w:hideMark/>
          </w:tcPr>
          <w:p w14:paraId="26282C15" w14:textId="77777777" w:rsidR="00A610E1" w:rsidRPr="00BD22FE" w:rsidRDefault="00A610E1" w:rsidP="00A610E1">
            <w:pPr>
              <w:rPr>
                <w:sz w:val="22"/>
                <w:szCs w:val="22"/>
                <w:highlight w:val="yellow"/>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6E2FE48A" w14:textId="77777777" w:rsidR="00A610E1" w:rsidRPr="00BD22FE" w:rsidRDefault="00A610E1" w:rsidP="00A610E1">
            <w:pPr>
              <w:rPr>
                <w:color w:val="000000"/>
                <w:sz w:val="22"/>
                <w:szCs w:val="22"/>
                <w:lang w:val="pl-PL" w:eastAsia="en-GB"/>
              </w:rPr>
            </w:pPr>
            <w:r w:rsidRPr="00BD22FE">
              <w:rPr>
                <w:sz w:val="22"/>
                <w:szCs w:val="22"/>
                <w:lang w:val="pl-PL"/>
              </w:rPr>
              <w:t>Ból brzucha</w:t>
            </w:r>
          </w:p>
        </w:tc>
        <w:tc>
          <w:tcPr>
            <w:tcW w:w="804" w:type="pct"/>
            <w:tcBorders>
              <w:top w:val="single" w:sz="4" w:space="0" w:color="auto"/>
              <w:left w:val="single" w:sz="4" w:space="0" w:color="auto"/>
              <w:bottom w:val="single" w:sz="4" w:space="0" w:color="auto"/>
              <w:right w:val="single" w:sz="4" w:space="0" w:color="auto"/>
            </w:tcBorders>
            <w:hideMark/>
          </w:tcPr>
          <w:p w14:paraId="3E5F63D7"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rzadko</w:t>
            </w:r>
          </w:p>
        </w:tc>
        <w:tc>
          <w:tcPr>
            <w:tcW w:w="788" w:type="pct"/>
            <w:tcBorders>
              <w:top w:val="single" w:sz="4" w:space="0" w:color="auto"/>
              <w:left w:val="single" w:sz="4" w:space="0" w:color="auto"/>
              <w:bottom w:val="single" w:sz="4" w:space="0" w:color="auto"/>
              <w:right w:val="single" w:sz="4" w:space="0" w:color="auto"/>
            </w:tcBorders>
            <w:hideMark/>
          </w:tcPr>
          <w:p w14:paraId="6C86038C"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niezbyt często</w:t>
            </w:r>
          </w:p>
        </w:tc>
        <w:tc>
          <w:tcPr>
            <w:tcW w:w="1098" w:type="pct"/>
            <w:tcBorders>
              <w:top w:val="single" w:sz="4" w:space="0" w:color="auto"/>
              <w:left w:val="single" w:sz="4" w:space="0" w:color="auto"/>
              <w:bottom w:val="single" w:sz="4" w:space="0" w:color="auto"/>
              <w:right w:val="single" w:sz="4" w:space="0" w:color="auto"/>
            </w:tcBorders>
            <w:vAlign w:val="bottom"/>
            <w:hideMark/>
          </w:tcPr>
          <w:p w14:paraId="6C4306E5" w14:textId="77777777" w:rsidR="00A610E1" w:rsidRPr="00BD22FE" w:rsidRDefault="00A610E1" w:rsidP="00A610E1">
            <w:pPr>
              <w:rPr>
                <w:color w:val="000000"/>
                <w:sz w:val="22"/>
                <w:szCs w:val="22"/>
                <w:lang w:val="pl-PL" w:eastAsia="en-GB"/>
              </w:rPr>
            </w:pPr>
          </w:p>
        </w:tc>
      </w:tr>
      <w:tr w:rsidR="00A610E1" w:rsidRPr="00BD22FE" w14:paraId="0952C0B1" w14:textId="77777777" w:rsidTr="00A610E1">
        <w:tc>
          <w:tcPr>
            <w:tcW w:w="1084" w:type="pct"/>
            <w:vMerge/>
            <w:tcBorders>
              <w:left w:val="single" w:sz="4" w:space="0" w:color="auto"/>
              <w:right w:val="single" w:sz="4" w:space="0" w:color="auto"/>
            </w:tcBorders>
            <w:hideMark/>
          </w:tcPr>
          <w:p w14:paraId="75CDA98A" w14:textId="77777777" w:rsidR="00A610E1" w:rsidRPr="00BD22FE" w:rsidRDefault="00A610E1" w:rsidP="00A610E1">
            <w:pPr>
              <w:rPr>
                <w:sz w:val="22"/>
                <w:szCs w:val="22"/>
                <w:highlight w:val="yellow"/>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6DEE1B5A" w14:textId="77777777" w:rsidR="00A610E1" w:rsidRPr="00BD22FE" w:rsidRDefault="00A610E1" w:rsidP="00A610E1">
            <w:pPr>
              <w:rPr>
                <w:color w:val="000000"/>
                <w:sz w:val="22"/>
                <w:szCs w:val="22"/>
                <w:lang w:val="pl-PL" w:eastAsia="en-GB"/>
              </w:rPr>
            </w:pPr>
            <w:r w:rsidRPr="00BD22FE">
              <w:rPr>
                <w:sz w:val="22"/>
                <w:szCs w:val="22"/>
                <w:lang w:val="pl-PL"/>
              </w:rPr>
              <w:t>Zaparcia</w:t>
            </w:r>
          </w:p>
        </w:tc>
        <w:tc>
          <w:tcPr>
            <w:tcW w:w="804" w:type="pct"/>
            <w:tcBorders>
              <w:top w:val="single" w:sz="4" w:space="0" w:color="auto"/>
              <w:left w:val="single" w:sz="4" w:space="0" w:color="auto"/>
              <w:bottom w:val="single" w:sz="4" w:space="0" w:color="auto"/>
              <w:right w:val="single" w:sz="4" w:space="0" w:color="auto"/>
            </w:tcBorders>
            <w:hideMark/>
          </w:tcPr>
          <w:p w14:paraId="629C2E39"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rzadko</w:t>
            </w:r>
          </w:p>
        </w:tc>
        <w:tc>
          <w:tcPr>
            <w:tcW w:w="788" w:type="pct"/>
            <w:tcBorders>
              <w:top w:val="single" w:sz="4" w:space="0" w:color="auto"/>
              <w:left w:val="single" w:sz="4" w:space="0" w:color="auto"/>
              <w:bottom w:val="single" w:sz="4" w:space="0" w:color="auto"/>
              <w:right w:val="single" w:sz="4" w:space="0" w:color="auto"/>
            </w:tcBorders>
            <w:vAlign w:val="bottom"/>
            <w:hideMark/>
          </w:tcPr>
          <w:p w14:paraId="1CA63B84" w14:textId="77777777" w:rsidR="00A610E1" w:rsidRPr="00BD22FE" w:rsidRDefault="00A610E1" w:rsidP="00A610E1">
            <w:pPr>
              <w:rPr>
                <w:color w:val="000000"/>
                <w:sz w:val="22"/>
                <w:szCs w:val="22"/>
                <w:lang w:val="pl-PL" w:eastAsia="en-GB"/>
              </w:rPr>
            </w:pPr>
          </w:p>
        </w:tc>
        <w:tc>
          <w:tcPr>
            <w:tcW w:w="1098" w:type="pct"/>
            <w:tcBorders>
              <w:top w:val="single" w:sz="4" w:space="0" w:color="auto"/>
              <w:left w:val="single" w:sz="4" w:space="0" w:color="auto"/>
              <w:bottom w:val="single" w:sz="4" w:space="0" w:color="auto"/>
              <w:right w:val="single" w:sz="4" w:space="0" w:color="auto"/>
            </w:tcBorders>
            <w:vAlign w:val="bottom"/>
            <w:hideMark/>
          </w:tcPr>
          <w:p w14:paraId="304605A1"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rzadko</w:t>
            </w:r>
          </w:p>
        </w:tc>
      </w:tr>
      <w:tr w:rsidR="00A610E1" w:rsidRPr="00BD22FE" w14:paraId="03CB614D" w14:textId="77777777" w:rsidTr="00A610E1">
        <w:tc>
          <w:tcPr>
            <w:tcW w:w="1084" w:type="pct"/>
            <w:vMerge/>
            <w:tcBorders>
              <w:left w:val="single" w:sz="4" w:space="0" w:color="auto"/>
              <w:right w:val="single" w:sz="4" w:space="0" w:color="auto"/>
            </w:tcBorders>
            <w:hideMark/>
          </w:tcPr>
          <w:p w14:paraId="46B6F98D" w14:textId="77777777" w:rsidR="00A610E1" w:rsidRPr="00BD22FE" w:rsidRDefault="00A610E1" w:rsidP="00A610E1">
            <w:pPr>
              <w:rPr>
                <w:color w:val="000000"/>
                <w:sz w:val="22"/>
                <w:szCs w:val="22"/>
                <w:highlight w:val="yellow"/>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7490795A" w14:textId="77777777" w:rsidR="00A610E1" w:rsidRPr="00BD22FE" w:rsidRDefault="00A610E1" w:rsidP="00A610E1">
            <w:pPr>
              <w:rPr>
                <w:color w:val="000000"/>
                <w:sz w:val="22"/>
                <w:szCs w:val="22"/>
                <w:lang w:val="pl-PL" w:eastAsia="en-GB"/>
              </w:rPr>
            </w:pPr>
            <w:r w:rsidRPr="00BD22FE">
              <w:rPr>
                <w:sz w:val="22"/>
                <w:szCs w:val="22"/>
                <w:lang w:val="pl-PL"/>
              </w:rPr>
              <w:t>Dyspepsja</w:t>
            </w:r>
          </w:p>
        </w:tc>
        <w:tc>
          <w:tcPr>
            <w:tcW w:w="804" w:type="pct"/>
            <w:tcBorders>
              <w:top w:val="single" w:sz="4" w:space="0" w:color="auto"/>
              <w:left w:val="single" w:sz="4" w:space="0" w:color="auto"/>
              <w:bottom w:val="single" w:sz="4" w:space="0" w:color="auto"/>
              <w:right w:val="single" w:sz="4" w:space="0" w:color="auto"/>
            </w:tcBorders>
            <w:hideMark/>
          </w:tcPr>
          <w:p w14:paraId="658C5772"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rzadko</w:t>
            </w:r>
          </w:p>
        </w:tc>
        <w:tc>
          <w:tcPr>
            <w:tcW w:w="788" w:type="pct"/>
            <w:tcBorders>
              <w:top w:val="single" w:sz="4" w:space="0" w:color="auto"/>
              <w:left w:val="single" w:sz="4" w:space="0" w:color="auto"/>
              <w:bottom w:val="single" w:sz="4" w:space="0" w:color="auto"/>
              <w:right w:val="single" w:sz="4" w:space="0" w:color="auto"/>
            </w:tcBorders>
            <w:hideMark/>
          </w:tcPr>
          <w:p w14:paraId="5403A407"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niezbyt często</w:t>
            </w:r>
          </w:p>
        </w:tc>
        <w:tc>
          <w:tcPr>
            <w:tcW w:w="1098" w:type="pct"/>
            <w:tcBorders>
              <w:top w:val="single" w:sz="4" w:space="0" w:color="auto"/>
              <w:left w:val="single" w:sz="4" w:space="0" w:color="auto"/>
              <w:bottom w:val="single" w:sz="4" w:space="0" w:color="auto"/>
              <w:right w:val="single" w:sz="4" w:space="0" w:color="auto"/>
            </w:tcBorders>
            <w:vAlign w:val="bottom"/>
            <w:hideMark/>
          </w:tcPr>
          <w:p w14:paraId="2AB884CC" w14:textId="77777777" w:rsidR="00A610E1" w:rsidRPr="00BD22FE" w:rsidRDefault="00A610E1" w:rsidP="00A610E1">
            <w:pPr>
              <w:rPr>
                <w:color w:val="000000"/>
                <w:sz w:val="22"/>
                <w:szCs w:val="22"/>
                <w:lang w:val="pl-PL" w:eastAsia="en-GB"/>
              </w:rPr>
            </w:pPr>
          </w:p>
        </w:tc>
      </w:tr>
      <w:tr w:rsidR="00A610E1" w:rsidRPr="00BD22FE" w14:paraId="6D596538" w14:textId="77777777" w:rsidTr="00A610E1">
        <w:tc>
          <w:tcPr>
            <w:tcW w:w="1084" w:type="pct"/>
            <w:vMerge/>
            <w:tcBorders>
              <w:left w:val="single" w:sz="4" w:space="0" w:color="auto"/>
              <w:right w:val="single" w:sz="4" w:space="0" w:color="auto"/>
            </w:tcBorders>
            <w:hideMark/>
          </w:tcPr>
          <w:p w14:paraId="2C607C9F" w14:textId="77777777" w:rsidR="00A610E1" w:rsidRPr="00BD22FE" w:rsidRDefault="00A610E1" w:rsidP="00A610E1">
            <w:pPr>
              <w:rPr>
                <w:sz w:val="22"/>
                <w:szCs w:val="22"/>
                <w:highlight w:val="yellow"/>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0C99BBB4" w14:textId="77777777" w:rsidR="00A610E1" w:rsidRPr="00BD22FE" w:rsidRDefault="00A610E1" w:rsidP="00A610E1">
            <w:pPr>
              <w:rPr>
                <w:color w:val="000000"/>
                <w:sz w:val="22"/>
                <w:szCs w:val="22"/>
                <w:lang w:val="pl-PL" w:eastAsia="en-GB"/>
              </w:rPr>
            </w:pPr>
            <w:r w:rsidRPr="00BD22FE">
              <w:rPr>
                <w:sz w:val="22"/>
                <w:szCs w:val="22"/>
                <w:lang w:val="pl-PL"/>
              </w:rPr>
              <w:t>Wymioty</w:t>
            </w:r>
          </w:p>
        </w:tc>
        <w:tc>
          <w:tcPr>
            <w:tcW w:w="804" w:type="pct"/>
            <w:tcBorders>
              <w:top w:val="single" w:sz="4" w:space="0" w:color="auto"/>
              <w:left w:val="single" w:sz="4" w:space="0" w:color="auto"/>
              <w:bottom w:val="single" w:sz="4" w:space="0" w:color="auto"/>
              <w:right w:val="single" w:sz="4" w:space="0" w:color="auto"/>
            </w:tcBorders>
            <w:hideMark/>
          </w:tcPr>
          <w:p w14:paraId="00C29700"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rzadko</w:t>
            </w:r>
          </w:p>
        </w:tc>
        <w:tc>
          <w:tcPr>
            <w:tcW w:w="788" w:type="pct"/>
            <w:tcBorders>
              <w:top w:val="single" w:sz="4" w:space="0" w:color="auto"/>
              <w:left w:val="single" w:sz="4" w:space="0" w:color="auto"/>
              <w:bottom w:val="single" w:sz="4" w:space="0" w:color="auto"/>
              <w:right w:val="single" w:sz="4" w:space="0" w:color="auto"/>
            </w:tcBorders>
            <w:hideMark/>
          </w:tcPr>
          <w:p w14:paraId="44278DBA"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niezbyt często</w:t>
            </w:r>
          </w:p>
        </w:tc>
        <w:tc>
          <w:tcPr>
            <w:tcW w:w="1098" w:type="pct"/>
            <w:tcBorders>
              <w:top w:val="single" w:sz="4" w:space="0" w:color="auto"/>
              <w:left w:val="single" w:sz="4" w:space="0" w:color="auto"/>
              <w:bottom w:val="single" w:sz="4" w:space="0" w:color="auto"/>
              <w:right w:val="single" w:sz="4" w:space="0" w:color="auto"/>
            </w:tcBorders>
            <w:vAlign w:val="bottom"/>
            <w:hideMark/>
          </w:tcPr>
          <w:p w14:paraId="3C74F14A"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często</w:t>
            </w:r>
          </w:p>
        </w:tc>
      </w:tr>
      <w:tr w:rsidR="00A610E1" w:rsidRPr="00BD22FE" w14:paraId="1BF5E40C" w14:textId="77777777" w:rsidTr="00A610E1">
        <w:tc>
          <w:tcPr>
            <w:tcW w:w="1084" w:type="pct"/>
            <w:vMerge/>
            <w:tcBorders>
              <w:left w:val="single" w:sz="4" w:space="0" w:color="auto"/>
              <w:right w:val="single" w:sz="4" w:space="0" w:color="auto"/>
            </w:tcBorders>
            <w:hideMark/>
          </w:tcPr>
          <w:p w14:paraId="198CFE2C" w14:textId="77777777" w:rsidR="00A610E1" w:rsidRPr="00BD22FE" w:rsidRDefault="00A610E1" w:rsidP="00A610E1">
            <w:pPr>
              <w:rPr>
                <w:color w:val="000000"/>
                <w:sz w:val="22"/>
                <w:szCs w:val="22"/>
                <w:highlight w:val="yellow"/>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50FF95F5" w14:textId="77777777" w:rsidR="00A610E1" w:rsidRPr="00BD22FE" w:rsidRDefault="00A610E1" w:rsidP="00A610E1">
            <w:pPr>
              <w:rPr>
                <w:color w:val="000000"/>
                <w:sz w:val="22"/>
                <w:szCs w:val="22"/>
                <w:lang w:val="pl-PL" w:eastAsia="en-GB"/>
              </w:rPr>
            </w:pPr>
            <w:r w:rsidRPr="00BD22FE">
              <w:rPr>
                <w:sz w:val="22"/>
                <w:szCs w:val="22"/>
                <w:lang w:val="pl-PL"/>
              </w:rPr>
              <w:t>Zapalenie błony śluzowej żołądka</w:t>
            </w:r>
          </w:p>
        </w:tc>
        <w:tc>
          <w:tcPr>
            <w:tcW w:w="804" w:type="pct"/>
            <w:tcBorders>
              <w:top w:val="single" w:sz="4" w:space="0" w:color="auto"/>
              <w:left w:val="single" w:sz="4" w:space="0" w:color="auto"/>
              <w:bottom w:val="single" w:sz="4" w:space="0" w:color="auto"/>
              <w:right w:val="single" w:sz="4" w:space="0" w:color="auto"/>
            </w:tcBorders>
            <w:hideMark/>
          </w:tcPr>
          <w:p w14:paraId="7828A5C7"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rzadko</w:t>
            </w:r>
          </w:p>
        </w:tc>
        <w:tc>
          <w:tcPr>
            <w:tcW w:w="788" w:type="pct"/>
            <w:tcBorders>
              <w:top w:val="single" w:sz="4" w:space="0" w:color="auto"/>
              <w:left w:val="single" w:sz="4" w:space="0" w:color="auto"/>
              <w:bottom w:val="single" w:sz="4" w:space="0" w:color="auto"/>
              <w:right w:val="single" w:sz="4" w:space="0" w:color="auto"/>
            </w:tcBorders>
            <w:vAlign w:val="bottom"/>
            <w:hideMark/>
          </w:tcPr>
          <w:p w14:paraId="4A6CB1F6" w14:textId="77777777" w:rsidR="00A610E1" w:rsidRPr="00BD22FE" w:rsidRDefault="00A610E1" w:rsidP="00A610E1">
            <w:pPr>
              <w:rPr>
                <w:color w:val="000000"/>
                <w:sz w:val="22"/>
                <w:szCs w:val="22"/>
                <w:lang w:val="pl-PL" w:eastAsia="en-GB"/>
              </w:rPr>
            </w:pPr>
          </w:p>
        </w:tc>
        <w:tc>
          <w:tcPr>
            <w:tcW w:w="1098" w:type="pct"/>
            <w:tcBorders>
              <w:top w:val="single" w:sz="4" w:space="0" w:color="auto"/>
              <w:left w:val="single" w:sz="4" w:space="0" w:color="auto"/>
              <w:bottom w:val="single" w:sz="4" w:space="0" w:color="auto"/>
              <w:right w:val="single" w:sz="4" w:space="0" w:color="auto"/>
            </w:tcBorders>
            <w:vAlign w:val="bottom"/>
            <w:hideMark/>
          </w:tcPr>
          <w:p w14:paraId="46F40F25" w14:textId="77777777" w:rsidR="00A610E1" w:rsidRPr="00BD22FE" w:rsidRDefault="00A610E1" w:rsidP="00A610E1">
            <w:pPr>
              <w:rPr>
                <w:sz w:val="22"/>
                <w:szCs w:val="22"/>
                <w:lang w:val="pl-PL" w:eastAsia="en-GB"/>
              </w:rPr>
            </w:pPr>
          </w:p>
        </w:tc>
      </w:tr>
      <w:tr w:rsidR="00A610E1" w:rsidRPr="00BD22FE" w14:paraId="5FB17F86" w14:textId="77777777" w:rsidTr="00A610E1">
        <w:tc>
          <w:tcPr>
            <w:tcW w:w="1084" w:type="pct"/>
            <w:vMerge/>
            <w:tcBorders>
              <w:left w:val="single" w:sz="4" w:space="0" w:color="auto"/>
              <w:right w:val="single" w:sz="4" w:space="0" w:color="auto"/>
            </w:tcBorders>
            <w:hideMark/>
          </w:tcPr>
          <w:p w14:paraId="433A5F86" w14:textId="77777777" w:rsidR="00A610E1" w:rsidRPr="00BD22FE" w:rsidRDefault="00A610E1" w:rsidP="00A610E1">
            <w:pPr>
              <w:rPr>
                <w:sz w:val="22"/>
                <w:szCs w:val="22"/>
                <w:highlight w:val="yellow"/>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316F763E"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Dyskomfort w jamie brzusznej</w:t>
            </w:r>
          </w:p>
        </w:tc>
        <w:tc>
          <w:tcPr>
            <w:tcW w:w="804" w:type="pct"/>
            <w:tcBorders>
              <w:top w:val="single" w:sz="4" w:space="0" w:color="auto"/>
              <w:left w:val="single" w:sz="4" w:space="0" w:color="auto"/>
              <w:bottom w:val="single" w:sz="4" w:space="0" w:color="auto"/>
              <w:right w:val="single" w:sz="4" w:space="0" w:color="auto"/>
            </w:tcBorders>
            <w:vAlign w:val="bottom"/>
            <w:hideMark/>
          </w:tcPr>
          <w:p w14:paraId="1C17E4D8" w14:textId="77777777" w:rsidR="00A610E1" w:rsidRPr="00BD22FE" w:rsidRDefault="00A610E1" w:rsidP="00A610E1">
            <w:pPr>
              <w:rPr>
                <w:color w:val="000000"/>
                <w:sz w:val="22"/>
                <w:szCs w:val="22"/>
                <w:lang w:val="pl-PL" w:eastAsia="en-GB"/>
              </w:rPr>
            </w:pPr>
          </w:p>
        </w:tc>
        <w:tc>
          <w:tcPr>
            <w:tcW w:w="788" w:type="pct"/>
            <w:tcBorders>
              <w:top w:val="single" w:sz="4" w:space="0" w:color="auto"/>
              <w:left w:val="single" w:sz="4" w:space="0" w:color="auto"/>
              <w:bottom w:val="single" w:sz="4" w:space="0" w:color="auto"/>
              <w:right w:val="single" w:sz="4" w:space="0" w:color="auto"/>
            </w:tcBorders>
            <w:vAlign w:val="bottom"/>
            <w:hideMark/>
          </w:tcPr>
          <w:p w14:paraId="5BB2EE69"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rzadko</w:t>
            </w:r>
          </w:p>
        </w:tc>
        <w:tc>
          <w:tcPr>
            <w:tcW w:w="1098" w:type="pct"/>
            <w:tcBorders>
              <w:top w:val="single" w:sz="4" w:space="0" w:color="auto"/>
              <w:left w:val="single" w:sz="4" w:space="0" w:color="auto"/>
              <w:bottom w:val="single" w:sz="4" w:space="0" w:color="auto"/>
              <w:right w:val="single" w:sz="4" w:space="0" w:color="auto"/>
            </w:tcBorders>
            <w:vAlign w:val="bottom"/>
            <w:hideMark/>
          </w:tcPr>
          <w:p w14:paraId="7A7117F8"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rzadko</w:t>
            </w:r>
          </w:p>
        </w:tc>
      </w:tr>
      <w:tr w:rsidR="00A610E1" w:rsidRPr="00BD22FE" w14:paraId="1C818697" w14:textId="77777777" w:rsidTr="00A610E1">
        <w:tc>
          <w:tcPr>
            <w:tcW w:w="1084" w:type="pct"/>
            <w:vMerge/>
            <w:tcBorders>
              <w:left w:val="single" w:sz="4" w:space="0" w:color="auto"/>
              <w:right w:val="single" w:sz="4" w:space="0" w:color="auto"/>
            </w:tcBorders>
            <w:hideMark/>
          </w:tcPr>
          <w:p w14:paraId="37763064" w14:textId="77777777" w:rsidR="00A610E1" w:rsidRPr="00BD22FE" w:rsidRDefault="00A610E1" w:rsidP="00A610E1">
            <w:pPr>
              <w:rPr>
                <w:color w:val="000000"/>
                <w:sz w:val="22"/>
                <w:szCs w:val="22"/>
                <w:highlight w:val="yellow"/>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4C2B37B5"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Nudności</w:t>
            </w:r>
          </w:p>
        </w:tc>
        <w:tc>
          <w:tcPr>
            <w:tcW w:w="804" w:type="pct"/>
            <w:tcBorders>
              <w:top w:val="single" w:sz="4" w:space="0" w:color="auto"/>
              <w:left w:val="single" w:sz="4" w:space="0" w:color="auto"/>
              <w:bottom w:val="single" w:sz="4" w:space="0" w:color="auto"/>
              <w:right w:val="single" w:sz="4" w:space="0" w:color="auto"/>
            </w:tcBorders>
            <w:vAlign w:val="bottom"/>
            <w:hideMark/>
          </w:tcPr>
          <w:p w14:paraId="3104EA41" w14:textId="77777777" w:rsidR="00A610E1" w:rsidRPr="00BD22FE" w:rsidRDefault="00A610E1" w:rsidP="00A610E1">
            <w:pPr>
              <w:rPr>
                <w:color w:val="000000"/>
                <w:sz w:val="22"/>
                <w:szCs w:val="22"/>
                <w:lang w:val="pl-PL" w:eastAsia="en-GB"/>
              </w:rPr>
            </w:pPr>
          </w:p>
        </w:tc>
        <w:tc>
          <w:tcPr>
            <w:tcW w:w="788" w:type="pct"/>
            <w:tcBorders>
              <w:top w:val="single" w:sz="4" w:space="0" w:color="auto"/>
              <w:left w:val="single" w:sz="4" w:space="0" w:color="auto"/>
              <w:bottom w:val="single" w:sz="4" w:space="0" w:color="auto"/>
              <w:right w:val="single" w:sz="4" w:space="0" w:color="auto"/>
            </w:tcBorders>
            <w:vAlign w:val="bottom"/>
            <w:hideMark/>
          </w:tcPr>
          <w:p w14:paraId="249B8EBD" w14:textId="77777777" w:rsidR="00A610E1" w:rsidRPr="00BD22FE" w:rsidRDefault="00A610E1" w:rsidP="00A610E1">
            <w:pPr>
              <w:rPr>
                <w:sz w:val="22"/>
                <w:szCs w:val="22"/>
                <w:lang w:val="pl-PL" w:eastAsia="en-GB"/>
              </w:rPr>
            </w:pPr>
          </w:p>
        </w:tc>
        <w:tc>
          <w:tcPr>
            <w:tcW w:w="1098" w:type="pct"/>
            <w:tcBorders>
              <w:top w:val="single" w:sz="4" w:space="0" w:color="auto"/>
              <w:left w:val="single" w:sz="4" w:space="0" w:color="auto"/>
              <w:bottom w:val="single" w:sz="4" w:space="0" w:color="auto"/>
              <w:right w:val="single" w:sz="4" w:space="0" w:color="auto"/>
            </w:tcBorders>
            <w:vAlign w:val="bottom"/>
            <w:hideMark/>
          </w:tcPr>
          <w:p w14:paraId="7EBFBB4D"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często</w:t>
            </w:r>
          </w:p>
        </w:tc>
      </w:tr>
      <w:tr w:rsidR="00A610E1" w:rsidRPr="00BD22FE" w14:paraId="179C4F1B" w14:textId="77777777" w:rsidTr="00A610E1">
        <w:tc>
          <w:tcPr>
            <w:tcW w:w="1084" w:type="pct"/>
            <w:vMerge/>
            <w:tcBorders>
              <w:left w:val="single" w:sz="4" w:space="0" w:color="auto"/>
              <w:bottom w:val="single" w:sz="4" w:space="0" w:color="auto"/>
              <w:right w:val="single" w:sz="4" w:space="0" w:color="auto"/>
            </w:tcBorders>
            <w:hideMark/>
          </w:tcPr>
          <w:p w14:paraId="30150E05" w14:textId="77777777" w:rsidR="00A610E1" w:rsidRPr="00BD22FE" w:rsidRDefault="00A610E1" w:rsidP="00A610E1">
            <w:pPr>
              <w:rPr>
                <w:color w:val="000000"/>
                <w:sz w:val="22"/>
                <w:szCs w:val="22"/>
                <w:highlight w:val="yellow"/>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32C7B461" w14:textId="77777777" w:rsidR="00A610E1" w:rsidRPr="00BD22FE" w:rsidRDefault="00A610E1" w:rsidP="00A610E1">
            <w:pPr>
              <w:rPr>
                <w:color w:val="000000"/>
                <w:sz w:val="22"/>
                <w:szCs w:val="22"/>
                <w:lang w:val="pl-PL" w:eastAsia="en-GB"/>
              </w:rPr>
            </w:pPr>
            <w:r w:rsidRPr="00BD22FE">
              <w:rPr>
                <w:sz w:val="22"/>
                <w:szCs w:val="22"/>
                <w:lang w:val="pl-PL"/>
              </w:rPr>
              <w:t>Zapalenie trzustki</w:t>
            </w:r>
          </w:p>
        </w:tc>
        <w:tc>
          <w:tcPr>
            <w:tcW w:w="804" w:type="pct"/>
            <w:tcBorders>
              <w:top w:val="single" w:sz="4" w:space="0" w:color="auto"/>
              <w:left w:val="single" w:sz="4" w:space="0" w:color="auto"/>
              <w:bottom w:val="single" w:sz="4" w:space="0" w:color="auto"/>
              <w:right w:val="single" w:sz="4" w:space="0" w:color="auto"/>
            </w:tcBorders>
            <w:vAlign w:val="bottom"/>
            <w:hideMark/>
          </w:tcPr>
          <w:p w14:paraId="325FA98F" w14:textId="77777777" w:rsidR="00A610E1" w:rsidRPr="00BD22FE" w:rsidRDefault="00A610E1" w:rsidP="00A610E1">
            <w:pPr>
              <w:rPr>
                <w:color w:val="000000"/>
                <w:sz w:val="22"/>
                <w:szCs w:val="22"/>
                <w:lang w:val="pl-PL" w:eastAsia="en-GB"/>
              </w:rPr>
            </w:pPr>
          </w:p>
        </w:tc>
        <w:tc>
          <w:tcPr>
            <w:tcW w:w="788" w:type="pct"/>
            <w:tcBorders>
              <w:top w:val="single" w:sz="4" w:space="0" w:color="auto"/>
              <w:left w:val="single" w:sz="4" w:space="0" w:color="auto"/>
              <w:bottom w:val="single" w:sz="4" w:space="0" w:color="auto"/>
              <w:right w:val="single" w:sz="4" w:space="0" w:color="auto"/>
            </w:tcBorders>
            <w:vAlign w:val="bottom"/>
            <w:hideMark/>
          </w:tcPr>
          <w:p w14:paraId="1AF88EE5" w14:textId="77777777" w:rsidR="00A610E1" w:rsidRPr="00BD22FE" w:rsidRDefault="00A610E1" w:rsidP="00A610E1">
            <w:pPr>
              <w:rPr>
                <w:sz w:val="22"/>
                <w:szCs w:val="22"/>
                <w:lang w:val="pl-PL" w:eastAsia="en-GB"/>
              </w:rPr>
            </w:pPr>
          </w:p>
        </w:tc>
        <w:tc>
          <w:tcPr>
            <w:tcW w:w="1098" w:type="pct"/>
            <w:tcBorders>
              <w:top w:val="single" w:sz="4" w:space="0" w:color="auto"/>
              <w:left w:val="single" w:sz="4" w:space="0" w:color="auto"/>
              <w:bottom w:val="single" w:sz="4" w:space="0" w:color="auto"/>
              <w:right w:val="single" w:sz="4" w:space="0" w:color="auto"/>
            </w:tcBorders>
            <w:vAlign w:val="bottom"/>
            <w:hideMark/>
          </w:tcPr>
          <w:p w14:paraId="4C8EA6A8"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bardzo rzadko</w:t>
            </w:r>
          </w:p>
        </w:tc>
      </w:tr>
      <w:tr w:rsidR="00A610E1" w:rsidRPr="00BD22FE" w14:paraId="45A9B621" w14:textId="77777777" w:rsidTr="00A610E1">
        <w:tc>
          <w:tcPr>
            <w:tcW w:w="1084" w:type="pct"/>
            <w:vMerge w:val="restart"/>
            <w:tcBorders>
              <w:top w:val="single" w:sz="4" w:space="0" w:color="auto"/>
              <w:left w:val="single" w:sz="4" w:space="0" w:color="auto"/>
              <w:right w:val="single" w:sz="4" w:space="0" w:color="auto"/>
            </w:tcBorders>
            <w:hideMark/>
          </w:tcPr>
          <w:p w14:paraId="62936AA4" w14:textId="77777777" w:rsidR="00A610E1" w:rsidRPr="00BD22FE" w:rsidRDefault="00A610E1" w:rsidP="00A610E1">
            <w:pPr>
              <w:rPr>
                <w:b/>
                <w:bCs/>
                <w:color w:val="000000"/>
                <w:sz w:val="22"/>
                <w:szCs w:val="22"/>
                <w:highlight w:val="yellow"/>
                <w:lang w:val="pl-PL" w:eastAsia="en-GB"/>
              </w:rPr>
            </w:pPr>
            <w:r w:rsidRPr="00BD22FE">
              <w:rPr>
                <w:b/>
                <w:bCs/>
                <w:sz w:val="22"/>
                <w:szCs w:val="22"/>
                <w:lang w:val="pl-PL"/>
              </w:rPr>
              <w:t>Zaburzenia wątroby i dróg żółciowych</w:t>
            </w:r>
          </w:p>
        </w:tc>
        <w:tc>
          <w:tcPr>
            <w:tcW w:w="1226" w:type="pct"/>
            <w:tcBorders>
              <w:top w:val="single" w:sz="4" w:space="0" w:color="auto"/>
              <w:left w:val="single" w:sz="4" w:space="0" w:color="auto"/>
              <w:bottom w:val="single" w:sz="4" w:space="0" w:color="auto"/>
              <w:right w:val="single" w:sz="4" w:space="0" w:color="auto"/>
            </w:tcBorders>
            <w:vAlign w:val="bottom"/>
            <w:hideMark/>
          </w:tcPr>
          <w:p w14:paraId="4C6EF962" w14:textId="77777777" w:rsidR="00A610E1" w:rsidRPr="00BD22FE" w:rsidRDefault="00A610E1" w:rsidP="00A610E1">
            <w:pPr>
              <w:rPr>
                <w:color w:val="000000"/>
                <w:sz w:val="22"/>
                <w:szCs w:val="22"/>
                <w:lang w:val="pl-PL" w:eastAsia="en-GB"/>
              </w:rPr>
            </w:pPr>
            <w:r w:rsidRPr="00BD22FE">
              <w:rPr>
                <w:sz w:val="22"/>
                <w:szCs w:val="22"/>
                <w:lang w:val="pl-PL"/>
              </w:rPr>
              <w:t>Nieprawidłowa czynność wątroby/zaburzenia czynności wątroby</w:t>
            </w:r>
          </w:p>
        </w:tc>
        <w:tc>
          <w:tcPr>
            <w:tcW w:w="804" w:type="pct"/>
            <w:tcBorders>
              <w:top w:val="single" w:sz="4" w:space="0" w:color="auto"/>
              <w:left w:val="single" w:sz="4" w:space="0" w:color="auto"/>
              <w:bottom w:val="single" w:sz="4" w:space="0" w:color="auto"/>
              <w:right w:val="single" w:sz="4" w:space="0" w:color="auto"/>
            </w:tcBorders>
            <w:vAlign w:val="bottom"/>
            <w:hideMark/>
          </w:tcPr>
          <w:p w14:paraId="5861FC57"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rzadko</w:t>
            </w:r>
            <w:r w:rsidRPr="00BD22FE">
              <w:rPr>
                <w:color w:val="000000"/>
                <w:sz w:val="22"/>
                <w:szCs w:val="22"/>
                <w:vertAlign w:val="superscript"/>
                <w:lang w:val="pl-PL" w:eastAsia="en-GB"/>
              </w:rPr>
              <w:t>2</w:t>
            </w:r>
          </w:p>
        </w:tc>
        <w:tc>
          <w:tcPr>
            <w:tcW w:w="788" w:type="pct"/>
            <w:tcBorders>
              <w:top w:val="single" w:sz="4" w:space="0" w:color="auto"/>
              <w:left w:val="single" w:sz="4" w:space="0" w:color="auto"/>
              <w:bottom w:val="single" w:sz="4" w:space="0" w:color="auto"/>
              <w:right w:val="single" w:sz="4" w:space="0" w:color="auto"/>
            </w:tcBorders>
            <w:vAlign w:val="bottom"/>
            <w:hideMark/>
          </w:tcPr>
          <w:p w14:paraId="421A8A58"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rzadko</w:t>
            </w:r>
            <w:r w:rsidRPr="00BD22FE">
              <w:rPr>
                <w:color w:val="000000"/>
                <w:sz w:val="22"/>
                <w:szCs w:val="22"/>
                <w:vertAlign w:val="superscript"/>
                <w:lang w:val="pl-PL" w:eastAsia="en-GB"/>
              </w:rPr>
              <w:t>2</w:t>
            </w:r>
          </w:p>
        </w:tc>
        <w:tc>
          <w:tcPr>
            <w:tcW w:w="1098" w:type="pct"/>
            <w:tcBorders>
              <w:top w:val="single" w:sz="4" w:space="0" w:color="auto"/>
              <w:left w:val="single" w:sz="4" w:space="0" w:color="auto"/>
              <w:bottom w:val="single" w:sz="4" w:space="0" w:color="auto"/>
              <w:right w:val="single" w:sz="4" w:space="0" w:color="auto"/>
            </w:tcBorders>
            <w:vAlign w:val="bottom"/>
            <w:hideMark/>
          </w:tcPr>
          <w:p w14:paraId="0F3A2BA9" w14:textId="77777777" w:rsidR="00A610E1" w:rsidRPr="00BD22FE" w:rsidRDefault="00A610E1" w:rsidP="00A610E1">
            <w:pPr>
              <w:rPr>
                <w:color w:val="000000"/>
                <w:sz w:val="22"/>
                <w:szCs w:val="22"/>
                <w:lang w:val="pl-PL" w:eastAsia="en-GB"/>
              </w:rPr>
            </w:pPr>
          </w:p>
        </w:tc>
      </w:tr>
      <w:tr w:rsidR="00A610E1" w:rsidRPr="00BD22FE" w14:paraId="059B4C9E" w14:textId="77777777" w:rsidTr="00A610E1">
        <w:tc>
          <w:tcPr>
            <w:tcW w:w="1084" w:type="pct"/>
            <w:vMerge/>
            <w:tcBorders>
              <w:left w:val="single" w:sz="4" w:space="0" w:color="auto"/>
              <w:right w:val="single" w:sz="4" w:space="0" w:color="auto"/>
            </w:tcBorders>
            <w:hideMark/>
          </w:tcPr>
          <w:p w14:paraId="1ABCF19F" w14:textId="77777777" w:rsidR="00A610E1" w:rsidRPr="00BD22FE" w:rsidRDefault="00A610E1" w:rsidP="00A610E1">
            <w:pPr>
              <w:rPr>
                <w:sz w:val="22"/>
                <w:szCs w:val="22"/>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5D8E2E3C"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Żółtaczka</w:t>
            </w:r>
          </w:p>
        </w:tc>
        <w:tc>
          <w:tcPr>
            <w:tcW w:w="804" w:type="pct"/>
            <w:tcBorders>
              <w:top w:val="single" w:sz="4" w:space="0" w:color="auto"/>
              <w:left w:val="single" w:sz="4" w:space="0" w:color="auto"/>
              <w:bottom w:val="single" w:sz="4" w:space="0" w:color="auto"/>
              <w:right w:val="single" w:sz="4" w:space="0" w:color="auto"/>
            </w:tcBorders>
            <w:vAlign w:val="bottom"/>
            <w:hideMark/>
          </w:tcPr>
          <w:p w14:paraId="3290ACF5" w14:textId="77777777" w:rsidR="00A610E1" w:rsidRPr="00BD22FE" w:rsidRDefault="00A610E1" w:rsidP="00A610E1">
            <w:pPr>
              <w:rPr>
                <w:color w:val="000000"/>
                <w:sz w:val="22"/>
                <w:szCs w:val="22"/>
                <w:lang w:val="pl-PL" w:eastAsia="en-GB"/>
              </w:rPr>
            </w:pPr>
          </w:p>
        </w:tc>
        <w:tc>
          <w:tcPr>
            <w:tcW w:w="788" w:type="pct"/>
            <w:tcBorders>
              <w:top w:val="single" w:sz="4" w:space="0" w:color="auto"/>
              <w:left w:val="single" w:sz="4" w:space="0" w:color="auto"/>
              <w:bottom w:val="single" w:sz="4" w:space="0" w:color="auto"/>
              <w:right w:val="single" w:sz="4" w:space="0" w:color="auto"/>
            </w:tcBorders>
            <w:vAlign w:val="bottom"/>
            <w:hideMark/>
          </w:tcPr>
          <w:p w14:paraId="734801D3" w14:textId="77777777" w:rsidR="00A610E1" w:rsidRPr="00BD22FE" w:rsidRDefault="00A610E1" w:rsidP="00A610E1">
            <w:pPr>
              <w:rPr>
                <w:sz w:val="22"/>
                <w:szCs w:val="22"/>
                <w:lang w:val="pl-PL" w:eastAsia="en-GB"/>
              </w:rPr>
            </w:pPr>
          </w:p>
        </w:tc>
        <w:tc>
          <w:tcPr>
            <w:tcW w:w="1098" w:type="pct"/>
            <w:tcBorders>
              <w:top w:val="single" w:sz="4" w:space="0" w:color="auto"/>
              <w:left w:val="single" w:sz="4" w:space="0" w:color="auto"/>
              <w:bottom w:val="single" w:sz="4" w:space="0" w:color="auto"/>
              <w:right w:val="single" w:sz="4" w:space="0" w:color="auto"/>
            </w:tcBorders>
            <w:hideMark/>
          </w:tcPr>
          <w:p w14:paraId="2C7AFF27"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rzadko</w:t>
            </w:r>
          </w:p>
        </w:tc>
      </w:tr>
      <w:tr w:rsidR="00A610E1" w:rsidRPr="00BD22FE" w14:paraId="5605E424" w14:textId="77777777" w:rsidTr="00A610E1">
        <w:tc>
          <w:tcPr>
            <w:tcW w:w="1084" w:type="pct"/>
            <w:vMerge/>
            <w:tcBorders>
              <w:left w:val="single" w:sz="4" w:space="0" w:color="auto"/>
              <w:bottom w:val="single" w:sz="4" w:space="0" w:color="auto"/>
              <w:right w:val="single" w:sz="4" w:space="0" w:color="auto"/>
            </w:tcBorders>
            <w:hideMark/>
          </w:tcPr>
          <w:p w14:paraId="31D70DE2" w14:textId="77777777" w:rsidR="00A610E1" w:rsidRPr="00BD22FE" w:rsidRDefault="00A610E1" w:rsidP="00A610E1">
            <w:pPr>
              <w:rPr>
                <w:color w:val="000000"/>
                <w:sz w:val="22"/>
                <w:szCs w:val="22"/>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223C71B1"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Zastój żółci</w:t>
            </w:r>
          </w:p>
        </w:tc>
        <w:tc>
          <w:tcPr>
            <w:tcW w:w="804" w:type="pct"/>
            <w:tcBorders>
              <w:top w:val="single" w:sz="4" w:space="0" w:color="auto"/>
              <w:left w:val="single" w:sz="4" w:space="0" w:color="auto"/>
              <w:bottom w:val="single" w:sz="4" w:space="0" w:color="auto"/>
              <w:right w:val="single" w:sz="4" w:space="0" w:color="auto"/>
            </w:tcBorders>
            <w:vAlign w:val="bottom"/>
            <w:hideMark/>
          </w:tcPr>
          <w:p w14:paraId="03E25DEF" w14:textId="77777777" w:rsidR="00A610E1" w:rsidRPr="00BD22FE" w:rsidRDefault="00A610E1" w:rsidP="00A610E1">
            <w:pPr>
              <w:rPr>
                <w:color w:val="000000"/>
                <w:sz w:val="22"/>
                <w:szCs w:val="22"/>
                <w:lang w:val="pl-PL" w:eastAsia="en-GB"/>
              </w:rPr>
            </w:pPr>
          </w:p>
        </w:tc>
        <w:tc>
          <w:tcPr>
            <w:tcW w:w="788" w:type="pct"/>
            <w:tcBorders>
              <w:top w:val="single" w:sz="4" w:space="0" w:color="auto"/>
              <w:left w:val="single" w:sz="4" w:space="0" w:color="auto"/>
              <w:bottom w:val="single" w:sz="4" w:space="0" w:color="auto"/>
              <w:right w:val="single" w:sz="4" w:space="0" w:color="auto"/>
            </w:tcBorders>
            <w:vAlign w:val="bottom"/>
            <w:hideMark/>
          </w:tcPr>
          <w:p w14:paraId="1E3A4A01" w14:textId="77777777" w:rsidR="00A610E1" w:rsidRPr="00BD22FE" w:rsidRDefault="00A610E1" w:rsidP="00A610E1">
            <w:pPr>
              <w:rPr>
                <w:sz w:val="22"/>
                <w:szCs w:val="22"/>
                <w:lang w:val="pl-PL" w:eastAsia="en-GB"/>
              </w:rPr>
            </w:pPr>
          </w:p>
        </w:tc>
        <w:tc>
          <w:tcPr>
            <w:tcW w:w="1098" w:type="pct"/>
            <w:tcBorders>
              <w:top w:val="single" w:sz="4" w:space="0" w:color="auto"/>
              <w:left w:val="single" w:sz="4" w:space="0" w:color="auto"/>
              <w:bottom w:val="single" w:sz="4" w:space="0" w:color="auto"/>
              <w:right w:val="single" w:sz="4" w:space="0" w:color="auto"/>
            </w:tcBorders>
            <w:hideMark/>
          </w:tcPr>
          <w:p w14:paraId="3D35DA56"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rzadko</w:t>
            </w:r>
          </w:p>
        </w:tc>
      </w:tr>
      <w:tr w:rsidR="00A610E1" w:rsidRPr="00BD22FE" w14:paraId="24BBDABF" w14:textId="77777777" w:rsidTr="00A610E1">
        <w:tc>
          <w:tcPr>
            <w:tcW w:w="1084" w:type="pct"/>
            <w:vMerge w:val="restart"/>
            <w:tcBorders>
              <w:top w:val="single" w:sz="4" w:space="0" w:color="auto"/>
              <w:left w:val="single" w:sz="4" w:space="0" w:color="auto"/>
              <w:right w:val="single" w:sz="4" w:space="0" w:color="auto"/>
            </w:tcBorders>
            <w:hideMark/>
          </w:tcPr>
          <w:p w14:paraId="3B0E1D2F" w14:textId="77777777" w:rsidR="00A610E1" w:rsidRPr="00BD22FE" w:rsidRDefault="00A610E1" w:rsidP="00A610E1">
            <w:pPr>
              <w:rPr>
                <w:b/>
                <w:bCs/>
                <w:color w:val="000000"/>
                <w:sz w:val="22"/>
                <w:szCs w:val="22"/>
                <w:lang w:val="pl-PL" w:eastAsia="en-GB"/>
              </w:rPr>
            </w:pPr>
            <w:r w:rsidRPr="00BD22FE">
              <w:rPr>
                <w:b/>
                <w:bCs/>
                <w:sz w:val="22"/>
                <w:szCs w:val="22"/>
                <w:lang w:val="pl-PL"/>
              </w:rPr>
              <w:t>Zaburzenia skóry i tkanki podskórnej</w:t>
            </w:r>
          </w:p>
        </w:tc>
        <w:tc>
          <w:tcPr>
            <w:tcW w:w="1226" w:type="pct"/>
            <w:tcBorders>
              <w:top w:val="single" w:sz="4" w:space="0" w:color="auto"/>
              <w:left w:val="single" w:sz="4" w:space="0" w:color="auto"/>
              <w:bottom w:val="single" w:sz="4" w:space="0" w:color="auto"/>
              <w:right w:val="single" w:sz="4" w:space="0" w:color="auto"/>
            </w:tcBorders>
            <w:vAlign w:val="bottom"/>
            <w:hideMark/>
          </w:tcPr>
          <w:p w14:paraId="27826154" w14:textId="36200646" w:rsidR="00A610E1" w:rsidRPr="00BD22FE" w:rsidRDefault="00A610E1" w:rsidP="00A610E1">
            <w:pPr>
              <w:rPr>
                <w:color w:val="000000"/>
                <w:sz w:val="22"/>
                <w:szCs w:val="22"/>
                <w:lang w:val="pl-PL" w:eastAsia="en-GB"/>
              </w:rPr>
            </w:pPr>
            <w:r w:rsidRPr="00BD22FE">
              <w:rPr>
                <w:sz w:val="22"/>
                <w:szCs w:val="22"/>
                <w:lang w:val="pl-PL"/>
              </w:rPr>
              <w:t>Obrzęk naczynioruchowy (w tym zakończony zgonem)</w:t>
            </w:r>
          </w:p>
        </w:tc>
        <w:tc>
          <w:tcPr>
            <w:tcW w:w="804" w:type="pct"/>
            <w:tcBorders>
              <w:top w:val="single" w:sz="4" w:space="0" w:color="auto"/>
              <w:left w:val="single" w:sz="4" w:space="0" w:color="auto"/>
              <w:bottom w:val="single" w:sz="4" w:space="0" w:color="auto"/>
              <w:right w:val="single" w:sz="4" w:space="0" w:color="auto"/>
            </w:tcBorders>
            <w:vAlign w:val="bottom"/>
            <w:hideMark/>
          </w:tcPr>
          <w:p w14:paraId="4FDC9168"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rzadko</w:t>
            </w:r>
          </w:p>
        </w:tc>
        <w:tc>
          <w:tcPr>
            <w:tcW w:w="788" w:type="pct"/>
            <w:tcBorders>
              <w:top w:val="single" w:sz="4" w:space="0" w:color="auto"/>
              <w:left w:val="single" w:sz="4" w:space="0" w:color="auto"/>
              <w:bottom w:val="single" w:sz="4" w:space="0" w:color="auto"/>
              <w:right w:val="single" w:sz="4" w:space="0" w:color="auto"/>
            </w:tcBorders>
            <w:vAlign w:val="bottom"/>
            <w:hideMark/>
          </w:tcPr>
          <w:p w14:paraId="5BC31DF8"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rzadko</w:t>
            </w:r>
          </w:p>
        </w:tc>
        <w:tc>
          <w:tcPr>
            <w:tcW w:w="1098" w:type="pct"/>
            <w:tcBorders>
              <w:top w:val="single" w:sz="4" w:space="0" w:color="auto"/>
              <w:left w:val="single" w:sz="4" w:space="0" w:color="auto"/>
              <w:bottom w:val="single" w:sz="4" w:space="0" w:color="auto"/>
              <w:right w:val="single" w:sz="4" w:space="0" w:color="auto"/>
            </w:tcBorders>
            <w:vAlign w:val="bottom"/>
            <w:hideMark/>
          </w:tcPr>
          <w:p w14:paraId="67618F1B" w14:textId="77777777" w:rsidR="00A610E1" w:rsidRPr="00BD22FE" w:rsidRDefault="00A610E1" w:rsidP="00A610E1">
            <w:pPr>
              <w:rPr>
                <w:color w:val="000000"/>
                <w:sz w:val="22"/>
                <w:szCs w:val="22"/>
                <w:lang w:val="pl-PL" w:eastAsia="en-GB"/>
              </w:rPr>
            </w:pPr>
          </w:p>
        </w:tc>
      </w:tr>
      <w:tr w:rsidR="00A610E1" w:rsidRPr="00BD22FE" w14:paraId="2EB514C8" w14:textId="77777777" w:rsidTr="00A610E1">
        <w:tc>
          <w:tcPr>
            <w:tcW w:w="1084" w:type="pct"/>
            <w:vMerge/>
            <w:tcBorders>
              <w:left w:val="single" w:sz="4" w:space="0" w:color="auto"/>
              <w:right w:val="single" w:sz="4" w:space="0" w:color="auto"/>
            </w:tcBorders>
            <w:hideMark/>
          </w:tcPr>
          <w:p w14:paraId="55C3A65B" w14:textId="77777777" w:rsidR="00A610E1" w:rsidRPr="00BD22FE" w:rsidRDefault="00A610E1" w:rsidP="00A610E1">
            <w:pPr>
              <w:rPr>
                <w:sz w:val="22"/>
                <w:szCs w:val="22"/>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4DD1CA26" w14:textId="77777777" w:rsidR="00A610E1" w:rsidRPr="00BD22FE" w:rsidRDefault="00A610E1" w:rsidP="00A610E1">
            <w:pPr>
              <w:rPr>
                <w:color w:val="000000"/>
                <w:sz w:val="22"/>
                <w:szCs w:val="22"/>
                <w:lang w:val="pl-PL" w:eastAsia="en-GB"/>
              </w:rPr>
            </w:pPr>
            <w:r w:rsidRPr="00BD22FE">
              <w:rPr>
                <w:sz w:val="22"/>
                <w:szCs w:val="22"/>
                <w:lang w:val="pl-PL"/>
              </w:rPr>
              <w:t>Rumień</w:t>
            </w:r>
          </w:p>
        </w:tc>
        <w:tc>
          <w:tcPr>
            <w:tcW w:w="804" w:type="pct"/>
            <w:tcBorders>
              <w:top w:val="single" w:sz="4" w:space="0" w:color="auto"/>
              <w:left w:val="single" w:sz="4" w:space="0" w:color="auto"/>
              <w:bottom w:val="single" w:sz="4" w:space="0" w:color="auto"/>
              <w:right w:val="single" w:sz="4" w:space="0" w:color="auto"/>
            </w:tcBorders>
            <w:hideMark/>
          </w:tcPr>
          <w:p w14:paraId="0444EC86"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rzadko</w:t>
            </w:r>
          </w:p>
        </w:tc>
        <w:tc>
          <w:tcPr>
            <w:tcW w:w="788" w:type="pct"/>
            <w:tcBorders>
              <w:top w:val="single" w:sz="4" w:space="0" w:color="auto"/>
              <w:left w:val="single" w:sz="4" w:space="0" w:color="auto"/>
              <w:bottom w:val="single" w:sz="4" w:space="0" w:color="auto"/>
              <w:right w:val="single" w:sz="4" w:space="0" w:color="auto"/>
            </w:tcBorders>
            <w:vAlign w:val="bottom"/>
            <w:hideMark/>
          </w:tcPr>
          <w:p w14:paraId="6332868D"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rzadko</w:t>
            </w:r>
          </w:p>
        </w:tc>
        <w:tc>
          <w:tcPr>
            <w:tcW w:w="1098" w:type="pct"/>
            <w:tcBorders>
              <w:top w:val="single" w:sz="4" w:space="0" w:color="auto"/>
              <w:left w:val="single" w:sz="4" w:space="0" w:color="auto"/>
              <w:bottom w:val="single" w:sz="4" w:space="0" w:color="auto"/>
              <w:right w:val="single" w:sz="4" w:space="0" w:color="auto"/>
            </w:tcBorders>
            <w:vAlign w:val="bottom"/>
            <w:hideMark/>
          </w:tcPr>
          <w:p w14:paraId="2460C011" w14:textId="77777777" w:rsidR="00A610E1" w:rsidRPr="00BD22FE" w:rsidRDefault="00A610E1" w:rsidP="00A610E1">
            <w:pPr>
              <w:rPr>
                <w:color w:val="000000"/>
                <w:sz w:val="22"/>
                <w:szCs w:val="22"/>
                <w:lang w:val="pl-PL" w:eastAsia="en-GB"/>
              </w:rPr>
            </w:pPr>
          </w:p>
        </w:tc>
      </w:tr>
      <w:tr w:rsidR="00A610E1" w:rsidRPr="00BD22FE" w14:paraId="4922AB50" w14:textId="77777777" w:rsidTr="00A610E1">
        <w:tc>
          <w:tcPr>
            <w:tcW w:w="1084" w:type="pct"/>
            <w:vMerge/>
            <w:tcBorders>
              <w:left w:val="single" w:sz="4" w:space="0" w:color="auto"/>
              <w:right w:val="single" w:sz="4" w:space="0" w:color="auto"/>
            </w:tcBorders>
            <w:hideMark/>
          </w:tcPr>
          <w:p w14:paraId="73EB16DE" w14:textId="77777777" w:rsidR="00A610E1" w:rsidRPr="00BD22FE" w:rsidRDefault="00A610E1" w:rsidP="00A610E1">
            <w:pPr>
              <w:rPr>
                <w:sz w:val="22"/>
                <w:szCs w:val="22"/>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1CD9372A" w14:textId="77777777" w:rsidR="00A610E1" w:rsidRPr="00BD22FE" w:rsidRDefault="00A610E1" w:rsidP="00A610E1">
            <w:pPr>
              <w:rPr>
                <w:color w:val="000000"/>
                <w:sz w:val="22"/>
                <w:szCs w:val="22"/>
                <w:lang w:val="pl-PL" w:eastAsia="en-GB"/>
              </w:rPr>
            </w:pPr>
            <w:r w:rsidRPr="00BD22FE">
              <w:rPr>
                <w:sz w:val="22"/>
                <w:szCs w:val="22"/>
                <w:lang w:val="pl-PL"/>
              </w:rPr>
              <w:t>Świąd</w:t>
            </w:r>
          </w:p>
        </w:tc>
        <w:tc>
          <w:tcPr>
            <w:tcW w:w="804" w:type="pct"/>
            <w:tcBorders>
              <w:top w:val="single" w:sz="4" w:space="0" w:color="auto"/>
              <w:left w:val="single" w:sz="4" w:space="0" w:color="auto"/>
              <w:bottom w:val="single" w:sz="4" w:space="0" w:color="auto"/>
              <w:right w:val="single" w:sz="4" w:space="0" w:color="auto"/>
            </w:tcBorders>
            <w:hideMark/>
          </w:tcPr>
          <w:p w14:paraId="54260B1E"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rzadko</w:t>
            </w:r>
          </w:p>
        </w:tc>
        <w:tc>
          <w:tcPr>
            <w:tcW w:w="788" w:type="pct"/>
            <w:tcBorders>
              <w:top w:val="single" w:sz="4" w:space="0" w:color="auto"/>
              <w:left w:val="single" w:sz="4" w:space="0" w:color="auto"/>
              <w:bottom w:val="single" w:sz="4" w:space="0" w:color="auto"/>
              <w:right w:val="single" w:sz="4" w:space="0" w:color="auto"/>
            </w:tcBorders>
            <w:hideMark/>
          </w:tcPr>
          <w:p w14:paraId="528554F7"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niezbyt często</w:t>
            </w:r>
          </w:p>
        </w:tc>
        <w:tc>
          <w:tcPr>
            <w:tcW w:w="1098" w:type="pct"/>
            <w:tcBorders>
              <w:top w:val="single" w:sz="4" w:space="0" w:color="auto"/>
              <w:left w:val="single" w:sz="4" w:space="0" w:color="auto"/>
              <w:bottom w:val="single" w:sz="4" w:space="0" w:color="auto"/>
              <w:right w:val="single" w:sz="4" w:space="0" w:color="auto"/>
            </w:tcBorders>
            <w:vAlign w:val="bottom"/>
            <w:hideMark/>
          </w:tcPr>
          <w:p w14:paraId="6019641E" w14:textId="77777777" w:rsidR="00A610E1" w:rsidRPr="00BD22FE" w:rsidRDefault="00A610E1" w:rsidP="00A610E1">
            <w:pPr>
              <w:rPr>
                <w:color w:val="000000"/>
                <w:sz w:val="22"/>
                <w:szCs w:val="22"/>
                <w:lang w:val="pl-PL" w:eastAsia="en-GB"/>
              </w:rPr>
            </w:pPr>
          </w:p>
        </w:tc>
      </w:tr>
      <w:tr w:rsidR="00A610E1" w:rsidRPr="00BD22FE" w14:paraId="343633D8" w14:textId="77777777" w:rsidTr="00A610E1">
        <w:tc>
          <w:tcPr>
            <w:tcW w:w="1084" w:type="pct"/>
            <w:vMerge/>
            <w:tcBorders>
              <w:left w:val="single" w:sz="4" w:space="0" w:color="auto"/>
              <w:right w:val="single" w:sz="4" w:space="0" w:color="auto"/>
            </w:tcBorders>
            <w:hideMark/>
          </w:tcPr>
          <w:p w14:paraId="521302CA" w14:textId="77777777" w:rsidR="00A610E1" w:rsidRPr="00BD22FE" w:rsidRDefault="00A610E1" w:rsidP="00A610E1">
            <w:pPr>
              <w:rPr>
                <w:sz w:val="22"/>
                <w:szCs w:val="22"/>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3E5EDA59" w14:textId="77777777" w:rsidR="00A610E1" w:rsidRPr="00BD22FE" w:rsidRDefault="00A610E1" w:rsidP="00A610E1">
            <w:pPr>
              <w:rPr>
                <w:color w:val="000000"/>
                <w:sz w:val="22"/>
                <w:szCs w:val="22"/>
                <w:lang w:val="pl-PL" w:eastAsia="en-GB"/>
              </w:rPr>
            </w:pPr>
            <w:r w:rsidRPr="00BD22FE">
              <w:rPr>
                <w:sz w:val="22"/>
                <w:szCs w:val="22"/>
                <w:lang w:val="pl-PL"/>
              </w:rPr>
              <w:t>Wysypka</w:t>
            </w:r>
          </w:p>
        </w:tc>
        <w:tc>
          <w:tcPr>
            <w:tcW w:w="804" w:type="pct"/>
            <w:tcBorders>
              <w:top w:val="single" w:sz="4" w:space="0" w:color="auto"/>
              <w:left w:val="single" w:sz="4" w:space="0" w:color="auto"/>
              <w:bottom w:val="single" w:sz="4" w:space="0" w:color="auto"/>
              <w:right w:val="single" w:sz="4" w:space="0" w:color="auto"/>
            </w:tcBorders>
            <w:hideMark/>
          </w:tcPr>
          <w:p w14:paraId="57EB4F70"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rzadko</w:t>
            </w:r>
          </w:p>
        </w:tc>
        <w:tc>
          <w:tcPr>
            <w:tcW w:w="788" w:type="pct"/>
            <w:tcBorders>
              <w:top w:val="single" w:sz="4" w:space="0" w:color="auto"/>
              <w:left w:val="single" w:sz="4" w:space="0" w:color="auto"/>
              <w:bottom w:val="single" w:sz="4" w:space="0" w:color="auto"/>
              <w:right w:val="single" w:sz="4" w:space="0" w:color="auto"/>
            </w:tcBorders>
            <w:hideMark/>
          </w:tcPr>
          <w:p w14:paraId="795363FC"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niezbyt często</w:t>
            </w:r>
          </w:p>
        </w:tc>
        <w:tc>
          <w:tcPr>
            <w:tcW w:w="1098" w:type="pct"/>
            <w:tcBorders>
              <w:top w:val="single" w:sz="4" w:space="0" w:color="auto"/>
              <w:left w:val="single" w:sz="4" w:space="0" w:color="auto"/>
              <w:bottom w:val="single" w:sz="4" w:space="0" w:color="auto"/>
              <w:right w:val="single" w:sz="4" w:space="0" w:color="auto"/>
            </w:tcBorders>
            <w:vAlign w:val="bottom"/>
            <w:hideMark/>
          </w:tcPr>
          <w:p w14:paraId="0F2FB4C2"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często</w:t>
            </w:r>
          </w:p>
        </w:tc>
      </w:tr>
      <w:tr w:rsidR="00A610E1" w:rsidRPr="00BD22FE" w14:paraId="79AA7575" w14:textId="77777777" w:rsidTr="00A610E1">
        <w:tc>
          <w:tcPr>
            <w:tcW w:w="1084" w:type="pct"/>
            <w:vMerge/>
            <w:tcBorders>
              <w:left w:val="single" w:sz="4" w:space="0" w:color="auto"/>
              <w:right w:val="single" w:sz="4" w:space="0" w:color="auto"/>
            </w:tcBorders>
            <w:hideMark/>
          </w:tcPr>
          <w:p w14:paraId="1E6FB63E" w14:textId="77777777" w:rsidR="00A610E1" w:rsidRPr="00BD22FE" w:rsidRDefault="00A610E1" w:rsidP="00A610E1">
            <w:pPr>
              <w:rPr>
                <w:color w:val="000000"/>
                <w:sz w:val="22"/>
                <w:szCs w:val="22"/>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3EAF3B05" w14:textId="77777777" w:rsidR="00A610E1" w:rsidRPr="00BD22FE" w:rsidRDefault="00A610E1" w:rsidP="00A610E1">
            <w:pPr>
              <w:rPr>
                <w:color w:val="000000"/>
                <w:sz w:val="22"/>
                <w:szCs w:val="22"/>
                <w:lang w:val="pl-PL" w:eastAsia="en-GB"/>
              </w:rPr>
            </w:pPr>
            <w:r w:rsidRPr="00BD22FE">
              <w:rPr>
                <w:sz w:val="22"/>
                <w:szCs w:val="22"/>
                <w:lang w:val="pl-PL"/>
              </w:rPr>
              <w:t>Nadmierne pocenie się</w:t>
            </w:r>
          </w:p>
        </w:tc>
        <w:tc>
          <w:tcPr>
            <w:tcW w:w="804" w:type="pct"/>
            <w:tcBorders>
              <w:top w:val="single" w:sz="4" w:space="0" w:color="auto"/>
              <w:left w:val="single" w:sz="4" w:space="0" w:color="auto"/>
              <w:bottom w:val="single" w:sz="4" w:space="0" w:color="auto"/>
              <w:right w:val="single" w:sz="4" w:space="0" w:color="auto"/>
            </w:tcBorders>
            <w:hideMark/>
          </w:tcPr>
          <w:p w14:paraId="63780821"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rzadko</w:t>
            </w:r>
          </w:p>
        </w:tc>
        <w:tc>
          <w:tcPr>
            <w:tcW w:w="788" w:type="pct"/>
            <w:tcBorders>
              <w:top w:val="single" w:sz="4" w:space="0" w:color="auto"/>
              <w:left w:val="single" w:sz="4" w:space="0" w:color="auto"/>
              <w:bottom w:val="single" w:sz="4" w:space="0" w:color="auto"/>
              <w:right w:val="single" w:sz="4" w:space="0" w:color="auto"/>
            </w:tcBorders>
            <w:hideMark/>
          </w:tcPr>
          <w:p w14:paraId="0EDCC79D"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niezbyt często</w:t>
            </w:r>
          </w:p>
        </w:tc>
        <w:tc>
          <w:tcPr>
            <w:tcW w:w="1098" w:type="pct"/>
            <w:tcBorders>
              <w:top w:val="single" w:sz="4" w:space="0" w:color="auto"/>
              <w:left w:val="single" w:sz="4" w:space="0" w:color="auto"/>
              <w:bottom w:val="single" w:sz="4" w:space="0" w:color="auto"/>
              <w:right w:val="single" w:sz="4" w:space="0" w:color="auto"/>
            </w:tcBorders>
            <w:vAlign w:val="bottom"/>
            <w:hideMark/>
          </w:tcPr>
          <w:p w14:paraId="46E27B8C" w14:textId="77777777" w:rsidR="00A610E1" w:rsidRPr="00BD22FE" w:rsidRDefault="00A610E1" w:rsidP="00A610E1">
            <w:pPr>
              <w:rPr>
                <w:color w:val="000000"/>
                <w:sz w:val="22"/>
                <w:szCs w:val="22"/>
                <w:lang w:val="pl-PL" w:eastAsia="en-GB"/>
              </w:rPr>
            </w:pPr>
          </w:p>
        </w:tc>
      </w:tr>
      <w:tr w:rsidR="00A610E1" w:rsidRPr="00BD22FE" w14:paraId="4F169740" w14:textId="77777777" w:rsidTr="00A610E1">
        <w:tc>
          <w:tcPr>
            <w:tcW w:w="1084" w:type="pct"/>
            <w:vMerge/>
            <w:tcBorders>
              <w:left w:val="single" w:sz="4" w:space="0" w:color="auto"/>
              <w:right w:val="single" w:sz="4" w:space="0" w:color="auto"/>
            </w:tcBorders>
            <w:hideMark/>
          </w:tcPr>
          <w:p w14:paraId="1B691446" w14:textId="77777777" w:rsidR="00A610E1" w:rsidRPr="00BD22FE" w:rsidRDefault="00A610E1" w:rsidP="00A610E1">
            <w:pPr>
              <w:rPr>
                <w:sz w:val="22"/>
                <w:szCs w:val="22"/>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293B8431" w14:textId="77777777" w:rsidR="00A610E1" w:rsidRPr="00BD22FE" w:rsidRDefault="00A610E1" w:rsidP="00A610E1">
            <w:pPr>
              <w:rPr>
                <w:color w:val="000000"/>
                <w:sz w:val="22"/>
                <w:szCs w:val="22"/>
                <w:lang w:val="pl-PL" w:eastAsia="en-GB"/>
              </w:rPr>
            </w:pPr>
            <w:r w:rsidRPr="00BD22FE">
              <w:rPr>
                <w:sz w:val="22"/>
                <w:szCs w:val="22"/>
                <w:lang w:val="pl-PL"/>
              </w:rPr>
              <w:t>Pokrzywka</w:t>
            </w:r>
          </w:p>
        </w:tc>
        <w:tc>
          <w:tcPr>
            <w:tcW w:w="804" w:type="pct"/>
            <w:tcBorders>
              <w:top w:val="single" w:sz="4" w:space="0" w:color="auto"/>
              <w:left w:val="single" w:sz="4" w:space="0" w:color="auto"/>
              <w:bottom w:val="single" w:sz="4" w:space="0" w:color="auto"/>
              <w:right w:val="single" w:sz="4" w:space="0" w:color="auto"/>
            </w:tcBorders>
            <w:hideMark/>
          </w:tcPr>
          <w:p w14:paraId="6B4B1F91"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rzadko</w:t>
            </w:r>
          </w:p>
        </w:tc>
        <w:tc>
          <w:tcPr>
            <w:tcW w:w="788" w:type="pct"/>
            <w:tcBorders>
              <w:top w:val="single" w:sz="4" w:space="0" w:color="auto"/>
              <w:left w:val="single" w:sz="4" w:space="0" w:color="auto"/>
              <w:bottom w:val="single" w:sz="4" w:space="0" w:color="auto"/>
              <w:right w:val="single" w:sz="4" w:space="0" w:color="auto"/>
            </w:tcBorders>
            <w:hideMark/>
          </w:tcPr>
          <w:p w14:paraId="3C0700BA"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rzadko</w:t>
            </w:r>
          </w:p>
        </w:tc>
        <w:tc>
          <w:tcPr>
            <w:tcW w:w="1098" w:type="pct"/>
            <w:tcBorders>
              <w:top w:val="single" w:sz="4" w:space="0" w:color="auto"/>
              <w:left w:val="single" w:sz="4" w:space="0" w:color="auto"/>
              <w:bottom w:val="single" w:sz="4" w:space="0" w:color="auto"/>
              <w:right w:val="single" w:sz="4" w:space="0" w:color="auto"/>
            </w:tcBorders>
            <w:vAlign w:val="bottom"/>
            <w:hideMark/>
          </w:tcPr>
          <w:p w14:paraId="73B3AD91"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często</w:t>
            </w:r>
          </w:p>
        </w:tc>
      </w:tr>
      <w:tr w:rsidR="00A610E1" w:rsidRPr="00BD22FE" w14:paraId="7FB9103D" w14:textId="77777777" w:rsidTr="00A610E1">
        <w:tc>
          <w:tcPr>
            <w:tcW w:w="1084" w:type="pct"/>
            <w:vMerge/>
            <w:tcBorders>
              <w:left w:val="single" w:sz="4" w:space="0" w:color="auto"/>
              <w:right w:val="single" w:sz="4" w:space="0" w:color="auto"/>
            </w:tcBorders>
            <w:hideMark/>
          </w:tcPr>
          <w:p w14:paraId="30B54A97" w14:textId="77777777" w:rsidR="00A610E1" w:rsidRPr="00BD22FE" w:rsidRDefault="00A610E1" w:rsidP="00A610E1">
            <w:pPr>
              <w:rPr>
                <w:color w:val="000000"/>
                <w:sz w:val="22"/>
                <w:szCs w:val="22"/>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35FB629D"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Wyprysk</w:t>
            </w:r>
          </w:p>
        </w:tc>
        <w:tc>
          <w:tcPr>
            <w:tcW w:w="804" w:type="pct"/>
            <w:tcBorders>
              <w:top w:val="single" w:sz="4" w:space="0" w:color="auto"/>
              <w:left w:val="single" w:sz="4" w:space="0" w:color="auto"/>
              <w:bottom w:val="single" w:sz="4" w:space="0" w:color="auto"/>
              <w:right w:val="single" w:sz="4" w:space="0" w:color="auto"/>
            </w:tcBorders>
            <w:vAlign w:val="bottom"/>
            <w:hideMark/>
          </w:tcPr>
          <w:p w14:paraId="0803001F" w14:textId="77777777" w:rsidR="00A610E1" w:rsidRPr="00BD22FE" w:rsidRDefault="00A610E1" w:rsidP="00A610E1">
            <w:pPr>
              <w:rPr>
                <w:color w:val="000000"/>
                <w:sz w:val="22"/>
                <w:szCs w:val="22"/>
                <w:lang w:val="pl-PL" w:eastAsia="en-GB"/>
              </w:rPr>
            </w:pPr>
          </w:p>
        </w:tc>
        <w:tc>
          <w:tcPr>
            <w:tcW w:w="788" w:type="pct"/>
            <w:tcBorders>
              <w:top w:val="single" w:sz="4" w:space="0" w:color="auto"/>
              <w:left w:val="single" w:sz="4" w:space="0" w:color="auto"/>
              <w:bottom w:val="single" w:sz="4" w:space="0" w:color="auto"/>
              <w:right w:val="single" w:sz="4" w:space="0" w:color="auto"/>
            </w:tcBorders>
            <w:hideMark/>
          </w:tcPr>
          <w:p w14:paraId="76286BFE"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rzadko</w:t>
            </w:r>
          </w:p>
        </w:tc>
        <w:tc>
          <w:tcPr>
            <w:tcW w:w="1098" w:type="pct"/>
            <w:tcBorders>
              <w:top w:val="single" w:sz="4" w:space="0" w:color="auto"/>
              <w:left w:val="single" w:sz="4" w:space="0" w:color="auto"/>
              <w:bottom w:val="single" w:sz="4" w:space="0" w:color="auto"/>
              <w:right w:val="single" w:sz="4" w:space="0" w:color="auto"/>
            </w:tcBorders>
            <w:vAlign w:val="bottom"/>
            <w:hideMark/>
          </w:tcPr>
          <w:p w14:paraId="07C3DB19" w14:textId="77777777" w:rsidR="00A610E1" w:rsidRPr="00BD22FE" w:rsidRDefault="00A610E1" w:rsidP="00A610E1">
            <w:pPr>
              <w:rPr>
                <w:color w:val="000000"/>
                <w:sz w:val="22"/>
                <w:szCs w:val="22"/>
                <w:lang w:val="pl-PL" w:eastAsia="en-GB"/>
              </w:rPr>
            </w:pPr>
          </w:p>
        </w:tc>
      </w:tr>
      <w:tr w:rsidR="00A610E1" w:rsidRPr="00BD22FE" w14:paraId="05E47C6E" w14:textId="77777777" w:rsidTr="00A610E1">
        <w:tc>
          <w:tcPr>
            <w:tcW w:w="1084" w:type="pct"/>
            <w:vMerge/>
            <w:tcBorders>
              <w:left w:val="single" w:sz="4" w:space="0" w:color="auto"/>
              <w:right w:val="single" w:sz="4" w:space="0" w:color="auto"/>
            </w:tcBorders>
            <w:hideMark/>
          </w:tcPr>
          <w:p w14:paraId="79B10345" w14:textId="77777777" w:rsidR="00A610E1" w:rsidRPr="00BD22FE" w:rsidRDefault="00A610E1" w:rsidP="00A610E1">
            <w:pPr>
              <w:rPr>
                <w:sz w:val="22"/>
                <w:szCs w:val="22"/>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16D76BE0"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Wysypka polekowa</w:t>
            </w:r>
          </w:p>
        </w:tc>
        <w:tc>
          <w:tcPr>
            <w:tcW w:w="804" w:type="pct"/>
            <w:tcBorders>
              <w:top w:val="single" w:sz="4" w:space="0" w:color="auto"/>
              <w:left w:val="single" w:sz="4" w:space="0" w:color="auto"/>
              <w:bottom w:val="single" w:sz="4" w:space="0" w:color="auto"/>
              <w:right w:val="single" w:sz="4" w:space="0" w:color="auto"/>
            </w:tcBorders>
            <w:vAlign w:val="bottom"/>
            <w:hideMark/>
          </w:tcPr>
          <w:p w14:paraId="615222F3" w14:textId="77777777" w:rsidR="00A610E1" w:rsidRPr="00BD22FE" w:rsidRDefault="00A610E1" w:rsidP="00A610E1">
            <w:pPr>
              <w:rPr>
                <w:color w:val="000000"/>
                <w:sz w:val="22"/>
                <w:szCs w:val="22"/>
                <w:lang w:val="pl-PL" w:eastAsia="en-GB"/>
              </w:rPr>
            </w:pPr>
          </w:p>
        </w:tc>
        <w:tc>
          <w:tcPr>
            <w:tcW w:w="788" w:type="pct"/>
            <w:tcBorders>
              <w:top w:val="single" w:sz="4" w:space="0" w:color="auto"/>
              <w:left w:val="single" w:sz="4" w:space="0" w:color="auto"/>
              <w:bottom w:val="single" w:sz="4" w:space="0" w:color="auto"/>
              <w:right w:val="single" w:sz="4" w:space="0" w:color="auto"/>
            </w:tcBorders>
            <w:hideMark/>
          </w:tcPr>
          <w:p w14:paraId="2713B56C"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rzadko</w:t>
            </w:r>
          </w:p>
        </w:tc>
        <w:tc>
          <w:tcPr>
            <w:tcW w:w="1098" w:type="pct"/>
            <w:tcBorders>
              <w:top w:val="single" w:sz="4" w:space="0" w:color="auto"/>
              <w:left w:val="single" w:sz="4" w:space="0" w:color="auto"/>
              <w:bottom w:val="single" w:sz="4" w:space="0" w:color="auto"/>
              <w:right w:val="single" w:sz="4" w:space="0" w:color="auto"/>
            </w:tcBorders>
            <w:vAlign w:val="bottom"/>
            <w:hideMark/>
          </w:tcPr>
          <w:p w14:paraId="3A23AE5A" w14:textId="77777777" w:rsidR="00A610E1" w:rsidRPr="00BD22FE" w:rsidRDefault="00A610E1" w:rsidP="00A610E1">
            <w:pPr>
              <w:rPr>
                <w:color w:val="000000"/>
                <w:sz w:val="22"/>
                <w:szCs w:val="22"/>
                <w:lang w:val="pl-PL" w:eastAsia="en-GB"/>
              </w:rPr>
            </w:pPr>
          </w:p>
        </w:tc>
      </w:tr>
      <w:tr w:rsidR="00A610E1" w:rsidRPr="00BD22FE" w14:paraId="4213B06B" w14:textId="77777777" w:rsidTr="00A610E1">
        <w:tc>
          <w:tcPr>
            <w:tcW w:w="1084" w:type="pct"/>
            <w:vMerge/>
            <w:tcBorders>
              <w:left w:val="single" w:sz="4" w:space="0" w:color="auto"/>
              <w:right w:val="single" w:sz="4" w:space="0" w:color="auto"/>
            </w:tcBorders>
            <w:hideMark/>
          </w:tcPr>
          <w:p w14:paraId="29863140" w14:textId="77777777" w:rsidR="00A610E1" w:rsidRPr="00BD22FE" w:rsidRDefault="00A610E1" w:rsidP="00A610E1">
            <w:pPr>
              <w:rPr>
                <w:sz w:val="22"/>
                <w:szCs w:val="22"/>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1C1C1AF3" w14:textId="77777777" w:rsidR="00A610E1" w:rsidRPr="00BD22FE" w:rsidRDefault="00A610E1" w:rsidP="00A610E1">
            <w:pPr>
              <w:rPr>
                <w:color w:val="000000"/>
                <w:sz w:val="22"/>
                <w:szCs w:val="22"/>
                <w:lang w:val="pl-PL" w:eastAsia="en-GB"/>
              </w:rPr>
            </w:pPr>
            <w:r w:rsidRPr="00BD22FE">
              <w:rPr>
                <w:sz w:val="22"/>
                <w:szCs w:val="22"/>
                <w:lang w:val="pl-PL"/>
              </w:rPr>
              <w:t>Toksyczna wysypka skórna</w:t>
            </w:r>
          </w:p>
        </w:tc>
        <w:tc>
          <w:tcPr>
            <w:tcW w:w="804" w:type="pct"/>
            <w:tcBorders>
              <w:top w:val="single" w:sz="4" w:space="0" w:color="auto"/>
              <w:left w:val="single" w:sz="4" w:space="0" w:color="auto"/>
              <w:bottom w:val="single" w:sz="4" w:space="0" w:color="auto"/>
              <w:right w:val="single" w:sz="4" w:space="0" w:color="auto"/>
            </w:tcBorders>
            <w:vAlign w:val="bottom"/>
            <w:hideMark/>
          </w:tcPr>
          <w:p w14:paraId="7D42A6AD" w14:textId="77777777" w:rsidR="00A610E1" w:rsidRPr="00BD22FE" w:rsidRDefault="00A610E1" w:rsidP="00A610E1">
            <w:pPr>
              <w:rPr>
                <w:color w:val="000000"/>
                <w:sz w:val="22"/>
                <w:szCs w:val="22"/>
                <w:lang w:val="pl-PL" w:eastAsia="en-GB"/>
              </w:rPr>
            </w:pPr>
          </w:p>
        </w:tc>
        <w:tc>
          <w:tcPr>
            <w:tcW w:w="788" w:type="pct"/>
            <w:tcBorders>
              <w:top w:val="single" w:sz="4" w:space="0" w:color="auto"/>
              <w:left w:val="single" w:sz="4" w:space="0" w:color="auto"/>
              <w:bottom w:val="single" w:sz="4" w:space="0" w:color="auto"/>
              <w:right w:val="single" w:sz="4" w:space="0" w:color="auto"/>
            </w:tcBorders>
            <w:hideMark/>
          </w:tcPr>
          <w:p w14:paraId="01014937"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rzadko</w:t>
            </w:r>
          </w:p>
        </w:tc>
        <w:tc>
          <w:tcPr>
            <w:tcW w:w="1098" w:type="pct"/>
            <w:tcBorders>
              <w:top w:val="single" w:sz="4" w:space="0" w:color="auto"/>
              <w:left w:val="single" w:sz="4" w:space="0" w:color="auto"/>
              <w:bottom w:val="single" w:sz="4" w:space="0" w:color="auto"/>
              <w:right w:val="single" w:sz="4" w:space="0" w:color="auto"/>
            </w:tcBorders>
            <w:vAlign w:val="bottom"/>
            <w:hideMark/>
          </w:tcPr>
          <w:p w14:paraId="29627AF4" w14:textId="77777777" w:rsidR="00A610E1" w:rsidRPr="00BD22FE" w:rsidRDefault="00A610E1" w:rsidP="00A610E1">
            <w:pPr>
              <w:rPr>
                <w:color w:val="000000"/>
                <w:sz w:val="22"/>
                <w:szCs w:val="22"/>
                <w:lang w:val="pl-PL" w:eastAsia="en-GB"/>
              </w:rPr>
            </w:pPr>
          </w:p>
        </w:tc>
      </w:tr>
      <w:tr w:rsidR="00A610E1" w:rsidRPr="00BD22FE" w14:paraId="0BA67B1B" w14:textId="77777777" w:rsidTr="00A610E1">
        <w:tc>
          <w:tcPr>
            <w:tcW w:w="1084" w:type="pct"/>
            <w:vMerge/>
            <w:tcBorders>
              <w:left w:val="single" w:sz="4" w:space="0" w:color="auto"/>
              <w:right w:val="single" w:sz="4" w:space="0" w:color="auto"/>
            </w:tcBorders>
            <w:hideMark/>
          </w:tcPr>
          <w:p w14:paraId="0863CCAF" w14:textId="77777777" w:rsidR="00A610E1" w:rsidRPr="00BD22FE" w:rsidRDefault="00A610E1" w:rsidP="00A610E1">
            <w:pPr>
              <w:rPr>
                <w:sz w:val="22"/>
                <w:szCs w:val="22"/>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77AFFC3C"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Zespół toczniopodobny</w:t>
            </w:r>
          </w:p>
        </w:tc>
        <w:tc>
          <w:tcPr>
            <w:tcW w:w="804" w:type="pct"/>
            <w:tcBorders>
              <w:top w:val="single" w:sz="4" w:space="0" w:color="auto"/>
              <w:left w:val="single" w:sz="4" w:space="0" w:color="auto"/>
              <w:bottom w:val="single" w:sz="4" w:space="0" w:color="auto"/>
              <w:right w:val="single" w:sz="4" w:space="0" w:color="auto"/>
            </w:tcBorders>
            <w:vAlign w:val="bottom"/>
            <w:hideMark/>
          </w:tcPr>
          <w:p w14:paraId="356C7F83" w14:textId="77777777" w:rsidR="00A610E1" w:rsidRPr="00BD22FE" w:rsidRDefault="00A610E1" w:rsidP="00A610E1">
            <w:pPr>
              <w:rPr>
                <w:color w:val="000000"/>
                <w:sz w:val="22"/>
                <w:szCs w:val="22"/>
                <w:lang w:val="pl-PL" w:eastAsia="en-GB"/>
              </w:rPr>
            </w:pPr>
          </w:p>
        </w:tc>
        <w:tc>
          <w:tcPr>
            <w:tcW w:w="788" w:type="pct"/>
            <w:tcBorders>
              <w:top w:val="single" w:sz="4" w:space="0" w:color="auto"/>
              <w:left w:val="single" w:sz="4" w:space="0" w:color="auto"/>
              <w:bottom w:val="single" w:sz="4" w:space="0" w:color="auto"/>
              <w:right w:val="single" w:sz="4" w:space="0" w:color="auto"/>
            </w:tcBorders>
            <w:vAlign w:val="bottom"/>
            <w:hideMark/>
          </w:tcPr>
          <w:p w14:paraId="1E6485DB" w14:textId="77777777" w:rsidR="00A610E1" w:rsidRPr="00BD22FE" w:rsidRDefault="00A610E1" w:rsidP="00A610E1">
            <w:pPr>
              <w:rPr>
                <w:sz w:val="22"/>
                <w:szCs w:val="22"/>
                <w:lang w:val="pl-PL" w:eastAsia="en-GB"/>
              </w:rPr>
            </w:pPr>
          </w:p>
        </w:tc>
        <w:tc>
          <w:tcPr>
            <w:tcW w:w="1098" w:type="pct"/>
            <w:tcBorders>
              <w:top w:val="single" w:sz="4" w:space="0" w:color="auto"/>
              <w:left w:val="single" w:sz="4" w:space="0" w:color="auto"/>
              <w:bottom w:val="single" w:sz="4" w:space="0" w:color="auto"/>
              <w:right w:val="single" w:sz="4" w:space="0" w:color="auto"/>
            </w:tcBorders>
            <w:vAlign w:val="bottom"/>
            <w:hideMark/>
          </w:tcPr>
          <w:p w14:paraId="116FDE0E"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bardzo rzadko</w:t>
            </w:r>
          </w:p>
        </w:tc>
      </w:tr>
      <w:tr w:rsidR="00A610E1" w:rsidRPr="00BD22FE" w14:paraId="2036C9EB" w14:textId="77777777" w:rsidTr="00A610E1">
        <w:tc>
          <w:tcPr>
            <w:tcW w:w="1084" w:type="pct"/>
            <w:vMerge/>
            <w:tcBorders>
              <w:left w:val="single" w:sz="4" w:space="0" w:color="auto"/>
              <w:right w:val="single" w:sz="4" w:space="0" w:color="auto"/>
            </w:tcBorders>
            <w:hideMark/>
          </w:tcPr>
          <w:p w14:paraId="0CCD813F" w14:textId="77777777" w:rsidR="00A610E1" w:rsidRPr="00BD22FE" w:rsidRDefault="00A610E1" w:rsidP="00A610E1">
            <w:pPr>
              <w:rPr>
                <w:color w:val="000000"/>
                <w:sz w:val="22"/>
                <w:szCs w:val="22"/>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42E3F779"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Reakcje nadwrażliwości na światło</w:t>
            </w:r>
          </w:p>
        </w:tc>
        <w:tc>
          <w:tcPr>
            <w:tcW w:w="804" w:type="pct"/>
            <w:tcBorders>
              <w:top w:val="single" w:sz="4" w:space="0" w:color="auto"/>
              <w:left w:val="single" w:sz="4" w:space="0" w:color="auto"/>
              <w:bottom w:val="single" w:sz="4" w:space="0" w:color="auto"/>
              <w:right w:val="single" w:sz="4" w:space="0" w:color="auto"/>
            </w:tcBorders>
            <w:vAlign w:val="bottom"/>
            <w:hideMark/>
          </w:tcPr>
          <w:p w14:paraId="3E99AF87" w14:textId="77777777" w:rsidR="00A610E1" w:rsidRPr="00BD22FE" w:rsidRDefault="00A610E1" w:rsidP="00A610E1">
            <w:pPr>
              <w:rPr>
                <w:color w:val="000000"/>
                <w:sz w:val="22"/>
                <w:szCs w:val="22"/>
                <w:lang w:val="pl-PL" w:eastAsia="en-GB"/>
              </w:rPr>
            </w:pPr>
          </w:p>
        </w:tc>
        <w:tc>
          <w:tcPr>
            <w:tcW w:w="788" w:type="pct"/>
            <w:tcBorders>
              <w:top w:val="single" w:sz="4" w:space="0" w:color="auto"/>
              <w:left w:val="single" w:sz="4" w:space="0" w:color="auto"/>
              <w:bottom w:val="single" w:sz="4" w:space="0" w:color="auto"/>
              <w:right w:val="single" w:sz="4" w:space="0" w:color="auto"/>
            </w:tcBorders>
            <w:vAlign w:val="bottom"/>
            <w:hideMark/>
          </w:tcPr>
          <w:p w14:paraId="28EFAE54" w14:textId="77777777" w:rsidR="00A610E1" w:rsidRPr="00BD22FE" w:rsidRDefault="00A610E1" w:rsidP="00A610E1">
            <w:pPr>
              <w:rPr>
                <w:sz w:val="22"/>
                <w:szCs w:val="22"/>
                <w:lang w:val="pl-PL" w:eastAsia="en-GB"/>
              </w:rPr>
            </w:pPr>
          </w:p>
        </w:tc>
        <w:tc>
          <w:tcPr>
            <w:tcW w:w="1098" w:type="pct"/>
            <w:tcBorders>
              <w:top w:val="single" w:sz="4" w:space="0" w:color="auto"/>
              <w:left w:val="single" w:sz="4" w:space="0" w:color="auto"/>
              <w:bottom w:val="single" w:sz="4" w:space="0" w:color="auto"/>
              <w:right w:val="single" w:sz="4" w:space="0" w:color="auto"/>
            </w:tcBorders>
            <w:vAlign w:val="bottom"/>
            <w:hideMark/>
          </w:tcPr>
          <w:p w14:paraId="0DFF8FA8"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rzadko</w:t>
            </w:r>
          </w:p>
        </w:tc>
      </w:tr>
      <w:tr w:rsidR="00A610E1" w:rsidRPr="00BD22FE" w14:paraId="507D8C5F" w14:textId="77777777" w:rsidTr="00A610E1">
        <w:tc>
          <w:tcPr>
            <w:tcW w:w="1084" w:type="pct"/>
            <w:vMerge/>
            <w:tcBorders>
              <w:left w:val="single" w:sz="4" w:space="0" w:color="auto"/>
              <w:right w:val="single" w:sz="4" w:space="0" w:color="auto"/>
            </w:tcBorders>
            <w:hideMark/>
          </w:tcPr>
          <w:p w14:paraId="70ED0473" w14:textId="77777777" w:rsidR="00A610E1" w:rsidRPr="00BD22FE" w:rsidRDefault="00A610E1" w:rsidP="00A610E1">
            <w:pPr>
              <w:rPr>
                <w:color w:val="000000"/>
                <w:sz w:val="22"/>
                <w:szCs w:val="22"/>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4FD0A5F0" w14:textId="77777777" w:rsidR="00A610E1" w:rsidRPr="00BD22FE" w:rsidRDefault="00A610E1" w:rsidP="00A610E1">
            <w:pPr>
              <w:rPr>
                <w:color w:val="000000"/>
                <w:sz w:val="22"/>
                <w:szCs w:val="22"/>
                <w:lang w:val="pl-PL" w:eastAsia="en-GB"/>
              </w:rPr>
            </w:pPr>
            <w:r w:rsidRPr="00BD22FE">
              <w:rPr>
                <w:sz w:val="22"/>
                <w:szCs w:val="22"/>
                <w:lang w:val="pl-PL"/>
              </w:rPr>
              <w:t>Toksyczne martwicze oddzielanie się naskórka</w:t>
            </w:r>
          </w:p>
        </w:tc>
        <w:tc>
          <w:tcPr>
            <w:tcW w:w="804" w:type="pct"/>
            <w:tcBorders>
              <w:top w:val="single" w:sz="4" w:space="0" w:color="auto"/>
              <w:left w:val="single" w:sz="4" w:space="0" w:color="auto"/>
              <w:bottom w:val="single" w:sz="4" w:space="0" w:color="auto"/>
              <w:right w:val="single" w:sz="4" w:space="0" w:color="auto"/>
            </w:tcBorders>
            <w:vAlign w:val="bottom"/>
            <w:hideMark/>
          </w:tcPr>
          <w:p w14:paraId="127AD343" w14:textId="77777777" w:rsidR="00A610E1" w:rsidRPr="00BD22FE" w:rsidRDefault="00A610E1" w:rsidP="00A610E1">
            <w:pPr>
              <w:rPr>
                <w:color w:val="000000"/>
                <w:sz w:val="22"/>
                <w:szCs w:val="22"/>
                <w:lang w:val="pl-PL" w:eastAsia="en-GB"/>
              </w:rPr>
            </w:pPr>
          </w:p>
        </w:tc>
        <w:tc>
          <w:tcPr>
            <w:tcW w:w="788" w:type="pct"/>
            <w:tcBorders>
              <w:top w:val="single" w:sz="4" w:space="0" w:color="auto"/>
              <w:left w:val="single" w:sz="4" w:space="0" w:color="auto"/>
              <w:bottom w:val="single" w:sz="4" w:space="0" w:color="auto"/>
              <w:right w:val="single" w:sz="4" w:space="0" w:color="auto"/>
            </w:tcBorders>
            <w:vAlign w:val="bottom"/>
            <w:hideMark/>
          </w:tcPr>
          <w:p w14:paraId="0D077A79" w14:textId="77777777" w:rsidR="00A610E1" w:rsidRPr="00BD22FE" w:rsidRDefault="00A610E1" w:rsidP="00A610E1">
            <w:pPr>
              <w:rPr>
                <w:sz w:val="22"/>
                <w:szCs w:val="22"/>
                <w:lang w:val="pl-PL" w:eastAsia="en-GB"/>
              </w:rPr>
            </w:pPr>
          </w:p>
        </w:tc>
        <w:tc>
          <w:tcPr>
            <w:tcW w:w="1098" w:type="pct"/>
            <w:tcBorders>
              <w:top w:val="single" w:sz="4" w:space="0" w:color="auto"/>
              <w:left w:val="single" w:sz="4" w:space="0" w:color="auto"/>
              <w:bottom w:val="single" w:sz="4" w:space="0" w:color="auto"/>
              <w:right w:val="single" w:sz="4" w:space="0" w:color="auto"/>
            </w:tcBorders>
            <w:vAlign w:val="bottom"/>
            <w:hideMark/>
          </w:tcPr>
          <w:p w14:paraId="72F23238"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bardzo rzadko</w:t>
            </w:r>
          </w:p>
        </w:tc>
      </w:tr>
      <w:tr w:rsidR="00A610E1" w:rsidRPr="00BD22FE" w14:paraId="50AF15A8" w14:textId="77777777" w:rsidTr="00A610E1">
        <w:tc>
          <w:tcPr>
            <w:tcW w:w="1084" w:type="pct"/>
            <w:vMerge/>
            <w:tcBorders>
              <w:left w:val="single" w:sz="4" w:space="0" w:color="auto"/>
              <w:bottom w:val="single" w:sz="4" w:space="0" w:color="auto"/>
              <w:right w:val="single" w:sz="4" w:space="0" w:color="auto"/>
            </w:tcBorders>
            <w:hideMark/>
          </w:tcPr>
          <w:p w14:paraId="7B7F066E" w14:textId="77777777" w:rsidR="00A610E1" w:rsidRPr="00BD22FE" w:rsidRDefault="00A610E1" w:rsidP="00A610E1">
            <w:pPr>
              <w:rPr>
                <w:color w:val="000000"/>
                <w:sz w:val="22"/>
                <w:szCs w:val="22"/>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532695B5"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Rumień wielopostaciowy</w:t>
            </w:r>
          </w:p>
        </w:tc>
        <w:tc>
          <w:tcPr>
            <w:tcW w:w="804" w:type="pct"/>
            <w:tcBorders>
              <w:top w:val="single" w:sz="4" w:space="0" w:color="auto"/>
              <w:left w:val="single" w:sz="4" w:space="0" w:color="auto"/>
              <w:bottom w:val="single" w:sz="4" w:space="0" w:color="auto"/>
              <w:right w:val="single" w:sz="4" w:space="0" w:color="auto"/>
            </w:tcBorders>
            <w:vAlign w:val="bottom"/>
            <w:hideMark/>
          </w:tcPr>
          <w:p w14:paraId="0A4A2264" w14:textId="77777777" w:rsidR="00A610E1" w:rsidRPr="00BD22FE" w:rsidRDefault="00A610E1" w:rsidP="00A610E1">
            <w:pPr>
              <w:rPr>
                <w:color w:val="000000"/>
                <w:sz w:val="22"/>
                <w:szCs w:val="22"/>
                <w:lang w:val="pl-PL" w:eastAsia="en-GB"/>
              </w:rPr>
            </w:pPr>
          </w:p>
        </w:tc>
        <w:tc>
          <w:tcPr>
            <w:tcW w:w="788" w:type="pct"/>
            <w:tcBorders>
              <w:top w:val="single" w:sz="4" w:space="0" w:color="auto"/>
              <w:left w:val="single" w:sz="4" w:space="0" w:color="auto"/>
              <w:bottom w:val="single" w:sz="4" w:space="0" w:color="auto"/>
              <w:right w:val="single" w:sz="4" w:space="0" w:color="auto"/>
            </w:tcBorders>
            <w:vAlign w:val="bottom"/>
            <w:hideMark/>
          </w:tcPr>
          <w:p w14:paraId="5915FD71" w14:textId="77777777" w:rsidR="00A610E1" w:rsidRPr="00BD22FE" w:rsidRDefault="00A610E1" w:rsidP="00A610E1">
            <w:pPr>
              <w:rPr>
                <w:sz w:val="22"/>
                <w:szCs w:val="22"/>
                <w:lang w:val="pl-PL" w:eastAsia="en-GB"/>
              </w:rPr>
            </w:pPr>
          </w:p>
        </w:tc>
        <w:tc>
          <w:tcPr>
            <w:tcW w:w="1098" w:type="pct"/>
            <w:tcBorders>
              <w:top w:val="single" w:sz="4" w:space="0" w:color="auto"/>
              <w:left w:val="single" w:sz="4" w:space="0" w:color="auto"/>
              <w:bottom w:val="single" w:sz="4" w:space="0" w:color="auto"/>
              <w:right w:val="single" w:sz="4" w:space="0" w:color="auto"/>
            </w:tcBorders>
            <w:vAlign w:val="bottom"/>
            <w:hideMark/>
          </w:tcPr>
          <w:p w14:paraId="3BA8AAD9" w14:textId="77777777" w:rsidR="00A610E1" w:rsidRPr="00BD22FE" w:rsidRDefault="00A610E1" w:rsidP="00A610E1">
            <w:pPr>
              <w:rPr>
                <w:color w:val="000000"/>
                <w:sz w:val="22"/>
                <w:szCs w:val="22"/>
                <w:lang w:val="pl-PL" w:eastAsia="en-GB"/>
              </w:rPr>
            </w:pPr>
            <w:r w:rsidRPr="00BD22FE">
              <w:rPr>
                <w:sz w:val="22"/>
                <w:szCs w:val="22"/>
                <w:lang w:val="pl-PL"/>
              </w:rPr>
              <w:t>częstość nieznana</w:t>
            </w:r>
          </w:p>
        </w:tc>
      </w:tr>
      <w:tr w:rsidR="00A610E1" w:rsidRPr="00BD22FE" w14:paraId="33EAA257" w14:textId="77777777" w:rsidTr="00A610E1">
        <w:tc>
          <w:tcPr>
            <w:tcW w:w="1084" w:type="pct"/>
            <w:vMerge w:val="restart"/>
            <w:tcBorders>
              <w:top w:val="single" w:sz="4" w:space="0" w:color="auto"/>
              <w:left w:val="single" w:sz="4" w:space="0" w:color="auto"/>
              <w:right w:val="single" w:sz="4" w:space="0" w:color="auto"/>
            </w:tcBorders>
            <w:hideMark/>
          </w:tcPr>
          <w:p w14:paraId="67DEAB2A" w14:textId="77777777" w:rsidR="00A610E1" w:rsidRPr="00BD22FE" w:rsidRDefault="00A610E1" w:rsidP="00A610E1">
            <w:pPr>
              <w:rPr>
                <w:b/>
                <w:bCs/>
                <w:color w:val="000000"/>
                <w:sz w:val="22"/>
                <w:szCs w:val="22"/>
                <w:highlight w:val="yellow"/>
                <w:lang w:val="pl-PL" w:eastAsia="en-GB"/>
              </w:rPr>
            </w:pPr>
            <w:r w:rsidRPr="00BD22FE">
              <w:rPr>
                <w:b/>
                <w:bCs/>
                <w:sz w:val="22"/>
                <w:szCs w:val="22"/>
                <w:lang w:val="pl-PL"/>
              </w:rPr>
              <w:t>Zaburzenia mięśniowo-</w:t>
            </w:r>
            <w:r w:rsidRPr="00BD22FE">
              <w:rPr>
                <w:b/>
                <w:bCs/>
                <w:sz w:val="22"/>
                <w:szCs w:val="22"/>
                <w:lang w:val="pl-PL"/>
              </w:rPr>
              <w:lastRenderedPageBreak/>
              <w:t>szkieletowe i tkanki łącznej</w:t>
            </w:r>
          </w:p>
        </w:tc>
        <w:tc>
          <w:tcPr>
            <w:tcW w:w="1226" w:type="pct"/>
            <w:tcBorders>
              <w:top w:val="single" w:sz="4" w:space="0" w:color="auto"/>
              <w:left w:val="single" w:sz="4" w:space="0" w:color="auto"/>
              <w:bottom w:val="single" w:sz="4" w:space="0" w:color="auto"/>
              <w:right w:val="single" w:sz="4" w:space="0" w:color="auto"/>
            </w:tcBorders>
            <w:vAlign w:val="bottom"/>
            <w:hideMark/>
          </w:tcPr>
          <w:p w14:paraId="645961FE"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lastRenderedPageBreak/>
              <w:t>Ból pleców</w:t>
            </w:r>
          </w:p>
        </w:tc>
        <w:tc>
          <w:tcPr>
            <w:tcW w:w="804" w:type="pct"/>
            <w:tcBorders>
              <w:top w:val="single" w:sz="4" w:space="0" w:color="auto"/>
              <w:left w:val="single" w:sz="4" w:space="0" w:color="auto"/>
              <w:bottom w:val="single" w:sz="4" w:space="0" w:color="auto"/>
              <w:right w:val="single" w:sz="4" w:space="0" w:color="auto"/>
            </w:tcBorders>
            <w:hideMark/>
          </w:tcPr>
          <w:p w14:paraId="54113127"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niezbyt często</w:t>
            </w:r>
          </w:p>
        </w:tc>
        <w:tc>
          <w:tcPr>
            <w:tcW w:w="788" w:type="pct"/>
            <w:tcBorders>
              <w:top w:val="single" w:sz="4" w:space="0" w:color="auto"/>
              <w:left w:val="single" w:sz="4" w:space="0" w:color="auto"/>
              <w:bottom w:val="single" w:sz="4" w:space="0" w:color="auto"/>
              <w:right w:val="single" w:sz="4" w:space="0" w:color="auto"/>
            </w:tcBorders>
            <w:hideMark/>
          </w:tcPr>
          <w:p w14:paraId="329783E1"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niezbyt często</w:t>
            </w:r>
          </w:p>
        </w:tc>
        <w:tc>
          <w:tcPr>
            <w:tcW w:w="1098" w:type="pct"/>
            <w:tcBorders>
              <w:top w:val="single" w:sz="4" w:space="0" w:color="auto"/>
              <w:left w:val="single" w:sz="4" w:space="0" w:color="auto"/>
              <w:bottom w:val="single" w:sz="4" w:space="0" w:color="auto"/>
              <w:right w:val="single" w:sz="4" w:space="0" w:color="auto"/>
            </w:tcBorders>
            <w:vAlign w:val="bottom"/>
            <w:hideMark/>
          </w:tcPr>
          <w:p w14:paraId="79AB18FD" w14:textId="77777777" w:rsidR="00A610E1" w:rsidRPr="00BD22FE" w:rsidRDefault="00A610E1" w:rsidP="00A610E1">
            <w:pPr>
              <w:rPr>
                <w:sz w:val="22"/>
                <w:szCs w:val="22"/>
                <w:lang w:val="pl-PL" w:eastAsia="en-GB"/>
              </w:rPr>
            </w:pPr>
          </w:p>
        </w:tc>
      </w:tr>
      <w:tr w:rsidR="00A610E1" w:rsidRPr="00BD22FE" w14:paraId="3890335B" w14:textId="77777777" w:rsidTr="00A610E1">
        <w:tc>
          <w:tcPr>
            <w:tcW w:w="1084" w:type="pct"/>
            <w:vMerge/>
            <w:tcBorders>
              <w:left w:val="single" w:sz="4" w:space="0" w:color="auto"/>
              <w:right w:val="single" w:sz="4" w:space="0" w:color="auto"/>
            </w:tcBorders>
            <w:hideMark/>
          </w:tcPr>
          <w:p w14:paraId="4B62A3F8" w14:textId="77777777" w:rsidR="00A610E1" w:rsidRPr="00BD22FE" w:rsidRDefault="00A610E1" w:rsidP="00A610E1">
            <w:pPr>
              <w:rPr>
                <w:sz w:val="22"/>
                <w:szCs w:val="22"/>
                <w:highlight w:val="yellow"/>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22393C0F" w14:textId="77777777" w:rsidR="00A610E1" w:rsidRPr="00BD22FE" w:rsidRDefault="00A610E1" w:rsidP="00A610E1">
            <w:pPr>
              <w:rPr>
                <w:color w:val="000000"/>
                <w:sz w:val="22"/>
                <w:szCs w:val="22"/>
                <w:lang w:val="pl-PL" w:eastAsia="en-GB"/>
              </w:rPr>
            </w:pPr>
            <w:r w:rsidRPr="00BD22FE">
              <w:rPr>
                <w:sz w:val="22"/>
                <w:szCs w:val="22"/>
                <w:lang w:val="pl-PL"/>
              </w:rPr>
              <w:t xml:space="preserve">Skurcze mięśni </w:t>
            </w:r>
            <w:r w:rsidRPr="00BD22FE">
              <w:rPr>
                <w:color w:val="000000"/>
                <w:sz w:val="22"/>
                <w:szCs w:val="22"/>
                <w:lang w:val="pl-PL" w:eastAsia="en-GB"/>
              </w:rPr>
              <w:t>(skurcze kończyn dolnych)</w:t>
            </w:r>
          </w:p>
        </w:tc>
        <w:tc>
          <w:tcPr>
            <w:tcW w:w="804" w:type="pct"/>
            <w:tcBorders>
              <w:top w:val="single" w:sz="4" w:space="0" w:color="auto"/>
              <w:left w:val="single" w:sz="4" w:space="0" w:color="auto"/>
              <w:bottom w:val="single" w:sz="4" w:space="0" w:color="auto"/>
              <w:right w:val="single" w:sz="4" w:space="0" w:color="auto"/>
            </w:tcBorders>
            <w:hideMark/>
          </w:tcPr>
          <w:p w14:paraId="08C1D28F"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niezbyt często</w:t>
            </w:r>
          </w:p>
        </w:tc>
        <w:tc>
          <w:tcPr>
            <w:tcW w:w="788" w:type="pct"/>
            <w:tcBorders>
              <w:top w:val="single" w:sz="4" w:space="0" w:color="auto"/>
              <w:left w:val="single" w:sz="4" w:space="0" w:color="auto"/>
              <w:bottom w:val="single" w:sz="4" w:space="0" w:color="auto"/>
              <w:right w:val="single" w:sz="4" w:space="0" w:color="auto"/>
            </w:tcBorders>
            <w:hideMark/>
          </w:tcPr>
          <w:p w14:paraId="0EB779E4"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niezbyt często</w:t>
            </w:r>
          </w:p>
        </w:tc>
        <w:tc>
          <w:tcPr>
            <w:tcW w:w="1098" w:type="pct"/>
            <w:tcBorders>
              <w:top w:val="single" w:sz="4" w:space="0" w:color="auto"/>
              <w:left w:val="single" w:sz="4" w:space="0" w:color="auto"/>
              <w:bottom w:val="single" w:sz="4" w:space="0" w:color="auto"/>
              <w:right w:val="single" w:sz="4" w:space="0" w:color="auto"/>
            </w:tcBorders>
            <w:vAlign w:val="bottom"/>
            <w:hideMark/>
          </w:tcPr>
          <w:p w14:paraId="2FCBCD50" w14:textId="77777777" w:rsidR="00A610E1" w:rsidRPr="00BD22FE" w:rsidRDefault="00A610E1" w:rsidP="00A610E1">
            <w:pPr>
              <w:rPr>
                <w:color w:val="000000"/>
                <w:sz w:val="22"/>
                <w:szCs w:val="22"/>
                <w:lang w:val="pl-PL" w:eastAsia="en-GB"/>
              </w:rPr>
            </w:pPr>
            <w:r w:rsidRPr="00BD22FE">
              <w:rPr>
                <w:sz w:val="22"/>
                <w:szCs w:val="22"/>
                <w:lang w:val="pl-PL"/>
              </w:rPr>
              <w:t>częstość nieznana</w:t>
            </w:r>
          </w:p>
        </w:tc>
      </w:tr>
      <w:tr w:rsidR="00A610E1" w:rsidRPr="00BD22FE" w14:paraId="5BFD4AB2" w14:textId="77777777" w:rsidTr="00A610E1">
        <w:tc>
          <w:tcPr>
            <w:tcW w:w="1084" w:type="pct"/>
            <w:vMerge/>
            <w:tcBorders>
              <w:left w:val="single" w:sz="4" w:space="0" w:color="auto"/>
              <w:right w:val="single" w:sz="4" w:space="0" w:color="auto"/>
            </w:tcBorders>
            <w:hideMark/>
          </w:tcPr>
          <w:p w14:paraId="0F0EF3DE" w14:textId="77777777" w:rsidR="00A610E1" w:rsidRPr="00BD22FE" w:rsidRDefault="00A610E1" w:rsidP="00A610E1">
            <w:pPr>
              <w:rPr>
                <w:color w:val="000000"/>
                <w:sz w:val="22"/>
                <w:szCs w:val="22"/>
                <w:highlight w:val="yellow"/>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4BAE3BE7" w14:textId="77777777" w:rsidR="00A610E1" w:rsidRPr="00BD22FE" w:rsidRDefault="00A610E1" w:rsidP="00A610E1">
            <w:pPr>
              <w:rPr>
                <w:color w:val="000000"/>
                <w:sz w:val="22"/>
                <w:szCs w:val="22"/>
                <w:lang w:val="pl-PL" w:eastAsia="en-GB"/>
              </w:rPr>
            </w:pPr>
            <w:r w:rsidRPr="00BD22FE">
              <w:rPr>
                <w:sz w:val="22"/>
                <w:szCs w:val="22"/>
                <w:lang w:val="pl-PL"/>
              </w:rPr>
              <w:t>Ból mięśni</w:t>
            </w:r>
          </w:p>
        </w:tc>
        <w:tc>
          <w:tcPr>
            <w:tcW w:w="804" w:type="pct"/>
            <w:tcBorders>
              <w:top w:val="single" w:sz="4" w:space="0" w:color="auto"/>
              <w:left w:val="single" w:sz="4" w:space="0" w:color="auto"/>
              <w:bottom w:val="single" w:sz="4" w:space="0" w:color="auto"/>
              <w:right w:val="single" w:sz="4" w:space="0" w:color="auto"/>
            </w:tcBorders>
            <w:hideMark/>
          </w:tcPr>
          <w:p w14:paraId="763CE5DB"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niezbyt często</w:t>
            </w:r>
          </w:p>
        </w:tc>
        <w:tc>
          <w:tcPr>
            <w:tcW w:w="788" w:type="pct"/>
            <w:tcBorders>
              <w:top w:val="single" w:sz="4" w:space="0" w:color="auto"/>
              <w:left w:val="single" w:sz="4" w:space="0" w:color="auto"/>
              <w:bottom w:val="single" w:sz="4" w:space="0" w:color="auto"/>
              <w:right w:val="single" w:sz="4" w:space="0" w:color="auto"/>
            </w:tcBorders>
            <w:hideMark/>
          </w:tcPr>
          <w:p w14:paraId="194AF3B4"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niezbyt często</w:t>
            </w:r>
          </w:p>
        </w:tc>
        <w:tc>
          <w:tcPr>
            <w:tcW w:w="1098" w:type="pct"/>
            <w:tcBorders>
              <w:top w:val="single" w:sz="4" w:space="0" w:color="auto"/>
              <w:left w:val="single" w:sz="4" w:space="0" w:color="auto"/>
              <w:bottom w:val="single" w:sz="4" w:space="0" w:color="auto"/>
              <w:right w:val="single" w:sz="4" w:space="0" w:color="auto"/>
            </w:tcBorders>
            <w:vAlign w:val="bottom"/>
            <w:hideMark/>
          </w:tcPr>
          <w:p w14:paraId="6B73FEA7" w14:textId="77777777" w:rsidR="00A610E1" w:rsidRPr="00BD22FE" w:rsidRDefault="00A610E1" w:rsidP="00A610E1">
            <w:pPr>
              <w:rPr>
                <w:sz w:val="22"/>
                <w:szCs w:val="22"/>
                <w:lang w:val="pl-PL" w:eastAsia="en-GB"/>
              </w:rPr>
            </w:pPr>
          </w:p>
        </w:tc>
      </w:tr>
      <w:tr w:rsidR="00A610E1" w:rsidRPr="00BD22FE" w14:paraId="39527B5B" w14:textId="77777777" w:rsidTr="00A610E1">
        <w:tc>
          <w:tcPr>
            <w:tcW w:w="1084" w:type="pct"/>
            <w:vMerge/>
            <w:tcBorders>
              <w:left w:val="single" w:sz="4" w:space="0" w:color="auto"/>
              <w:right w:val="single" w:sz="4" w:space="0" w:color="auto"/>
            </w:tcBorders>
            <w:hideMark/>
          </w:tcPr>
          <w:p w14:paraId="1F277C96" w14:textId="77777777" w:rsidR="00A610E1" w:rsidRPr="00BD22FE" w:rsidRDefault="00A610E1" w:rsidP="00A610E1">
            <w:pPr>
              <w:rPr>
                <w:sz w:val="22"/>
                <w:szCs w:val="22"/>
                <w:highlight w:val="yellow"/>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48E34BE0" w14:textId="77777777" w:rsidR="00A610E1" w:rsidRPr="00BD22FE" w:rsidRDefault="00A610E1" w:rsidP="00A610E1">
            <w:pPr>
              <w:rPr>
                <w:color w:val="000000"/>
                <w:sz w:val="22"/>
                <w:szCs w:val="22"/>
                <w:lang w:val="pl-PL" w:eastAsia="en-GB"/>
              </w:rPr>
            </w:pPr>
            <w:r w:rsidRPr="00BD22FE">
              <w:rPr>
                <w:sz w:val="22"/>
                <w:szCs w:val="22"/>
                <w:lang w:val="pl-PL"/>
              </w:rPr>
              <w:t>Ból stawów</w:t>
            </w:r>
          </w:p>
        </w:tc>
        <w:tc>
          <w:tcPr>
            <w:tcW w:w="804" w:type="pct"/>
            <w:tcBorders>
              <w:top w:val="single" w:sz="4" w:space="0" w:color="auto"/>
              <w:left w:val="single" w:sz="4" w:space="0" w:color="auto"/>
              <w:bottom w:val="single" w:sz="4" w:space="0" w:color="auto"/>
              <w:right w:val="single" w:sz="4" w:space="0" w:color="auto"/>
            </w:tcBorders>
            <w:vAlign w:val="bottom"/>
            <w:hideMark/>
          </w:tcPr>
          <w:p w14:paraId="52E2B1DB"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rzadko</w:t>
            </w:r>
          </w:p>
        </w:tc>
        <w:tc>
          <w:tcPr>
            <w:tcW w:w="788" w:type="pct"/>
            <w:tcBorders>
              <w:top w:val="single" w:sz="4" w:space="0" w:color="auto"/>
              <w:left w:val="single" w:sz="4" w:space="0" w:color="auto"/>
              <w:bottom w:val="single" w:sz="4" w:space="0" w:color="auto"/>
              <w:right w:val="single" w:sz="4" w:space="0" w:color="auto"/>
            </w:tcBorders>
            <w:vAlign w:val="bottom"/>
            <w:hideMark/>
          </w:tcPr>
          <w:p w14:paraId="5DCE0476"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rzadko</w:t>
            </w:r>
          </w:p>
        </w:tc>
        <w:tc>
          <w:tcPr>
            <w:tcW w:w="1098" w:type="pct"/>
            <w:tcBorders>
              <w:top w:val="single" w:sz="4" w:space="0" w:color="auto"/>
              <w:left w:val="single" w:sz="4" w:space="0" w:color="auto"/>
              <w:bottom w:val="single" w:sz="4" w:space="0" w:color="auto"/>
              <w:right w:val="single" w:sz="4" w:space="0" w:color="auto"/>
            </w:tcBorders>
            <w:vAlign w:val="bottom"/>
            <w:hideMark/>
          </w:tcPr>
          <w:p w14:paraId="438DFDE8" w14:textId="77777777" w:rsidR="00A610E1" w:rsidRPr="00BD22FE" w:rsidRDefault="00A610E1" w:rsidP="00A610E1">
            <w:pPr>
              <w:rPr>
                <w:sz w:val="22"/>
                <w:szCs w:val="22"/>
                <w:lang w:val="pl-PL" w:eastAsia="en-GB"/>
              </w:rPr>
            </w:pPr>
          </w:p>
        </w:tc>
      </w:tr>
      <w:tr w:rsidR="00A610E1" w:rsidRPr="00BD22FE" w14:paraId="3E0C9219" w14:textId="77777777" w:rsidTr="00A610E1">
        <w:tc>
          <w:tcPr>
            <w:tcW w:w="1084" w:type="pct"/>
            <w:vMerge/>
            <w:tcBorders>
              <w:left w:val="single" w:sz="4" w:space="0" w:color="auto"/>
              <w:right w:val="single" w:sz="4" w:space="0" w:color="auto"/>
            </w:tcBorders>
            <w:hideMark/>
          </w:tcPr>
          <w:p w14:paraId="2C53363D" w14:textId="77777777" w:rsidR="00A610E1" w:rsidRPr="00BD22FE" w:rsidRDefault="00A610E1" w:rsidP="00A610E1">
            <w:pPr>
              <w:rPr>
                <w:sz w:val="22"/>
                <w:szCs w:val="22"/>
                <w:highlight w:val="yellow"/>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0F549662"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Ból w kończynach (ból nóg)</w:t>
            </w:r>
          </w:p>
        </w:tc>
        <w:tc>
          <w:tcPr>
            <w:tcW w:w="804" w:type="pct"/>
            <w:tcBorders>
              <w:top w:val="single" w:sz="4" w:space="0" w:color="auto"/>
              <w:left w:val="single" w:sz="4" w:space="0" w:color="auto"/>
              <w:bottom w:val="single" w:sz="4" w:space="0" w:color="auto"/>
              <w:right w:val="single" w:sz="4" w:space="0" w:color="auto"/>
            </w:tcBorders>
            <w:vAlign w:val="bottom"/>
            <w:hideMark/>
          </w:tcPr>
          <w:p w14:paraId="3B19E75F"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rzadko</w:t>
            </w:r>
          </w:p>
        </w:tc>
        <w:tc>
          <w:tcPr>
            <w:tcW w:w="788" w:type="pct"/>
            <w:tcBorders>
              <w:top w:val="single" w:sz="4" w:space="0" w:color="auto"/>
              <w:left w:val="single" w:sz="4" w:space="0" w:color="auto"/>
              <w:bottom w:val="single" w:sz="4" w:space="0" w:color="auto"/>
              <w:right w:val="single" w:sz="4" w:space="0" w:color="auto"/>
            </w:tcBorders>
            <w:vAlign w:val="bottom"/>
            <w:hideMark/>
          </w:tcPr>
          <w:p w14:paraId="6BCE0312"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rzadko</w:t>
            </w:r>
          </w:p>
        </w:tc>
        <w:tc>
          <w:tcPr>
            <w:tcW w:w="1098" w:type="pct"/>
            <w:tcBorders>
              <w:top w:val="single" w:sz="4" w:space="0" w:color="auto"/>
              <w:left w:val="single" w:sz="4" w:space="0" w:color="auto"/>
              <w:bottom w:val="single" w:sz="4" w:space="0" w:color="auto"/>
              <w:right w:val="single" w:sz="4" w:space="0" w:color="auto"/>
            </w:tcBorders>
            <w:vAlign w:val="bottom"/>
            <w:hideMark/>
          </w:tcPr>
          <w:p w14:paraId="5958C864" w14:textId="77777777" w:rsidR="00A610E1" w:rsidRPr="00BD22FE" w:rsidRDefault="00A610E1" w:rsidP="00A610E1">
            <w:pPr>
              <w:rPr>
                <w:sz w:val="22"/>
                <w:szCs w:val="22"/>
                <w:lang w:val="pl-PL" w:eastAsia="en-GB"/>
              </w:rPr>
            </w:pPr>
          </w:p>
        </w:tc>
      </w:tr>
      <w:tr w:rsidR="00A610E1" w:rsidRPr="00BD22FE" w14:paraId="53E5EFF7" w14:textId="77777777" w:rsidTr="00A610E1">
        <w:tc>
          <w:tcPr>
            <w:tcW w:w="1084" w:type="pct"/>
            <w:vMerge/>
            <w:tcBorders>
              <w:left w:val="single" w:sz="4" w:space="0" w:color="auto"/>
              <w:right w:val="single" w:sz="4" w:space="0" w:color="auto"/>
            </w:tcBorders>
            <w:hideMark/>
          </w:tcPr>
          <w:p w14:paraId="034DA6E5" w14:textId="77777777" w:rsidR="00A610E1" w:rsidRPr="00BD22FE" w:rsidRDefault="00A610E1" w:rsidP="00A610E1">
            <w:pPr>
              <w:rPr>
                <w:sz w:val="22"/>
                <w:szCs w:val="22"/>
                <w:highlight w:val="yellow"/>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5508628D"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Ból ścięgien (objawy imitujące zapalenie ścięgien)</w:t>
            </w:r>
          </w:p>
        </w:tc>
        <w:tc>
          <w:tcPr>
            <w:tcW w:w="804" w:type="pct"/>
            <w:tcBorders>
              <w:top w:val="single" w:sz="4" w:space="0" w:color="auto"/>
              <w:left w:val="single" w:sz="4" w:space="0" w:color="auto"/>
              <w:bottom w:val="single" w:sz="4" w:space="0" w:color="auto"/>
              <w:right w:val="single" w:sz="4" w:space="0" w:color="auto"/>
            </w:tcBorders>
            <w:vAlign w:val="bottom"/>
            <w:hideMark/>
          </w:tcPr>
          <w:p w14:paraId="3DB9A061" w14:textId="77777777" w:rsidR="00A610E1" w:rsidRPr="00BD22FE" w:rsidRDefault="00A610E1" w:rsidP="00A610E1">
            <w:pPr>
              <w:rPr>
                <w:color w:val="000000"/>
                <w:sz w:val="22"/>
                <w:szCs w:val="22"/>
                <w:lang w:val="pl-PL" w:eastAsia="en-GB"/>
              </w:rPr>
            </w:pPr>
          </w:p>
        </w:tc>
        <w:tc>
          <w:tcPr>
            <w:tcW w:w="788" w:type="pct"/>
            <w:tcBorders>
              <w:top w:val="single" w:sz="4" w:space="0" w:color="auto"/>
              <w:left w:val="single" w:sz="4" w:space="0" w:color="auto"/>
              <w:bottom w:val="single" w:sz="4" w:space="0" w:color="auto"/>
              <w:right w:val="single" w:sz="4" w:space="0" w:color="auto"/>
            </w:tcBorders>
            <w:vAlign w:val="bottom"/>
            <w:hideMark/>
          </w:tcPr>
          <w:p w14:paraId="154A7BF6"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rzadko</w:t>
            </w:r>
          </w:p>
        </w:tc>
        <w:tc>
          <w:tcPr>
            <w:tcW w:w="1098" w:type="pct"/>
            <w:tcBorders>
              <w:top w:val="single" w:sz="4" w:space="0" w:color="auto"/>
              <w:left w:val="single" w:sz="4" w:space="0" w:color="auto"/>
              <w:bottom w:val="single" w:sz="4" w:space="0" w:color="auto"/>
              <w:right w:val="single" w:sz="4" w:space="0" w:color="auto"/>
            </w:tcBorders>
            <w:vAlign w:val="bottom"/>
            <w:hideMark/>
          </w:tcPr>
          <w:p w14:paraId="65825439" w14:textId="77777777" w:rsidR="00A610E1" w:rsidRPr="00BD22FE" w:rsidRDefault="00A610E1" w:rsidP="00A610E1">
            <w:pPr>
              <w:rPr>
                <w:color w:val="000000"/>
                <w:sz w:val="22"/>
                <w:szCs w:val="22"/>
                <w:lang w:val="pl-PL" w:eastAsia="en-GB"/>
              </w:rPr>
            </w:pPr>
          </w:p>
        </w:tc>
      </w:tr>
      <w:tr w:rsidR="00A610E1" w:rsidRPr="00BD22FE" w14:paraId="23FACD36" w14:textId="77777777" w:rsidTr="00A610E1">
        <w:tc>
          <w:tcPr>
            <w:tcW w:w="1084" w:type="pct"/>
            <w:vMerge/>
            <w:tcBorders>
              <w:left w:val="single" w:sz="4" w:space="0" w:color="auto"/>
              <w:bottom w:val="single" w:sz="4" w:space="0" w:color="auto"/>
              <w:right w:val="single" w:sz="4" w:space="0" w:color="auto"/>
            </w:tcBorders>
          </w:tcPr>
          <w:p w14:paraId="3733A7BB" w14:textId="77777777" w:rsidR="00A610E1" w:rsidRPr="00BD22FE" w:rsidRDefault="00A610E1" w:rsidP="00A610E1">
            <w:pPr>
              <w:rPr>
                <w:sz w:val="22"/>
                <w:szCs w:val="22"/>
                <w:highlight w:val="yellow"/>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tcPr>
          <w:p w14:paraId="53B671F8"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Toczeń rumieniowaty układowy</w:t>
            </w:r>
          </w:p>
        </w:tc>
        <w:tc>
          <w:tcPr>
            <w:tcW w:w="804" w:type="pct"/>
            <w:tcBorders>
              <w:top w:val="single" w:sz="4" w:space="0" w:color="auto"/>
              <w:left w:val="single" w:sz="4" w:space="0" w:color="auto"/>
              <w:bottom w:val="single" w:sz="4" w:space="0" w:color="auto"/>
              <w:right w:val="single" w:sz="4" w:space="0" w:color="auto"/>
            </w:tcBorders>
            <w:vAlign w:val="bottom"/>
          </w:tcPr>
          <w:p w14:paraId="193F2A69"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rzadko</w:t>
            </w:r>
            <w:r w:rsidRPr="00BD22FE">
              <w:rPr>
                <w:color w:val="000000"/>
                <w:sz w:val="22"/>
                <w:szCs w:val="22"/>
                <w:vertAlign w:val="superscript"/>
                <w:lang w:val="pl-PL" w:eastAsia="en-GB"/>
              </w:rPr>
              <w:t>1</w:t>
            </w:r>
          </w:p>
        </w:tc>
        <w:tc>
          <w:tcPr>
            <w:tcW w:w="788" w:type="pct"/>
            <w:tcBorders>
              <w:top w:val="single" w:sz="4" w:space="0" w:color="auto"/>
              <w:left w:val="single" w:sz="4" w:space="0" w:color="auto"/>
              <w:bottom w:val="single" w:sz="4" w:space="0" w:color="auto"/>
              <w:right w:val="single" w:sz="4" w:space="0" w:color="auto"/>
            </w:tcBorders>
            <w:vAlign w:val="bottom"/>
          </w:tcPr>
          <w:p w14:paraId="274AC687" w14:textId="77777777" w:rsidR="00A610E1" w:rsidRPr="00BD22FE" w:rsidRDefault="00A610E1" w:rsidP="00A610E1">
            <w:pPr>
              <w:rPr>
                <w:color w:val="000000"/>
                <w:sz w:val="22"/>
                <w:szCs w:val="22"/>
                <w:lang w:val="pl-PL" w:eastAsia="en-GB"/>
              </w:rPr>
            </w:pPr>
          </w:p>
        </w:tc>
        <w:tc>
          <w:tcPr>
            <w:tcW w:w="1098" w:type="pct"/>
            <w:tcBorders>
              <w:top w:val="single" w:sz="4" w:space="0" w:color="auto"/>
              <w:left w:val="single" w:sz="4" w:space="0" w:color="auto"/>
              <w:bottom w:val="single" w:sz="4" w:space="0" w:color="auto"/>
              <w:right w:val="single" w:sz="4" w:space="0" w:color="auto"/>
            </w:tcBorders>
            <w:vAlign w:val="bottom"/>
          </w:tcPr>
          <w:p w14:paraId="7AAEEE59"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bardzo rzadko</w:t>
            </w:r>
          </w:p>
        </w:tc>
      </w:tr>
      <w:tr w:rsidR="00A610E1" w:rsidRPr="00BD22FE" w14:paraId="38681304" w14:textId="77777777" w:rsidTr="00A610E1">
        <w:tc>
          <w:tcPr>
            <w:tcW w:w="1084" w:type="pct"/>
            <w:vMerge w:val="restart"/>
            <w:tcBorders>
              <w:top w:val="single" w:sz="4" w:space="0" w:color="auto"/>
              <w:left w:val="single" w:sz="4" w:space="0" w:color="auto"/>
              <w:right w:val="single" w:sz="4" w:space="0" w:color="auto"/>
            </w:tcBorders>
            <w:hideMark/>
          </w:tcPr>
          <w:p w14:paraId="679F5446" w14:textId="77777777" w:rsidR="00A610E1" w:rsidRPr="00BD22FE" w:rsidRDefault="00A610E1" w:rsidP="00A610E1">
            <w:pPr>
              <w:widowControl w:val="0"/>
              <w:rPr>
                <w:b/>
                <w:bCs/>
                <w:color w:val="000000"/>
                <w:sz w:val="22"/>
                <w:szCs w:val="22"/>
                <w:highlight w:val="yellow"/>
                <w:lang w:val="pl-PL" w:eastAsia="en-GB"/>
              </w:rPr>
            </w:pPr>
            <w:r w:rsidRPr="00BD22FE">
              <w:rPr>
                <w:b/>
                <w:sz w:val="22"/>
                <w:szCs w:val="22"/>
                <w:lang w:val="pl-PL"/>
              </w:rPr>
              <w:t>Zaburzenia nerek i dróg moczowych</w:t>
            </w:r>
          </w:p>
        </w:tc>
        <w:tc>
          <w:tcPr>
            <w:tcW w:w="1226" w:type="pct"/>
            <w:tcBorders>
              <w:top w:val="single" w:sz="4" w:space="0" w:color="auto"/>
              <w:left w:val="single" w:sz="4" w:space="0" w:color="auto"/>
              <w:bottom w:val="single" w:sz="4" w:space="0" w:color="auto"/>
              <w:right w:val="single" w:sz="4" w:space="0" w:color="auto"/>
            </w:tcBorders>
            <w:vAlign w:val="bottom"/>
            <w:hideMark/>
          </w:tcPr>
          <w:p w14:paraId="66710274" w14:textId="77777777" w:rsidR="00A610E1" w:rsidRPr="00BD22FE" w:rsidRDefault="00A610E1" w:rsidP="00A610E1">
            <w:pPr>
              <w:widowControl w:val="0"/>
              <w:rPr>
                <w:color w:val="000000"/>
                <w:sz w:val="22"/>
                <w:szCs w:val="22"/>
                <w:lang w:val="pl-PL" w:eastAsia="en-GB"/>
              </w:rPr>
            </w:pPr>
            <w:r w:rsidRPr="00BD22FE">
              <w:rPr>
                <w:sz w:val="22"/>
                <w:szCs w:val="22"/>
                <w:lang w:val="pl-PL"/>
              </w:rPr>
              <w:t>Zaburzenia czynności nerek</w:t>
            </w:r>
          </w:p>
        </w:tc>
        <w:tc>
          <w:tcPr>
            <w:tcW w:w="804" w:type="pct"/>
            <w:tcBorders>
              <w:top w:val="single" w:sz="4" w:space="0" w:color="auto"/>
              <w:left w:val="single" w:sz="4" w:space="0" w:color="auto"/>
              <w:bottom w:val="single" w:sz="4" w:space="0" w:color="auto"/>
              <w:right w:val="single" w:sz="4" w:space="0" w:color="auto"/>
            </w:tcBorders>
            <w:vAlign w:val="bottom"/>
            <w:hideMark/>
          </w:tcPr>
          <w:p w14:paraId="1878141B" w14:textId="77777777" w:rsidR="00A610E1" w:rsidRPr="00BD22FE" w:rsidRDefault="00A610E1" w:rsidP="00A610E1">
            <w:pPr>
              <w:widowControl w:val="0"/>
              <w:rPr>
                <w:color w:val="000000"/>
                <w:sz w:val="22"/>
                <w:szCs w:val="22"/>
                <w:lang w:val="pl-PL" w:eastAsia="en-GB"/>
              </w:rPr>
            </w:pPr>
          </w:p>
        </w:tc>
        <w:tc>
          <w:tcPr>
            <w:tcW w:w="788" w:type="pct"/>
            <w:tcBorders>
              <w:top w:val="single" w:sz="4" w:space="0" w:color="auto"/>
              <w:left w:val="single" w:sz="4" w:space="0" w:color="auto"/>
              <w:bottom w:val="single" w:sz="4" w:space="0" w:color="auto"/>
              <w:right w:val="single" w:sz="4" w:space="0" w:color="auto"/>
            </w:tcBorders>
            <w:hideMark/>
          </w:tcPr>
          <w:p w14:paraId="51A7FBDE" w14:textId="77777777" w:rsidR="00A610E1" w:rsidRPr="00BD22FE" w:rsidRDefault="00A610E1" w:rsidP="00A610E1">
            <w:pPr>
              <w:widowControl w:val="0"/>
              <w:rPr>
                <w:color w:val="000000"/>
                <w:sz w:val="22"/>
                <w:szCs w:val="22"/>
                <w:lang w:val="pl-PL" w:eastAsia="en-GB"/>
              </w:rPr>
            </w:pPr>
            <w:r w:rsidRPr="00BD22FE">
              <w:rPr>
                <w:color w:val="000000"/>
                <w:sz w:val="22"/>
                <w:szCs w:val="22"/>
                <w:lang w:val="pl-PL" w:eastAsia="en-GB"/>
              </w:rPr>
              <w:t>niezbyt często</w:t>
            </w:r>
          </w:p>
        </w:tc>
        <w:tc>
          <w:tcPr>
            <w:tcW w:w="1098" w:type="pct"/>
            <w:tcBorders>
              <w:top w:val="single" w:sz="4" w:space="0" w:color="auto"/>
              <w:left w:val="single" w:sz="4" w:space="0" w:color="auto"/>
              <w:bottom w:val="single" w:sz="4" w:space="0" w:color="auto"/>
              <w:right w:val="single" w:sz="4" w:space="0" w:color="auto"/>
            </w:tcBorders>
            <w:vAlign w:val="bottom"/>
            <w:hideMark/>
          </w:tcPr>
          <w:p w14:paraId="347645FF" w14:textId="77777777" w:rsidR="00A610E1" w:rsidRPr="00BD22FE" w:rsidRDefault="00A610E1" w:rsidP="00A610E1">
            <w:pPr>
              <w:widowControl w:val="0"/>
              <w:rPr>
                <w:color w:val="000000"/>
                <w:sz w:val="22"/>
                <w:szCs w:val="22"/>
                <w:lang w:val="pl-PL" w:eastAsia="en-GB"/>
              </w:rPr>
            </w:pPr>
            <w:r w:rsidRPr="00BD22FE">
              <w:rPr>
                <w:sz w:val="22"/>
                <w:szCs w:val="22"/>
                <w:lang w:val="pl-PL"/>
              </w:rPr>
              <w:t>częstość nieznana</w:t>
            </w:r>
          </w:p>
        </w:tc>
      </w:tr>
      <w:tr w:rsidR="00A610E1" w:rsidRPr="00BD22FE" w14:paraId="1AEE8F6D" w14:textId="77777777" w:rsidTr="00A610E1">
        <w:tc>
          <w:tcPr>
            <w:tcW w:w="1084" w:type="pct"/>
            <w:vMerge/>
            <w:tcBorders>
              <w:left w:val="single" w:sz="4" w:space="0" w:color="auto"/>
              <w:right w:val="single" w:sz="4" w:space="0" w:color="auto"/>
            </w:tcBorders>
            <w:hideMark/>
          </w:tcPr>
          <w:p w14:paraId="0BAE4FF5" w14:textId="77777777" w:rsidR="00A610E1" w:rsidRPr="00BD22FE" w:rsidRDefault="00A610E1" w:rsidP="00A610E1">
            <w:pPr>
              <w:widowControl w:val="0"/>
              <w:rPr>
                <w:color w:val="000000"/>
                <w:sz w:val="22"/>
                <w:szCs w:val="22"/>
                <w:highlight w:val="yellow"/>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393E12C4" w14:textId="77777777" w:rsidR="00A610E1" w:rsidRPr="00BD22FE" w:rsidRDefault="00A610E1" w:rsidP="00A610E1">
            <w:pPr>
              <w:widowControl w:val="0"/>
              <w:rPr>
                <w:color w:val="000000"/>
                <w:sz w:val="22"/>
                <w:szCs w:val="22"/>
                <w:lang w:val="pl-PL" w:eastAsia="en-GB"/>
              </w:rPr>
            </w:pPr>
            <w:r w:rsidRPr="00BD22FE">
              <w:rPr>
                <w:color w:val="000000"/>
                <w:sz w:val="22"/>
                <w:szCs w:val="22"/>
                <w:lang w:val="pl-PL" w:eastAsia="en-GB"/>
              </w:rPr>
              <w:t>Ostra niewydolność nerek</w:t>
            </w:r>
          </w:p>
        </w:tc>
        <w:tc>
          <w:tcPr>
            <w:tcW w:w="804" w:type="pct"/>
            <w:tcBorders>
              <w:top w:val="single" w:sz="4" w:space="0" w:color="auto"/>
              <w:left w:val="single" w:sz="4" w:space="0" w:color="auto"/>
              <w:bottom w:val="single" w:sz="4" w:space="0" w:color="auto"/>
              <w:right w:val="single" w:sz="4" w:space="0" w:color="auto"/>
            </w:tcBorders>
            <w:vAlign w:val="bottom"/>
            <w:hideMark/>
          </w:tcPr>
          <w:p w14:paraId="1D62BBDA" w14:textId="77777777" w:rsidR="00A610E1" w:rsidRPr="00BD22FE" w:rsidRDefault="00A610E1" w:rsidP="00A610E1">
            <w:pPr>
              <w:widowControl w:val="0"/>
              <w:rPr>
                <w:color w:val="000000"/>
                <w:sz w:val="22"/>
                <w:szCs w:val="22"/>
                <w:lang w:val="pl-PL" w:eastAsia="en-GB"/>
              </w:rPr>
            </w:pPr>
          </w:p>
        </w:tc>
        <w:tc>
          <w:tcPr>
            <w:tcW w:w="788" w:type="pct"/>
            <w:tcBorders>
              <w:top w:val="single" w:sz="4" w:space="0" w:color="auto"/>
              <w:left w:val="single" w:sz="4" w:space="0" w:color="auto"/>
              <w:bottom w:val="single" w:sz="4" w:space="0" w:color="auto"/>
              <w:right w:val="single" w:sz="4" w:space="0" w:color="auto"/>
            </w:tcBorders>
            <w:hideMark/>
          </w:tcPr>
          <w:p w14:paraId="6FCD5B15" w14:textId="77777777" w:rsidR="00A610E1" w:rsidRPr="00BD22FE" w:rsidRDefault="00A610E1" w:rsidP="00A610E1">
            <w:pPr>
              <w:widowControl w:val="0"/>
              <w:rPr>
                <w:color w:val="000000"/>
                <w:sz w:val="22"/>
                <w:szCs w:val="22"/>
                <w:lang w:val="pl-PL" w:eastAsia="en-GB"/>
              </w:rPr>
            </w:pPr>
            <w:r w:rsidRPr="00BD22FE">
              <w:rPr>
                <w:color w:val="000000"/>
                <w:sz w:val="22"/>
                <w:szCs w:val="22"/>
                <w:lang w:val="pl-PL" w:eastAsia="en-GB"/>
              </w:rPr>
              <w:t>niezbyt często</w:t>
            </w:r>
          </w:p>
        </w:tc>
        <w:tc>
          <w:tcPr>
            <w:tcW w:w="1098" w:type="pct"/>
            <w:tcBorders>
              <w:top w:val="single" w:sz="4" w:space="0" w:color="auto"/>
              <w:left w:val="single" w:sz="4" w:space="0" w:color="auto"/>
              <w:bottom w:val="single" w:sz="4" w:space="0" w:color="auto"/>
              <w:right w:val="single" w:sz="4" w:space="0" w:color="auto"/>
            </w:tcBorders>
            <w:vAlign w:val="bottom"/>
            <w:hideMark/>
          </w:tcPr>
          <w:p w14:paraId="342C1A02" w14:textId="77777777" w:rsidR="00A610E1" w:rsidRPr="00BD22FE" w:rsidRDefault="00A610E1" w:rsidP="00A610E1">
            <w:pPr>
              <w:widowControl w:val="0"/>
              <w:rPr>
                <w:color w:val="000000"/>
                <w:sz w:val="22"/>
                <w:szCs w:val="22"/>
                <w:lang w:val="pl-PL" w:eastAsia="en-GB"/>
              </w:rPr>
            </w:pPr>
            <w:r w:rsidRPr="00BD22FE">
              <w:rPr>
                <w:color w:val="000000"/>
                <w:sz w:val="22"/>
                <w:szCs w:val="22"/>
                <w:lang w:val="pl-PL" w:eastAsia="en-GB"/>
              </w:rPr>
              <w:t>niezbyt często</w:t>
            </w:r>
          </w:p>
        </w:tc>
      </w:tr>
      <w:tr w:rsidR="00A610E1" w:rsidRPr="00BD22FE" w14:paraId="50872B90" w14:textId="77777777" w:rsidTr="00A610E1">
        <w:tc>
          <w:tcPr>
            <w:tcW w:w="1084" w:type="pct"/>
            <w:vMerge/>
            <w:tcBorders>
              <w:left w:val="single" w:sz="4" w:space="0" w:color="auto"/>
              <w:bottom w:val="single" w:sz="4" w:space="0" w:color="auto"/>
              <w:right w:val="single" w:sz="4" w:space="0" w:color="auto"/>
            </w:tcBorders>
          </w:tcPr>
          <w:p w14:paraId="4D011420" w14:textId="77777777" w:rsidR="00A610E1" w:rsidRPr="00BD22FE" w:rsidRDefault="00A610E1" w:rsidP="00A610E1">
            <w:pPr>
              <w:rPr>
                <w:color w:val="000000"/>
                <w:sz w:val="22"/>
                <w:szCs w:val="22"/>
                <w:highlight w:val="yellow"/>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tcPr>
          <w:p w14:paraId="3D6DED10" w14:textId="77777777" w:rsidR="00A610E1" w:rsidRPr="00BD22FE" w:rsidRDefault="00A610E1" w:rsidP="00A610E1">
            <w:pPr>
              <w:rPr>
                <w:color w:val="000000"/>
                <w:sz w:val="22"/>
                <w:szCs w:val="22"/>
                <w:lang w:val="pl-PL" w:eastAsia="en-GB"/>
              </w:rPr>
            </w:pPr>
            <w:r w:rsidRPr="00BD22FE">
              <w:rPr>
                <w:sz w:val="22"/>
                <w:szCs w:val="22"/>
                <w:lang w:val="pl-PL"/>
              </w:rPr>
              <w:t>Cukromocz</w:t>
            </w:r>
          </w:p>
        </w:tc>
        <w:tc>
          <w:tcPr>
            <w:tcW w:w="804" w:type="pct"/>
            <w:tcBorders>
              <w:top w:val="single" w:sz="4" w:space="0" w:color="auto"/>
              <w:left w:val="single" w:sz="4" w:space="0" w:color="auto"/>
              <w:bottom w:val="single" w:sz="4" w:space="0" w:color="auto"/>
              <w:right w:val="single" w:sz="4" w:space="0" w:color="auto"/>
            </w:tcBorders>
            <w:vAlign w:val="bottom"/>
          </w:tcPr>
          <w:p w14:paraId="3D2C45B2" w14:textId="77777777" w:rsidR="00A610E1" w:rsidRPr="00BD22FE" w:rsidRDefault="00A610E1" w:rsidP="00A610E1">
            <w:pPr>
              <w:rPr>
                <w:color w:val="000000"/>
                <w:sz w:val="22"/>
                <w:szCs w:val="22"/>
                <w:lang w:val="pl-PL" w:eastAsia="en-GB"/>
              </w:rPr>
            </w:pPr>
          </w:p>
        </w:tc>
        <w:tc>
          <w:tcPr>
            <w:tcW w:w="788" w:type="pct"/>
            <w:tcBorders>
              <w:top w:val="single" w:sz="4" w:space="0" w:color="auto"/>
              <w:left w:val="single" w:sz="4" w:space="0" w:color="auto"/>
              <w:bottom w:val="single" w:sz="4" w:space="0" w:color="auto"/>
              <w:right w:val="single" w:sz="4" w:space="0" w:color="auto"/>
            </w:tcBorders>
            <w:vAlign w:val="bottom"/>
          </w:tcPr>
          <w:p w14:paraId="667A910F" w14:textId="77777777" w:rsidR="00A610E1" w:rsidRPr="00BD22FE" w:rsidRDefault="00A610E1" w:rsidP="00A610E1">
            <w:pPr>
              <w:rPr>
                <w:color w:val="000000"/>
                <w:sz w:val="22"/>
                <w:szCs w:val="22"/>
                <w:lang w:val="pl-PL" w:eastAsia="en-GB"/>
              </w:rPr>
            </w:pPr>
          </w:p>
        </w:tc>
        <w:tc>
          <w:tcPr>
            <w:tcW w:w="1098" w:type="pct"/>
            <w:tcBorders>
              <w:top w:val="single" w:sz="4" w:space="0" w:color="auto"/>
              <w:left w:val="single" w:sz="4" w:space="0" w:color="auto"/>
              <w:bottom w:val="single" w:sz="4" w:space="0" w:color="auto"/>
              <w:right w:val="single" w:sz="4" w:space="0" w:color="auto"/>
            </w:tcBorders>
            <w:vAlign w:val="bottom"/>
          </w:tcPr>
          <w:p w14:paraId="071BCCA9"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rzadko</w:t>
            </w:r>
          </w:p>
        </w:tc>
      </w:tr>
      <w:tr w:rsidR="00A610E1" w:rsidRPr="00BD22FE" w14:paraId="6FE90237" w14:textId="77777777" w:rsidTr="00A610E1">
        <w:tc>
          <w:tcPr>
            <w:tcW w:w="1084" w:type="pct"/>
            <w:tcBorders>
              <w:top w:val="single" w:sz="4" w:space="0" w:color="auto"/>
              <w:left w:val="single" w:sz="4" w:space="0" w:color="auto"/>
              <w:bottom w:val="single" w:sz="4" w:space="0" w:color="auto"/>
              <w:right w:val="single" w:sz="4" w:space="0" w:color="auto"/>
            </w:tcBorders>
            <w:hideMark/>
          </w:tcPr>
          <w:p w14:paraId="6C9F07AE" w14:textId="77777777" w:rsidR="00A610E1" w:rsidRPr="00BD22FE" w:rsidRDefault="00A610E1" w:rsidP="00A610E1">
            <w:pPr>
              <w:rPr>
                <w:b/>
                <w:bCs/>
                <w:color w:val="000000"/>
                <w:sz w:val="22"/>
                <w:szCs w:val="22"/>
                <w:highlight w:val="yellow"/>
                <w:lang w:val="pl-PL" w:eastAsia="en-GB"/>
              </w:rPr>
            </w:pPr>
            <w:r w:rsidRPr="00BD22FE">
              <w:rPr>
                <w:b/>
                <w:bCs/>
                <w:sz w:val="22"/>
                <w:szCs w:val="22"/>
                <w:lang w:val="pl-PL"/>
              </w:rPr>
              <w:t>Zaburzenia układu rozrodczego i piersi</w:t>
            </w:r>
          </w:p>
        </w:tc>
        <w:tc>
          <w:tcPr>
            <w:tcW w:w="1226" w:type="pct"/>
            <w:tcBorders>
              <w:top w:val="single" w:sz="4" w:space="0" w:color="auto"/>
              <w:left w:val="single" w:sz="4" w:space="0" w:color="auto"/>
              <w:bottom w:val="single" w:sz="4" w:space="0" w:color="auto"/>
              <w:right w:val="single" w:sz="4" w:space="0" w:color="auto"/>
            </w:tcBorders>
            <w:vAlign w:val="bottom"/>
            <w:hideMark/>
          </w:tcPr>
          <w:p w14:paraId="2BF68C48" w14:textId="77777777" w:rsidR="00A610E1" w:rsidRPr="00BD22FE" w:rsidRDefault="00A610E1" w:rsidP="00A610E1">
            <w:pPr>
              <w:rPr>
                <w:color w:val="000000"/>
                <w:sz w:val="22"/>
                <w:szCs w:val="22"/>
                <w:lang w:val="pl-PL" w:eastAsia="en-GB"/>
              </w:rPr>
            </w:pPr>
            <w:r w:rsidRPr="00BD22FE">
              <w:rPr>
                <w:sz w:val="22"/>
                <w:szCs w:val="22"/>
                <w:lang w:val="pl-PL"/>
              </w:rPr>
              <w:t>Zaburzenia erekcji</w:t>
            </w:r>
          </w:p>
        </w:tc>
        <w:tc>
          <w:tcPr>
            <w:tcW w:w="804" w:type="pct"/>
            <w:tcBorders>
              <w:top w:val="single" w:sz="4" w:space="0" w:color="auto"/>
              <w:left w:val="single" w:sz="4" w:space="0" w:color="auto"/>
              <w:bottom w:val="single" w:sz="4" w:space="0" w:color="auto"/>
              <w:right w:val="single" w:sz="4" w:space="0" w:color="auto"/>
            </w:tcBorders>
            <w:vAlign w:val="bottom"/>
            <w:hideMark/>
          </w:tcPr>
          <w:p w14:paraId="2C70798E"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niezbyt często</w:t>
            </w:r>
          </w:p>
        </w:tc>
        <w:tc>
          <w:tcPr>
            <w:tcW w:w="788" w:type="pct"/>
            <w:tcBorders>
              <w:top w:val="single" w:sz="4" w:space="0" w:color="auto"/>
              <w:left w:val="single" w:sz="4" w:space="0" w:color="auto"/>
              <w:bottom w:val="single" w:sz="4" w:space="0" w:color="auto"/>
              <w:right w:val="single" w:sz="4" w:space="0" w:color="auto"/>
            </w:tcBorders>
            <w:vAlign w:val="bottom"/>
            <w:hideMark/>
          </w:tcPr>
          <w:p w14:paraId="71F3F66E" w14:textId="77777777" w:rsidR="00A610E1" w:rsidRPr="00BD22FE" w:rsidRDefault="00A610E1" w:rsidP="00A610E1">
            <w:pPr>
              <w:rPr>
                <w:color w:val="000000"/>
                <w:sz w:val="22"/>
                <w:szCs w:val="22"/>
                <w:lang w:val="pl-PL" w:eastAsia="en-GB"/>
              </w:rPr>
            </w:pPr>
          </w:p>
        </w:tc>
        <w:tc>
          <w:tcPr>
            <w:tcW w:w="1098" w:type="pct"/>
            <w:tcBorders>
              <w:top w:val="single" w:sz="4" w:space="0" w:color="auto"/>
              <w:left w:val="single" w:sz="4" w:space="0" w:color="auto"/>
              <w:bottom w:val="single" w:sz="4" w:space="0" w:color="auto"/>
              <w:right w:val="single" w:sz="4" w:space="0" w:color="auto"/>
            </w:tcBorders>
            <w:vAlign w:val="bottom"/>
            <w:hideMark/>
          </w:tcPr>
          <w:p w14:paraId="3741BC7E"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często</w:t>
            </w:r>
          </w:p>
        </w:tc>
      </w:tr>
      <w:tr w:rsidR="00A610E1" w:rsidRPr="00BD22FE" w14:paraId="4C4DCDFA" w14:textId="77777777" w:rsidTr="00A610E1">
        <w:tc>
          <w:tcPr>
            <w:tcW w:w="1084" w:type="pct"/>
            <w:vMerge w:val="restart"/>
            <w:tcBorders>
              <w:top w:val="single" w:sz="4" w:space="0" w:color="auto"/>
              <w:left w:val="single" w:sz="4" w:space="0" w:color="auto"/>
              <w:right w:val="single" w:sz="4" w:space="0" w:color="auto"/>
            </w:tcBorders>
            <w:hideMark/>
          </w:tcPr>
          <w:p w14:paraId="5906ED04" w14:textId="77777777" w:rsidR="00A610E1" w:rsidRPr="00BD22FE" w:rsidRDefault="00A610E1" w:rsidP="00A610E1">
            <w:pPr>
              <w:rPr>
                <w:b/>
                <w:bCs/>
                <w:color w:val="000000"/>
                <w:sz w:val="22"/>
                <w:szCs w:val="22"/>
                <w:highlight w:val="yellow"/>
                <w:lang w:val="pl-PL" w:eastAsia="en-GB"/>
              </w:rPr>
            </w:pPr>
            <w:r w:rsidRPr="00BD22FE">
              <w:rPr>
                <w:b/>
                <w:bCs/>
                <w:sz w:val="22"/>
                <w:szCs w:val="22"/>
                <w:lang w:val="pl-PL"/>
              </w:rPr>
              <w:t>Zaburzenia ogólne i stany w miejscu podania</w:t>
            </w:r>
          </w:p>
        </w:tc>
        <w:tc>
          <w:tcPr>
            <w:tcW w:w="1226" w:type="pct"/>
            <w:tcBorders>
              <w:top w:val="single" w:sz="4" w:space="0" w:color="auto"/>
              <w:left w:val="single" w:sz="4" w:space="0" w:color="auto"/>
              <w:bottom w:val="single" w:sz="4" w:space="0" w:color="auto"/>
              <w:right w:val="single" w:sz="4" w:space="0" w:color="auto"/>
            </w:tcBorders>
            <w:vAlign w:val="bottom"/>
            <w:hideMark/>
          </w:tcPr>
          <w:p w14:paraId="79BFA82A"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Ból w klatce piersiowej</w:t>
            </w:r>
          </w:p>
        </w:tc>
        <w:tc>
          <w:tcPr>
            <w:tcW w:w="804" w:type="pct"/>
            <w:tcBorders>
              <w:top w:val="single" w:sz="4" w:space="0" w:color="auto"/>
              <w:left w:val="single" w:sz="4" w:space="0" w:color="auto"/>
              <w:bottom w:val="single" w:sz="4" w:space="0" w:color="auto"/>
              <w:right w:val="single" w:sz="4" w:space="0" w:color="auto"/>
            </w:tcBorders>
            <w:vAlign w:val="bottom"/>
            <w:hideMark/>
          </w:tcPr>
          <w:p w14:paraId="48A33ACF"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niezbyt często</w:t>
            </w:r>
          </w:p>
        </w:tc>
        <w:tc>
          <w:tcPr>
            <w:tcW w:w="788" w:type="pct"/>
            <w:tcBorders>
              <w:top w:val="single" w:sz="4" w:space="0" w:color="auto"/>
              <w:left w:val="single" w:sz="4" w:space="0" w:color="auto"/>
              <w:bottom w:val="single" w:sz="4" w:space="0" w:color="auto"/>
              <w:right w:val="single" w:sz="4" w:space="0" w:color="auto"/>
            </w:tcBorders>
            <w:vAlign w:val="bottom"/>
            <w:hideMark/>
          </w:tcPr>
          <w:p w14:paraId="3913F23D"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niezbyt często</w:t>
            </w:r>
          </w:p>
        </w:tc>
        <w:tc>
          <w:tcPr>
            <w:tcW w:w="1098" w:type="pct"/>
            <w:tcBorders>
              <w:top w:val="single" w:sz="4" w:space="0" w:color="auto"/>
              <w:left w:val="single" w:sz="4" w:space="0" w:color="auto"/>
              <w:bottom w:val="single" w:sz="4" w:space="0" w:color="auto"/>
              <w:right w:val="single" w:sz="4" w:space="0" w:color="auto"/>
            </w:tcBorders>
            <w:vAlign w:val="bottom"/>
            <w:hideMark/>
          </w:tcPr>
          <w:p w14:paraId="4D40DC3C" w14:textId="77777777" w:rsidR="00A610E1" w:rsidRPr="00BD22FE" w:rsidRDefault="00A610E1" w:rsidP="00A610E1">
            <w:pPr>
              <w:rPr>
                <w:color w:val="000000"/>
                <w:sz w:val="22"/>
                <w:szCs w:val="22"/>
                <w:lang w:val="pl-PL" w:eastAsia="en-GB"/>
              </w:rPr>
            </w:pPr>
          </w:p>
        </w:tc>
      </w:tr>
      <w:tr w:rsidR="00A610E1" w:rsidRPr="00BD22FE" w14:paraId="2F3E287B" w14:textId="77777777" w:rsidTr="00A610E1">
        <w:tc>
          <w:tcPr>
            <w:tcW w:w="1084" w:type="pct"/>
            <w:vMerge/>
            <w:tcBorders>
              <w:left w:val="single" w:sz="4" w:space="0" w:color="auto"/>
              <w:right w:val="single" w:sz="4" w:space="0" w:color="auto"/>
            </w:tcBorders>
            <w:hideMark/>
          </w:tcPr>
          <w:p w14:paraId="5FE3C40A" w14:textId="77777777" w:rsidR="00A610E1" w:rsidRPr="00BD22FE" w:rsidRDefault="00A610E1" w:rsidP="00A610E1">
            <w:pPr>
              <w:rPr>
                <w:sz w:val="22"/>
                <w:szCs w:val="22"/>
                <w:highlight w:val="yellow"/>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3FE493C4"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Objawy grypopodobne</w:t>
            </w:r>
          </w:p>
        </w:tc>
        <w:tc>
          <w:tcPr>
            <w:tcW w:w="804" w:type="pct"/>
            <w:tcBorders>
              <w:top w:val="single" w:sz="4" w:space="0" w:color="auto"/>
              <w:left w:val="single" w:sz="4" w:space="0" w:color="auto"/>
              <w:bottom w:val="single" w:sz="4" w:space="0" w:color="auto"/>
              <w:right w:val="single" w:sz="4" w:space="0" w:color="auto"/>
            </w:tcBorders>
            <w:vAlign w:val="bottom"/>
            <w:hideMark/>
          </w:tcPr>
          <w:p w14:paraId="3F05A1C4"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rzadko</w:t>
            </w:r>
          </w:p>
        </w:tc>
        <w:tc>
          <w:tcPr>
            <w:tcW w:w="788" w:type="pct"/>
            <w:tcBorders>
              <w:top w:val="single" w:sz="4" w:space="0" w:color="auto"/>
              <w:left w:val="single" w:sz="4" w:space="0" w:color="auto"/>
              <w:bottom w:val="single" w:sz="4" w:space="0" w:color="auto"/>
              <w:right w:val="single" w:sz="4" w:space="0" w:color="auto"/>
            </w:tcBorders>
            <w:vAlign w:val="bottom"/>
            <w:hideMark/>
          </w:tcPr>
          <w:p w14:paraId="561BB4B1"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rzadko</w:t>
            </w:r>
          </w:p>
        </w:tc>
        <w:tc>
          <w:tcPr>
            <w:tcW w:w="1098" w:type="pct"/>
            <w:tcBorders>
              <w:top w:val="single" w:sz="4" w:space="0" w:color="auto"/>
              <w:left w:val="single" w:sz="4" w:space="0" w:color="auto"/>
              <w:bottom w:val="single" w:sz="4" w:space="0" w:color="auto"/>
              <w:right w:val="single" w:sz="4" w:space="0" w:color="auto"/>
            </w:tcBorders>
            <w:vAlign w:val="bottom"/>
            <w:hideMark/>
          </w:tcPr>
          <w:p w14:paraId="7FEFD7FE" w14:textId="77777777" w:rsidR="00A610E1" w:rsidRPr="00BD22FE" w:rsidRDefault="00A610E1" w:rsidP="00A610E1">
            <w:pPr>
              <w:rPr>
                <w:color w:val="000000"/>
                <w:sz w:val="22"/>
                <w:szCs w:val="22"/>
                <w:lang w:val="pl-PL" w:eastAsia="en-GB"/>
              </w:rPr>
            </w:pPr>
          </w:p>
        </w:tc>
      </w:tr>
      <w:tr w:rsidR="00A610E1" w:rsidRPr="00BD22FE" w14:paraId="1CA1AE30" w14:textId="77777777" w:rsidTr="00A610E1">
        <w:tc>
          <w:tcPr>
            <w:tcW w:w="1084" w:type="pct"/>
            <w:vMerge/>
            <w:tcBorders>
              <w:left w:val="single" w:sz="4" w:space="0" w:color="auto"/>
              <w:right w:val="single" w:sz="4" w:space="0" w:color="auto"/>
            </w:tcBorders>
            <w:hideMark/>
          </w:tcPr>
          <w:p w14:paraId="7EA3BE3D" w14:textId="77777777" w:rsidR="00A610E1" w:rsidRPr="00BD22FE" w:rsidRDefault="00A610E1" w:rsidP="00A610E1">
            <w:pPr>
              <w:rPr>
                <w:sz w:val="22"/>
                <w:szCs w:val="22"/>
                <w:highlight w:val="yellow"/>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6AC615E8"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Ból</w:t>
            </w:r>
          </w:p>
        </w:tc>
        <w:tc>
          <w:tcPr>
            <w:tcW w:w="804" w:type="pct"/>
            <w:tcBorders>
              <w:top w:val="single" w:sz="4" w:space="0" w:color="auto"/>
              <w:left w:val="single" w:sz="4" w:space="0" w:color="auto"/>
              <w:bottom w:val="single" w:sz="4" w:space="0" w:color="auto"/>
              <w:right w:val="single" w:sz="4" w:space="0" w:color="auto"/>
            </w:tcBorders>
            <w:vAlign w:val="bottom"/>
            <w:hideMark/>
          </w:tcPr>
          <w:p w14:paraId="4C4346EA"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rzadko</w:t>
            </w:r>
          </w:p>
        </w:tc>
        <w:tc>
          <w:tcPr>
            <w:tcW w:w="788" w:type="pct"/>
            <w:tcBorders>
              <w:top w:val="single" w:sz="4" w:space="0" w:color="auto"/>
              <w:left w:val="single" w:sz="4" w:space="0" w:color="auto"/>
              <w:bottom w:val="single" w:sz="4" w:space="0" w:color="auto"/>
              <w:right w:val="single" w:sz="4" w:space="0" w:color="auto"/>
            </w:tcBorders>
            <w:vAlign w:val="bottom"/>
            <w:hideMark/>
          </w:tcPr>
          <w:p w14:paraId="4C044C8F" w14:textId="77777777" w:rsidR="00A610E1" w:rsidRPr="00BD22FE" w:rsidRDefault="00A610E1" w:rsidP="00A610E1">
            <w:pPr>
              <w:rPr>
                <w:color w:val="000000"/>
                <w:sz w:val="22"/>
                <w:szCs w:val="22"/>
                <w:lang w:val="pl-PL" w:eastAsia="en-GB"/>
              </w:rPr>
            </w:pPr>
          </w:p>
        </w:tc>
        <w:tc>
          <w:tcPr>
            <w:tcW w:w="1098" w:type="pct"/>
            <w:tcBorders>
              <w:top w:val="single" w:sz="4" w:space="0" w:color="auto"/>
              <w:left w:val="single" w:sz="4" w:space="0" w:color="auto"/>
              <w:bottom w:val="single" w:sz="4" w:space="0" w:color="auto"/>
              <w:right w:val="single" w:sz="4" w:space="0" w:color="auto"/>
            </w:tcBorders>
            <w:vAlign w:val="bottom"/>
            <w:hideMark/>
          </w:tcPr>
          <w:p w14:paraId="5BF9E3B6" w14:textId="77777777" w:rsidR="00A610E1" w:rsidRPr="00BD22FE" w:rsidRDefault="00A610E1" w:rsidP="00A610E1">
            <w:pPr>
              <w:rPr>
                <w:sz w:val="22"/>
                <w:szCs w:val="22"/>
                <w:lang w:val="pl-PL" w:eastAsia="en-GB"/>
              </w:rPr>
            </w:pPr>
          </w:p>
        </w:tc>
      </w:tr>
      <w:tr w:rsidR="00A610E1" w:rsidRPr="00BD22FE" w14:paraId="15E4043C" w14:textId="77777777" w:rsidTr="00A610E1">
        <w:tc>
          <w:tcPr>
            <w:tcW w:w="1084" w:type="pct"/>
            <w:vMerge/>
            <w:tcBorders>
              <w:left w:val="single" w:sz="4" w:space="0" w:color="auto"/>
              <w:right w:val="single" w:sz="4" w:space="0" w:color="auto"/>
            </w:tcBorders>
            <w:hideMark/>
          </w:tcPr>
          <w:p w14:paraId="01A41E97" w14:textId="77777777" w:rsidR="00A610E1" w:rsidRPr="00BD22FE" w:rsidRDefault="00A610E1" w:rsidP="00A610E1">
            <w:pPr>
              <w:rPr>
                <w:sz w:val="22"/>
                <w:szCs w:val="22"/>
                <w:highlight w:val="yellow"/>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10362E59"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Astenia (osłabienie)</w:t>
            </w:r>
          </w:p>
        </w:tc>
        <w:tc>
          <w:tcPr>
            <w:tcW w:w="804" w:type="pct"/>
            <w:tcBorders>
              <w:top w:val="single" w:sz="4" w:space="0" w:color="auto"/>
              <w:left w:val="single" w:sz="4" w:space="0" w:color="auto"/>
              <w:bottom w:val="single" w:sz="4" w:space="0" w:color="auto"/>
              <w:right w:val="single" w:sz="4" w:space="0" w:color="auto"/>
            </w:tcBorders>
            <w:vAlign w:val="bottom"/>
            <w:hideMark/>
          </w:tcPr>
          <w:p w14:paraId="099CB53F" w14:textId="77777777" w:rsidR="00A610E1" w:rsidRPr="00BD22FE" w:rsidRDefault="00A610E1" w:rsidP="00A610E1">
            <w:pPr>
              <w:rPr>
                <w:color w:val="000000"/>
                <w:sz w:val="22"/>
                <w:szCs w:val="22"/>
                <w:lang w:val="pl-PL" w:eastAsia="en-GB"/>
              </w:rPr>
            </w:pPr>
          </w:p>
        </w:tc>
        <w:tc>
          <w:tcPr>
            <w:tcW w:w="788" w:type="pct"/>
            <w:tcBorders>
              <w:top w:val="single" w:sz="4" w:space="0" w:color="auto"/>
              <w:left w:val="single" w:sz="4" w:space="0" w:color="auto"/>
              <w:bottom w:val="single" w:sz="4" w:space="0" w:color="auto"/>
              <w:right w:val="single" w:sz="4" w:space="0" w:color="auto"/>
            </w:tcBorders>
            <w:vAlign w:val="bottom"/>
            <w:hideMark/>
          </w:tcPr>
          <w:p w14:paraId="5BE1F79B"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niezbyt często</w:t>
            </w:r>
          </w:p>
        </w:tc>
        <w:tc>
          <w:tcPr>
            <w:tcW w:w="1098" w:type="pct"/>
            <w:tcBorders>
              <w:top w:val="single" w:sz="4" w:space="0" w:color="auto"/>
              <w:left w:val="single" w:sz="4" w:space="0" w:color="auto"/>
              <w:bottom w:val="single" w:sz="4" w:space="0" w:color="auto"/>
              <w:right w:val="single" w:sz="4" w:space="0" w:color="auto"/>
            </w:tcBorders>
            <w:vAlign w:val="bottom"/>
            <w:hideMark/>
          </w:tcPr>
          <w:p w14:paraId="06E4E2F8" w14:textId="77777777" w:rsidR="00A610E1" w:rsidRPr="00BD22FE" w:rsidRDefault="00A610E1" w:rsidP="00A610E1">
            <w:pPr>
              <w:rPr>
                <w:color w:val="000000"/>
                <w:sz w:val="22"/>
                <w:szCs w:val="22"/>
                <w:lang w:val="pl-PL" w:eastAsia="en-GB"/>
              </w:rPr>
            </w:pPr>
            <w:r w:rsidRPr="00BD22FE">
              <w:rPr>
                <w:sz w:val="22"/>
                <w:szCs w:val="22"/>
                <w:lang w:val="pl-PL"/>
              </w:rPr>
              <w:t>częstość nieznana</w:t>
            </w:r>
          </w:p>
        </w:tc>
      </w:tr>
      <w:tr w:rsidR="00A610E1" w:rsidRPr="00BD22FE" w14:paraId="3FC9AF9B" w14:textId="77777777" w:rsidTr="00A610E1">
        <w:tc>
          <w:tcPr>
            <w:tcW w:w="1084" w:type="pct"/>
            <w:vMerge/>
            <w:tcBorders>
              <w:left w:val="single" w:sz="4" w:space="0" w:color="auto"/>
              <w:bottom w:val="single" w:sz="4" w:space="0" w:color="auto"/>
              <w:right w:val="single" w:sz="4" w:space="0" w:color="auto"/>
            </w:tcBorders>
            <w:hideMark/>
          </w:tcPr>
          <w:p w14:paraId="678337DA" w14:textId="77777777" w:rsidR="00A610E1" w:rsidRPr="00BD22FE" w:rsidRDefault="00A610E1" w:rsidP="00A610E1">
            <w:pPr>
              <w:rPr>
                <w:color w:val="000000"/>
                <w:sz w:val="22"/>
                <w:szCs w:val="22"/>
                <w:highlight w:val="yellow"/>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3002A008"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Gorączka</w:t>
            </w:r>
          </w:p>
        </w:tc>
        <w:tc>
          <w:tcPr>
            <w:tcW w:w="804" w:type="pct"/>
            <w:tcBorders>
              <w:top w:val="single" w:sz="4" w:space="0" w:color="auto"/>
              <w:left w:val="single" w:sz="4" w:space="0" w:color="auto"/>
              <w:bottom w:val="single" w:sz="4" w:space="0" w:color="auto"/>
              <w:right w:val="single" w:sz="4" w:space="0" w:color="auto"/>
            </w:tcBorders>
            <w:vAlign w:val="bottom"/>
            <w:hideMark/>
          </w:tcPr>
          <w:p w14:paraId="6FC213B7" w14:textId="77777777" w:rsidR="00A610E1" w:rsidRPr="00BD22FE" w:rsidRDefault="00A610E1" w:rsidP="00A610E1">
            <w:pPr>
              <w:rPr>
                <w:color w:val="000000"/>
                <w:sz w:val="22"/>
                <w:szCs w:val="22"/>
                <w:lang w:val="pl-PL" w:eastAsia="en-GB"/>
              </w:rPr>
            </w:pPr>
          </w:p>
        </w:tc>
        <w:tc>
          <w:tcPr>
            <w:tcW w:w="788" w:type="pct"/>
            <w:tcBorders>
              <w:top w:val="single" w:sz="4" w:space="0" w:color="auto"/>
              <w:left w:val="single" w:sz="4" w:space="0" w:color="auto"/>
              <w:bottom w:val="single" w:sz="4" w:space="0" w:color="auto"/>
              <w:right w:val="single" w:sz="4" w:space="0" w:color="auto"/>
            </w:tcBorders>
            <w:vAlign w:val="bottom"/>
            <w:hideMark/>
          </w:tcPr>
          <w:p w14:paraId="037B5842" w14:textId="77777777" w:rsidR="00A610E1" w:rsidRPr="00BD22FE" w:rsidRDefault="00A610E1" w:rsidP="00A610E1">
            <w:pPr>
              <w:rPr>
                <w:sz w:val="22"/>
                <w:szCs w:val="22"/>
                <w:lang w:val="pl-PL" w:eastAsia="en-GB"/>
              </w:rPr>
            </w:pPr>
          </w:p>
        </w:tc>
        <w:tc>
          <w:tcPr>
            <w:tcW w:w="1098" w:type="pct"/>
            <w:tcBorders>
              <w:top w:val="single" w:sz="4" w:space="0" w:color="auto"/>
              <w:left w:val="single" w:sz="4" w:space="0" w:color="auto"/>
              <w:bottom w:val="single" w:sz="4" w:space="0" w:color="auto"/>
              <w:right w:val="single" w:sz="4" w:space="0" w:color="auto"/>
            </w:tcBorders>
            <w:vAlign w:val="bottom"/>
            <w:hideMark/>
          </w:tcPr>
          <w:p w14:paraId="2DF58A5C" w14:textId="77777777" w:rsidR="00A610E1" w:rsidRPr="00BD22FE" w:rsidRDefault="00A610E1" w:rsidP="00A610E1">
            <w:pPr>
              <w:rPr>
                <w:color w:val="000000"/>
                <w:sz w:val="22"/>
                <w:szCs w:val="22"/>
                <w:lang w:val="pl-PL" w:eastAsia="en-GB"/>
              </w:rPr>
            </w:pPr>
            <w:r w:rsidRPr="00BD22FE">
              <w:rPr>
                <w:sz w:val="22"/>
                <w:szCs w:val="22"/>
                <w:lang w:val="pl-PL"/>
              </w:rPr>
              <w:t>częstość nieznana</w:t>
            </w:r>
          </w:p>
        </w:tc>
      </w:tr>
      <w:tr w:rsidR="00A610E1" w:rsidRPr="00BD22FE" w14:paraId="442FCF3A" w14:textId="77777777" w:rsidTr="00A610E1">
        <w:tc>
          <w:tcPr>
            <w:tcW w:w="1084" w:type="pct"/>
            <w:vMerge w:val="restart"/>
            <w:tcBorders>
              <w:top w:val="single" w:sz="4" w:space="0" w:color="auto"/>
              <w:left w:val="single" w:sz="4" w:space="0" w:color="auto"/>
              <w:right w:val="single" w:sz="4" w:space="0" w:color="auto"/>
            </w:tcBorders>
            <w:hideMark/>
          </w:tcPr>
          <w:p w14:paraId="3762B263" w14:textId="77777777" w:rsidR="00A610E1" w:rsidRPr="00BD22FE" w:rsidRDefault="00A610E1" w:rsidP="00A610E1">
            <w:pPr>
              <w:rPr>
                <w:b/>
                <w:bCs/>
                <w:color w:val="000000"/>
                <w:sz w:val="22"/>
                <w:szCs w:val="22"/>
                <w:highlight w:val="yellow"/>
                <w:lang w:val="pl-PL" w:eastAsia="en-GB"/>
              </w:rPr>
            </w:pPr>
            <w:r w:rsidRPr="00BD22FE">
              <w:rPr>
                <w:b/>
                <w:sz w:val="22"/>
                <w:szCs w:val="22"/>
                <w:lang w:val="pl-PL"/>
              </w:rPr>
              <w:t>Badania diagnostyczne</w:t>
            </w:r>
          </w:p>
        </w:tc>
        <w:tc>
          <w:tcPr>
            <w:tcW w:w="1226" w:type="pct"/>
            <w:tcBorders>
              <w:top w:val="single" w:sz="4" w:space="0" w:color="auto"/>
              <w:left w:val="single" w:sz="4" w:space="0" w:color="auto"/>
              <w:bottom w:val="single" w:sz="4" w:space="0" w:color="auto"/>
              <w:right w:val="single" w:sz="4" w:space="0" w:color="auto"/>
            </w:tcBorders>
            <w:vAlign w:val="bottom"/>
            <w:hideMark/>
          </w:tcPr>
          <w:p w14:paraId="60625B13"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Zwiększenie stężenia kwasu moczowego we krwi</w:t>
            </w:r>
          </w:p>
        </w:tc>
        <w:tc>
          <w:tcPr>
            <w:tcW w:w="804" w:type="pct"/>
            <w:tcBorders>
              <w:top w:val="single" w:sz="4" w:space="0" w:color="auto"/>
              <w:left w:val="single" w:sz="4" w:space="0" w:color="auto"/>
              <w:bottom w:val="single" w:sz="4" w:space="0" w:color="auto"/>
              <w:right w:val="single" w:sz="4" w:space="0" w:color="auto"/>
            </w:tcBorders>
            <w:vAlign w:val="bottom"/>
            <w:hideMark/>
          </w:tcPr>
          <w:p w14:paraId="384CE34F"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niezbyt często</w:t>
            </w:r>
          </w:p>
        </w:tc>
        <w:tc>
          <w:tcPr>
            <w:tcW w:w="788" w:type="pct"/>
            <w:tcBorders>
              <w:top w:val="single" w:sz="4" w:space="0" w:color="auto"/>
              <w:left w:val="single" w:sz="4" w:space="0" w:color="auto"/>
              <w:bottom w:val="single" w:sz="4" w:space="0" w:color="auto"/>
              <w:right w:val="single" w:sz="4" w:space="0" w:color="auto"/>
            </w:tcBorders>
            <w:vAlign w:val="bottom"/>
            <w:hideMark/>
          </w:tcPr>
          <w:p w14:paraId="78B92DC1"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rzadko</w:t>
            </w:r>
          </w:p>
        </w:tc>
        <w:tc>
          <w:tcPr>
            <w:tcW w:w="1098" w:type="pct"/>
            <w:tcBorders>
              <w:top w:val="single" w:sz="4" w:space="0" w:color="auto"/>
              <w:left w:val="single" w:sz="4" w:space="0" w:color="auto"/>
              <w:bottom w:val="single" w:sz="4" w:space="0" w:color="auto"/>
              <w:right w:val="single" w:sz="4" w:space="0" w:color="auto"/>
            </w:tcBorders>
            <w:vAlign w:val="bottom"/>
            <w:hideMark/>
          </w:tcPr>
          <w:p w14:paraId="731D4011" w14:textId="77777777" w:rsidR="00A610E1" w:rsidRPr="00BD22FE" w:rsidRDefault="00A610E1" w:rsidP="00A610E1">
            <w:pPr>
              <w:rPr>
                <w:color w:val="000000"/>
                <w:sz w:val="22"/>
                <w:szCs w:val="22"/>
                <w:lang w:val="pl-PL" w:eastAsia="en-GB"/>
              </w:rPr>
            </w:pPr>
          </w:p>
        </w:tc>
      </w:tr>
      <w:tr w:rsidR="00A610E1" w:rsidRPr="00BD22FE" w14:paraId="3272563D" w14:textId="77777777" w:rsidTr="00A610E1">
        <w:tc>
          <w:tcPr>
            <w:tcW w:w="1084" w:type="pct"/>
            <w:vMerge/>
            <w:tcBorders>
              <w:left w:val="single" w:sz="4" w:space="0" w:color="auto"/>
              <w:right w:val="single" w:sz="4" w:space="0" w:color="auto"/>
            </w:tcBorders>
            <w:hideMark/>
          </w:tcPr>
          <w:p w14:paraId="792DB211" w14:textId="77777777" w:rsidR="00A610E1" w:rsidRPr="00BD22FE" w:rsidRDefault="00A610E1" w:rsidP="00A610E1">
            <w:pPr>
              <w:rPr>
                <w:sz w:val="22"/>
                <w:szCs w:val="22"/>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691539BF"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Zwiększenie stężenia kreatyniny we krwi</w:t>
            </w:r>
          </w:p>
        </w:tc>
        <w:tc>
          <w:tcPr>
            <w:tcW w:w="804" w:type="pct"/>
            <w:tcBorders>
              <w:top w:val="single" w:sz="4" w:space="0" w:color="auto"/>
              <w:left w:val="single" w:sz="4" w:space="0" w:color="auto"/>
              <w:bottom w:val="single" w:sz="4" w:space="0" w:color="auto"/>
              <w:right w:val="single" w:sz="4" w:space="0" w:color="auto"/>
            </w:tcBorders>
            <w:vAlign w:val="bottom"/>
            <w:hideMark/>
          </w:tcPr>
          <w:p w14:paraId="6E555317"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rzadko</w:t>
            </w:r>
          </w:p>
        </w:tc>
        <w:tc>
          <w:tcPr>
            <w:tcW w:w="788" w:type="pct"/>
            <w:tcBorders>
              <w:top w:val="single" w:sz="4" w:space="0" w:color="auto"/>
              <w:left w:val="single" w:sz="4" w:space="0" w:color="auto"/>
              <w:bottom w:val="single" w:sz="4" w:space="0" w:color="auto"/>
              <w:right w:val="single" w:sz="4" w:space="0" w:color="auto"/>
            </w:tcBorders>
            <w:vAlign w:val="bottom"/>
            <w:hideMark/>
          </w:tcPr>
          <w:p w14:paraId="5A61791D"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niezbyt często</w:t>
            </w:r>
          </w:p>
        </w:tc>
        <w:tc>
          <w:tcPr>
            <w:tcW w:w="1098" w:type="pct"/>
            <w:tcBorders>
              <w:top w:val="single" w:sz="4" w:space="0" w:color="auto"/>
              <w:left w:val="single" w:sz="4" w:space="0" w:color="auto"/>
              <w:bottom w:val="single" w:sz="4" w:space="0" w:color="auto"/>
              <w:right w:val="single" w:sz="4" w:space="0" w:color="auto"/>
            </w:tcBorders>
            <w:vAlign w:val="bottom"/>
            <w:hideMark/>
          </w:tcPr>
          <w:p w14:paraId="68702CC4" w14:textId="77777777" w:rsidR="00A610E1" w:rsidRPr="00BD22FE" w:rsidRDefault="00A610E1" w:rsidP="00A610E1">
            <w:pPr>
              <w:rPr>
                <w:color w:val="000000"/>
                <w:sz w:val="22"/>
                <w:szCs w:val="22"/>
                <w:lang w:val="pl-PL" w:eastAsia="en-GB"/>
              </w:rPr>
            </w:pPr>
          </w:p>
        </w:tc>
      </w:tr>
      <w:tr w:rsidR="00A610E1" w:rsidRPr="00BD22FE" w14:paraId="33B86A7D" w14:textId="77777777" w:rsidTr="00A610E1">
        <w:tc>
          <w:tcPr>
            <w:tcW w:w="1084" w:type="pct"/>
            <w:vMerge/>
            <w:tcBorders>
              <w:left w:val="single" w:sz="4" w:space="0" w:color="auto"/>
              <w:right w:val="single" w:sz="4" w:space="0" w:color="auto"/>
            </w:tcBorders>
            <w:hideMark/>
          </w:tcPr>
          <w:p w14:paraId="67631F60" w14:textId="77777777" w:rsidR="00A610E1" w:rsidRPr="00BD22FE" w:rsidRDefault="00A610E1" w:rsidP="00A610E1">
            <w:pPr>
              <w:rPr>
                <w:sz w:val="22"/>
                <w:szCs w:val="22"/>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60B78F13"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Zwiększenie aktywności fosfokinazy kreatynowej we krwi</w:t>
            </w:r>
          </w:p>
        </w:tc>
        <w:tc>
          <w:tcPr>
            <w:tcW w:w="804" w:type="pct"/>
            <w:tcBorders>
              <w:top w:val="single" w:sz="4" w:space="0" w:color="auto"/>
              <w:left w:val="single" w:sz="4" w:space="0" w:color="auto"/>
              <w:bottom w:val="single" w:sz="4" w:space="0" w:color="auto"/>
              <w:right w:val="single" w:sz="4" w:space="0" w:color="auto"/>
            </w:tcBorders>
            <w:vAlign w:val="bottom"/>
            <w:hideMark/>
          </w:tcPr>
          <w:p w14:paraId="7CF8A6A3"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rzadko</w:t>
            </w:r>
          </w:p>
        </w:tc>
        <w:tc>
          <w:tcPr>
            <w:tcW w:w="788" w:type="pct"/>
            <w:tcBorders>
              <w:top w:val="single" w:sz="4" w:space="0" w:color="auto"/>
              <w:left w:val="single" w:sz="4" w:space="0" w:color="auto"/>
              <w:bottom w:val="single" w:sz="4" w:space="0" w:color="auto"/>
              <w:right w:val="single" w:sz="4" w:space="0" w:color="auto"/>
            </w:tcBorders>
            <w:vAlign w:val="bottom"/>
            <w:hideMark/>
          </w:tcPr>
          <w:p w14:paraId="6A1DBA24"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rzadko</w:t>
            </w:r>
          </w:p>
        </w:tc>
        <w:tc>
          <w:tcPr>
            <w:tcW w:w="1098" w:type="pct"/>
            <w:tcBorders>
              <w:top w:val="single" w:sz="4" w:space="0" w:color="auto"/>
              <w:left w:val="single" w:sz="4" w:space="0" w:color="auto"/>
              <w:bottom w:val="single" w:sz="4" w:space="0" w:color="auto"/>
              <w:right w:val="single" w:sz="4" w:space="0" w:color="auto"/>
            </w:tcBorders>
            <w:vAlign w:val="bottom"/>
            <w:hideMark/>
          </w:tcPr>
          <w:p w14:paraId="117AEBE5" w14:textId="77777777" w:rsidR="00A610E1" w:rsidRPr="00BD22FE" w:rsidRDefault="00A610E1" w:rsidP="00A610E1">
            <w:pPr>
              <w:rPr>
                <w:color w:val="000000"/>
                <w:sz w:val="22"/>
                <w:szCs w:val="22"/>
                <w:lang w:val="pl-PL" w:eastAsia="en-GB"/>
              </w:rPr>
            </w:pPr>
          </w:p>
        </w:tc>
      </w:tr>
      <w:tr w:rsidR="00A610E1" w:rsidRPr="00BD22FE" w14:paraId="444D6BE4" w14:textId="77777777" w:rsidTr="00A610E1">
        <w:tc>
          <w:tcPr>
            <w:tcW w:w="1084" w:type="pct"/>
            <w:vMerge/>
            <w:tcBorders>
              <w:left w:val="single" w:sz="4" w:space="0" w:color="auto"/>
              <w:right w:val="single" w:sz="4" w:space="0" w:color="auto"/>
            </w:tcBorders>
            <w:hideMark/>
          </w:tcPr>
          <w:p w14:paraId="44D9FD06" w14:textId="77777777" w:rsidR="00A610E1" w:rsidRPr="00BD22FE" w:rsidRDefault="00A610E1" w:rsidP="00A610E1">
            <w:pPr>
              <w:rPr>
                <w:sz w:val="22"/>
                <w:szCs w:val="22"/>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79CCB12F"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Zwiększona aktywność enzymów wątrobowych</w:t>
            </w:r>
          </w:p>
        </w:tc>
        <w:tc>
          <w:tcPr>
            <w:tcW w:w="804" w:type="pct"/>
            <w:tcBorders>
              <w:top w:val="single" w:sz="4" w:space="0" w:color="auto"/>
              <w:left w:val="single" w:sz="4" w:space="0" w:color="auto"/>
              <w:bottom w:val="single" w:sz="4" w:space="0" w:color="auto"/>
              <w:right w:val="single" w:sz="4" w:space="0" w:color="auto"/>
            </w:tcBorders>
            <w:vAlign w:val="bottom"/>
            <w:hideMark/>
          </w:tcPr>
          <w:p w14:paraId="3CB64864"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rzadko</w:t>
            </w:r>
          </w:p>
        </w:tc>
        <w:tc>
          <w:tcPr>
            <w:tcW w:w="788" w:type="pct"/>
            <w:tcBorders>
              <w:top w:val="single" w:sz="4" w:space="0" w:color="auto"/>
              <w:left w:val="single" w:sz="4" w:space="0" w:color="auto"/>
              <w:bottom w:val="single" w:sz="4" w:space="0" w:color="auto"/>
              <w:right w:val="single" w:sz="4" w:space="0" w:color="auto"/>
            </w:tcBorders>
            <w:vAlign w:val="bottom"/>
            <w:hideMark/>
          </w:tcPr>
          <w:p w14:paraId="380408F5"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rzadko</w:t>
            </w:r>
          </w:p>
        </w:tc>
        <w:tc>
          <w:tcPr>
            <w:tcW w:w="1098" w:type="pct"/>
            <w:tcBorders>
              <w:top w:val="single" w:sz="4" w:space="0" w:color="auto"/>
              <w:left w:val="single" w:sz="4" w:space="0" w:color="auto"/>
              <w:bottom w:val="single" w:sz="4" w:space="0" w:color="auto"/>
              <w:right w:val="single" w:sz="4" w:space="0" w:color="auto"/>
            </w:tcBorders>
            <w:vAlign w:val="bottom"/>
            <w:hideMark/>
          </w:tcPr>
          <w:p w14:paraId="0DD876AC" w14:textId="77777777" w:rsidR="00A610E1" w:rsidRPr="00BD22FE" w:rsidRDefault="00A610E1" w:rsidP="00A610E1">
            <w:pPr>
              <w:rPr>
                <w:color w:val="000000"/>
                <w:sz w:val="22"/>
                <w:szCs w:val="22"/>
                <w:lang w:val="pl-PL" w:eastAsia="en-GB"/>
              </w:rPr>
            </w:pPr>
          </w:p>
        </w:tc>
      </w:tr>
      <w:tr w:rsidR="00A610E1" w:rsidRPr="00BD22FE" w14:paraId="4D36285B" w14:textId="77777777" w:rsidTr="00A610E1">
        <w:tc>
          <w:tcPr>
            <w:tcW w:w="1084" w:type="pct"/>
            <w:vMerge/>
            <w:tcBorders>
              <w:left w:val="single" w:sz="4" w:space="0" w:color="auto"/>
              <w:bottom w:val="single" w:sz="4" w:space="0" w:color="auto"/>
              <w:right w:val="single" w:sz="4" w:space="0" w:color="auto"/>
            </w:tcBorders>
            <w:hideMark/>
          </w:tcPr>
          <w:p w14:paraId="6930E7A3" w14:textId="77777777" w:rsidR="00A610E1" w:rsidRPr="00BD22FE" w:rsidRDefault="00A610E1" w:rsidP="00A610E1">
            <w:pPr>
              <w:rPr>
                <w:sz w:val="22"/>
                <w:szCs w:val="22"/>
                <w:lang w:val="pl-PL" w:eastAsia="en-GB"/>
              </w:rPr>
            </w:pPr>
          </w:p>
        </w:tc>
        <w:tc>
          <w:tcPr>
            <w:tcW w:w="1226" w:type="pct"/>
            <w:tcBorders>
              <w:top w:val="single" w:sz="4" w:space="0" w:color="auto"/>
              <w:left w:val="single" w:sz="4" w:space="0" w:color="auto"/>
              <w:bottom w:val="single" w:sz="4" w:space="0" w:color="auto"/>
              <w:right w:val="single" w:sz="4" w:space="0" w:color="auto"/>
            </w:tcBorders>
            <w:vAlign w:val="bottom"/>
            <w:hideMark/>
          </w:tcPr>
          <w:p w14:paraId="143341F1" w14:textId="059D71F1" w:rsidR="00A610E1" w:rsidRPr="00BD22FE" w:rsidRDefault="00A610E1" w:rsidP="00A610E1">
            <w:pPr>
              <w:rPr>
                <w:color w:val="000000"/>
                <w:sz w:val="22"/>
                <w:szCs w:val="22"/>
                <w:lang w:val="pl-PL" w:eastAsia="en-GB"/>
              </w:rPr>
            </w:pPr>
            <w:r w:rsidRPr="00BD22FE">
              <w:rPr>
                <w:color w:val="000000"/>
                <w:sz w:val="22"/>
                <w:szCs w:val="22"/>
                <w:lang w:val="pl-PL" w:eastAsia="en-GB"/>
              </w:rPr>
              <w:t>Zmniejszenie stężenia hemoglobiny</w:t>
            </w:r>
          </w:p>
        </w:tc>
        <w:tc>
          <w:tcPr>
            <w:tcW w:w="804" w:type="pct"/>
            <w:tcBorders>
              <w:top w:val="single" w:sz="4" w:space="0" w:color="auto"/>
              <w:left w:val="single" w:sz="4" w:space="0" w:color="auto"/>
              <w:bottom w:val="single" w:sz="4" w:space="0" w:color="auto"/>
              <w:right w:val="single" w:sz="4" w:space="0" w:color="auto"/>
            </w:tcBorders>
            <w:vAlign w:val="bottom"/>
            <w:hideMark/>
          </w:tcPr>
          <w:p w14:paraId="0D757958" w14:textId="77777777" w:rsidR="00A610E1" w:rsidRPr="00BD22FE" w:rsidRDefault="00A610E1" w:rsidP="00A610E1">
            <w:pPr>
              <w:rPr>
                <w:color w:val="000000"/>
                <w:sz w:val="22"/>
                <w:szCs w:val="22"/>
                <w:lang w:val="pl-PL" w:eastAsia="en-GB"/>
              </w:rPr>
            </w:pPr>
          </w:p>
        </w:tc>
        <w:tc>
          <w:tcPr>
            <w:tcW w:w="788" w:type="pct"/>
            <w:tcBorders>
              <w:top w:val="single" w:sz="4" w:space="0" w:color="auto"/>
              <w:left w:val="single" w:sz="4" w:space="0" w:color="auto"/>
              <w:bottom w:val="single" w:sz="4" w:space="0" w:color="auto"/>
              <w:right w:val="single" w:sz="4" w:space="0" w:color="auto"/>
            </w:tcBorders>
            <w:vAlign w:val="bottom"/>
            <w:hideMark/>
          </w:tcPr>
          <w:p w14:paraId="6EBCE0AF" w14:textId="77777777" w:rsidR="00A610E1" w:rsidRPr="00BD22FE" w:rsidRDefault="00A610E1" w:rsidP="00A610E1">
            <w:pPr>
              <w:rPr>
                <w:color w:val="000000"/>
                <w:sz w:val="22"/>
                <w:szCs w:val="22"/>
                <w:lang w:val="pl-PL" w:eastAsia="en-GB"/>
              </w:rPr>
            </w:pPr>
            <w:r w:rsidRPr="00BD22FE">
              <w:rPr>
                <w:color w:val="000000"/>
                <w:sz w:val="22"/>
                <w:szCs w:val="22"/>
                <w:lang w:val="pl-PL" w:eastAsia="en-GB"/>
              </w:rPr>
              <w:t>rzadko</w:t>
            </w:r>
          </w:p>
        </w:tc>
        <w:tc>
          <w:tcPr>
            <w:tcW w:w="1098" w:type="pct"/>
            <w:tcBorders>
              <w:top w:val="single" w:sz="4" w:space="0" w:color="auto"/>
              <w:left w:val="single" w:sz="4" w:space="0" w:color="auto"/>
              <w:bottom w:val="single" w:sz="4" w:space="0" w:color="auto"/>
              <w:right w:val="single" w:sz="4" w:space="0" w:color="auto"/>
            </w:tcBorders>
            <w:vAlign w:val="bottom"/>
            <w:hideMark/>
          </w:tcPr>
          <w:p w14:paraId="5F0490DC" w14:textId="77777777" w:rsidR="00A610E1" w:rsidRPr="00BD22FE" w:rsidRDefault="00A610E1" w:rsidP="00A610E1">
            <w:pPr>
              <w:rPr>
                <w:color w:val="000000"/>
                <w:sz w:val="22"/>
                <w:szCs w:val="22"/>
                <w:lang w:val="pl-PL" w:eastAsia="en-GB"/>
              </w:rPr>
            </w:pPr>
          </w:p>
        </w:tc>
      </w:tr>
    </w:tbl>
    <w:p w14:paraId="31B6FC22" w14:textId="77777777" w:rsidR="00A610E1" w:rsidRPr="00BD22FE" w:rsidRDefault="00A610E1" w:rsidP="00A610E1">
      <w:pPr>
        <w:pStyle w:val="EndnoteText"/>
        <w:tabs>
          <w:tab w:val="clear" w:pos="567"/>
        </w:tabs>
        <w:ind w:left="284" w:hanging="284"/>
        <w:rPr>
          <w:sz w:val="20"/>
        </w:rPr>
      </w:pPr>
      <w:r w:rsidRPr="00BD22FE">
        <w:rPr>
          <w:sz w:val="20"/>
          <w:vertAlign w:val="superscript"/>
        </w:rPr>
        <w:t>1</w:t>
      </w:r>
      <w:r w:rsidRPr="00BD22FE">
        <w:rPr>
          <w:sz w:val="20"/>
          <w:vertAlign w:val="superscript"/>
        </w:rPr>
        <w:tab/>
      </w:r>
      <w:r w:rsidRPr="00BD22FE">
        <w:rPr>
          <w:sz w:val="20"/>
        </w:rPr>
        <w:t>Na podstawie doświadczenia po wprowadzeniu produktu leczniczego do obrotu</w:t>
      </w:r>
    </w:p>
    <w:p w14:paraId="53F36C5B" w14:textId="0428DB1C" w:rsidR="00A610E1" w:rsidRPr="00BD22FE" w:rsidRDefault="00A610E1" w:rsidP="00A610E1">
      <w:pPr>
        <w:pStyle w:val="EndnoteText"/>
        <w:tabs>
          <w:tab w:val="clear" w:pos="567"/>
        </w:tabs>
        <w:ind w:left="284" w:hanging="284"/>
        <w:rPr>
          <w:sz w:val="20"/>
        </w:rPr>
      </w:pPr>
      <w:r w:rsidRPr="00BD22FE">
        <w:rPr>
          <w:sz w:val="20"/>
          <w:vertAlign w:val="superscript"/>
        </w:rPr>
        <w:t>2</w:t>
      </w:r>
      <w:r w:rsidRPr="00BD22FE">
        <w:rPr>
          <w:sz w:val="20"/>
          <w:vertAlign w:val="superscript"/>
        </w:rPr>
        <w:tab/>
      </w:r>
      <w:r w:rsidRPr="00BD22FE">
        <w:rPr>
          <w:sz w:val="20"/>
        </w:rPr>
        <w:t>Dodatkowe informacje znajdują się w podpunktach poniżej</w:t>
      </w:r>
    </w:p>
    <w:p w14:paraId="3C90CE41" w14:textId="626C7422" w:rsidR="00A610E1" w:rsidRPr="00BD22FE" w:rsidRDefault="00A610E1" w:rsidP="00A610E1">
      <w:pPr>
        <w:pStyle w:val="BodyText"/>
        <w:spacing w:line="240" w:lineRule="auto"/>
        <w:ind w:left="284" w:hanging="284"/>
        <w:jc w:val="left"/>
        <w:rPr>
          <w:sz w:val="20"/>
          <w:szCs w:val="20"/>
          <w:lang w:val="pl-PL"/>
        </w:rPr>
      </w:pPr>
      <w:r w:rsidRPr="00BD22FE">
        <w:rPr>
          <w:vertAlign w:val="superscript"/>
          <w:lang w:val="pl-PL"/>
        </w:rPr>
        <w:t>a</w:t>
      </w:r>
      <w:r w:rsidRPr="00BD22FE">
        <w:rPr>
          <w:lang w:val="pl-PL"/>
        </w:rPr>
        <w:tab/>
      </w:r>
      <w:r w:rsidRPr="00BD22FE">
        <w:rPr>
          <w:sz w:val="20"/>
          <w:szCs w:val="20"/>
          <w:lang w:val="pl-PL"/>
        </w:rPr>
        <w:t>Działania niepożądane wystąpiły z podobną częstością u pacjentów leczonych placebo i leczonych telmisartanem. Całkowita częstość występowania działań niepożądanych zgłaszanych w przypadku stosowania telmisartanu (41,4%) w badaniach kontrolowanych placebo była zazwyczaj porównywalna do częstości występowania działań niepożądanych zgłaszanych w przypadku stosowania placebo (43,9%). W powyższym zestawieniu przedstawiono działania niepożądane, które zanotowano we wszystkich badaniach klinicznych z udziałem pacjentów leczonych telmisartanem z powodu nadciśnienia tętniczego lub pacjentów w wieku 50 lat i starszych z grupy dużego ryzyka zdarzeń sercowo-naczyniowych.</w:t>
      </w:r>
    </w:p>
    <w:p w14:paraId="1A455C5F" w14:textId="77777777" w:rsidR="00A610E1" w:rsidRPr="00BD22FE" w:rsidRDefault="00A610E1" w:rsidP="00A610E1">
      <w:pPr>
        <w:pStyle w:val="BodyText"/>
        <w:spacing w:line="240" w:lineRule="auto"/>
        <w:jc w:val="left"/>
        <w:rPr>
          <w:sz w:val="22"/>
          <w:szCs w:val="22"/>
          <w:lang w:val="pl-PL"/>
        </w:rPr>
      </w:pPr>
    </w:p>
    <w:p w14:paraId="71F56A4C" w14:textId="77777777" w:rsidR="00A610E1" w:rsidRPr="00BD22FE" w:rsidRDefault="00A610E1" w:rsidP="00A610E1">
      <w:pPr>
        <w:keepNext/>
        <w:rPr>
          <w:sz w:val="22"/>
          <w:szCs w:val="22"/>
          <w:u w:val="single"/>
          <w:lang w:val="pl-PL"/>
        </w:rPr>
      </w:pPr>
      <w:r w:rsidRPr="00BD22FE">
        <w:rPr>
          <w:sz w:val="22"/>
          <w:szCs w:val="22"/>
          <w:u w:val="single"/>
          <w:lang w:val="pl-PL"/>
        </w:rPr>
        <w:lastRenderedPageBreak/>
        <w:t>Opis wybranych działań niepożądanych</w:t>
      </w:r>
    </w:p>
    <w:p w14:paraId="6EFBD1E1" w14:textId="77777777" w:rsidR="00A610E1" w:rsidRPr="00BD22FE" w:rsidRDefault="00A610E1" w:rsidP="00A610E1">
      <w:pPr>
        <w:keepNext/>
        <w:rPr>
          <w:sz w:val="22"/>
          <w:szCs w:val="22"/>
          <w:lang w:val="pl-PL"/>
        </w:rPr>
      </w:pPr>
    </w:p>
    <w:p w14:paraId="4DAF90B6" w14:textId="77777777" w:rsidR="00A610E1" w:rsidRPr="00BD22FE" w:rsidRDefault="00A610E1" w:rsidP="00A610E1">
      <w:pPr>
        <w:keepNext/>
        <w:rPr>
          <w:sz w:val="22"/>
          <w:szCs w:val="22"/>
          <w:u w:val="single"/>
          <w:lang w:val="pl-PL"/>
        </w:rPr>
      </w:pPr>
      <w:r w:rsidRPr="00BD22FE">
        <w:rPr>
          <w:sz w:val="22"/>
          <w:szCs w:val="22"/>
          <w:u w:val="single"/>
          <w:lang w:val="pl-PL"/>
        </w:rPr>
        <w:t>Nieprawidłowa czynność wątroby/zaburzenia czynności wątroby</w:t>
      </w:r>
    </w:p>
    <w:p w14:paraId="634F6637" w14:textId="77777777" w:rsidR="00A610E1" w:rsidRPr="00BD22FE" w:rsidRDefault="00A610E1" w:rsidP="00A610E1">
      <w:pPr>
        <w:rPr>
          <w:sz w:val="22"/>
          <w:szCs w:val="22"/>
          <w:lang w:val="pl-PL"/>
        </w:rPr>
      </w:pPr>
      <w:r w:rsidRPr="00BD22FE">
        <w:rPr>
          <w:sz w:val="22"/>
          <w:szCs w:val="22"/>
          <w:lang w:val="pl-PL"/>
        </w:rPr>
        <w:t>Większość przypadków nieprawidłowej czynności wątroby/zaburzeń czynności wątroby zgłoszonych w okresie po wprowadzeniu produktu leczniczego do obrotu wystąpiła u pacjentów z Japonii.</w:t>
      </w:r>
    </w:p>
    <w:p w14:paraId="78112C7C" w14:textId="77777777" w:rsidR="00A610E1" w:rsidRPr="00BD22FE" w:rsidRDefault="00A610E1" w:rsidP="00A610E1">
      <w:pPr>
        <w:rPr>
          <w:sz w:val="22"/>
          <w:szCs w:val="22"/>
          <w:lang w:val="pl-PL"/>
        </w:rPr>
      </w:pPr>
      <w:r w:rsidRPr="00BD22FE">
        <w:rPr>
          <w:sz w:val="22"/>
          <w:szCs w:val="22"/>
          <w:lang w:val="pl-PL"/>
        </w:rPr>
        <w:t>U Japończyków istnieje większe prawdopodobieństwo wystąpienia tych działań niepożądanych.</w:t>
      </w:r>
    </w:p>
    <w:p w14:paraId="45E48F73" w14:textId="77777777" w:rsidR="00A610E1" w:rsidRPr="00BD22FE" w:rsidRDefault="00A610E1" w:rsidP="00A610E1">
      <w:pPr>
        <w:rPr>
          <w:sz w:val="22"/>
          <w:szCs w:val="22"/>
          <w:lang w:val="pl-PL"/>
        </w:rPr>
      </w:pPr>
    </w:p>
    <w:p w14:paraId="6C601919" w14:textId="77777777" w:rsidR="00A610E1" w:rsidRPr="00BD22FE" w:rsidRDefault="00A610E1" w:rsidP="00A610E1">
      <w:pPr>
        <w:keepNext/>
        <w:rPr>
          <w:sz w:val="22"/>
          <w:szCs w:val="22"/>
          <w:u w:val="single"/>
          <w:lang w:val="pl-PL"/>
        </w:rPr>
      </w:pPr>
      <w:r w:rsidRPr="00BD22FE">
        <w:rPr>
          <w:sz w:val="22"/>
          <w:szCs w:val="22"/>
          <w:u w:val="single"/>
          <w:lang w:val="pl-PL"/>
        </w:rPr>
        <w:t>Posocznica</w:t>
      </w:r>
    </w:p>
    <w:p w14:paraId="3DAFCA9E" w14:textId="00EB34FC" w:rsidR="00A610E1" w:rsidRPr="00BD22FE" w:rsidRDefault="00A610E1" w:rsidP="00A610E1">
      <w:pPr>
        <w:rPr>
          <w:sz w:val="22"/>
          <w:szCs w:val="22"/>
          <w:lang w:val="pl-PL"/>
        </w:rPr>
      </w:pPr>
      <w:r w:rsidRPr="00BD22FE">
        <w:rPr>
          <w:sz w:val="22"/>
          <w:szCs w:val="22"/>
          <w:lang w:val="pl-PL"/>
        </w:rPr>
        <w:t>W badaniu PRoFESS u pacjentów przyjmujących telmisartan zaobserwowano zwiększoną częstość występowania posocznicy w porównaniu do placebo. Zjawisko to może być przypadkowe lub związane z aktualnie nieznanym mechanizmem (patrz punkt 5.1).</w:t>
      </w:r>
    </w:p>
    <w:p w14:paraId="1BFCF707" w14:textId="77777777" w:rsidR="00A610E1" w:rsidRPr="00BD22FE" w:rsidRDefault="00A610E1" w:rsidP="00A610E1">
      <w:pPr>
        <w:rPr>
          <w:sz w:val="22"/>
          <w:szCs w:val="22"/>
          <w:u w:val="single"/>
          <w:lang w:val="pl-PL"/>
        </w:rPr>
      </w:pPr>
    </w:p>
    <w:p w14:paraId="529D8309" w14:textId="77777777" w:rsidR="00A610E1" w:rsidRPr="00BD22FE" w:rsidRDefault="00A610E1" w:rsidP="00A610E1">
      <w:pPr>
        <w:keepNext/>
        <w:rPr>
          <w:sz w:val="22"/>
          <w:szCs w:val="22"/>
          <w:u w:val="single"/>
          <w:lang w:val="pl-PL"/>
        </w:rPr>
      </w:pPr>
      <w:r w:rsidRPr="00BD22FE">
        <w:rPr>
          <w:sz w:val="22"/>
          <w:szCs w:val="22"/>
          <w:u w:val="single"/>
          <w:lang w:val="pl-PL"/>
        </w:rPr>
        <w:t>Śródmiąższowa choroba płuc</w:t>
      </w:r>
    </w:p>
    <w:p w14:paraId="7FB8D2A6" w14:textId="77777777" w:rsidR="00A610E1" w:rsidRPr="00BD22FE" w:rsidRDefault="00A610E1" w:rsidP="00A610E1">
      <w:pPr>
        <w:pStyle w:val="BodyText"/>
        <w:spacing w:line="240" w:lineRule="auto"/>
        <w:jc w:val="left"/>
        <w:rPr>
          <w:sz w:val="22"/>
          <w:szCs w:val="22"/>
          <w:lang w:val="pl-PL"/>
        </w:rPr>
      </w:pPr>
      <w:r w:rsidRPr="00BD22FE">
        <w:rPr>
          <w:sz w:val="22"/>
          <w:szCs w:val="22"/>
          <w:lang w:val="pl-PL"/>
        </w:rPr>
        <w:t>Po wprowadzeniu produktu leczniczego do obrotu zgłaszano przypadki śródmiąższowej choroby płuc pozostające w związku czasowym z przyjmowaniem telmisartanu. Nie ustalono jednak związku przyczynowego.</w:t>
      </w:r>
    </w:p>
    <w:p w14:paraId="70761719" w14:textId="77777777" w:rsidR="00A610E1" w:rsidRPr="00BD22FE" w:rsidRDefault="00A610E1" w:rsidP="00A610E1">
      <w:pPr>
        <w:rPr>
          <w:sz w:val="22"/>
          <w:szCs w:val="22"/>
          <w:lang w:val="pl-PL"/>
        </w:rPr>
      </w:pPr>
    </w:p>
    <w:p w14:paraId="7D611064" w14:textId="77777777" w:rsidR="00A610E1" w:rsidRPr="00BD22FE" w:rsidRDefault="00A610E1" w:rsidP="00A610E1">
      <w:pPr>
        <w:keepNext/>
        <w:rPr>
          <w:sz w:val="22"/>
          <w:szCs w:val="22"/>
          <w:u w:val="single"/>
          <w:lang w:val="pl-PL"/>
        </w:rPr>
      </w:pPr>
      <w:r w:rsidRPr="00BD22FE">
        <w:rPr>
          <w:sz w:val="22"/>
          <w:szCs w:val="22"/>
          <w:u w:val="single"/>
          <w:lang w:val="pl-PL"/>
        </w:rPr>
        <w:t>Nieczerniakowe nowotwory złośliwe skóry</w:t>
      </w:r>
    </w:p>
    <w:p w14:paraId="0FBEC557" w14:textId="77777777" w:rsidR="00A610E1" w:rsidRPr="00BD22FE" w:rsidRDefault="00A610E1" w:rsidP="00A610E1">
      <w:pPr>
        <w:rPr>
          <w:sz w:val="22"/>
          <w:szCs w:val="22"/>
          <w:lang w:val="pl-PL"/>
        </w:rPr>
      </w:pPr>
      <w:r w:rsidRPr="00BD22FE">
        <w:rPr>
          <w:sz w:val="22"/>
          <w:szCs w:val="22"/>
          <w:lang w:val="pl-PL"/>
        </w:rPr>
        <w:t>Na podstawie danych dostępnych z badań epidemiologicznych stwierdzono związek między łączną dawką HCTZ a występowaniem NMSC (patrz również punkty 4.4 i 5.1).</w:t>
      </w:r>
    </w:p>
    <w:p w14:paraId="67043936" w14:textId="77777777" w:rsidR="002049D2" w:rsidRPr="009D16CE" w:rsidRDefault="002049D2" w:rsidP="002049D2">
      <w:pPr>
        <w:rPr>
          <w:bCs/>
          <w:sz w:val="22"/>
          <w:szCs w:val="22"/>
          <w:lang w:val="pl-PL"/>
        </w:rPr>
      </w:pPr>
    </w:p>
    <w:p w14:paraId="2813BEE2" w14:textId="77777777" w:rsidR="002049D2" w:rsidRPr="00BD22FE" w:rsidRDefault="002049D2" w:rsidP="002049D2">
      <w:pPr>
        <w:keepNext/>
        <w:rPr>
          <w:bCs/>
          <w:sz w:val="22"/>
          <w:szCs w:val="22"/>
          <w:u w:val="single"/>
          <w:lang w:val="pl-PL"/>
        </w:rPr>
      </w:pPr>
      <w:r w:rsidRPr="00BD22FE">
        <w:rPr>
          <w:bCs/>
          <w:sz w:val="22"/>
          <w:szCs w:val="22"/>
          <w:u w:val="single"/>
          <w:lang w:val="pl-PL"/>
        </w:rPr>
        <w:t>Obrzęk naczynioruchowy jelit</w:t>
      </w:r>
    </w:p>
    <w:p w14:paraId="188EBE05" w14:textId="5A5C4CC9" w:rsidR="002049D2" w:rsidRPr="00BD22FE" w:rsidRDefault="002049D2" w:rsidP="002049D2">
      <w:pPr>
        <w:rPr>
          <w:bCs/>
          <w:sz w:val="22"/>
          <w:szCs w:val="22"/>
          <w:lang w:val="pl-PL"/>
        </w:rPr>
      </w:pPr>
      <w:r w:rsidRPr="00BD22FE">
        <w:rPr>
          <w:bCs/>
          <w:sz w:val="22"/>
          <w:szCs w:val="22"/>
          <w:lang w:val="pl-PL"/>
        </w:rPr>
        <w:t>Po zastosowaniu blokerów receptora angiotensyny II notowano przypadki wystąpienia obrzęku naczynioruchowego jelit (patrz punkt 4.4).</w:t>
      </w:r>
    </w:p>
    <w:p w14:paraId="24A55B92" w14:textId="77777777" w:rsidR="00A610E1" w:rsidRPr="00BD22FE" w:rsidRDefault="00A610E1" w:rsidP="00A610E1">
      <w:pPr>
        <w:rPr>
          <w:sz w:val="22"/>
          <w:szCs w:val="22"/>
          <w:lang w:val="pl-PL"/>
        </w:rPr>
      </w:pPr>
    </w:p>
    <w:p w14:paraId="76B6B605" w14:textId="77777777" w:rsidR="00A610E1" w:rsidRPr="00BD22FE" w:rsidRDefault="00A610E1" w:rsidP="00A610E1">
      <w:pPr>
        <w:keepNext/>
        <w:rPr>
          <w:sz w:val="22"/>
          <w:szCs w:val="22"/>
          <w:u w:val="single"/>
          <w:lang w:val="pl-PL"/>
        </w:rPr>
      </w:pPr>
      <w:r w:rsidRPr="00BD22FE">
        <w:rPr>
          <w:sz w:val="22"/>
          <w:szCs w:val="22"/>
          <w:u w:val="single"/>
          <w:lang w:val="pl-PL"/>
        </w:rPr>
        <w:t>Zgłaszanie podejrzewanych działań niepożądanych</w:t>
      </w:r>
    </w:p>
    <w:p w14:paraId="5A71D0AE" w14:textId="77777777" w:rsidR="00A610E1" w:rsidRPr="00BD22FE" w:rsidRDefault="00A610E1" w:rsidP="00A610E1">
      <w:pPr>
        <w:rPr>
          <w:sz w:val="22"/>
          <w:szCs w:val="22"/>
          <w:highlight w:val="lightGray"/>
          <w:shd w:val="pct15" w:color="auto" w:fill="FFFFFF"/>
          <w:lang w:val="pl-PL" w:eastAsia="de-DE"/>
        </w:rPr>
      </w:pPr>
      <w:r w:rsidRPr="00BD22FE">
        <w:rPr>
          <w:sz w:val="22"/>
          <w:szCs w:val="22"/>
          <w:lang w:val="pl-PL"/>
        </w:rPr>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 </w:t>
      </w:r>
      <w:r w:rsidRPr="00BD22FE">
        <w:rPr>
          <w:sz w:val="22"/>
          <w:szCs w:val="22"/>
          <w:highlight w:val="lightGray"/>
          <w:shd w:val="pct15" w:color="auto" w:fill="FFFFFF"/>
          <w:lang w:val="pl-PL" w:eastAsia="de-DE"/>
        </w:rPr>
        <w:t>krajowego systemu zgłaszania wymienionego w </w:t>
      </w:r>
      <w:r>
        <w:fldChar w:fldCharType="begin"/>
      </w:r>
      <w:r w:rsidRPr="00DE4C52">
        <w:rPr>
          <w:lang w:val="pl-PL"/>
        </w:rPr>
        <w:instrText>HYPERLINK "https://www.ema.europa.eu/en/documents/template-form/qrd-appendix-v-adverse-drug-reaction-reporting-details_en.docx" \h</w:instrText>
      </w:r>
      <w:r>
        <w:fldChar w:fldCharType="separate"/>
      </w:r>
      <w:r w:rsidRPr="00BD22FE">
        <w:rPr>
          <w:rStyle w:val="Hyperlink"/>
          <w:sz w:val="22"/>
          <w:szCs w:val="22"/>
          <w:highlight w:val="lightGray"/>
          <w:lang w:val="pl-PL"/>
        </w:rPr>
        <w:t>załączniku V</w:t>
      </w:r>
      <w:r>
        <w:fldChar w:fldCharType="end"/>
      </w:r>
      <w:r w:rsidRPr="00BD22FE">
        <w:rPr>
          <w:sz w:val="22"/>
          <w:szCs w:val="22"/>
          <w:lang w:val="pl-PL" w:eastAsia="de-DE"/>
        </w:rPr>
        <w:t>.</w:t>
      </w:r>
    </w:p>
    <w:p w14:paraId="5B5F8E95" w14:textId="77777777" w:rsidR="00A610E1" w:rsidRPr="00BD22FE" w:rsidRDefault="00A610E1" w:rsidP="00A610E1">
      <w:pPr>
        <w:pStyle w:val="BodyText"/>
        <w:spacing w:line="240" w:lineRule="auto"/>
        <w:jc w:val="left"/>
        <w:rPr>
          <w:sz w:val="22"/>
          <w:szCs w:val="22"/>
          <w:lang w:val="pl-PL"/>
        </w:rPr>
      </w:pPr>
    </w:p>
    <w:p w14:paraId="7BEDCF21" w14:textId="77777777" w:rsidR="00A610E1" w:rsidRPr="00BD22FE" w:rsidRDefault="00A610E1" w:rsidP="00A610E1">
      <w:pPr>
        <w:pStyle w:val="BodyText"/>
        <w:keepNext/>
        <w:spacing w:line="240" w:lineRule="auto"/>
        <w:ind w:left="567" w:hanging="567"/>
        <w:jc w:val="left"/>
        <w:rPr>
          <w:b/>
          <w:sz w:val="22"/>
          <w:szCs w:val="22"/>
          <w:lang w:val="pl-PL"/>
        </w:rPr>
      </w:pPr>
      <w:r w:rsidRPr="00BD22FE">
        <w:rPr>
          <w:b/>
          <w:sz w:val="22"/>
          <w:szCs w:val="22"/>
          <w:lang w:val="pl-PL"/>
        </w:rPr>
        <w:t>4.9</w:t>
      </w:r>
      <w:r w:rsidRPr="00BD22FE">
        <w:rPr>
          <w:b/>
          <w:sz w:val="22"/>
          <w:szCs w:val="22"/>
          <w:lang w:val="pl-PL"/>
        </w:rPr>
        <w:tab/>
        <w:t>Przedawkowanie</w:t>
      </w:r>
    </w:p>
    <w:p w14:paraId="6D301F7E" w14:textId="77777777" w:rsidR="00A610E1" w:rsidRPr="00BD22FE" w:rsidRDefault="00A610E1" w:rsidP="00A610E1">
      <w:pPr>
        <w:pStyle w:val="BodyText"/>
        <w:keepNext/>
        <w:spacing w:line="240" w:lineRule="auto"/>
        <w:jc w:val="left"/>
        <w:rPr>
          <w:sz w:val="22"/>
          <w:szCs w:val="22"/>
          <w:lang w:val="pl-PL"/>
        </w:rPr>
      </w:pPr>
    </w:p>
    <w:p w14:paraId="6A352460" w14:textId="21FA9F6D" w:rsidR="00A610E1" w:rsidRPr="00BD22FE" w:rsidRDefault="00A610E1" w:rsidP="00A610E1">
      <w:pPr>
        <w:pStyle w:val="BodyText"/>
        <w:spacing w:line="240" w:lineRule="auto"/>
        <w:jc w:val="left"/>
        <w:rPr>
          <w:sz w:val="22"/>
          <w:szCs w:val="22"/>
          <w:lang w:val="pl-PL"/>
        </w:rPr>
      </w:pPr>
      <w:r w:rsidRPr="00BD22FE">
        <w:rPr>
          <w:sz w:val="22"/>
          <w:szCs w:val="22"/>
          <w:lang w:val="pl-PL"/>
        </w:rPr>
        <w:t>Dane dotyczące przedawkowania telmisartanu u ludzi są ograniczone. Nie określono stopnia, w jakim można usunąć HCTZ za pomocą hemodializy.</w:t>
      </w:r>
    </w:p>
    <w:p w14:paraId="13C15D9B" w14:textId="77777777" w:rsidR="00A610E1" w:rsidRPr="00BD22FE" w:rsidRDefault="00A610E1" w:rsidP="00A610E1">
      <w:pPr>
        <w:pStyle w:val="BodyText"/>
        <w:spacing w:line="240" w:lineRule="auto"/>
        <w:jc w:val="left"/>
        <w:rPr>
          <w:rFonts w:eastAsia="SimSun"/>
          <w:sz w:val="22"/>
          <w:szCs w:val="22"/>
          <w:lang w:val="pl-PL" w:eastAsia="zh-CN"/>
        </w:rPr>
      </w:pPr>
    </w:p>
    <w:p w14:paraId="7C30B7E8" w14:textId="26C2E6D3" w:rsidR="00A610E1" w:rsidRPr="00BD22FE" w:rsidRDefault="00A610E1" w:rsidP="00A610E1">
      <w:pPr>
        <w:pStyle w:val="BodyText"/>
        <w:keepNext/>
        <w:spacing w:line="240" w:lineRule="auto"/>
        <w:jc w:val="left"/>
        <w:rPr>
          <w:sz w:val="22"/>
          <w:szCs w:val="22"/>
          <w:lang w:val="pl-PL"/>
        </w:rPr>
      </w:pPr>
      <w:r w:rsidRPr="00BD22FE">
        <w:rPr>
          <w:sz w:val="22"/>
          <w:szCs w:val="22"/>
          <w:u w:val="single"/>
          <w:lang w:val="pl-PL"/>
        </w:rPr>
        <w:t>Objawy</w:t>
      </w:r>
    </w:p>
    <w:p w14:paraId="740C2CC0" w14:textId="46E393EC" w:rsidR="00A610E1" w:rsidRPr="00BD22FE" w:rsidRDefault="00A610E1" w:rsidP="00A610E1">
      <w:pPr>
        <w:pStyle w:val="BodyText"/>
        <w:spacing w:line="240" w:lineRule="auto"/>
        <w:jc w:val="left"/>
        <w:rPr>
          <w:sz w:val="22"/>
          <w:szCs w:val="22"/>
          <w:lang w:val="pl-PL"/>
        </w:rPr>
      </w:pPr>
      <w:r w:rsidRPr="00BD22FE">
        <w:rPr>
          <w:sz w:val="22"/>
          <w:szCs w:val="22"/>
          <w:lang w:val="pl-PL"/>
        </w:rPr>
        <w:t>Najważniejsze objawy przedawkowania telmisartanu to niedociśnienie tętnicze i tachykardia; opisywano również bradykardię, zawroty głowy, wymioty, zwiększenie stężenia kreatyniny w surowicy oraz ostrą niewydolność nerek. Przedawkowanie HCTZ może wiązać się ze zmniejszeniem stężenia elektrolitów (hipokaliemia, hipochloremia) oraz hipowolemią wynikającą z nadmiernej diurezy. Najczęstszymi objawami przedmiotowymi i podmiotowymi przedawkowania są nudności i senność. Hipokaliemia może powodować skurcze mięśni i (lub) przyspieszenie akcji serca związane z jednoczesnym stosowaniem glikozydów naparstnicy lub pewnych przeciwarytmicznych produktów leczniczych.</w:t>
      </w:r>
    </w:p>
    <w:p w14:paraId="121DAA21" w14:textId="77777777" w:rsidR="00A610E1" w:rsidRPr="00BD22FE" w:rsidRDefault="00A610E1" w:rsidP="00A610E1">
      <w:pPr>
        <w:pStyle w:val="BodyText"/>
        <w:spacing w:line="240" w:lineRule="auto"/>
        <w:jc w:val="left"/>
        <w:rPr>
          <w:sz w:val="22"/>
          <w:szCs w:val="22"/>
          <w:lang w:val="pl-PL"/>
        </w:rPr>
      </w:pPr>
    </w:p>
    <w:p w14:paraId="17146884" w14:textId="23AEAE63" w:rsidR="00A610E1" w:rsidRPr="00BD22FE" w:rsidRDefault="00A610E1" w:rsidP="00A610E1">
      <w:pPr>
        <w:pStyle w:val="BodyText"/>
        <w:keepNext/>
        <w:spacing w:line="240" w:lineRule="auto"/>
        <w:jc w:val="left"/>
        <w:rPr>
          <w:sz w:val="22"/>
          <w:szCs w:val="22"/>
          <w:lang w:val="pl-PL"/>
        </w:rPr>
      </w:pPr>
      <w:r w:rsidRPr="00BD22FE">
        <w:rPr>
          <w:sz w:val="22"/>
          <w:szCs w:val="22"/>
          <w:u w:val="single"/>
          <w:lang w:val="pl-PL"/>
        </w:rPr>
        <w:t>Leczenie</w:t>
      </w:r>
    </w:p>
    <w:p w14:paraId="04FA5018" w14:textId="3CA9AD1C" w:rsidR="00A610E1" w:rsidRPr="00BD22FE" w:rsidRDefault="00A610E1" w:rsidP="00A610E1">
      <w:pPr>
        <w:pStyle w:val="BodyText"/>
        <w:spacing w:line="240" w:lineRule="auto"/>
        <w:jc w:val="left"/>
        <w:rPr>
          <w:sz w:val="22"/>
          <w:szCs w:val="22"/>
          <w:lang w:val="pl-PL"/>
        </w:rPr>
      </w:pPr>
      <w:r w:rsidRPr="00BD22FE">
        <w:rPr>
          <w:sz w:val="22"/>
          <w:szCs w:val="22"/>
          <w:lang w:val="pl-PL"/>
        </w:rPr>
        <w:t>Telmisartan nie jest usuwany przez hemofiltrację i nie podlega dializie. Pacjenta należy dokładnie obserwować i zastosować leczenie objawowe i podtrzymujące. Postępowanie zależy od czasu, jaki upłynął od przyjęcia leku, i nasilenia objawów. Zaleca się sprowokowanie wymiotów i (lub) płukanie żołądka. W leczeniu przedawkowania pomocne może być zastosowanie węgla aktywowanego. Należy często kontrolować stężenie elektrolitów i kreatyniny w surowicy. W przypadku wystąpienia niedociśnienia tętniczego pacjenta należy ułożyć w pozycji na plecach, szybko uzupełniając sole oraz objętość wewnątrznaczyniową.</w:t>
      </w:r>
    </w:p>
    <w:p w14:paraId="11DF6EC8" w14:textId="77777777" w:rsidR="00A610E1" w:rsidRPr="00BD22FE" w:rsidRDefault="00A610E1" w:rsidP="00A610E1">
      <w:pPr>
        <w:pStyle w:val="BodyText"/>
        <w:spacing w:line="240" w:lineRule="auto"/>
        <w:jc w:val="left"/>
        <w:rPr>
          <w:sz w:val="22"/>
          <w:szCs w:val="22"/>
          <w:lang w:val="pl-PL"/>
        </w:rPr>
      </w:pPr>
    </w:p>
    <w:p w14:paraId="43A99BC3" w14:textId="77777777" w:rsidR="00A610E1" w:rsidRPr="00BD22FE" w:rsidRDefault="00A610E1" w:rsidP="00A610E1">
      <w:pPr>
        <w:pStyle w:val="BodyText"/>
        <w:spacing w:line="240" w:lineRule="auto"/>
        <w:jc w:val="left"/>
        <w:rPr>
          <w:sz w:val="22"/>
          <w:szCs w:val="22"/>
          <w:lang w:val="pl-PL"/>
        </w:rPr>
      </w:pPr>
    </w:p>
    <w:p w14:paraId="5CC96F04" w14:textId="77777777" w:rsidR="00A610E1" w:rsidRPr="00BD22FE" w:rsidRDefault="00A610E1" w:rsidP="00A610E1">
      <w:pPr>
        <w:pStyle w:val="BodyText"/>
        <w:keepNext/>
        <w:spacing w:line="240" w:lineRule="auto"/>
        <w:ind w:left="567" w:hanging="567"/>
        <w:jc w:val="left"/>
        <w:rPr>
          <w:b/>
          <w:sz w:val="22"/>
          <w:szCs w:val="22"/>
          <w:lang w:val="pl-PL"/>
        </w:rPr>
      </w:pPr>
      <w:r w:rsidRPr="00BD22FE">
        <w:rPr>
          <w:b/>
          <w:sz w:val="22"/>
          <w:szCs w:val="22"/>
          <w:lang w:val="pl-PL"/>
        </w:rPr>
        <w:lastRenderedPageBreak/>
        <w:t>5.</w:t>
      </w:r>
      <w:r w:rsidRPr="00BD22FE">
        <w:rPr>
          <w:b/>
          <w:sz w:val="22"/>
          <w:szCs w:val="22"/>
          <w:lang w:val="pl-PL"/>
        </w:rPr>
        <w:tab/>
        <w:t>WŁAŚCIWOŚCI FARMAKOLOGICZNE</w:t>
      </w:r>
    </w:p>
    <w:p w14:paraId="36B4CADD" w14:textId="77777777" w:rsidR="00A610E1" w:rsidRPr="00BD22FE" w:rsidRDefault="00A610E1" w:rsidP="00A610E1">
      <w:pPr>
        <w:pStyle w:val="BodyText"/>
        <w:keepNext/>
        <w:spacing w:line="240" w:lineRule="auto"/>
        <w:jc w:val="left"/>
        <w:rPr>
          <w:sz w:val="22"/>
          <w:szCs w:val="22"/>
          <w:lang w:val="pl-PL"/>
        </w:rPr>
      </w:pPr>
    </w:p>
    <w:p w14:paraId="50D75507" w14:textId="77777777" w:rsidR="00A610E1" w:rsidRPr="00BD22FE" w:rsidRDefault="00A610E1" w:rsidP="00A610E1">
      <w:pPr>
        <w:pStyle w:val="BodyText"/>
        <w:keepNext/>
        <w:spacing w:line="240" w:lineRule="auto"/>
        <w:ind w:left="567" w:hanging="567"/>
        <w:jc w:val="left"/>
        <w:rPr>
          <w:b/>
          <w:sz w:val="22"/>
          <w:szCs w:val="22"/>
          <w:lang w:val="pl-PL"/>
        </w:rPr>
      </w:pPr>
      <w:r w:rsidRPr="00BD22FE">
        <w:rPr>
          <w:b/>
          <w:sz w:val="22"/>
          <w:szCs w:val="22"/>
          <w:lang w:val="pl-PL"/>
        </w:rPr>
        <w:t>5.1</w:t>
      </w:r>
      <w:r w:rsidRPr="00BD22FE">
        <w:rPr>
          <w:b/>
          <w:sz w:val="22"/>
          <w:szCs w:val="22"/>
          <w:lang w:val="pl-PL"/>
        </w:rPr>
        <w:tab/>
        <w:t>Właściwości farmakodynamiczne</w:t>
      </w:r>
    </w:p>
    <w:p w14:paraId="6FE5D817" w14:textId="77777777" w:rsidR="00A610E1" w:rsidRPr="00BD22FE" w:rsidRDefault="00A610E1" w:rsidP="00A610E1">
      <w:pPr>
        <w:pStyle w:val="BodyText"/>
        <w:keepNext/>
        <w:spacing w:line="240" w:lineRule="auto"/>
        <w:jc w:val="left"/>
        <w:rPr>
          <w:sz w:val="22"/>
          <w:szCs w:val="22"/>
          <w:lang w:val="pl-PL"/>
        </w:rPr>
      </w:pPr>
    </w:p>
    <w:p w14:paraId="5F9FCF6F" w14:textId="5032173D" w:rsidR="00A610E1" w:rsidRPr="00BD22FE" w:rsidRDefault="00A610E1" w:rsidP="00A610E1">
      <w:pPr>
        <w:pStyle w:val="BodyText"/>
        <w:spacing w:line="240" w:lineRule="auto"/>
        <w:jc w:val="left"/>
        <w:rPr>
          <w:sz w:val="22"/>
          <w:szCs w:val="22"/>
          <w:lang w:val="pl-PL"/>
        </w:rPr>
      </w:pPr>
      <w:r w:rsidRPr="00BD22FE">
        <w:rPr>
          <w:sz w:val="22"/>
          <w:szCs w:val="22"/>
          <w:lang w:val="pl-PL"/>
        </w:rPr>
        <w:t>Grupa farmakoterapeutyczna: blokery receptora angiotensyny II i diuretyki, kod ATC: C09DA07.</w:t>
      </w:r>
    </w:p>
    <w:p w14:paraId="10E5B084" w14:textId="77777777" w:rsidR="00A610E1" w:rsidRPr="00BD22FE" w:rsidRDefault="00A610E1" w:rsidP="00A610E1">
      <w:pPr>
        <w:pStyle w:val="BodyText"/>
        <w:spacing w:line="240" w:lineRule="auto"/>
        <w:jc w:val="left"/>
        <w:rPr>
          <w:sz w:val="22"/>
          <w:szCs w:val="22"/>
          <w:lang w:val="pl-PL"/>
        </w:rPr>
      </w:pPr>
    </w:p>
    <w:p w14:paraId="56B16D9A" w14:textId="24C74D79" w:rsidR="00A610E1" w:rsidRPr="00BD22FE" w:rsidRDefault="00A610E1" w:rsidP="00A610E1">
      <w:pPr>
        <w:pStyle w:val="BodyText"/>
        <w:spacing w:line="240" w:lineRule="auto"/>
        <w:jc w:val="left"/>
        <w:rPr>
          <w:sz w:val="22"/>
          <w:szCs w:val="22"/>
          <w:lang w:val="pl-PL"/>
        </w:rPr>
      </w:pPr>
      <w:r w:rsidRPr="00BD22FE">
        <w:rPr>
          <w:sz w:val="22"/>
          <w:szCs w:val="22"/>
          <w:lang w:val="pl-PL"/>
        </w:rPr>
        <w:t>Produkt leczniczy MicardisPlus jest produktem złożonym zawierającym bloker receptora angiotensyny II, telmisartan i diuretyk tiazydowy, hydrochlorotiazyd. Połączenie takich składników ma sumujące się działanie przeciwnadciśnieniowe, powodujące zmniejszenie ciśnienia tętniczego krwi w większym stopniu niż każdy składnik osobno. Produkt leczniczy MicardisPlus stosowany raz na dobę wywołuje skuteczne i regularne zmniejszenie ciśnienia tętniczego krwi w zakresie dawek terapeutycznych.</w:t>
      </w:r>
    </w:p>
    <w:p w14:paraId="6FC688E1" w14:textId="77777777" w:rsidR="00A610E1" w:rsidRPr="00BD22FE" w:rsidRDefault="00A610E1" w:rsidP="00A610E1">
      <w:pPr>
        <w:pStyle w:val="BodyText"/>
        <w:spacing w:line="240" w:lineRule="auto"/>
        <w:jc w:val="left"/>
        <w:rPr>
          <w:sz w:val="22"/>
          <w:szCs w:val="22"/>
          <w:lang w:val="pl-PL"/>
        </w:rPr>
      </w:pPr>
    </w:p>
    <w:p w14:paraId="2E7E1B12" w14:textId="77777777" w:rsidR="00A610E1" w:rsidRPr="00BD22FE" w:rsidRDefault="00A610E1" w:rsidP="00A610E1">
      <w:pPr>
        <w:pStyle w:val="BodyText"/>
        <w:keepNext/>
        <w:spacing w:line="240" w:lineRule="auto"/>
        <w:jc w:val="left"/>
        <w:rPr>
          <w:sz w:val="22"/>
          <w:szCs w:val="22"/>
          <w:u w:val="single"/>
          <w:lang w:val="pl-PL"/>
        </w:rPr>
      </w:pPr>
      <w:r w:rsidRPr="00BD22FE">
        <w:rPr>
          <w:sz w:val="22"/>
          <w:szCs w:val="22"/>
          <w:u w:val="single"/>
          <w:lang w:val="pl-PL"/>
        </w:rPr>
        <w:t>Mechanizm działania</w:t>
      </w:r>
    </w:p>
    <w:p w14:paraId="36E15AC8" w14:textId="54898A6C" w:rsidR="00A610E1" w:rsidRPr="00BD22FE" w:rsidRDefault="00A610E1" w:rsidP="00A610E1">
      <w:pPr>
        <w:pStyle w:val="BodyText"/>
        <w:spacing w:line="240" w:lineRule="auto"/>
        <w:jc w:val="left"/>
        <w:rPr>
          <w:sz w:val="22"/>
          <w:szCs w:val="22"/>
          <w:lang w:val="pl-PL"/>
        </w:rPr>
      </w:pPr>
      <w:r w:rsidRPr="00BD22FE">
        <w:rPr>
          <w:sz w:val="22"/>
          <w:szCs w:val="22"/>
          <w:lang w:val="pl-PL"/>
        </w:rPr>
        <w:t>Telmisartan jest czynnym po zastosowaniu doustnym, wybiórczym blokerem receptora podtypu 1 dla angiotensyny II (AT</w:t>
      </w:r>
      <w:r w:rsidRPr="00BD22FE">
        <w:rPr>
          <w:sz w:val="22"/>
          <w:szCs w:val="22"/>
          <w:vertAlign w:val="subscript"/>
          <w:lang w:val="pl-PL"/>
        </w:rPr>
        <w:t>1</w:t>
      </w:r>
      <w:r w:rsidRPr="00BD22FE">
        <w:rPr>
          <w:sz w:val="22"/>
          <w:szCs w:val="22"/>
          <w:lang w:val="pl-PL"/>
        </w:rPr>
        <w:t>). Dzięki wysokiemu</w:t>
      </w:r>
      <w:r w:rsidRPr="00BD22FE" w:rsidDel="008671E7">
        <w:rPr>
          <w:sz w:val="22"/>
          <w:szCs w:val="22"/>
          <w:lang w:val="pl-PL"/>
        </w:rPr>
        <w:t xml:space="preserve"> </w:t>
      </w:r>
      <w:r w:rsidRPr="00BD22FE">
        <w:rPr>
          <w:sz w:val="22"/>
          <w:szCs w:val="22"/>
          <w:lang w:val="pl-PL"/>
        </w:rPr>
        <w:t>powinowactwu telmisartan wypiera angiotensynę II z miejsc wiązania z podtypem AT</w:t>
      </w:r>
      <w:r w:rsidRPr="00BD22FE">
        <w:rPr>
          <w:sz w:val="22"/>
          <w:szCs w:val="22"/>
          <w:vertAlign w:val="subscript"/>
          <w:lang w:val="pl-PL"/>
        </w:rPr>
        <w:t>1</w:t>
      </w:r>
      <w:r w:rsidRPr="00BD22FE">
        <w:rPr>
          <w:sz w:val="22"/>
          <w:szCs w:val="22"/>
          <w:lang w:val="pl-PL"/>
        </w:rPr>
        <w:t xml:space="preserve"> receptora, który jest odpowiedzialny za poznany mechanizm działania angiotensyny II. Telmisartan nie wykazuje nawet częściowego działania agonistycznego w stosunku do receptora AT</w:t>
      </w:r>
      <w:r w:rsidRPr="00BD22FE">
        <w:rPr>
          <w:sz w:val="22"/>
          <w:szCs w:val="22"/>
          <w:vertAlign w:val="subscript"/>
          <w:lang w:val="pl-PL"/>
        </w:rPr>
        <w:t>1</w:t>
      </w:r>
      <w:r w:rsidRPr="00BD22FE">
        <w:rPr>
          <w:sz w:val="22"/>
          <w:szCs w:val="22"/>
          <w:lang w:val="pl-PL"/>
        </w:rPr>
        <w:t>. Telmisartan selektywnie łączy się z receptorem AT</w:t>
      </w:r>
      <w:r w:rsidRPr="00BD22FE">
        <w:rPr>
          <w:sz w:val="22"/>
          <w:szCs w:val="22"/>
          <w:vertAlign w:val="subscript"/>
          <w:lang w:val="pl-PL"/>
        </w:rPr>
        <w:t>1</w:t>
      </w:r>
      <w:r w:rsidRPr="00BD22FE">
        <w:rPr>
          <w:sz w:val="22"/>
          <w:szCs w:val="22"/>
          <w:lang w:val="pl-PL"/>
        </w:rPr>
        <w:t>. To połączenie jest długotrwałe. Telmisartan nie wykazuje powinowactwa do innych receptorów, w tym do receptora AT</w:t>
      </w:r>
      <w:r w:rsidRPr="00BD22FE">
        <w:rPr>
          <w:sz w:val="22"/>
          <w:szCs w:val="22"/>
          <w:vertAlign w:val="subscript"/>
          <w:lang w:val="pl-PL"/>
        </w:rPr>
        <w:t>2</w:t>
      </w:r>
      <w:r w:rsidRPr="00BD22FE">
        <w:rPr>
          <w:sz w:val="22"/>
          <w:szCs w:val="22"/>
          <w:lang w:val="pl-PL"/>
        </w:rPr>
        <w:t xml:space="preserve"> oraz innych, mniej</w:t>
      </w:r>
      <w:r w:rsidRPr="00BD22FE" w:rsidDel="00A3678B">
        <w:rPr>
          <w:sz w:val="22"/>
          <w:szCs w:val="22"/>
          <w:lang w:val="pl-PL"/>
        </w:rPr>
        <w:t xml:space="preserve"> </w:t>
      </w:r>
      <w:r w:rsidRPr="00BD22FE">
        <w:rPr>
          <w:sz w:val="22"/>
          <w:szCs w:val="22"/>
          <w:lang w:val="pl-PL"/>
        </w:rPr>
        <w:t>poznanych podtypów receptora AT. Funkcja tych receptorów nie jest znana; nie znane są też skutki ich nadmiernego pobudzenia przez angiotensynę II, której stężenie zwiększa się pod wpływem telmisartanu. Telmisartan zmniejsza stężenie aldosteronu w osoczu. Telmisartan nie hamuje aktywności reninowej osocza oraz nie blokuje kanałów jonowych. Telmisartan nie hamuje aktywności</w:t>
      </w:r>
      <w:r w:rsidRPr="00BD22FE" w:rsidDel="007B54E2">
        <w:rPr>
          <w:sz w:val="22"/>
          <w:szCs w:val="22"/>
          <w:lang w:val="pl-PL"/>
        </w:rPr>
        <w:t xml:space="preserve"> </w:t>
      </w:r>
      <w:r w:rsidRPr="00BD22FE">
        <w:rPr>
          <w:sz w:val="22"/>
          <w:szCs w:val="22"/>
          <w:lang w:val="pl-PL"/>
        </w:rPr>
        <w:t>konwertazy angiotensyny (kininazy II), enzymu odpowiedzialnego także za rozkład bradykininy. Tak więc nie należy się spodziewać nasilenia działań niepożądanych związanych z działaniem bradykininy.</w:t>
      </w:r>
    </w:p>
    <w:p w14:paraId="7E646AF1" w14:textId="049CE382" w:rsidR="00A610E1" w:rsidRPr="00BD22FE" w:rsidRDefault="00A610E1" w:rsidP="00A610E1">
      <w:pPr>
        <w:pStyle w:val="BodyText"/>
        <w:spacing w:line="240" w:lineRule="auto"/>
        <w:jc w:val="left"/>
        <w:rPr>
          <w:sz w:val="22"/>
          <w:szCs w:val="22"/>
          <w:lang w:val="pl-PL"/>
        </w:rPr>
      </w:pPr>
      <w:r w:rsidRPr="00BD22FE">
        <w:rPr>
          <w:sz w:val="22"/>
          <w:szCs w:val="22"/>
          <w:lang w:val="pl-PL"/>
        </w:rPr>
        <w:t>Dawka 80 mg telmisartanu podana zdrowym ochotnikom prawie całkowicie hamuje zwiększenie</w:t>
      </w:r>
      <w:r w:rsidRPr="00BD22FE" w:rsidDel="00AF774D">
        <w:rPr>
          <w:sz w:val="22"/>
          <w:szCs w:val="22"/>
          <w:lang w:val="pl-PL"/>
        </w:rPr>
        <w:t xml:space="preserve"> </w:t>
      </w:r>
      <w:r w:rsidRPr="00BD22FE">
        <w:rPr>
          <w:sz w:val="22"/>
          <w:szCs w:val="22"/>
          <w:lang w:val="pl-PL"/>
        </w:rPr>
        <w:t>ciśnienia tętniczego krwi wywołane przez</w:t>
      </w:r>
      <w:r w:rsidRPr="00BD22FE">
        <w:rPr>
          <w:i/>
          <w:sz w:val="22"/>
          <w:szCs w:val="22"/>
          <w:lang w:val="pl-PL"/>
        </w:rPr>
        <w:t xml:space="preserve"> </w:t>
      </w:r>
      <w:r w:rsidRPr="00BD22FE">
        <w:rPr>
          <w:sz w:val="22"/>
          <w:szCs w:val="22"/>
          <w:lang w:val="pl-PL"/>
        </w:rPr>
        <w:t>angiotensynę II. To hamujące działanie utrzymuje się przez 24 godziny i można je stwierdzić w dalszym ciągu do 48 godzin.</w:t>
      </w:r>
    </w:p>
    <w:p w14:paraId="6D6799E8" w14:textId="77777777" w:rsidR="00A610E1" w:rsidRPr="00BD22FE" w:rsidRDefault="00A610E1" w:rsidP="00A610E1">
      <w:pPr>
        <w:pStyle w:val="BodyText"/>
        <w:spacing w:line="240" w:lineRule="auto"/>
        <w:jc w:val="left"/>
        <w:rPr>
          <w:sz w:val="22"/>
          <w:szCs w:val="22"/>
          <w:lang w:val="pl-PL"/>
        </w:rPr>
      </w:pPr>
    </w:p>
    <w:p w14:paraId="3A884AF3" w14:textId="77777777" w:rsidR="00A610E1" w:rsidRPr="00BD22FE" w:rsidRDefault="00A610E1" w:rsidP="00A610E1">
      <w:pPr>
        <w:pStyle w:val="BodyText"/>
        <w:spacing w:line="240" w:lineRule="auto"/>
        <w:jc w:val="left"/>
        <w:rPr>
          <w:sz w:val="22"/>
          <w:szCs w:val="22"/>
          <w:lang w:val="pl-PL"/>
        </w:rPr>
      </w:pPr>
      <w:r w:rsidRPr="00BD22FE">
        <w:rPr>
          <w:sz w:val="22"/>
          <w:szCs w:val="22"/>
          <w:lang w:val="pl-PL"/>
        </w:rPr>
        <w:t>Hydrochlorotiazyd jest diuretykiem tiazydowym. Mechanizm działania przeciwnadciśnieniowego tiazydów nie został do końca poznany. Tiazydy wpływają na wchłanianie zwrotne elektrolitów w kanalikach nerkowych, bezpośrednio zwiększając wydalanie sodu i chlorku w przybliżeniu w podobnych ilościach. Działanie diuretyczne HCTZ powoduje zmniejszenie objętości osocza, zwiększenie aktywności reniny w osoczu, zwiększenie wydzielania aldosteronu, co prowadzi do zwiększenia utraty potasu i wodorowęglanów z moczem oraz zmniejszenia stężenia potasu w surowicy. Przyjmuje się, że jednoczesne podawanie telmisartanu powoduje, poprzez blokadę układu renina-angiotensyna-aldosteron, zatrzymanie utraty potasu związane z działaniem diuretyków. W przypadku stosowania HCTZ, diureza rozpoczyna się po 2 godzinach, a maksymalny efekt zostaje osiągnięty po około 4 godzinach, podczas gdy działanie utrzymuje się przez 6</w:t>
      </w:r>
      <w:r w:rsidRPr="00BD22FE">
        <w:rPr>
          <w:sz w:val="22"/>
          <w:szCs w:val="22"/>
          <w:lang w:val="pl-PL"/>
        </w:rPr>
        <w:noBreakHyphen/>
        <w:t>12 godzin.</w:t>
      </w:r>
    </w:p>
    <w:p w14:paraId="19B014E3" w14:textId="77777777" w:rsidR="00A610E1" w:rsidRPr="00BD22FE" w:rsidRDefault="00A610E1" w:rsidP="00A610E1">
      <w:pPr>
        <w:pStyle w:val="BodyText"/>
        <w:spacing w:line="240" w:lineRule="auto"/>
        <w:jc w:val="left"/>
        <w:rPr>
          <w:sz w:val="22"/>
          <w:szCs w:val="22"/>
          <w:lang w:val="pl-PL"/>
        </w:rPr>
      </w:pPr>
    </w:p>
    <w:p w14:paraId="131DFC51" w14:textId="77777777" w:rsidR="00A610E1" w:rsidRPr="00BD22FE" w:rsidRDefault="00A610E1" w:rsidP="00A610E1">
      <w:pPr>
        <w:pStyle w:val="BodyText"/>
        <w:keepNext/>
        <w:spacing w:line="240" w:lineRule="auto"/>
        <w:jc w:val="left"/>
        <w:rPr>
          <w:sz w:val="22"/>
          <w:szCs w:val="22"/>
          <w:u w:val="single"/>
          <w:lang w:val="pl-PL"/>
        </w:rPr>
      </w:pPr>
      <w:r w:rsidRPr="00BD22FE">
        <w:rPr>
          <w:sz w:val="22"/>
          <w:szCs w:val="22"/>
          <w:u w:val="single"/>
          <w:lang w:val="pl-PL"/>
        </w:rPr>
        <w:t>Działanie farmakodynamiczne</w:t>
      </w:r>
    </w:p>
    <w:p w14:paraId="508F5B8D" w14:textId="61199A5E" w:rsidR="00A610E1" w:rsidRPr="00BD22FE" w:rsidRDefault="00A610E1" w:rsidP="00A610E1">
      <w:pPr>
        <w:pStyle w:val="BodyText"/>
        <w:keepNext/>
        <w:spacing w:line="240" w:lineRule="auto"/>
        <w:jc w:val="left"/>
        <w:rPr>
          <w:sz w:val="22"/>
          <w:szCs w:val="22"/>
          <w:lang w:val="pl-PL"/>
        </w:rPr>
      </w:pPr>
      <w:r w:rsidRPr="00BD22FE">
        <w:rPr>
          <w:sz w:val="22"/>
          <w:szCs w:val="22"/>
          <w:lang w:val="pl-PL"/>
        </w:rPr>
        <w:t>Leczenie pierwotnego nadciśnienia tętniczego</w:t>
      </w:r>
    </w:p>
    <w:p w14:paraId="7BF138AE" w14:textId="1227833B" w:rsidR="00A610E1" w:rsidRPr="00BD22FE" w:rsidRDefault="00A610E1" w:rsidP="00A610E1">
      <w:pPr>
        <w:pStyle w:val="BodyText"/>
        <w:spacing w:line="240" w:lineRule="auto"/>
        <w:jc w:val="left"/>
        <w:rPr>
          <w:sz w:val="22"/>
          <w:szCs w:val="22"/>
          <w:lang w:val="pl-PL"/>
        </w:rPr>
      </w:pPr>
      <w:r w:rsidRPr="00BD22FE">
        <w:rPr>
          <w:sz w:val="22"/>
          <w:szCs w:val="22"/>
          <w:lang w:val="pl-PL"/>
        </w:rPr>
        <w:t xml:space="preserve">Po podaniu pierwszej dawki telmisartanu działanie przeciwnadciśnieniowe występuje stopniowo w ciągu 3 godzin. Maksymalne obniżenie ciśnienia tętniczego krwi jest osiągane zwykle po upływie 4 do 8 tygodni od rozpoczęcia leczenia i utrzymuje się podczas długotrwałego leczenia. Ambulatoryjne pomiary ciśnienia tętniczego krwi wykazały, że działanie przeciwnadciśnieniowe utrzymuje się na stałym poziomie w okresie 24 godzin od przyjęcia </w:t>
      </w:r>
      <w:r w:rsidR="000712A5">
        <w:rPr>
          <w:sz w:val="22"/>
          <w:szCs w:val="22"/>
          <w:lang w:val="pl-PL"/>
        </w:rPr>
        <w:t>produktu leczniczego</w:t>
      </w:r>
      <w:r w:rsidRPr="00BD22FE">
        <w:rPr>
          <w:sz w:val="22"/>
          <w:szCs w:val="22"/>
          <w:lang w:val="pl-PL"/>
        </w:rPr>
        <w:t xml:space="preserve">, obejmując również okres ostatnich 4 godzin przed przyjęciem następnej dawki </w:t>
      </w:r>
      <w:r w:rsidR="000712A5">
        <w:rPr>
          <w:sz w:val="22"/>
          <w:szCs w:val="22"/>
          <w:lang w:val="pl-PL"/>
        </w:rPr>
        <w:t>produktu leczniczego</w:t>
      </w:r>
      <w:r w:rsidRPr="00BD22FE">
        <w:rPr>
          <w:sz w:val="22"/>
          <w:szCs w:val="22"/>
          <w:lang w:val="pl-PL"/>
        </w:rPr>
        <w:t>. Potwierdzają to pomiary wykonywane w momencie maksymalnego obniżenia ciśnienia tętniczego krwi i bezpośrednio przed przyjęciem kolejnej dawki leku (parametr określany jako „through to peak ratio” wynosił stale powyżej 80%, zarówno po podaniu dawki 40 mg jak i 80 mg telmisartanu w badaniach klinicznych kontrolowanych placebo).</w:t>
      </w:r>
    </w:p>
    <w:p w14:paraId="701864D1" w14:textId="77777777" w:rsidR="00A610E1" w:rsidRPr="00BD22FE" w:rsidRDefault="00A610E1" w:rsidP="00A610E1">
      <w:pPr>
        <w:pStyle w:val="BodyText"/>
        <w:spacing w:line="240" w:lineRule="auto"/>
        <w:jc w:val="left"/>
        <w:rPr>
          <w:sz w:val="22"/>
          <w:szCs w:val="22"/>
          <w:lang w:val="pl-PL"/>
        </w:rPr>
      </w:pPr>
    </w:p>
    <w:p w14:paraId="72E09EA2" w14:textId="2A7BE6BD" w:rsidR="00A610E1" w:rsidRPr="00BD22FE" w:rsidRDefault="00A610E1" w:rsidP="00A610E1">
      <w:pPr>
        <w:pStyle w:val="BodyText"/>
        <w:spacing w:line="240" w:lineRule="auto"/>
        <w:jc w:val="left"/>
        <w:rPr>
          <w:sz w:val="22"/>
          <w:szCs w:val="22"/>
          <w:lang w:val="pl-PL"/>
        </w:rPr>
      </w:pPr>
      <w:r w:rsidRPr="00BD22FE">
        <w:rPr>
          <w:sz w:val="22"/>
          <w:szCs w:val="22"/>
          <w:lang w:val="pl-PL"/>
        </w:rPr>
        <w:t xml:space="preserve">Telmisartan podany pacjentom z nadciśnieniem tętniczym obniża zarówno ciśnienie skurczowe, jak i rozkurczowe krwi, nie wpływając na częstość akcji serca. Skuteczność przeciwnadciśnieniowa </w:t>
      </w:r>
      <w:r w:rsidRPr="00BD22FE">
        <w:rPr>
          <w:sz w:val="22"/>
          <w:szCs w:val="22"/>
          <w:lang w:val="pl-PL"/>
        </w:rPr>
        <w:lastRenderedPageBreak/>
        <w:t>telmisartanu jest porównywalna z innymi produktami leczniczymi przeciwnadciśnieniowymi (co wykazano w badaniach klinicznych, w których porównywano telmisartan z amlodypiną, atenololem, enalaprylem, hydrochlorotiazydem i lizynoprylem).</w:t>
      </w:r>
    </w:p>
    <w:p w14:paraId="2E329EAB" w14:textId="77777777" w:rsidR="00A610E1" w:rsidRPr="00BD22FE" w:rsidRDefault="00A610E1" w:rsidP="00A610E1">
      <w:pPr>
        <w:pStyle w:val="BodyText"/>
        <w:spacing w:line="240" w:lineRule="auto"/>
        <w:jc w:val="left"/>
        <w:rPr>
          <w:sz w:val="22"/>
          <w:szCs w:val="22"/>
          <w:lang w:val="pl-PL"/>
        </w:rPr>
      </w:pPr>
    </w:p>
    <w:p w14:paraId="340737BB" w14:textId="21A49E48" w:rsidR="00A610E1" w:rsidRPr="00BD22FE" w:rsidRDefault="00A610E1" w:rsidP="00A610E1">
      <w:pPr>
        <w:pStyle w:val="BodyText"/>
        <w:spacing w:line="240" w:lineRule="auto"/>
        <w:jc w:val="left"/>
        <w:rPr>
          <w:sz w:val="22"/>
          <w:szCs w:val="22"/>
          <w:lang w:val="pl-PL"/>
        </w:rPr>
      </w:pPr>
      <w:r w:rsidRPr="00BD22FE">
        <w:rPr>
          <w:sz w:val="22"/>
          <w:szCs w:val="22"/>
          <w:lang w:val="pl-PL"/>
        </w:rPr>
        <w:t>W podwójnie ślepym, kontrolowanym badaniu klinicznym (n = 687 pacjentów ocenianych pod względem skuteczności) u pacjentów nieodpowiadających na dawkę produktu złożonego 80 mg/12,5 mg wykazano większy o 2,7/1,6 mmHg (ciśnienie skurczowe/rozkurczowe; różnica pomiędzy skorygowanymi średnimi zmianami w stosunku do wartości wyjściowych) efekt obniżający ciśnienie tętnicze krwi dawki 80 mg/25 mg w porównaniu z pacjentami, u których leczenie kontynuowano za pomocą dawki 80 mg/12,5 mg. W badaniu kontrolnym (follow</w:t>
      </w:r>
      <w:r w:rsidRPr="00BD22FE">
        <w:rPr>
          <w:sz w:val="22"/>
          <w:szCs w:val="22"/>
          <w:lang w:val="pl-PL"/>
        </w:rPr>
        <w:noBreakHyphen/>
        <w:t>up) z dawką produktu złożonego 80 mg/25 mg ciśnienie tętnicze krwi ulegało dalszemu obniżeniu (prowadząc do całkowitego obniżenia o 11,5/9,9 mmHg (ciśnienie skurczowe/rozkurczowe)).</w:t>
      </w:r>
    </w:p>
    <w:p w14:paraId="13F1CFD6" w14:textId="77777777" w:rsidR="00A610E1" w:rsidRPr="00BD22FE" w:rsidRDefault="00A610E1" w:rsidP="00A610E1">
      <w:pPr>
        <w:pStyle w:val="BodyText"/>
        <w:spacing w:line="240" w:lineRule="auto"/>
        <w:jc w:val="left"/>
        <w:rPr>
          <w:sz w:val="22"/>
          <w:szCs w:val="22"/>
          <w:lang w:val="pl-PL"/>
        </w:rPr>
      </w:pPr>
    </w:p>
    <w:p w14:paraId="3EBF027C" w14:textId="26EB30CC" w:rsidR="00A610E1" w:rsidRPr="00BD22FE" w:rsidRDefault="00A610E1" w:rsidP="00A610E1">
      <w:pPr>
        <w:pStyle w:val="BodyText"/>
        <w:spacing w:line="240" w:lineRule="auto"/>
        <w:jc w:val="left"/>
        <w:rPr>
          <w:sz w:val="22"/>
          <w:szCs w:val="22"/>
          <w:lang w:val="pl-PL"/>
        </w:rPr>
      </w:pPr>
      <w:r w:rsidRPr="00BD22FE">
        <w:rPr>
          <w:sz w:val="22"/>
          <w:szCs w:val="22"/>
          <w:lang w:val="pl-PL"/>
        </w:rPr>
        <w:t>W łącznej analizie dwóch podobnych 8</w:t>
      </w:r>
      <w:r w:rsidRPr="00BD22FE">
        <w:rPr>
          <w:sz w:val="22"/>
          <w:szCs w:val="22"/>
          <w:lang w:val="pl-PL"/>
        </w:rPr>
        <w:noBreakHyphen/>
        <w:t>tygodniowych podwójnie ślepych badań klinicznych kontrolowanych placebo w porównaniu z produktem złożonym zawierającym walsartan i hydrochlorotiazyd w dawce 160 mg/25 mg (n = 2 121 pacjentów ocenianych pod względem skuteczności) wykazano istotnie większe o 2,2/1,2 mmHg (ciśnienie skurczowe/rozkurczowe; różnica pomiędzy skorygowanymi średnimi zmianami w stosunku do wartości wyjściowych) działanie obniżające ciśnienie tętnicze krwi na korzyść produktu złożonego zawierającego telmisartan i hydrochlorotiazyd w dawce 80 mg/25 mg.</w:t>
      </w:r>
    </w:p>
    <w:p w14:paraId="40CF1C4C" w14:textId="77777777" w:rsidR="00A610E1" w:rsidRPr="00BD22FE" w:rsidRDefault="00A610E1" w:rsidP="00A610E1">
      <w:pPr>
        <w:pStyle w:val="BodyText"/>
        <w:spacing w:line="240" w:lineRule="auto"/>
        <w:jc w:val="left"/>
        <w:rPr>
          <w:sz w:val="22"/>
          <w:szCs w:val="22"/>
          <w:lang w:val="pl-PL"/>
        </w:rPr>
      </w:pPr>
    </w:p>
    <w:p w14:paraId="647D73DD" w14:textId="4BB5CAA6" w:rsidR="00A610E1" w:rsidRPr="00BD22FE" w:rsidRDefault="00A610E1" w:rsidP="00A610E1">
      <w:pPr>
        <w:pStyle w:val="BodyText"/>
        <w:spacing w:line="240" w:lineRule="auto"/>
        <w:jc w:val="left"/>
        <w:rPr>
          <w:sz w:val="22"/>
          <w:szCs w:val="22"/>
          <w:lang w:val="pl-PL"/>
        </w:rPr>
      </w:pPr>
      <w:r w:rsidRPr="00BD22FE">
        <w:rPr>
          <w:sz w:val="22"/>
          <w:szCs w:val="22"/>
          <w:lang w:val="pl-PL"/>
        </w:rPr>
        <w:t>W przypadku nagłego przerwania leczenia telmisartanem ciśnienie tętnicze krwi powraca stopniowo, w ciągu kilku dni, do wartości sprzed rozpoczęcia leczenia, bez zjawiska odbicia. W badaniach klinicznych bezpośrednio porównujących dwie metody leczenia przeciwnadciśnieniowego częstość występowania suchego kaszlu u pacjentów leczonych telmisartanem była znacząco mniejsza niż u pacjentów leczonych inhibitorami konwertazy angiotensyny.</w:t>
      </w:r>
    </w:p>
    <w:p w14:paraId="3BD2C079" w14:textId="77777777" w:rsidR="00A610E1" w:rsidRPr="00BD22FE" w:rsidRDefault="00A610E1" w:rsidP="00A610E1">
      <w:pPr>
        <w:pStyle w:val="BodyText"/>
        <w:spacing w:line="240" w:lineRule="auto"/>
        <w:jc w:val="left"/>
        <w:rPr>
          <w:sz w:val="22"/>
          <w:szCs w:val="22"/>
          <w:u w:val="single"/>
          <w:lang w:val="pl-PL"/>
        </w:rPr>
      </w:pPr>
    </w:p>
    <w:p w14:paraId="1F2EBDF9" w14:textId="77777777" w:rsidR="00A610E1" w:rsidRPr="00BD22FE" w:rsidRDefault="00A610E1" w:rsidP="00A610E1">
      <w:pPr>
        <w:keepNext/>
        <w:rPr>
          <w:sz w:val="22"/>
          <w:szCs w:val="22"/>
          <w:u w:val="single"/>
          <w:lang w:val="pl-PL"/>
        </w:rPr>
      </w:pPr>
      <w:r w:rsidRPr="00BD22FE">
        <w:rPr>
          <w:sz w:val="22"/>
          <w:szCs w:val="22"/>
          <w:u w:val="single"/>
          <w:lang w:val="pl-PL"/>
        </w:rPr>
        <w:t>Skuteczność kliniczna i bezpieczeństwo stosowania</w:t>
      </w:r>
    </w:p>
    <w:p w14:paraId="5F3AAF07" w14:textId="6DF0383E" w:rsidR="00A610E1" w:rsidRPr="00BD22FE" w:rsidRDefault="00A610E1" w:rsidP="00A610E1">
      <w:pPr>
        <w:pStyle w:val="BodyText"/>
        <w:keepNext/>
        <w:spacing w:line="240" w:lineRule="auto"/>
        <w:jc w:val="left"/>
        <w:rPr>
          <w:sz w:val="22"/>
          <w:szCs w:val="22"/>
          <w:lang w:val="pl-PL"/>
        </w:rPr>
      </w:pPr>
      <w:r w:rsidRPr="00BD22FE">
        <w:rPr>
          <w:sz w:val="22"/>
          <w:szCs w:val="22"/>
          <w:lang w:val="pl-PL"/>
        </w:rPr>
        <w:t>Zapobieganie chorobom sercowo-naczyniowym</w:t>
      </w:r>
    </w:p>
    <w:p w14:paraId="69599ADF" w14:textId="222778C2" w:rsidR="00A610E1" w:rsidRPr="00BD22FE" w:rsidRDefault="00A610E1" w:rsidP="00A610E1">
      <w:pPr>
        <w:pStyle w:val="BodyText"/>
        <w:spacing w:line="240" w:lineRule="auto"/>
        <w:jc w:val="left"/>
        <w:rPr>
          <w:sz w:val="22"/>
          <w:szCs w:val="22"/>
          <w:lang w:val="pl-PL"/>
        </w:rPr>
      </w:pPr>
      <w:r w:rsidRPr="00BD22FE">
        <w:rPr>
          <w:sz w:val="22"/>
          <w:szCs w:val="22"/>
          <w:lang w:val="pl-PL"/>
        </w:rPr>
        <w:t>W badaniu ONTARGET (</w:t>
      </w:r>
      <w:r w:rsidRPr="00BD22FE">
        <w:rPr>
          <w:i/>
          <w:sz w:val="22"/>
          <w:szCs w:val="22"/>
          <w:lang w:val="pl-PL"/>
        </w:rPr>
        <w:t>ONgoing Telmisartan Alone and in Combination with Ramipril Global Endpoint Trial</w:t>
      </w:r>
      <w:r w:rsidRPr="00BD22FE">
        <w:rPr>
          <w:sz w:val="22"/>
          <w:szCs w:val="22"/>
          <w:lang w:val="pl-PL"/>
        </w:rPr>
        <w:t>) porównano wpływ telmisartanu, ramiprylu i leczenia skojarzonego telmisartanem z ramiprylem na częstość występowania zdarzeń sercowo-naczyniowych u 25 620 pacjentów w wieku 55 lat i starszych z chorobą niedokrwienną serca, udarem mózgu, przemijającym napadem niedokrwiennym, chorobą tętnic obwodowych lub cukrzycą typu 2 z powikłaniami narządowymi (np. z retinopatią, przerostem lewej komory serca, makro- lub mikroalbuminurią) w wywiadzie. Jest to grupa pacjentów z ryzykiem wystąpienia chorób sercowo-naczyniowych.</w:t>
      </w:r>
    </w:p>
    <w:p w14:paraId="2D975C77" w14:textId="77777777" w:rsidR="00A610E1" w:rsidRPr="00BD22FE" w:rsidRDefault="00A610E1" w:rsidP="00A610E1">
      <w:pPr>
        <w:pStyle w:val="BodyText"/>
        <w:spacing w:line="240" w:lineRule="auto"/>
        <w:jc w:val="left"/>
        <w:rPr>
          <w:sz w:val="22"/>
          <w:szCs w:val="22"/>
          <w:lang w:val="pl-PL"/>
        </w:rPr>
      </w:pPr>
    </w:p>
    <w:p w14:paraId="22C319F3" w14:textId="42C7F033" w:rsidR="00A610E1" w:rsidRPr="00BD22FE" w:rsidRDefault="00A610E1" w:rsidP="00A610E1">
      <w:pPr>
        <w:pStyle w:val="BodyText"/>
        <w:spacing w:line="240" w:lineRule="auto"/>
        <w:jc w:val="left"/>
        <w:rPr>
          <w:sz w:val="22"/>
          <w:szCs w:val="22"/>
          <w:lang w:val="pl-PL"/>
        </w:rPr>
      </w:pPr>
      <w:r w:rsidRPr="00BD22FE">
        <w:rPr>
          <w:sz w:val="22"/>
          <w:szCs w:val="22"/>
          <w:lang w:val="pl-PL"/>
        </w:rPr>
        <w:t>Pacjenci zostali losowo przydzieleni do jednej z następujących trzech badanych grup: telmisartan 80 mg (n = 8 542), ramipryl 10 mg (n = 8 576), terapia skojarzona w postaci telmisartanu 80 mg z ramiprylem 10 mg (n = 8 502), a następnie byli obserwowani przez średni okres 4,5 roku.</w:t>
      </w:r>
    </w:p>
    <w:p w14:paraId="31C73527" w14:textId="77777777" w:rsidR="00A610E1" w:rsidRPr="00BD22FE" w:rsidRDefault="00A610E1" w:rsidP="00A610E1">
      <w:pPr>
        <w:rPr>
          <w:sz w:val="22"/>
          <w:szCs w:val="22"/>
          <w:lang w:val="pl-PL"/>
        </w:rPr>
      </w:pPr>
    </w:p>
    <w:p w14:paraId="424EE3A6" w14:textId="00AC2294" w:rsidR="00A610E1" w:rsidRPr="00BD22FE" w:rsidRDefault="00A610E1" w:rsidP="00A610E1">
      <w:pPr>
        <w:pStyle w:val="BodyText"/>
        <w:spacing w:line="240" w:lineRule="auto"/>
        <w:jc w:val="left"/>
        <w:rPr>
          <w:sz w:val="22"/>
          <w:szCs w:val="22"/>
          <w:lang w:val="pl-PL"/>
        </w:rPr>
      </w:pPr>
      <w:r w:rsidRPr="00BD22FE">
        <w:rPr>
          <w:sz w:val="22"/>
          <w:szCs w:val="22"/>
          <w:lang w:val="pl-PL"/>
        </w:rPr>
        <w:t>Telmisartan wykazał podobną skuteczność do ramiprylu w zmniejszaniu częstości występowania pierwszorzędowego złożonego punktu końcowego, na który składał się zgon z przyczyn sercowo-naczyniowych, zawał serca niezakończony zgonem, udar mózgu niezakończony zgonem lub hospitalizacja z powodu zastoinowej niewydolności serca. Częstość występowania pierwszorzędowego punktu końcowego była porównywalna w grupie telmisartanu (16,7%) i ramiprylu (16,5%). Współczynnik ryzyka dla telmisartanu względem ramiprylu wyniósł 1,01 (97,5% CI 0,93</w:t>
      </w:r>
      <w:r w:rsidRPr="00BD22FE">
        <w:rPr>
          <w:sz w:val="22"/>
          <w:szCs w:val="22"/>
          <w:lang w:val="pl-PL"/>
        </w:rPr>
        <w:noBreakHyphen/>
        <w:t>1,10), p (nie gorszy niż) = 0,0019 z marginesem 1,13). Wskaźnik śmiertelności z przyczyn ogólnych wyniósł 11,6% i 11,8% odpowiednio w grupie pacjentów otrzymujących telmisartan i ramipryl.</w:t>
      </w:r>
    </w:p>
    <w:p w14:paraId="67801FE8" w14:textId="77777777" w:rsidR="00A610E1" w:rsidRPr="00BD22FE" w:rsidRDefault="00A610E1" w:rsidP="00A610E1">
      <w:pPr>
        <w:rPr>
          <w:sz w:val="22"/>
          <w:szCs w:val="22"/>
          <w:lang w:val="pl-PL"/>
        </w:rPr>
      </w:pPr>
    </w:p>
    <w:p w14:paraId="395507DC" w14:textId="3E5B72BA" w:rsidR="00A610E1" w:rsidRPr="00BD22FE" w:rsidRDefault="00A610E1" w:rsidP="00A610E1">
      <w:pPr>
        <w:pStyle w:val="BodyText"/>
        <w:spacing w:line="240" w:lineRule="auto"/>
        <w:jc w:val="left"/>
        <w:rPr>
          <w:sz w:val="22"/>
          <w:szCs w:val="22"/>
          <w:lang w:val="pl-PL"/>
        </w:rPr>
      </w:pPr>
      <w:r w:rsidRPr="00BD22FE">
        <w:rPr>
          <w:sz w:val="22"/>
          <w:szCs w:val="22"/>
          <w:lang w:val="pl-PL"/>
        </w:rPr>
        <w:t>Telmisartan okazał się podobnie skuteczny jak ramipryl pod względem zapobiegania wcześniej ustalonemu</w:t>
      </w:r>
      <w:r w:rsidRPr="00BD22FE" w:rsidDel="008F0B62">
        <w:rPr>
          <w:sz w:val="22"/>
          <w:szCs w:val="22"/>
          <w:lang w:val="pl-PL"/>
        </w:rPr>
        <w:t xml:space="preserve"> </w:t>
      </w:r>
      <w:r w:rsidRPr="00BD22FE">
        <w:rPr>
          <w:sz w:val="22"/>
          <w:szCs w:val="22"/>
          <w:lang w:val="pl-PL"/>
        </w:rPr>
        <w:t>drugorzędowemu punktowi końcowemu, składającemu się ze zgonu z przyczyn sercowo-naczyniowych, zawału serca niezakończonego zgonem i udaru mózgu niezakończonego zgonem [0,99 (97,5% CI 0,90</w:t>
      </w:r>
      <w:r w:rsidRPr="00BD22FE">
        <w:rPr>
          <w:sz w:val="22"/>
          <w:szCs w:val="22"/>
          <w:lang w:val="pl-PL"/>
        </w:rPr>
        <w:noBreakHyphen/>
        <w:t>1,08), p (</w:t>
      </w:r>
      <w:r w:rsidRPr="00BD22FE">
        <w:rPr>
          <w:iCs/>
          <w:sz w:val="22"/>
          <w:szCs w:val="22"/>
          <w:lang w:val="pl-PL"/>
        </w:rPr>
        <w:t>nie gorszy niż</w:t>
      </w:r>
      <w:r w:rsidRPr="00BD22FE">
        <w:rPr>
          <w:sz w:val="22"/>
          <w:szCs w:val="22"/>
          <w:lang w:val="pl-PL"/>
        </w:rPr>
        <w:t>) = 0,0004], będącego pierwszorzędowym punktem końcowym referencyjnego badania HOPE (</w:t>
      </w:r>
      <w:r w:rsidRPr="00BD22FE">
        <w:rPr>
          <w:i/>
          <w:sz w:val="22"/>
          <w:szCs w:val="22"/>
          <w:lang w:val="pl-PL"/>
        </w:rPr>
        <w:t>The Heart Outcomes Prevention Evaluation Study</w:t>
      </w:r>
      <w:r w:rsidRPr="00BD22FE">
        <w:rPr>
          <w:sz w:val="22"/>
          <w:szCs w:val="22"/>
          <w:lang w:val="pl-PL"/>
        </w:rPr>
        <w:t>), w którym porównywano działanie ramiprylu z placebo.</w:t>
      </w:r>
    </w:p>
    <w:p w14:paraId="0E1B5113" w14:textId="77777777" w:rsidR="00A610E1" w:rsidRPr="00BD22FE" w:rsidRDefault="00A610E1" w:rsidP="00A610E1">
      <w:pPr>
        <w:rPr>
          <w:sz w:val="22"/>
          <w:szCs w:val="22"/>
          <w:lang w:val="pl-PL"/>
        </w:rPr>
      </w:pPr>
    </w:p>
    <w:p w14:paraId="49020AB0" w14:textId="2CF34410" w:rsidR="00A610E1" w:rsidRPr="00BD22FE" w:rsidRDefault="00A610E1" w:rsidP="00A610E1">
      <w:pPr>
        <w:pStyle w:val="BodyText"/>
        <w:spacing w:line="240" w:lineRule="auto"/>
        <w:jc w:val="left"/>
        <w:rPr>
          <w:sz w:val="22"/>
          <w:szCs w:val="22"/>
          <w:lang w:val="pl-PL"/>
        </w:rPr>
      </w:pPr>
      <w:r w:rsidRPr="00BD22FE">
        <w:rPr>
          <w:sz w:val="22"/>
          <w:szCs w:val="22"/>
          <w:lang w:val="pl-PL"/>
        </w:rPr>
        <w:t>W badaniu TRANSCEND pacjenci z nietolerancją inhibitorów ACE zostali przydzieleni losowo według podobnych kryteriów włączenia co do badania ONTARGET do grupy stosującej telmisartan 80 mg (n = 2 954) lub placebo (n = 2 972), oba dodane do standardowej terapii. Średni okres obserwacji wynosił 4 lata i 8 miesięcy. Nie wykazano istotnych statystycznie różnic częstości występowania pierwszorzędowego punktu końcowego (zgon z przyczyn sercowo-naczyniowych, zawał serca niezakończony zgonem, udar mózgu niezakończony zgonem lub hospitalizacja z powodu zastoinowej niewydolności serca) [15,7% w grupie telmisartanu i 17,0% w grupie placebo ze współczynnikiem ryzyka 0,92 (95% CI 0,81</w:t>
      </w:r>
      <w:r w:rsidRPr="00BD22FE">
        <w:rPr>
          <w:sz w:val="22"/>
          <w:szCs w:val="22"/>
          <w:lang w:val="pl-PL"/>
        </w:rPr>
        <w:noBreakHyphen/>
        <w:t>1,05; p = 0,22]. Wykazano korzyści stosowania telmisartanu w porównaniu z placebo pod względem wcześniej ustalonego drugorzędowego złożonego punktu końcowego, składającego się ze zgonu z przyczyn sercowo-naczyniowych, zawału serca niezakończonego zgonem, udaru mózgu niezakończonego zgonem [0,87 (95% CI 0,76</w:t>
      </w:r>
      <w:r w:rsidRPr="00BD22FE">
        <w:rPr>
          <w:sz w:val="22"/>
          <w:szCs w:val="22"/>
          <w:lang w:val="pl-PL"/>
        </w:rPr>
        <w:noBreakHyphen/>
        <w:t>1,00, p = 0,048)]. Wykazano brak korzystnego wpływu terapii telmisartanem na częstość występowania zgonów z przyczyn sercowo-naczyniowych (współczynnik ryzyka 1,03; 95% CI 0,85</w:t>
      </w:r>
      <w:r w:rsidRPr="00BD22FE">
        <w:rPr>
          <w:sz w:val="22"/>
          <w:szCs w:val="22"/>
          <w:lang w:val="pl-PL"/>
        </w:rPr>
        <w:noBreakHyphen/>
        <w:t>1,24).</w:t>
      </w:r>
    </w:p>
    <w:p w14:paraId="6E60D209" w14:textId="77777777" w:rsidR="00A610E1" w:rsidRPr="00BD22FE" w:rsidRDefault="00A610E1" w:rsidP="00A610E1">
      <w:pPr>
        <w:rPr>
          <w:sz w:val="22"/>
          <w:szCs w:val="22"/>
          <w:lang w:val="pl-PL"/>
        </w:rPr>
      </w:pPr>
    </w:p>
    <w:p w14:paraId="136683C8" w14:textId="781E1875" w:rsidR="00A610E1" w:rsidRPr="00BD22FE" w:rsidRDefault="00A610E1" w:rsidP="00A610E1">
      <w:pPr>
        <w:pStyle w:val="BodyText"/>
        <w:spacing w:line="240" w:lineRule="auto"/>
        <w:jc w:val="left"/>
        <w:rPr>
          <w:sz w:val="22"/>
          <w:szCs w:val="22"/>
          <w:lang w:val="pl-PL"/>
        </w:rPr>
      </w:pPr>
      <w:r w:rsidRPr="00BD22FE">
        <w:rPr>
          <w:sz w:val="22"/>
          <w:szCs w:val="22"/>
          <w:lang w:val="pl-PL"/>
        </w:rPr>
        <w:t>Kaszel i obrzęk naczynioruchowy występowały rzadziej u pacjentów leczonych telmisartanem niż u pacjentów leczonych ramiprylem, podczas gdy niedociśnienie tętnicze zgłaszane było częściej u osób otrzymujących telmisartan.</w:t>
      </w:r>
    </w:p>
    <w:p w14:paraId="5EDA4155" w14:textId="77777777" w:rsidR="00A610E1" w:rsidRPr="00BD22FE" w:rsidRDefault="00A610E1" w:rsidP="00A610E1">
      <w:pPr>
        <w:pStyle w:val="BodyText"/>
        <w:spacing w:line="240" w:lineRule="auto"/>
        <w:jc w:val="left"/>
        <w:rPr>
          <w:sz w:val="22"/>
          <w:szCs w:val="22"/>
          <w:lang w:val="pl-PL"/>
        </w:rPr>
      </w:pPr>
    </w:p>
    <w:p w14:paraId="76094420" w14:textId="4C5FEE5D" w:rsidR="00A610E1" w:rsidRPr="00BD22FE" w:rsidRDefault="00A610E1" w:rsidP="00A610E1">
      <w:pPr>
        <w:pStyle w:val="BodyText"/>
        <w:spacing w:line="240" w:lineRule="auto"/>
        <w:jc w:val="left"/>
        <w:rPr>
          <w:sz w:val="22"/>
          <w:szCs w:val="22"/>
          <w:lang w:val="pl-PL"/>
        </w:rPr>
      </w:pPr>
      <w:r w:rsidRPr="00BD22FE">
        <w:rPr>
          <w:sz w:val="22"/>
          <w:szCs w:val="22"/>
          <w:lang w:val="pl-PL"/>
        </w:rPr>
        <w:t>Stosowanie telmisartanu w skojarzeniu z ramiprylem nie powoduje uzyskania dodatkowych korzyści w porównaniu ze stosowaniem ramiprylu lub telmisartanu w monoterapii. Śmiertelność z przyczyn sercowo-naczyniowych i śmiertelność ogólna były znacząco wyższe w przypadku stosowania leczenia skojarzonego. Ponadto w grupie otrzymującej leczenie skojarzone zaobserwowano znacząco częstsze występowanie hiperkaliemii, niewydolności nerek, niedociśnienia tętniczego i omdleń. Z tego powodu nie zaleca się jednoczesnego stosowania telmisartanu i ramiprylu w takiej grupie pacjentów.</w:t>
      </w:r>
    </w:p>
    <w:p w14:paraId="5C876F31" w14:textId="77777777" w:rsidR="00A610E1" w:rsidRPr="00BD22FE" w:rsidRDefault="00A610E1" w:rsidP="00A610E1">
      <w:pPr>
        <w:pStyle w:val="BodyText"/>
        <w:spacing w:line="240" w:lineRule="auto"/>
        <w:jc w:val="left"/>
        <w:rPr>
          <w:sz w:val="22"/>
          <w:szCs w:val="22"/>
          <w:lang w:val="pl-PL"/>
        </w:rPr>
      </w:pPr>
    </w:p>
    <w:p w14:paraId="52C19679" w14:textId="74873A20" w:rsidR="00A610E1" w:rsidRPr="00BD22FE" w:rsidRDefault="00A610E1" w:rsidP="00A610E1">
      <w:pPr>
        <w:pStyle w:val="BodyText"/>
        <w:spacing w:line="240" w:lineRule="auto"/>
        <w:jc w:val="left"/>
        <w:rPr>
          <w:sz w:val="22"/>
          <w:szCs w:val="22"/>
          <w:lang w:val="pl-PL"/>
        </w:rPr>
      </w:pPr>
      <w:r w:rsidRPr="00BD22FE">
        <w:rPr>
          <w:sz w:val="22"/>
          <w:szCs w:val="22"/>
          <w:lang w:val="pl-PL"/>
        </w:rPr>
        <w:t>W badaniu PRoFESS (</w:t>
      </w:r>
      <w:r w:rsidRPr="00BD22FE">
        <w:rPr>
          <w:i/>
          <w:sz w:val="22"/>
          <w:szCs w:val="22"/>
          <w:lang w:val="pl-PL"/>
        </w:rPr>
        <w:t>Prevention Regimen For Effectively avoiding Second Strokes</w:t>
      </w:r>
      <w:r w:rsidRPr="00BD22FE">
        <w:rPr>
          <w:sz w:val="22"/>
          <w:szCs w:val="22"/>
          <w:lang w:val="pl-PL"/>
        </w:rPr>
        <w:t>) z udziałem pacjentów w wieku 50 lat i starszych, którzy ostatnio przebyli udar, odnotowano zwiększoną częstość występowania posocznicy w odniesieniu do telmisartanu w porównaniu z placebo, 0,70% vs. 0,49% [ryzyko względne 1,43 (95% przedział ufności 1,00</w:t>
      </w:r>
      <w:r w:rsidRPr="00BD22FE">
        <w:rPr>
          <w:sz w:val="22"/>
          <w:szCs w:val="22"/>
          <w:lang w:val="pl-PL"/>
        </w:rPr>
        <w:noBreakHyphen/>
        <w:t>2,06)]; częstość występowania posocznicy zakończonej zgonem była zwiększona u pacjentów przyjmujących telmisartan (0,33%) w porównaniu do pacjentów przyjmujących placebo (0,16%) [ryzyko względne 2,07 (95% przedział ufności 1,14</w:t>
      </w:r>
      <w:r w:rsidRPr="00BD22FE">
        <w:rPr>
          <w:sz w:val="22"/>
          <w:szCs w:val="22"/>
          <w:lang w:val="pl-PL"/>
        </w:rPr>
        <w:noBreakHyphen/>
        <w:t>3,76)]. Zaobserwowane zwiększenie częstości występowania posocznicy związane ze stosowaniem telmisartanu może być albo przypadkowe, albo spowodowane aktualnie nieznanym mechanizmem.</w:t>
      </w:r>
    </w:p>
    <w:p w14:paraId="67B67A78" w14:textId="77777777" w:rsidR="00A610E1" w:rsidRPr="00BD22FE" w:rsidRDefault="00A610E1" w:rsidP="00A610E1">
      <w:pPr>
        <w:pStyle w:val="BodyText"/>
        <w:spacing w:line="240" w:lineRule="auto"/>
        <w:jc w:val="left"/>
        <w:rPr>
          <w:sz w:val="22"/>
          <w:szCs w:val="22"/>
          <w:lang w:val="pl-PL"/>
        </w:rPr>
      </w:pPr>
    </w:p>
    <w:p w14:paraId="5E85379E" w14:textId="35AE5A75" w:rsidR="00A610E1" w:rsidRPr="00DE4C52" w:rsidRDefault="00A610E1" w:rsidP="00A610E1">
      <w:pPr>
        <w:autoSpaceDE w:val="0"/>
        <w:autoSpaceDN w:val="0"/>
        <w:adjustRightInd w:val="0"/>
        <w:rPr>
          <w:sz w:val="22"/>
          <w:szCs w:val="22"/>
          <w:lang w:val="pl-PL"/>
        </w:rPr>
      </w:pPr>
      <w:r w:rsidRPr="00BD22FE">
        <w:rPr>
          <w:sz w:val="22"/>
          <w:szCs w:val="22"/>
          <w:lang w:val="pl-PL"/>
        </w:rPr>
        <w:t>W dwóch dużych randomizowanych, kontrolowanych badaniach klinicznych ONTARGET (ang. </w:t>
      </w:r>
      <w:proofErr w:type="spellStart"/>
      <w:r w:rsidRPr="00166B77">
        <w:rPr>
          <w:sz w:val="22"/>
          <w:szCs w:val="22"/>
          <w:lang w:val="en-GB"/>
        </w:rPr>
        <w:t>ONgoing</w:t>
      </w:r>
      <w:proofErr w:type="spellEnd"/>
      <w:r w:rsidRPr="00166B77">
        <w:rPr>
          <w:sz w:val="22"/>
          <w:szCs w:val="22"/>
          <w:lang w:val="en-GB"/>
        </w:rPr>
        <w:t xml:space="preserve"> </w:t>
      </w:r>
      <w:proofErr w:type="spellStart"/>
      <w:r w:rsidRPr="00166B77">
        <w:rPr>
          <w:sz w:val="22"/>
          <w:szCs w:val="22"/>
          <w:lang w:val="en-GB"/>
        </w:rPr>
        <w:t>Telmistartan</w:t>
      </w:r>
      <w:proofErr w:type="spellEnd"/>
      <w:r w:rsidRPr="00166B77">
        <w:rPr>
          <w:sz w:val="22"/>
          <w:szCs w:val="22"/>
          <w:lang w:val="en-GB"/>
        </w:rPr>
        <w:t xml:space="preserve"> Alone and in combination with Ramipril Global Endpoint Trial) </w:t>
      </w:r>
      <w:proofErr w:type="spellStart"/>
      <w:r w:rsidRPr="00166B77">
        <w:rPr>
          <w:sz w:val="22"/>
          <w:szCs w:val="22"/>
          <w:lang w:val="en-GB"/>
        </w:rPr>
        <w:t>i</w:t>
      </w:r>
      <w:proofErr w:type="spellEnd"/>
      <w:r w:rsidRPr="00166B77">
        <w:rPr>
          <w:sz w:val="22"/>
          <w:szCs w:val="22"/>
          <w:lang w:val="en-GB"/>
        </w:rPr>
        <w:t> VA NEPHRON</w:t>
      </w:r>
      <w:r w:rsidRPr="00166B77">
        <w:rPr>
          <w:sz w:val="22"/>
          <w:szCs w:val="22"/>
          <w:lang w:val="en-GB"/>
        </w:rPr>
        <w:noBreakHyphen/>
        <w:t>D (ang. </w:t>
      </w:r>
      <w:r w:rsidRPr="00DE4C52">
        <w:rPr>
          <w:sz w:val="22"/>
          <w:szCs w:val="22"/>
          <w:lang w:val="pl-PL"/>
        </w:rPr>
        <w:t>The Veterans Affairs Nefropathy in Diabetes) oceniono jednoczesne zastosowanie inhibitora ACE z blokerami receptora angiotensyny II.</w:t>
      </w:r>
    </w:p>
    <w:p w14:paraId="37B38310" w14:textId="78C1CB45" w:rsidR="00A610E1" w:rsidRPr="00BD22FE" w:rsidRDefault="00A610E1" w:rsidP="00A610E1">
      <w:pPr>
        <w:rPr>
          <w:sz w:val="22"/>
          <w:szCs w:val="22"/>
          <w:lang w:val="pl-PL"/>
        </w:rPr>
      </w:pPr>
      <w:r w:rsidRPr="00BD22FE">
        <w:rPr>
          <w:sz w:val="22"/>
          <w:szCs w:val="22"/>
          <w:lang w:val="pl-PL"/>
        </w:rPr>
        <w:t>Badanie ONTARGET było przeprowadzone z udziałem pacjentów z chorobami układu sercowo-naczyniowego, chorobami naczyń mózgowych w wywiadzie lub cukrzycą typu 2 z towarzyszącymi, udowodnionymi uszkodzeniami narządów docelowych. W celu uzyskania bardziej szczegółowych informacji patrz podpunkt „Zapobieganie chorobom sercowo-naczyniowym”.</w:t>
      </w:r>
    </w:p>
    <w:p w14:paraId="7CB7CE68" w14:textId="77777777" w:rsidR="00A610E1" w:rsidRPr="00BD22FE" w:rsidRDefault="00A610E1" w:rsidP="00A610E1">
      <w:pPr>
        <w:rPr>
          <w:sz w:val="22"/>
          <w:szCs w:val="22"/>
          <w:lang w:val="pl-PL"/>
        </w:rPr>
      </w:pPr>
      <w:r w:rsidRPr="00BD22FE">
        <w:rPr>
          <w:sz w:val="22"/>
          <w:szCs w:val="22"/>
          <w:lang w:val="pl-PL"/>
        </w:rPr>
        <w:t>Badanie VA NEPHRON</w:t>
      </w:r>
      <w:r w:rsidRPr="00BD22FE">
        <w:rPr>
          <w:sz w:val="22"/>
          <w:szCs w:val="22"/>
          <w:lang w:val="pl-PL"/>
        </w:rPr>
        <w:noBreakHyphen/>
        <w:t>D było przeprowadzone z udziałem pacjentów z cukrzycą typu 2 oraz z nefropatią cukrzycową.</w:t>
      </w:r>
    </w:p>
    <w:p w14:paraId="32766491" w14:textId="13207887" w:rsidR="00A610E1" w:rsidRPr="00BD22FE" w:rsidRDefault="00A610E1" w:rsidP="00A610E1">
      <w:pPr>
        <w:autoSpaceDE w:val="0"/>
        <w:autoSpaceDN w:val="0"/>
        <w:adjustRightInd w:val="0"/>
        <w:rPr>
          <w:sz w:val="22"/>
          <w:szCs w:val="22"/>
          <w:lang w:val="pl-PL"/>
        </w:rPr>
      </w:pPr>
      <w:r w:rsidRPr="00BD22FE">
        <w:rPr>
          <w:sz w:val="22"/>
          <w:szCs w:val="22"/>
          <w:lang w:val="pl-PL"/>
        </w:rPr>
        <w:t>Badania te wykazały brak istotnego korzystnego wpływu na parametry nerkowe i (lub) wyniki w zakresie chorobowości oraz śmiertelności sercowo-naczyniowej, podczas gdy zaobserwowano zwiększone ryzyko hiperkaliemii, ostrego uszkodzenia nerek i (lub) niedociśnienia, w porównaniu z monoterapią. Ze względu na podobieństwa w zakresie właściwości farmakodynamicznych tych leków, przytoczone wyniki również mają znaczenie w przypadku innych inhibitorów ACE oraz blokerów receptora angiotensyny II.</w:t>
      </w:r>
    </w:p>
    <w:p w14:paraId="02FCE107" w14:textId="3D0C1BF5" w:rsidR="00A610E1" w:rsidRPr="00BD22FE" w:rsidRDefault="00A610E1" w:rsidP="00A610E1">
      <w:pPr>
        <w:rPr>
          <w:sz w:val="22"/>
          <w:szCs w:val="22"/>
          <w:lang w:val="pl-PL"/>
        </w:rPr>
      </w:pPr>
      <w:r w:rsidRPr="00BD22FE">
        <w:rPr>
          <w:sz w:val="22"/>
          <w:szCs w:val="22"/>
          <w:lang w:val="pl-PL"/>
        </w:rPr>
        <w:t>Dlatego też u pacjentów z nefropatią cukrzycową nie należy jednocześnie stosować inhibitorów ACE oraz blokerów receptora angiotensyny II.</w:t>
      </w:r>
    </w:p>
    <w:p w14:paraId="3A516E8F" w14:textId="77777777" w:rsidR="00A610E1" w:rsidRPr="00BD22FE" w:rsidRDefault="00A610E1" w:rsidP="00A610E1">
      <w:pPr>
        <w:rPr>
          <w:sz w:val="22"/>
          <w:szCs w:val="22"/>
          <w:lang w:val="pl-PL"/>
        </w:rPr>
      </w:pPr>
    </w:p>
    <w:p w14:paraId="610B3373" w14:textId="3DA01FDC" w:rsidR="00A610E1" w:rsidRPr="00BD22FE" w:rsidRDefault="00A610E1" w:rsidP="00A610E1">
      <w:pPr>
        <w:rPr>
          <w:sz w:val="22"/>
          <w:szCs w:val="22"/>
          <w:lang w:val="pl-PL"/>
        </w:rPr>
      </w:pPr>
      <w:r w:rsidRPr="00BD22FE">
        <w:rPr>
          <w:sz w:val="22"/>
          <w:szCs w:val="22"/>
          <w:lang w:val="pl-PL"/>
        </w:rPr>
        <w:t xml:space="preserve">Badanie ALTITUDE (ang. Aliskiren Trial in Type 2 Diabetes Using Cardiovascular and Renal Disease Endpoints) było zaprojektowane w celu zbadania korzyści z dodania aliskirenu do </w:t>
      </w:r>
      <w:r w:rsidRPr="00BD22FE">
        <w:rPr>
          <w:sz w:val="22"/>
          <w:szCs w:val="22"/>
          <w:lang w:val="pl-PL"/>
        </w:rPr>
        <w:lastRenderedPageBreak/>
        <w:t>standardowego leczenia inhibitorem ACE lub blokerem receptora angiotensyny II u pacjentów z cukrzycą typu 2 i przewlekłą chorobą nerek i (lub) z chorobą układu sercowo-naczyniowego. Badanie zostało przedwcześnie przerwane z powodu zwiększonego ryzyka działań niepożądanych. Zgony sercowo-naczyniowe i udary mózgu występowały częściej w grupie otrzymującej aliskiren w odniesieniu do grupy placebo. W grupie otrzymującej aliskiren odnotowano również częstsze występowanie zdarzeń niepożądanych, w tym ciężkich zdarzeń niepożądanych (hiperkaliemia, niedociśnienie tętnicze i niewydolność nerek) względem grupy placebo.</w:t>
      </w:r>
    </w:p>
    <w:p w14:paraId="05C1A8E9" w14:textId="77777777" w:rsidR="00A610E1" w:rsidRPr="00BD22FE" w:rsidRDefault="00A610E1" w:rsidP="00A610E1">
      <w:pPr>
        <w:pStyle w:val="BodyText"/>
        <w:spacing w:line="240" w:lineRule="auto"/>
        <w:jc w:val="left"/>
        <w:rPr>
          <w:sz w:val="22"/>
          <w:szCs w:val="22"/>
          <w:lang w:val="pl-PL"/>
        </w:rPr>
      </w:pPr>
    </w:p>
    <w:p w14:paraId="717995DC" w14:textId="42F31642" w:rsidR="00A610E1" w:rsidRPr="00BD22FE" w:rsidRDefault="00A610E1" w:rsidP="00A610E1">
      <w:pPr>
        <w:pStyle w:val="BodyText"/>
        <w:spacing w:line="240" w:lineRule="auto"/>
        <w:jc w:val="left"/>
        <w:rPr>
          <w:sz w:val="22"/>
          <w:szCs w:val="22"/>
          <w:lang w:val="pl-PL"/>
        </w:rPr>
      </w:pPr>
      <w:r w:rsidRPr="00BD22FE">
        <w:rPr>
          <w:sz w:val="22"/>
          <w:szCs w:val="22"/>
          <w:lang w:val="pl-PL"/>
        </w:rPr>
        <w:t>Badania epidemiologiczne nad długotrwałym stosowaniem HCTZ wykazały, że redukuje on ryzyko śmiertelności i zachorowalności z przyczyn sercowo-naczyniowych.</w:t>
      </w:r>
    </w:p>
    <w:p w14:paraId="607700FF" w14:textId="77777777" w:rsidR="00A610E1" w:rsidRPr="00BD22FE" w:rsidRDefault="00A610E1" w:rsidP="00A610E1">
      <w:pPr>
        <w:pStyle w:val="BodyText"/>
        <w:spacing w:line="240" w:lineRule="auto"/>
        <w:jc w:val="left"/>
        <w:rPr>
          <w:sz w:val="22"/>
          <w:szCs w:val="22"/>
          <w:lang w:val="pl-PL"/>
        </w:rPr>
      </w:pPr>
    </w:p>
    <w:p w14:paraId="506E1C04" w14:textId="02A9CBEE" w:rsidR="00A610E1" w:rsidRPr="00BD22FE" w:rsidRDefault="00A610E1" w:rsidP="00A610E1">
      <w:pPr>
        <w:pStyle w:val="BodyText"/>
        <w:spacing w:line="240" w:lineRule="auto"/>
        <w:jc w:val="left"/>
        <w:rPr>
          <w:sz w:val="22"/>
          <w:szCs w:val="22"/>
          <w:lang w:val="pl-PL"/>
        </w:rPr>
      </w:pPr>
      <w:r w:rsidRPr="00BD22FE">
        <w:rPr>
          <w:sz w:val="22"/>
          <w:szCs w:val="22"/>
          <w:lang w:val="pl-PL"/>
        </w:rPr>
        <w:t>Wpływ połączenia stałych dawek telmisartanu i hydrochlorotiazydu na śmiertelność i zachorowalność z przyczyn sercowo-naczyniowych jest dotychczas niepoznany.</w:t>
      </w:r>
    </w:p>
    <w:p w14:paraId="2B359614" w14:textId="77777777" w:rsidR="00A610E1" w:rsidRPr="00BD22FE" w:rsidRDefault="00A610E1" w:rsidP="00A610E1">
      <w:pPr>
        <w:pStyle w:val="BodyText"/>
        <w:spacing w:line="240" w:lineRule="auto"/>
        <w:jc w:val="left"/>
        <w:rPr>
          <w:sz w:val="22"/>
          <w:szCs w:val="22"/>
          <w:lang w:val="pl-PL"/>
        </w:rPr>
      </w:pPr>
    </w:p>
    <w:p w14:paraId="41CB41D3" w14:textId="77777777" w:rsidR="00A610E1" w:rsidRPr="00BD22FE" w:rsidRDefault="00A610E1" w:rsidP="00A610E1">
      <w:pPr>
        <w:pStyle w:val="BodyText"/>
        <w:spacing w:line="240" w:lineRule="auto"/>
        <w:jc w:val="left"/>
        <w:rPr>
          <w:sz w:val="22"/>
          <w:szCs w:val="22"/>
          <w:lang w:val="pl-PL"/>
        </w:rPr>
      </w:pPr>
      <w:r w:rsidRPr="00BD22FE">
        <w:rPr>
          <w:sz w:val="22"/>
          <w:szCs w:val="22"/>
          <w:lang w:val="pl-PL"/>
        </w:rPr>
        <w:t>Nieczerniakowe nowotwory złośliwe skóry</w:t>
      </w:r>
    </w:p>
    <w:p w14:paraId="2DA91D36" w14:textId="71B94B5B" w:rsidR="00A610E1" w:rsidRPr="00BD22FE" w:rsidRDefault="00A610E1" w:rsidP="00A610E1">
      <w:pPr>
        <w:pStyle w:val="BodyText"/>
        <w:spacing w:line="240" w:lineRule="auto"/>
        <w:jc w:val="left"/>
        <w:rPr>
          <w:sz w:val="22"/>
          <w:szCs w:val="22"/>
          <w:lang w:val="pl-PL"/>
        </w:rPr>
      </w:pPr>
      <w:r w:rsidRPr="00BD22FE">
        <w:rPr>
          <w:sz w:val="22"/>
          <w:szCs w:val="22"/>
          <w:lang w:val="pl-PL"/>
        </w:rPr>
        <w:t>Na podstawie danych dostępnych z badań epidemiologicznych stwierdzono związek między skumulowaną dawką HCTZ a występowaniem NMSC. Jedno badanie obejmowało 71 533 przypadki z BCC i 8 629 przypadków z SCC, które porównywano z grupami kontrolnymi z tej samej populacji obejmującymi odpowiednio 1 430 833 i 172 462 osoby. Duży stopień narażenia na HCTZ (skumulowana dawka ≥ 50 000 mg) wiązał się ze skorygowanym OR dla BCC rzędu 1,29 (95% CI: 1,23</w:t>
      </w:r>
      <w:r w:rsidRPr="00BD22FE">
        <w:rPr>
          <w:sz w:val="22"/>
          <w:szCs w:val="22"/>
          <w:lang w:val="pl-PL"/>
        </w:rPr>
        <w:noBreakHyphen/>
        <w:t>1,35), a dla SCC rzędu 3,98 (95% CI: 3,68</w:t>
      </w:r>
      <w:r w:rsidRPr="00BD22FE">
        <w:rPr>
          <w:sz w:val="22"/>
          <w:szCs w:val="22"/>
          <w:lang w:val="pl-PL"/>
        </w:rPr>
        <w:noBreakHyphen/>
        <w:t>4,31). Stwierdzono wyraźną zależność między skumulowaną dawką a odpowiedzią zarówno w przypadku BCC, jak i SCC. W innym badaniu wykazano możliwy związek stopnia narażenia na HCTZ z występowaniem nowotworów złośliwych warg (SCC): w badaniu porównywano 633 przypadki nowotworów złośliwych warg i 63 067 osób z tej samej populacji tworzących grupę kontrolną z zastosowaniem strategii jednoczesnego zbioru ryzyka. Stwierdzono zależność między skumulowaną dawką a odpowiedzią ze skorygowanym OR rzędu 2,1 (95% CI: 1,7</w:t>
      </w:r>
      <w:r w:rsidRPr="00BD22FE">
        <w:rPr>
          <w:sz w:val="22"/>
          <w:szCs w:val="22"/>
          <w:lang w:val="pl-PL"/>
        </w:rPr>
        <w:noBreakHyphen/>
        <w:t>2,6), które wzrastało do OR 3,9 (3,0</w:t>
      </w:r>
      <w:r w:rsidRPr="00BD22FE">
        <w:rPr>
          <w:sz w:val="22"/>
          <w:szCs w:val="22"/>
          <w:lang w:val="pl-PL"/>
        </w:rPr>
        <w:noBreakHyphen/>
        <w:t>4,9) w przypadku dużego stopnia narażenia (~25 000 mg) i OR 7,7 (5,7</w:t>
      </w:r>
      <w:r w:rsidRPr="00BD22FE">
        <w:rPr>
          <w:sz w:val="22"/>
          <w:szCs w:val="22"/>
          <w:lang w:val="pl-PL"/>
        </w:rPr>
        <w:noBreakHyphen/>
        <w:t>10,5) dla największych skumulowanych dawek (~100 000 mg) (patrz również punkt 4.4).</w:t>
      </w:r>
    </w:p>
    <w:p w14:paraId="4BD26720" w14:textId="77777777" w:rsidR="00A610E1" w:rsidRPr="00BD22FE" w:rsidRDefault="00A610E1" w:rsidP="00A610E1">
      <w:pPr>
        <w:pStyle w:val="BodyText"/>
        <w:spacing w:line="240" w:lineRule="auto"/>
        <w:jc w:val="left"/>
        <w:rPr>
          <w:sz w:val="22"/>
          <w:szCs w:val="22"/>
          <w:lang w:val="pl-PL"/>
        </w:rPr>
      </w:pPr>
    </w:p>
    <w:p w14:paraId="61CB0D8A" w14:textId="77777777" w:rsidR="00A610E1" w:rsidRPr="00BD22FE" w:rsidRDefault="00A610E1" w:rsidP="00A610E1">
      <w:pPr>
        <w:pStyle w:val="BodyText"/>
        <w:keepNext/>
        <w:spacing w:line="240" w:lineRule="auto"/>
        <w:jc w:val="left"/>
        <w:rPr>
          <w:sz w:val="22"/>
          <w:szCs w:val="22"/>
          <w:u w:val="single"/>
          <w:lang w:val="pl-PL"/>
        </w:rPr>
      </w:pPr>
      <w:r w:rsidRPr="00BD22FE">
        <w:rPr>
          <w:sz w:val="22"/>
          <w:szCs w:val="22"/>
          <w:u w:val="single"/>
          <w:lang w:val="pl-PL"/>
        </w:rPr>
        <w:t>Dzieci i młodzież</w:t>
      </w:r>
    </w:p>
    <w:p w14:paraId="45D35BF2" w14:textId="77777777" w:rsidR="00A610E1" w:rsidRPr="00BD22FE" w:rsidRDefault="00A610E1" w:rsidP="00A610E1">
      <w:pPr>
        <w:pStyle w:val="BodyText"/>
        <w:spacing w:line="240" w:lineRule="auto"/>
        <w:jc w:val="left"/>
        <w:rPr>
          <w:sz w:val="22"/>
          <w:szCs w:val="22"/>
          <w:lang w:val="pl-PL"/>
        </w:rPr>
      </w:pPr>
      <w:r w:rsidRPr="00BD22FE">
        <w:rPr>
          <w:sz w:val="22"/>
          <w:szCs w:val="22"/>
          <w:lang w:val="pl-PL"/>
        </w:rPr>
        <w:t>Europejska Agencja Leków uchyliła obowiązek dołączania wyników badań produktu leczniczego MicardisPlus we wszystkich podgrupach populacji dzieci i młodzieży w nadciśnieniu tętniczym (stosowanie u dzieci i młodzieży, patrz punkt 4.2).</w:t>
      </w:r>
    </w:p>
    <w:p w14:paraId="587B3392" w14:textId="77777777" w:rsidR="00A610E1" w:rsidRPr="00BD22FE" w:rsidRDefault="00A610E1" w:rsidP="00A610E1">
      <w:pPr>
        <w:pStyle w:val="BodyText"/>
        <w:spacing w:line="240" w:lineRule="auto"/>
        <w:jc w:val="left"/>
        <w:rPr>
          <w:sz w:val="22"/>
          <w:szCs w:val="22"/>
          <w:lang w:val="pl-PL"/>
        </w:rPr>
      </w:pPr>
    </w:p>
    <w:p w14:paraId="09764E05" w14:textId="77777777" w:rsidR="00A610E1" w:rsidRPr="00BD22FE" w:rsidRDefault="00A610E1" w:rsidP="00A610E1">
      <w:pPr>
        <w:pStyle w:val="BodyText"/>
        <w:keepNext/>
        <w:spacing w:line="240" w:lineRule="auto"/>
        <w:ind w:left="567" w:hanging="567"/>
        <w:jc w:val="left"/>
        <w:rPr>
          <w:b/>
          <w:sz w:val="22"/>
          <w:szCs w:val="22"/>
          <w:lang w:val="pl-PL"/>
        </w:rPr>
      </w:pPr>
      <w:r w:rsidRPr="00BD22FE">
        <w:rPr>
          <w:b/>
          <w:sz w:val="22"/>
          <w:szCs w:val="22"/>
          <w:lang w:val="pl-PL"/>
        </w:rPr>
        <w:t>5.2</w:t>
      </w:r>
      <w:r w:rsidRPr="00BD22FE">
        <w:rPr>
          <w:b/>
          <w:sz w:val="22"/>
          <w:szCs w:val="22"/>
          <w:lang w:val="pl-PL"/>
        </w:rPr>
        <w:tab/>
        <w:t>Właściwości farmakokinetyczne</w:t>
      </w:r>
    </w:p>
    <w:p w14:paraId="1A9BD176" w14:textId="77777777" w:rsidR="00A610E1" w:rsidRPr="00BD22FE" w:rsidRDefault="00A610E1" w:rsidP="00A610E1">
      <w:pPr>
        <w:pStyle w:val="BodyText"/>
        <w:keepNext/>
        <w:spacing w:line="240" w:lineRule="auto"/>
        <w:jc w:val="left"/>
        <w:rPr>
          <w:sz w:val="22"/>
          <w:szCs w:val="22"/>
          <w:lang w:val="pl-PL"/>
        </w:rPr>
      </w:pPr>
    </w:p>
    <w:p w14:paraId="66BF65D2" w14:textId="6C8CD645" w:rsidR="00A610E1" w:rsidRPr="00BD22FE" w:rsidRDefault="00A610E1" w:rsidP="00A610E1">
      <w:pPr>
        <w:pStyle w:val="BodyText"/>
        <w:spacing w:line="240" w:lineRule="auto"/>
        <w:jc w:val="left"/>
        <w:rPr>
          <w:sz w:val="22"/>
          <w:szCs w:val="22"/>
          <w:lang w:val="pl-PL"/>
        </w:rPr>
      </w:pPr>
      <w:r w:rsidRPr="00BD22FE">
        <w:rPr>
          <w:sz w:val="22"/>
          <w:szCs w:val="22"/>
          <w:lang w:val="pl-PL"/>
        </w:rPr>
        <w:t>Jednoczesne podawanie HCTZ i telmisartanu zdaje się nie wpływać u zdrowych pacjentów na farmakokinetykę żadnej z substancji.</w:t>
      </w:r>
    </w:p>
    <w:p w14:paraId="57B20DD7" w14:textId="77777777" w:rsidR="00A610E1" w:rsidRPr="00BD22FE" w:rsidRDefault="00A610E1" w:rsidP="00A610E1">
      <w:pPr>
        <w:pStyle w:val="BodyText"/>
        <w:spacing w:line="240" w:lineRule="auto"/>
        <w:jc w:val="left"/>
        <w:rPr>
          <w:sz w:val="22"/>
          <w:szCs w:val="22"/>
          <w:lang w:val="pl-PL"/>
        </w:rPr>
      </w:pPr>
    </w:p>
    <w:p w14:paraId="64C9E82A" w14:textId="77777777" w:rsidR="00A610E1" w:rsidRPr="00BD22FE" w:rsidRDefault="00A610E1" w:rsidP="00A610E1">
      <w:pPr>
        <w:pStyle w:val="BodyText"/>
        <w:keepNext/>
        <w:spacing w:line="240" w:lineRule="auto"/>
        <w:jc w:val="left"/>
        <w:rPr>
          <w:sz w:val="22"/>
          <w:szCs w:val="22"/>
          <w:lang w:val="pl-PL"/>
        </w:rPr>
      </w:pPr>
      <w:r w:rsidRPr="00BD22FE">
        <w:rPr>
          <w:sz w:val="22"/>
          <w:szCs w:val="22"/>
          <w:u w:val="single"/>
          <w:lang w:val="pl-PL"/>
        </w:rPr>
        <w:t>Wchłanianie</w:t>
      </w:r>
    </w:p>
    <w:p w14:paraId="30DC8526" w14:textId="0582284E" w:rsidR="00A610E1" w:rsidRPr="00BD22FE" w:rsidRDefault="00A610E1" w:rsidP="00A610E1">
      <w:pPr>
        <w:pStyle w:val="BodyText"/>
        <w:spacing w:line="240" w:lineRule="auto"/>
        <w:jc w:val="left"/>
        <w:rPr>
          <w:sz w:val="22"/>
          <w:szCs w:val="22"/>
          <w:lang w:val="pl-PL"/>
        </w:rPr>
      </w:pPr>
      <w:r w:rsidRPr="00BD22FE">
        <w:rPr>
          <w:sz w:val="22"/>
          <w:szCs w:val="22"/>
          <w:lang w:val="pl-PL"/>
        </w:rPr>
        <w:t>Telmisartan: Po podaniu doustnym maksymalne stężenie telmisartanu jest osiągane po 0,5 do 1,5 godziny. Biodostępność bezwzględna telmisartanu w dawkach 40 mg i 160 mg wynosiła odpowiednio 42% i 58%. Pokarm nieznacznie zmniejsza biodostępność telmisartanu, pole pod krzywą zależności stężenia w osoczu od czasu (AUC) zmniejsza się o około 6% po podaniu tabletki 40 mg i o około 19% po dawce 160 mg. Po 3 godzinach od podania stężenie telmisartanu w osoczu osiąga podobny poziom, niezależnie od tego czy telmisartan był przyjęty na czczo czy po posiłku. Niewielkie zmniejszenie pola pod krzywą (AUC) nie powinno powodować zmniejszenia skuteczności terapeutycznej. Podczas powtarzanego podawania telmisartan nie kumuluje się znacząco w osoczu.</w:t>
      </w:r>
    </w:p>
    <w:p w14:paraId="16ECE03E" w14:textId="56C66176" w:rsidR="00A610E1" w:rsidRPr="00BD22FE" w:rsidRDefault="00A610E1" w:rsidP="00A610E1">
      <w:pPr>
        <w:pStyle w:val="BodyText"/>
        <w:spacing w:line="240" w:lineRule="auto"/>
        <w:jc w:val="left"/>
        <w:rPr>
          <w:sz w:val="22"/>
          <w:szCs w:val="22"/>
          <w:lang w:val="pl-PL"/>
        </w:rPr>
      </w:pPr>
      <w:r w:rsidRPr="00BD22FE">
        <w:rPr>
          <w:sz w:val="22"/>
          <w:szCs w:val="22"/>
          <w:lang w:val="pl-PL"/>
        </w:rPr>
        <w:t>Hydrochlorotiazyd: Po doustnym podaniu złożonego produktu leczniczego o ustalonej dawce maksymalne stężenie HCTZ zostaje osiągnięte po około 1 do 3 godzin. Na podstawie skumulowanego wydalania nerkowego HCTZ jego biodostępność bezwzględna wynosiła około 60%.</w:t>
      </w:r>
    </w:p>
    <w:p w14:paraId="18637169" w14:textId="77777777" w:rsidR="00A610E1" w:rsidRPr="00BD22FE" w:rsidRDefault="00A610E1" w:rsidP="00A610E1">
      <w:pPr>
        <w:pStyle w:val="BodyText"/>
        <w:spacing w:line="240" w:lineRule="auto"/>
        <w:jc w:val="left"/>
        <w:rPr>
          <w:sz w:val="22"/>
          <w:szCs w:val="22"/>
          <w:lang w:val="pl-PL"/>
        </w:rPr>
      </w:pPr>
    </w:p>
    <w:p w14:paraId="3A02762D" w14:textId="77777777" w:rsidR="00A610E1" w:rsidRPr="00BD22FE" w:rsidRDefault="00A610E1" w:rsidP="00A610E1">
      <w:pPr>
        <w:pStyle w:val="BodyText"/>
        <w:keepNext/>
        <w:spacing w:line="240" w:lineRule="auto"/>
        <w:jc w:val="left"/>
        <w:rPr>
          <w:sz w:val="22"/>
          <w:szCs w:val="22"/>
          <w:lang w:val="pl-PL"/>
        </w:rPr>
      </w:pPr>
      <w:r w:rsidRPr="00BD22FE">
        <w:rPr>
          <w:sz w:val="22"/>
          <w:szCs w:val="22"/>
          <w:u w:val="single"/>
          <w:lang w:val="pl-PL"/>
        </w:rPr>
        <w:t>Dystrybucja</w:t>
      </w:r>
    </w:p>
    <w:p w14:paraId="0B7C7C8F" w14:textId="77777777" w:rsidR="00A610E1" w:rsidRPr="00BD22FE" w:rsidRDefault="00A610E1" w:rsidP="00A610E1">
      <w:pPr>
        <w:pStyle w:val="BodyText"/>
        <w:spacing w:line="240" w:lineRule="auto"/>
        <w:jc w:val="left"/>
        <w:rPr>
          <w:sz w:val="22"/>
          <w:szCs w:val="22"/>
          <w:lang w:val="pl-PL"/>
        </w:rPr>
      </w:pPr>
      <w:r w:rsidRPr="00BD22FE">
        <w:rPr>
          <w:sz w:val="22"/>
          <w:szCs w:val="22"/>
          <w:lang w:val="pl-PL"/>
        </w:rPr>
        <w:t>Telmisartan silnie wiąże się z białkami osocza (&gt; 99,5%), głównie z albuminą i z kwaśną glikoproteiną alfa</w:t>
      </w:r>
      <w:r w:rsidRPr="00BD22FE">
        <w:rPr>
          <w:sz w:val="22"/>
          <w:szCs w:val="22"/>
          <w:lang w:val="pl-PL"/>
        </w:rPr>
        <w:noBreakHyphen/>
        <w:t>1. Pozorna objętość dystrybucji telmisartanu wynosi około 500 litrów, wskazuje na dodatkowe łączenie się z tkankami.</w:t>
      </w:r>
    </w:p>
    <w:p w14:paraId="41C3361E" w14:textId="77777777" w:rsidR="00A610E1" w:rsidRPr="00BD22FE" w:rsidRDefault="00A610E1" w:rsidP="00A610E1">
      <w:pPr>
        <w:pStyle w:val="BodyText"/>
        <w:spacing w:line="240" w:lineRule="auto"/>
        <w:jc w:val="left"/>
        <w:rPr>
          <w:sz w:val="22"/>
          <w:szCs w:val="22"/>
          <w:lang w:val="pl-PL"/>
        </w:rPr>
      </w:pPr>
      <w:r w:rsidRPr="00BD22FE">
        <w:rPr>
          <w:sz w:val="22"/>
          <w:szCs w:val="22"/>
          <w:lang w:val="pl-PL"/>
        </w:rPr>
        <w:lastRenderedPageBreak/>
        <w:t>Hydrochlorotiazyd wiąże się z białkami osocza w 64%, a jego pozorna objętość dystrybucji wynosi 0,8 ± 0,3 l/kg.</w:t>
      </w:r>
    </w:p>
    <w:p w14:paraId="78FFF144" w14:textId="77777777" w:rsidR="00A610E1" w:rsidRPr="00BD22FE" w:rsidRDefault="00A610E1" w:rsidP="00A610E1">
      <w:pPr>
        <w:pStyle w:val="BodyText"/>
        <w:spacing w:line="240" w:lineRule="auto"/>
        <w:jc w:val="left"/>
        <w:rPr>
          <w:sz w:val="22"/>
          <w:szCs w:val="22"/>
          <w:lang w:val="pl-PL"/>
        </w:rPr>
      </w:pPr>
    </w:p>
    <w:p w14:paraId="0DD7ABC7" w14:textId="77777777" w:rsidR="00A610E1" w:rsidRPr="00BD22FE" w:rsidRDefault="00A610E1" w:rsidP="00A610E1">
      <w:pPr>
        <w:keepNext/>
        <w:rPr>
          <w:sz w:val="22"/>
          <w:szCs w:val="22"/>
          <w:u w:val="single"/>
          <w:lang w:val="pl-PL"/>
        </w:rPr>
      </w:pPr>
      <w:r w:rsidRPr="00BD22FE">
        <w:rPr>
          <w:sz w:val="22"/>
          <w:szCs w:val="22"/>
          <w:u w:val="single"/>
          <w:lang w:val="pl-PL"/>
        </w:rPr>
        <w:t>Metabolizm</w:t>
      </w:r>
    </w:p>
    <w:p w14:paraId="25E59E54" w14:textId="77777777" w:rsidR="00A610E1" w:rsidRPr="00BD22FE" w:rsidRDefault="00A610E1" w:rsidP="00A610E1">
      <w:pPr>
        <w:rPr>
          <w:sz w:val="22"/>
          <w:szCs w:val="22"/>
          <w:lang w:val="pl-PL"/>
        </w:rPr>
      </w:pPr>
      <w:r w:rsidRPr="00BD22FE">
        <w:rPr>
          <w:sz w:val="22"/>
          <w:szCs w:val="22"/>
          <w:lang w:val="pl-PL"/>
        </w:rPr>
        <w:t>Telmisartan jest metabolizowany przez sprzęganie do farmakologicznie nieaktywnego acyloglukuronidu. Glukuronid związku macierzystego jest jedynym metabolitem znalezionym u ludzi. Po podaniu pojedynczej dawki znakowanego </w:t>
      </w:r>
      <w:r w:rsidRPr="00BD22FE">
        <w:rPr>
          <w:szCs w:val="22"/>
          <w:vertAlign w:val="superscript"/>
          <w:lang w:val="pl-PL"/>
        </w:rPr>
        <w:t>14</w:t>
      </w:r>
      <w:r w:rsidRPr="00BD22FE">
        <w:rPr>
          <w:szCs w:val="22"/>
          <w:lang w:val="pl-PL"/>
        </w:rPr>
        <w:t>C</w:t>
      </w:r>
      <w:r w:rsidRPr="00BD22FE">
        <w:rPr>
          <w:sz w:val="22"/>
          <w:szCs w:val="22"/>
          <w:lang w:val="pl-PL"/>
        </w:rPr>
        <w:t xml:space="preserve"> telmisartanu glukuronid stanowił około 11% mierzonej radioaktywności w osoczu. W metabolizmie telmisartanu nie biorą udziału izoenzymy cytochrom P450.</w:t>
      </w:r>
    </w:p>
    <w:p w14:paraId="74F7B65B" w14:textId="77777777" w:rsidR="00A610E1" w:rsidRPr="00BD22FE" w:rsidRDefault="00A610E1" w:rsidP="00A610E1">
      <w:pPr>
        <w:rPr>
          <w:sz w:val="22"/>
          <w:szCs w:val="22"/>
          <w:lang w:val="pl-PL"/>
        </w:rPr>
      </w:pPr>
      <w:r w:rsidRPr="00BD22FE">
        <w:rPr>
          <w:sz w:val="22"/>
          <w:szCs w:val="22"/>
          <w:lang w:val="pl-PL"/>
        </w:rPr>
        <w:t>Hydrochlorotiazyd nie jest metabolizowany w organizmie ludzkim.</w:t>
      </w:r>
    </w:p>
    <w:p w14:paraId="5E1BC9F3" w14:textId="77777777" w:rsidR="00A610E1" w:rsidRPr="00BD22FE" w:rsidRDefault="00A610E1" w:rsidP="00A610E1">
      <w:pPr>
        <w:rPr>
          <w:sz w:val="22"/>
          <w:szCs w:val="22"/>
          <w:u w:val="single"/>
          <w:lang w:val="pl-PL"/>
        </w:rPr>
      </w:pPr>
    </w:p>
    <w:p w14:paraId="6B1F6A15" w14:textId="77777777" w:rsidR="00A610E1" w:rsidRPr="00BD22FE" w:rsidRDefault="00A610E1" w:rsidP="00A610E1">
      <w:pPr>
        <w:keepNext/>
        <w:rPr>
          <w:sz w:val="22"/>
          <w:szCs w:val="22"/>
          <w:u w:val="single"/>
          <w:lang w:val="pl-PL"/>
        </w:rPr>
      </w:pPr>
      <w:r w:rsidRPr="00BD22FE">
        <w:rPr>
          <w:sz w:val="22"/>
          <w:szCs w:val="22"/>
          <w:u w:val="single"/>
          <w:lang w:val="pl-PL"/>
        </w:rPr>
        <w:t>Eliminacja</w:t>
      </w:r>
    </w:p>
    <w:p w14:paraId="2F359CAB" w14:textId="78241081" w:rsidR="00A610E1" w:rsidRPr="00BD22FE" w:rsidRDefault="00A610E1" w:rsidP="00A610E1">
      <w:pPr>
        <w:rPr>
          <w:sz w:val="22"/>
          <w:szCs w:val="22"/>
          <w:lang w:val="pl-PL"/>
        </w:rPr>
      </w:pPr>
      <w:r w:rsidRPr="00BD22FE">
        <w:rPr>
          <w:sz w:val="22"/>
          <w:szCs w:val="22"/>
          <w:lang w:val="pl-PL"/>
        </w:rPr>
        <w:t>Telmisartan: Po podaniu dożylnym lub doustnym telmisartanu znakowanego węglem </w:t>
      </w:r>
      <w:r w:rsidRPr="00BD22FE">
        <w:rPr>
          <w:szCs w:val="22"/>
          <w:vertAlign w:val="superscript"/>
          <w:lang w:val="pl-PL"/>
        </w:rPr>
        <w:t>14</w:t>
      </w:r>
      <w:r w:rsidRPr="00BD22FE">
        <w:rPr>
          <w:szCs w:val="22"/>
          <w:lang w:val="pl-PL"/>
        </w:rPr>
        <w:t>C</w:t>
      </w:r>
      <w:r w:rsidRPr="00BD22FE">
        <w:rPr>
          <w:sz w:val="22"/>
          <w:szCs w:val="22"/>
          <w:lang w:val="pl-PL"/>
        </w:rPr>
        <w:t xml:space="preserve"> większa część podanej dawki (&gt; 97%) została usunięta z kałem drogą wydalania żółciowego. Jedynie niewielkie ilości zostały wykryte w moczu. Całkowity klirens osoczowy telmisartanu po podaniu doustnym wynosi &gt; 1 500 ml/min. Końcowy okres półtrwania w fazie eliminacji wynosił &gt; 20 godzin.</w:t>
      </w:r>
    </w:p>
    <w:p w14:paraId="36C81B79" w14:textId="1A9A12C9" w:rsidR="00A610E1" w:rsidRPr="00BD22FE" w:rsidRDefault="00A610E1" w:rsidP="00A610E1">
      <w:pPr>
        <w:rPr>
          <w:sz w:val="22"/>
          <w:szCs w:val="22"/>
          <w:lang w:val="pl-PL"/>
        </w:rPr>
      </w:pPr>
      <w:r w:rsidRPr="00BD22FE">
        <w:rPr>
          <w:rFonts w:eastAsia="MS Mincho"/>
          <w:sz w:val="22"/>
          <w:szCs w:val="22"/>
          <w:lang w:val="pl-PL" w:eastAsia="ja-JP" w:bidi="hi-IN"/>
        </w:rPr>
        <w:t xml:space="preserve">Hydrochlorotiazyd jest prawie całkowicie wydalany w postaci niezmienionej w moczu. </w:t>
      </w:r>
      <w:r w:rsidRPr="00BD22FE">
        <w:rPr>
          <w:sz w:val="22"/>
          <w:szCs w:val="22"/>
          <w:lang w:val="pl-PL"/>
        </w:rPr>
        <w:t>Około 60% dawki doustnej jest eliminowane w ciągu 48 godzin. Klirens nerkowy wynosi około 250</w:t>
      </w:r>
      <w:r w:rsidRPr="00BD22FE">
        <w:rPr>
          <w:sz w:val="22"/>
          <w:szCs w:val="22"/>
          <w:lang w:val="pl-PL"/>
        </w:rPr>
        <w:noBreakHyphen/>
        <w:t xml:space="preserve">300 ml/min. Końcowy okres półtrwania </w:t>
      </w:r>
      <w:r w:rsidRPr="00BD22FE">
        <w:rPr>
          <w:rFonts w:eastAsia="MS Mincho"/>
          <w:sz w:val="22"/>
          <w:szCs w:val="22"/>
          <w:lang w:val="pl-PL" w:eastAsia="ja-JP" w:bidi="hi-IN"/>
        </w:rPr>
        <w:t>hydrochlorotiazydu</w:t>
      </w:r>
      <w:r w:rsidRPr="00BD22FE">
        <w:rPr>
          <w:sz w:val="22"/>
          <w:szCs w:val="22"/>
          <w:lang w:val="pl-PL"/>
        </w:rPr>
        <w:t xml:space="preserve"> w fazie eliminacji wynosi 10 do 15 godzin.</w:t>
      </w:r>
    </w:p>
    <w:p w14:paraId="35D2B225" w14:textId="77777777" w:rsidR="00A610E1" w:rsidRPr="00BD22FE" w:rsidRDefault="00A610E1" w:rsidP="00A610E1">
      <w:pPr>
        <w:rPr>
          <w:sz w:val="22"/>
          <w:szCs w:val="22"/>
          <w:lang w:val="pl-PL"/>
        </w:rPr>
      </w:pPr>
    </w:p>
    <w:p w14:paraId="6F091054" w14:textId="77777777" w:rsidR="00A610E1" w:rsidRPr="00BD22FE" w:rsidRDefault="00A610E1" w:rsidP="00A610E1">
      <w:pPr>
        <w:keepNext/>
        <w:rPr>
          <w:sz w:val="22"/>
          <w:szCs w:val="22"/>
          <w:u w:val="single"/>
          <w:lang w:val="pl-PL"/>
        </w:rPr>
      </w:pPr>
      <w:r w:rsidRPr="00BD22FE">
        <w:rPr>
          <w:sz w:val="22"/>
          <w:szCs w:val="22"/>
          <w:u w:val="single"/>
          <w:lang w:val="pl-PL"/>
        </w:rPr>
        <w:t>Liniowość lub nieliniowość</w:t>
      </w:r>
    </w:p>
    <w:p w14:paraId="0ACB7EE1" w14:textId="23CF6E7B" w:rsidR="00A610E1" w:rsidRPr="00BD22FE" w:rsidRDefault="00A610E1" w:rsidP="00A610E1">
      <w:pPr>
        <w:pStyle w:val="BodyText"/>
        <w:spacing w:line="240" w:lineRule="auto"/>
        <w:jc w:val="left"/>
        <w:rPr>
          <w:sz w:val="22"/>
          <w:szCs w:val="22"/>
          <w:lang w:val="pl-PL"/>
        </w:rPr>
      </w:pPr>
      <w:r w:rsidRPr="00BD22FE">
        <w:rPr>
          <w:sz w:val="22"/>
          <w:szCs w:val="22"/>
          <w:lang w:val="pl-PL"/>
        </w:rPr>
        <w:t>Telmisartan: Farmakokinetyka doustnie podanego telmisartanu jest nieliniowa w zakresie dawek od 20 mg do 160 mg ze wzrostem stężenia w osoczu (C</w:t>
      </w:r>
      <w:r w:rsidRPr="00BD22FE">
        <w:rPr>
          <w:sz w:val="22"/>
          <w:szCs w:val="22"/>
          <w:vertAlign w:val="subscript"/>
          <w:lang w:val="pl-PL"/>
        </w:rPr>
        <w:t xml:space="preserve">max </w:t>
      </w:r>
      <w:r w:rsidRPr="00BD22FE">
        <w:rPr>
          <w:sz w:val="22"/>
          <w:szCs w:val="22"/>
          <w:lang w:val="pl-PL"/>
        </w:rPr>
        <w:t>i AUC) większym niż proporcjonalny do wzrostu dawki. Podczas wielokrotnego podawania telmisartan nie kumuluje się znacząco w osoczu.</w:t>
      </w:r>
    </w:p>
    <w:p w14:paraId="3BCF2AD8" w14:textId="77777777" w:rsidR="00A610E1" w:rsidRPr="00BD22FE" w:rsidRDefault="00A610E1" w:rsidP="00A610E1">
      <w:pPr>
        <w:pStyle w:val="BodyText"/>
        <w:spacing w:line="240" w:lineRule="auto"/>
        <w:jc w:val="left"/>
        <w:rPr>
          <w:sz w:val="22"/>
          <w:szCs w:val="22"/>
          <w:lang w:val="pl-PL"/>
        </w:rPr>
      </w:pPr>
      <w:r w:rsidRPr="00BD22FE">
        <w:rPr>
          <w:sz w:val="22"/>
          <w:szCs w:val="22"/>
          <w:lang w:val="pl-PL"/>
        </w:rPr>
        <w:t>Hydrochlorotiazyd wykazuje farmakokinetykę liniową.</w:t>
      </w:r>
    </w:p>
    <w:p w14:paraId="15AB87A6" w14:textId="77777777" w:rsidR="00A610E1" w:rsidRPr="00BD22FE" w:rsidRDefault="00A610E1" w:rsidP="00A610E1">
      <w:pPr>
        <w:pStyle w:val="BodyText"/>
        <w:spacing w:line="240" w:lineRule="auto"/>
        <w:jc w:val="left"/>
        <w:rPr>
          <w:sz w:val="22"/>
          <w:szCs w:val="22"/>
          <w:lang w:val="pl-PL"/>
        </w:rPr>
      </w:pPr>
    </w:p>
    <w:p w14:paraId="707FA359" w14:textId="77777777" w:rsidR="00A610E1" w:rsidRPr="00BD22FE" w:rsidRDefault="00A610E1" w:rsidP="00A610E1">
      <w:pPr>
        <w:pStyle w:val="BodyText"/>
        <w:keepNext/>
        <w:spacing w:line="240" w:lineRule="auto"/>
        <w:jc w:val="left"/>
        <w:rPr>
          <w:sz w:val="22"/>
          <w:szCs w:val="22"/>
          <w:u w:val="single"/>
          <w:lang w:val="pl-PL"/>
        </w:rPr>
      </w:pPr>
      <w:r w:rsidRPr="00BD22FE">
        <w:rPr>
          <w:i/>
          <w:iCs/>
          <w:sz w:val="22"/>
          <w:szCs w:val="22"/>
          <w:u w:val="single"/>
          <w:lang w:val="pl-PL"/>
        </w:rPr>
        <w:t>Farmakokinetyka w określonych grupach pacjentów</w:t>
      </w:r>
    </w:p>
    <w:p w14:paraId="6BAA8870" w14:textId="77777777" w:rsidR="00A610E1" w:rsidRPr="00BD22FE" w:rsidRDefault="00A610E1" w:rsidP="00A610E1">
      <w:pPr>
        <w:pStyle w:val="BodyText"/>
        <w:keepNext/>
        <w:spacing w:line="240" w:lineRule="auto"/>
        <w:jc w:val="left"/>
        <w:rPr>
          <w:sz w:val="22"/>
          <w:szCs w:val="22"/>
          <w:lang w:val="pl-PL"/>
        </w:rPr>
      </w:pPr>
      <w:r w:rsidRPr="00BD22FE">
        <w:rPr>
          <w:sz w:val="22"/>
          <w:szCs w:val="22"/>
          <w:u w:val="single"/>
          <w:lang w:val="pl-PL"/>
        </w:rPr>
        <w:t>Pacjenci w podeszłym wieku</w:t>
      </w:r>
    </w:p>
    <w:p w14:paraId="08411B50" w14:textId="77777777" w:rsidR="00A610E1" w:rsidRPr="00BD22FE" w:rsidRDefault="00A610E1" w:rsidP="00A610E1">
      <w:pPr>
        <w:pStyle w:val="BodyText"/>
        <w:spacing w:line="240" w:lineRule="auto"/>
        <w:jc w:val="left"/>
        <w:rPr>
          <w:sz w:val="22"/>
          <w:szCs w:val="22"/>
          <w:lang w:val="pl-PL"/>
        </w:rPr>
      </w:pPr>
      <w:r w:rsidRPr="00BD22FE">
        <w:rPr>
          <w:sz w:val="22"/>
          <w:szCs w:val="22"/>
          <w:lang w:val="pl-PL"/>
        </w:rPr>
        <w:t>Farmakokinetyka telmisartanu nie różni się w populacji osób w podeszłym wieku i młodszych pacjentów.</w:t>
      </w:r>
    </w:p>
    <w:p w14:paraId="44C191D2" w14:textId="77777777" w:rsidR="00A610E1" w:rsidRPr="00BD22FE" w:rsidRDefault="00A610E1" w:rsidP="00A610E1">
      <w:pPr>
        <w:pStyle w:val="BodyText"/>
        <w:spacing w:line="240" w:lineRule="auto"/>
        <w:jc w:val="left"/>
        <w:rPr>
          <w:sz w:val="22"/>
          <w:szCs w:val="22"/>
          <w:lang w:val="pl-PL"/>
        </w:rPr>
      </w:pPr>
    </w:p>
    <w:p w14:paraId="51040340" w14:textId="77777777" w:rsidR="00A610E1" w:rsidRPr="00BD22FE" w:rsidRDefault="00A610E1" w:rsidP="00A610E1">
      <w:pPr>
        <w:pStyle w:val="BodyText"/>
        <w:keepNext/>
        <w:spacing w:line="240" w:lineRule="auto"/>
        <w:jc w:val="left"/>
        <w:rPr>
          <w:sz w:val="22"/>
          <w:szCs w:val="22"/>
          <w:lang w:val="pl-PL"/>
        </w:rPr>
      </w:pPr>
      <w:r w:rsidRPr="00BD22FE">
        <w:rPr>
          <w:sz w:val="22"/>
          <w:szCs w:val="22"/>
          <w:u w:val="single"/>
          <w:lang w:val="pl-PL"/>
        </w:rPr>
        <w:t>Płeć</w:t>
      </w:r>
    </w:p>
    <w:p w14:paraId="21FD7F8D" w14:textId="6AB23558" w:rsidR="00A610E1" w:rsidRPr="00BD22FE" w:rsidRDefault="00A610E1" w:rsidP="00A610E1">
      <w:pPr>
        <w:pStyle w:val="BodyText"/>
        <w:spacing w:line="240" w:lineRule="auto"/>
        <w:jc w:val="left"/>
        <w:rPr>
          <w:sz w:val="22"/>
          <w:szCs w:val="22"/>
          <w:lang w:val="pl-PL"/>
        </w:rPr>
      </w:pPr>
      <w:r w:rsidRPr="00BD22FE">
        <w:rPr>
          <w:sz w:val="22"/>
          <w:szCs w:val="22"/>
          <w:lang w:val="pl-PL"/>
        </w:rPr>
        <w:t>Stężenia telmisartanu w osoczu są na ogół 2</w:t>
      </w:r>
      <w:r w:rsidRPr="00BD22FE">
        <w:rPr>
          <w:sz w:val="22"/>
          <w:szCs w:val="22"/>
          <w:lang w:val="pl-PL"/>
        </w:rPr>
        <w:noBreakHyphen/>
        <w:t>3 razy większe u kobiet niż u mężczyzn. Jednakże w badaniach klinicznych nie wykazano istotnie wzmożonej reakcji w zakresie ciśnienia tętniczego krwi lub zwiększonej częstości występowania niedociśnienia ortostatycznego u kobiet. Nie ma potrzeby modyfikacji dawki. Zanotowano tendencję do większego stężenia HCTZ w osoczu u kobiet niż u mężczyzn. Nie uważa się jej za istotną klinicznie.</w:t>
      </w:r>
    </w:p>
    <w:p w14:paraId="1512FAC6" w14:textId="77777777" w:rsidR="00A610E1" w:rsidRPr="00BD22FE" w:rsidRDefault="00A610E1" w:rsidP="00A610E1">
      <w:pPr>
        <w:pStyle w:val="BodyText"/>
        <w:spacing w:line="240" w:lineRule="auto"/>
        <w:jc w:val="left"/>
        <w:rPr>
          <w:sz w:val="22"/>
          <w:szCs w:val="22"/>
          <w:lang w:val="pl-PL"/>
        </w:rPr>
      </w:pPr>
    </w:p>
    <w:p w14:paraId="142B3A66" w14:textId="77777777" w:rsidR="00A610E1" w:rsidRPr="00BD22FE" w:rsidRDefault="00A610E1" w:rsidP="00A610E1">
      <w:pPr>
        <w:pStyle w:val="BodyText"/>
        <w:keepNext/>
        <w:spacing w:line="240" w:lineRule="auto"/>
        <w:jc w:val="left"/>
        <w:rPr>
          <w:sz w:val="22"/>
          <w:szCs w:val="22"/>
          <w:lang w:val="pl-PL"/>
        </w:rPr>
      </w:pPr>
      <w:r w:rsidRPr="00BD22FE">
        <w:rPr>
          <w:sz w:val="22"/>
          <w:szCs w:val="22"/>
          <w:u w:val="single"/>
          <w:lang w:val="pl-PL"/>
        </w:rPr>
        <w:t>Zaburzenia czynności nerek</w:t>
      </w:r>
    </w:p>
    <w:p w14:paraId="596C24EF" w14:textId="4BA965B8" w:rsidR="00A610E1" w:rsidRPr="00BD22FE" w:rsidRDefault="00A610E1" w:rsidP="00A610E1">
      <w:pPr>
        <w:pStyle w:val="BodyText"/>
        <w:spacing w:line="240" w:lineRule="auto"/>
        <w:jc w:val="left"/>
        <w:rPr>
          <w:sz w:val="22"/>
          <w:szCs w:val="22"/>
          <w:lang w:val="pl-PL"/>
        </w:rPr>
      </w:pPr>
      <w:r w:rsidRPr="00BD22FE">
        <w:rPr>
          <w:sz w:val="22"/>
          <w:szCs w:val="22"/>
          <w:lang w:val="pl-PL"/>
        </w:rPr>
        <w:t>U pacjentów z niewydolnością nerek poddawanych dializie obserwowano mniejsze stężenia w osoczu. Telmisartan silnie wiąże się z białkami osocza u osób z niewydolnością nerek i nie można go usunąć za pomocą dializy. Okres półtrwania w fazie eliminacji pozostał niezmieniony u pacjentów z zaburzeniami czynności nerek. U pacjentów z zaburzoną czynnością nerek szybkość eliminacji HCTZ jest zmniejszona. W typowym badaniu u pacjentów ze średnim klirensem kreatyniny na poziomie 90 ml/min okres półtrwania w fazie eliminacji HCTZ był zwiększony. U pacjentów bez czynności nerek, okres półtrwania w fazie eliminacji wynosi 34 godziny.</w:t>
      </w:r>
    </w:p>
    <w:p w14:paraId="24D1C269" w14:textId="77777777" w:rsidR="00A610E1" w:rsidRPr="00BD22FE" w:rsidRDefault="00A610E1" w:rsidP="00A610E1">
      <w:pPr>
        <w:pStyle w:val="BodyText"/>
        <w:spacing w:line="240" w:lineRule="auto"/>
        <w:jc w:val="left"/>
        <w:rPr>
          <w:sz w:val="22"/>
          <w:szCs w:val="22"/>
          <w:lang w:val="pl-PL"/>
        </w:rPr>
      </w:pPr>
    </w:p>
    <w:p w14:paraId="1E1C0AF7" w14:textId="77777777" w:rsidR="00A610E1" w:rsidRPr="00BD22FE" w:rsidRDefault="00A610E1" w:rsidP="00A610E1">
      <w:pPr>
        <w:pStyle w:val="BodyText"/>
        <w:keepNext/>
        <w:spacing w:line="240" w:lineRule="auto"/>
        <w:jc w:val="left"/>
        <w:rPr>
          <w:sz w:val="22"/>
          <w:szCs w:val="22"/>
          <w:lang w:val="pl-PL"/>
        </w:rPr>
      </w:pPr>
      <w:r w:rsidRPr="00BD22FE">
        <w:rPr>
          <w:sz w:val="22"/>
          <w:szCs w:val="22"/>
          <w:u w:val="single"/>
          <w:lang w:val="pl-PL"/>
        </w:rPr>
        <w:t>Zaburzenia czynności wątroby</w:t>
      </w:r>
    </w:p>
    <w:p w14:paraId="2E406F0F" w14:textId="070E98CA" w:rsidR="00A610E1" w:rsidRPr="00BD22FE" w:rsidRDefault="00A610E1" w:rsidP="00A610E1">
      <w:pPr>
        <w:pStyle w:val="BodyText"/>
        <w:spacing w:line="240" w:lineRule="auto"/>
        <w:jc w:val="left"/>
        <w:rPr>
          <w:sz w:val="22"/>
          <w:szCs w:val="22"/>
          <w:lang w:val="pl-PL"/>
        </w:rPr>
      </w:pPr>
      <w:r w:rsidRPr="00BD22FE">
        <w:rPr>
          <w:sz w:val="22"/>
          <w:szCs w:val="22"/>
          <w:lang w:val="pl-PL"/>
        </w:rPr>
        <w:t>Badania farmakokinetyczne u pacjentów z zaburzeniami czynności wątroby wykazały zwiększenie biodostępności bezwzględnej do prawie 100%. Okres półtrwania w fazie eliminacji nie ulega zmianie u pacjentów z zaburzeniami czynności wątroby.</w:t>
      </w:r>
    </w:p>
    <w:p w14:paraId="78F16DEF" w14:textId="77777777" w:rsidR="00A610E1" w:rsidRPr="00BD22FE" w:rsidRDefault="00A610E1" w:rsidP="00A610E1">
      <w:pPr>
        <w:pStyle w:val="BodyText"/>
        <w:spacing w:line="240" w:lineRule="auto"/>
        <w:jc w:val="left"/>
        <w:rPr>
          <w:sz w:val="22"/>
          <w:szCs w:val="22"/>
          <w:lang w:val="pl-PL"/>
        </w:rPr>
      </w:pPr>
    </w:p>
    <w:p w14:paraId="611361B5" w14:textId="77777777" w:rsidR="00A610E1" w:rsidRPr="00BD22FE" w:rsidRDefault="00A610E1" w:rsidP="00A610E1">
      <w:pPr>
        <w:pStyle w:val="BodyText"/>
        <w:keepNext/>
        <w:spacing w:line="240" w:lineRule="auto"/>
        <w:ind w:left="567" w:hanging="567"/>
        <w:jc w:val="left"/>
        <w:rPr>
          <w:b/>
          <w:sz w:val="22"/>
          <w:szCs w:val="22"/>
          <w:lang w:val="pl-PL"/>
        </w:rPr>
      </w:pPr>
      <w:r w:rsidRPr="00BD22FE">
        <w:rPr>
          <w:b/>
          <w:sz w:val="22"/>
          <w:szCs w:val="22"/>
          <w:lang w:val="pl-PL"/>
        </w:rPr>
        <w:t>5.3</w:t>
      </w:r>
      <w:r w:rsidRPr="00BD22FE">
        <w:rPr>
          <w:b/>
          <w:sz w:val="22"/>
          <w:szCs w:val="22"/>
          <w:lang w:val="pl-PL"/>
        </w:rPr>
        <w:tab/>
        <w:t>Przedkliniczne dane o bezpieczeństwie</w:t>
      </w:r>
    </w:p>
    <w:p w14:paraId="3F984E92" w14:textId="77777777" w:rsidR="00A610E1" w:rsidRPr="00BD22FE" w:rsidRDefault="00A610E1" w:rsidP="00A610E1">
      <w:pPr>
        <w:pStyle w:val="BodyText"/>
        <w:keepNext/>
        <w:spacing w:line="240" w:lineRule="auto"/>
        <w:jc w:val="left"/>
        <w:rPr>
          <w:sz w:val="22"/>
          <w:szCs w:val="22"/>
          <w:lang w:val="pl-PL"/>
        </w:rPr>
      </w:pPr>
    </w:p>
    <w:p w14:paraId="3011FF3B" w14:textId="77D1C702" w:rsidR="00A610E1" w:rsidRPr="00BD22FE" w:rsidRDefault="00A610E1" w:rsidP="00A610E1">
      <w:pPr>
        <w:pStyle w:val="BodyText"/>
        <w:spacing w:line="240" w:lineRule="auto"/>
        <w:jc w:val="left"/>
        <w:rPr>
          <w:sz w:val="22"/>
          <w:szCs w:val="22"/>
          <w:lang w:val="pl-PL"/>
        </w:rPr>
      </w:pPr>
      <w:r w:rsidRPr="00BD22FE">
        <w:rPr>
          <w:sz w:val="22"/>
          <w:szCs w:val="22"/>
          <w:lang w:val="pl-PL"/>
        </w:rPr>
        <w:t xml:space="preserve">Nie przeprowadzano żadnych dodatkowych badań </w:t>
      </w:r>
      <w:r w:rsidR="00064DED">
        <w:rPr>
          <w:sz w:val="22"/>
          <w:szCs w:val="22"/>
          <w:lang w:val="pl-PL"/>
        </w:rPr>
        <w:t>nie</w:t>
      </w:r>
      <w:r w:rsidR="00064DED" w:rsidRPr="00BD22FE">
        <w:rPr>
          <w:sz w:val="22"/>
          <w:szCs w:val="22"/>
          <w:lang w:val="pl-PL"/>
        </w:rPr>
        <w:t xml:space="preserve">klinicznych </w:t>
      </w:r>
      <w:r w:rsidRPr="00BD22FE">
        <w:rPr>
          <w:sz w:val="22"/>
          <w:szCs w:val="22"/>
          <w:lang w:val="pl-PL"/>
        </w:rPr>
        <w:t xml:space="preserve">dotyczących produktu złożonego o ustalonej dawce wynoszącej 80 mg/25 mg. Poprzednie badania przedkliniczne dotyczące </w:t>
      </w:r>
      <w:r w:rsidRPr="00BD22FE">
        <w:rPr>
          <w:sz w:val="22"/>
          <w:szCs w:val="22"/>
          <w:lang w:val="pl-PL"/>
        </w:rPr>
        <w:lastRenderedPageBreak/>
        <w:t>bezpieczeństwa stosowania łącznego podawania telmisartanu i HCTZ u szczurów i psów z prawidłowym ciśnieniem tętniczym krwi w dawkach powodujących ekspozycję porównywalną do ekspozycji uzyskiwanej po podaniu dawek z zakresu klinicznych dawek terapeutycznych, nie powodowały żadnych dodatkowych zmian, które nie byłyby wcześniej odnotowane w przypadku każdej z substancji podawanej oddzielnie. Obserwacje toksykologiczne poczynione w tych badaniach wydają się nie mieć znaczenia w przypadku zastosowania terapeutycznego u ludzi.</w:t>
      </w:r>
    </w:p>
    <w:p w14:paraId="3D794D74" w14:textId="77777777" w:rsidR="00A610E1" w:rsidRPr="00BD22FE" w:rsidRDefault="00A610E1" w:rsidP="00A610E1">
      <w:pPr>
        <w:pStyle w:val="BodyText"/>
        <w:spacing w:line="240" w:lineRule="auto"/>
        <w:jc w:val="left"/>
        <w:rPr>
          <w:sz w:val="22"/>
          <w:szCs w:val="22"/>
          <w:lang w:val="pl-PL"/>
        </w:rPr>
      </w:pPr>
    </w:p>
    <w:p w14:paraId="719D3EDE" w14:textId="45CC9E5F" w:rsidR="00A610E1" w:rsidRPr="00BD22FE" w:rsidRDefault="00A610E1" w:rsidP="00A610E1">
      <w:pPr>
        <w:pStyle w:val="BodyText"/>
        <w:spacing w:line="240" w:lineRule="auto"/>
        <w:jc w:val="left"/>
        <w:rPr>
          <w:sz w:val="22"/>
          <w:szCs w:val="22"/>
          <w:lang w:val="pl-PL"/>
        </w:rPr>
      </w:pPr>
      <w:r w:rsidRPr="00BD22FE">
        <w:rPr>
          <w:sz w:val="22"/>
          <w:szCs w:val="22"/>
          <w:lang w:val="pl-PL"/>
        </w:rPr>
        <w:t>Obserwacje toksykologiczne znane również z badań przedklinicznych inhibitorów enzymu konwertującego angiotensynę oraz blokerów receptora angiotensyny II wskazują na: zmniejszenie parametrów dotyczących czerwonych krwinek (erytrocytów, hemoglobiny, hematokrytu), zmiany hemodynamiczne nerek (zwiększenie stężenia azotu mocznikowego we krwi i kreatyniny), zwiększenie aktywności reniny w osoczu, hipertrofię lub hiperplazję komórek aparatu przykłębuszkowego oraz uszkodzenia śluzówki żołądka. Uszkodzeniom przewodu pokarmowego można było zapobiegać podając doustnie roztwory soli i poprzez izolowanie zwierząt w grupach. U psów zaobserwowano rozszerzenie i zanik kanalików nerkowych. Uważa się, że działanie to jest związane z aktywnością farmakologiczną telmisartanu.</w:t>
      </w:r>
    </w:p>
    <w:p w14:paraId="3881C1C9" w14:textId="77777777" w:rsidR="00A610E1" w:rsidRPr="00BD22FE" w:rsidRDefault="00A610E1" w:rsidP="00A610E1">
      <w:pPr>
        <w:pStyle w:val="BodyText"/>
        <w:spacing w:line="240" w:lineRule="auto"/>
        <w:jc w:val="left"/>
        <w:rPr>
          <w:sz w:val="22"/>
          <w:szCs w:val="22"/>
          <w:lang w:val="pl-PL"/>
        </w:rPr>
      </w:pPr>
    </w:p>
    <w:p w14:paraId="64F40EAA" w14:textId="77777777" w:rsidR="00A610E1" w:rsidRPr="00BD22FE" w:rsidRDefault="00A610E1" w:rsidP="00A610E1">
      <w:pPr>
        <w:pStyle w:val="BodyText"/>
        <w:spacing w:line="240" w:lineRule="auto"/>
        <w:jc w:val="left"/>
        <w:rPr>
          <w:sz w:val="22"/>
          <w:szCs w:val="22"/>
          <w:lang w:val="pl-PL"/>
        </w:rPr>
      </w:pPr>
      <w:r w:rsidRPr="00BD22FE">
        <w:rPr>
          <w:sz w:val="22"/>
          <w:szCs w:val="22"/>
          <w:lang w:val="pl-PL"/>
        </w:rPr>
        <w:t>Nie zaobserwowano wpływu telmisartanu na płodność u kobiet lub mężczyzn.</w:t>
      </w:r>
    </w:p>
    <w:p w14:paraId="01E37703" w14:textId="77777777" w:rsidR="00A610E1" w:rsidRPr="00BD22FE" w:rsidRDefault="00A610E1" w:rsidP="00A610E1">
      <w:pPr>
        <w:pStyle w:val="BodyText"/>
        <w:spacing w:line="240" w:lineRule="auto"/>
        <w:jc w:val="left"/>
        <w:rPr>
          <w:sz w:val="22"/>
          <w:szCs w:val="22"/>
          <w:lang w:val="pl-PL"/>
        </w:rPr>
      </w:pPr>
    </w:p>
    <w:p w14:paraId="0E596D1C" w14:textId="3BDEFF36" w:rsidR="00A610E1" w:rsidRPr="00BD22FE" w:rsidRDefault="00A610E1" w:rsidP="00A610E1">
      <w:pPr>
        <w:rPr>
          <w:sz w:val="22"/>
          <w:szCs w:val="22"/>
          <w:lang w:val="pl-PL"/>
        </w:rPr>
      </w:pPr>
      <w:r w:rsidRPr="00BD22FE">
        <w:rPr>
          <w:sz w:val="22"/>
          <w:szCs w:val="22"/>
          <w:lang w:val="pl-PL"/>
        </w:rPr>
        <w:t>Nie zaobserwowano jednoznacznych dowodów na działanie teratogenne, jednak po zastosowaniu toksycznych dawek telmisartanu obserwowano wpływ na rozwój noworodka, np. mniejsza masa ciała lub opóźniony czas otwarcia oczu.</w:t>
      </w:r>
    </w:p>
    <w:p w14:paraId="17BB7570" w14:textId="5A83A11F" w:rsidR="00A610E1" w:rsidRPr="00BD22FE" w:rsidRDefault="00A610E1" w:rsidP="00A610E1">
      <w:pPr>
        <w:pStyle w:val="BodyText"/>
        <w:spacing w:line="240" w:lineRule="auto"/>
        <w:jc w:val="left"/>
        <w:rPr>
          <w:sz w:val="22"/>
          <w:szCs w:val="22"/>
          <w:lang w:val="pl-PL"/>
        </w:rPr>
      </w:pPr>
      <w:r w:rsidRPr="00BD22FE">
        <w:rPr>
          <w:sz w:val="22"/>
          <w:szCs w:val="22"/>
          <w:lang w:val="pl-PL"/>
        </w:rPr>
        <w:t xml:space="preserve">W badaniach </w:t>
      </w:r>
      <w:r w:rsidRPr="00BD22FE">
        <w:rPr>
          <w:i/>
          <w:iCs/>
          <w:sz w:val="22"/>
          <w:szCs w:val="22"/>
          <w:lang w:val="pl-PL"/>
        </w:rPr>
        <w:t>in vitro</w:t>
      </w:r>
      <w:r w:rsidRPr="00BD22FE">
        <w:rPr>
          <w:sz w:val="22"/>
          <w:szCs w:val="22"/>
          <w:lang w:val="pl-PL"/>
        </w:rPr>
        <w:t xml:space="preserve"> nie stwierdzono działania mutagennego telmisartanu oraz znaczącego efektu klastogennego. W badaniach na myszach i szczurach nie stwierdzono działania rakotwórczego. Badania z HCTZ w niektórych modelach doświadczalnych wykazały niejednoznacznie działanie genotoksyczne lub rakotwórcze.</w:t>
      </w:r>
    </w:p>
    <w:p w14:paraId="0D94FEE4" w14:textId="77777777" w:rsidR="00A610E1" w:rsidRPr="00BD22FE" w:rsidRDefault="00A610E1" w:rsidP="00A610E1">
      <w:pPr>
        <w:pStyle w:val="BodyText"/>
        <w:spacing w:line="240" w:lineRule="auto"/>
        <w:jc w:val="left"/>
        <w:rPr>
          <w:sz w:val="22"/>
          <w:szCs w:val="22"/>
          <w:lang w:val="pl-PL"/>
        </w:rPr>
      </w:pPr>
      <w:r w:rsidRPr="00BD22FE">
        <w:rPr>
          <w:sz w:val="22"/>
          <w:szCs w:val="22"/>
          <w:lang w:val="pl-PL"/>
        </w:rPr>
        <w:t>W celu uzyskania informacji o fetotoksyczności produktu złożonego zawierającego telmisartan i hydrochlorotiazyd patrz punkt 4.6.</w:t>
      </w:r>
    </w:p>
    <w:p w14:paraId="280322F5" w14:textId="77777777" w:rsidR="00A610E1" w:rsidRPr="00BD22FE" w:rsidRDefault="00A610E1" w:rsidP="00A610E1">
      <w:pPr>
        <w:pStyle w:val="BodyText"/>
        <w:spacing w:line="240" w:lineRule="auto"/>
        <w:jc w:val="left"/>
        <w:rPr>
          <w:sz w:val="22"/>
          <w:szCs w:val="22"/>
          <w:lang w:val="pl-PL"/>
        </w:rPr>
      </w:pPr>
    </w:p>
    <w:p w14:paraId="1B60D857" w14:textId="77777777" w:rsidR="00A610E1" w:rsidRPr="00BD22FE" w:rsidRDefault="00A610E1" w:rsidP="00A610E1">
      <w:pPr>
        <w:pStyle w:val="BodyText"/>
        <w:spacing w:line="240" w:lineRule="auto"/>
        <w:jc w:val="left"/>
        <w:rPr>
          <w:sz w:val="22"/>
          <w:szCs w:val="22"/>
          <w:lang w:val="pl-PL"/>
        </w:rPr>
      </w:pPr>
    </w:p>
    <w:p w14:paraId="6D583215" w14:textId="77777777" w:rsidR="00A610E1" w:rsidRPr="00BD22FE" w:rsidRDefault="00A610E1" w:rsidP="00A610E1">
      <w:pPr>
        <w:pStyle w:val="BodyText"/>
        <w:keepNext/>
        <w:spacing w:line="240" w:lineRule="auto"/>
        <w:ind w:left="567" w:hanging="567"/>
        <w:jc w:val="left"/>
        <w:rPr>
          <w:b/>
          <w:sz w:val="22"/>
          <w:szCs w:val="22"/>
          <w:lang w:val="pl-PL"/>
        </w:rPr>
      </w:pPr>
      <w:r w:rsidRPr="00BD22FE">
        <w:rPr>
          <w:b/>
          <w:sz w:val="22"/>
          <w:szCs w:val="22"/>
          <w:lang w:val="pl-PL"/>
        </w:rPr>
        <w:t>6.</w:t>
      </w:r>
      <w:r w:rsidRPr="00BD22FE">
        <w:rPr>
          <w:b/>
          <w:sz w:val="22"/>
          <w:szCs w:val="22"/>
          <w:lang w:val="pl-PL"/>
        </w:rPr>
        <w:tab/>
        <w:t>DANE FARMACEUTYCZNE</w:t>
      </w:r>
    </w:p>
    <w:p w14:paraId="6B863D79" w14:textId="77777777" w:rsidR="00A610E1" w:rsidRPr="00BD22FE" w:rsidRDefault="00A610E1" w:rsidP="00A610E1">
      <w:pPr>
        <w:pStyle w:val="BodyText"/>
        <w:keepNext/>
        <w:spacing w:line="240" w:lineRule="auto"/>
        <w:jc w:val="left"/>
        <w:rPr>
          <w:sz w:val="22"/>
          <w:szCs w:val="22"/>
          <w:lang w:val="pl-PL"/>
        </w:rPr>
      </w:pPr>
    </w:p>
    <w:p w14:paraId="17F12FE3" w14:textId="77777777" w:rsidR="00A610E1" w:rsidRPr="00BD22FE" w:rsidRDefault="00A610E1" w:rsidP="00A610E1">
      <w:pPr>
        <w:pStyle w:val="BodyText"/>
        <w:keepNext/>
        <w:spacing w:line="240" w:lineRule="auto"/>
        <w:ind w:left="567" w:hanging="567"/>
        <w:jc w:val="left"/>
        <w:rPr>
          <w:b/>
          <w:sz w:val="22"/>
          <w:szCs w:val="22"/>
          <w:lang w:val="pl-PL"/>
        </w:rPr>
      </w:pPr>
      <w:r w:rsidRPr="00BD22FE">
        <w:rPr>
          <w:b/>
          <w:sz w:val="22"/>
          <w:szCs w:val="22"/>
          <w:lang w:val="pl-PL"/>
        </w:rPr>
        <w:t>6.1</w:t>
      </w:r>
      <w:r w:rsidRPr="00BD22FE">
        <w:rPr>
          <w:b/>
          <w:sz w:val="22"/>
          <w:szCs w:val="22"/>
          <w:lang w:val="pl-PL"/>
        </w:rPr>
        <w:tab/>
        <w:t>Wykaz substancji pomocniczych</w:t>
      </w:r>
    </w:p>
    <w:p w14:paraId="1AC6E4B8" w14:textId="77777777" w:rsidR="00A610E1" w:rsidRPr="00BD22FE" w:rsidRDefault="00A610E1" w:rsidP="00A610E1">
      <w:pPr>
        <w:pStyle w:val="BodyText"/>
        <w:keepNext/>
        <w:spacing w:line="240" w:lineRule="auto"/>
        <w:jc w:val="left"/>
        <w:rPr>
          <w:sz w:val="22"/>
          <w:szCs w:val="22"/>
          <w:lang w:val="pl-PL"/>
        </w:rPr>
      </w:pPr>
    </w:p>
    <w:p w14:paraId="5B4124BC" w14:textId="77777777" w:rsidR="00A610E1" w:rsidRPr="00BD22FE" w:rsidRDefault="00A610E1" w:rsidP="00A610E1">
      <w:pPr>
        <w:pStyle w:val="BodyText"/>
        <w:spacing w:line="240" w:lineRule="auto"/>
        <w:jc w:val="left"/>
        <w:rPr>
          <w:sz w:val="22"/>
          <w:szCs w:val="22"/>
          <w:lang w:val="pl-PL"/>
        </w:rPr>
      </w:pPr>
      <w:r w:rsidRPr="00BD22FE">
        <w:rPr>
          <w:sz w:val="22"/>
          <w:szCs w:val="22"/>
          <w:lang w:val="pl-PL"/>
        </w:rPr>
        <w:t>Laktoza jednowodna</w:t>
      </w:r>
    </w:p>
    <w:p w14:paraId="6D2B1B7B" w14:textId="77777777" w:rsidR="00A610E1" w:rsidRPr="00BD22FE" w:rsidRDefault="00A610E1" w:rsidP="00A610E1">
      <w:pPr>
        <w:pStyle w:val="BodyText"/>
        <w:spacing w:line="240" w:lineRule="auto"/>
        <w:jc w:val="left"/>
        <w:rPr>
          <w:sz w:val="22"/>
          <w:szCs w:val="22"/>
          <w:lang w:val="pl-PL"/>
        </w:rPr>
      </w:pPr>
      <w:r w:rsidRPr="00BD22FE">
        <w:rPr>
          <w:sz w:val="22"/>
          <w:szCs w:val="22"/>
          <w:lang w:val="pl-PL"/>
        </w:rPr>
        <w:t>Magnezu stearynian</w:t>
      </w:r>
    </w:p>
    <w:p w14:paraId="29CA400F" w14:textId="77777777" w:rsidR="00A610E1" w:rsidRPr="00BD22FE" w:rsidRDefault="00A610E1" w:rsidP="00A610E1">
      <w:pPr>
        <w:pStyle w:val="BodyText"/>
        <w:spacing w:line="240" w:lineRule="auto"/>
        <w:jc w:val="left"/>
        <w:rPr>
          <w:sz w:val="22"/>
          <w:szCs w:val="22"/>
          <w:lang w:val="pl-PL"/>
        </w:rPr>
      </w:pPr>
      <w:r w:rsidRPr="00BD22FE">
        <w:rPr>
          <w:sz w:val="22"/>
          <w:szCs w:val="22"/>
          <w:lang w:val="pl-PL"/>
        </w:rPr>
        <w:t>Skrobia kukurydziana</w:t>
      </w:r>
    </w:p>
    <w:p w14:paraId="4F085B63" w14:textId="77777777" w:rsidR="00A610E1" w:rsidRPr="00BD22FE" w:rsidRDefault="00A610E1" w:rsidP="00A610E1">
      <w:pPr>
        <w:pStyle w:val="BodyText"/>
        <w:spacing w:line="240" w:lineRule="auto"/>
        <w:jc w:val="left"/>
        <w:rPr>
          <w:sz w:val="22"/>
          <w:szCs w:val="22"/>
          <w:lang w:val="pl-PL"/>
        </w:rPr>
      </w:pPr>
      <w:r w:rsidRPr="00BD22FE">
        <w:rPr>
          <w:sz w:val="22"/>
          <w:szCs w:val="22"/>
          <w:lang w:val="pl-PL"/>
        </w:rPr>
        <w:t>Meglumina</w:t>
      </w:r>
    </w:p>
    <w:p w14:paraId="0EA6B9F0" w14:textId="77777777" w:rsidR="00A610E1" w:rsidRPr="00BD22FE" w:rsidRDefault="00A610E1" w:rsidP="00A610E1">
      <w:pPr>
        <w:pStyle w:val="BodyText"/>
        <w:spacing w:line="240" w:lineRule="auto"/>
        <w:jc w:val="left"/>
        <w:rPr>
          <w:sz w:val="22"/>
          <w:szCs w:val="22"/>
          <w:lang w:val="pl-PL"/>
        </w:rPr>
      </w:pPr>
      <w:r w:rsidRPr="00BD22FE">
        <w:rPr>
          <w:sz w:val="22"/>
          <w:szCs w:val="22"/>
          <w:lang w:val="pl-PL"/>
        </w:rPr>
        <w:t>Celuloza mikrokrystaliczna</w:t>
      </w:r>
    </w:p>
    <w:p w14:paraId="2D37DEEA" w14:textId="77777777" w:rsidR="00A610E1" w:rsidRPr="00BD22FE" w:rsidRDefault="00A610E1" w:rsidP="00A610E1">
      <w:pPr>
        <w:pStyle w:val="BodyText"/>
        <w:spacing w:line="240" w:lineRule="auto"/>
        <w:jc w:val="left"/>
        <w:rPr>
          <w:sz w:val="22"/>
          <w:szCs w:val="22"/>
          <w:lang w:val="pl-PL"/>
        </w:rPr>
      </w:pPr>
      <w:r w:rsidRPr="00BD22FE">
        <w:rPr>
          <w:sz w:val="22"/>
          <w:szCs w:val="22"/>
          <w:lang w:val="pl-PL"/>
        </w:rPr>
        <w:t>Powidon (K25)</w:t>
      </w:r>
    </w:p>
    <w:p w14:paraId="79E98871" w14:textId="77777777" w:rsidR="00A610E1" w:rsidRPr="00BD22FE" w:rsidRDefault="00A610E1" w:rsidP="00A610E1">
      <w:pPr>
        <w:pStyle w:val="BodyText"/>
        <w:spacing w:line="240" w:lineRule="auto"/>
        <w:jc w:val="left"/>
        <w:rPr>
          <w:sz w:val="22"/>
          <w:szCs w:val="22"/>
          <w:lang w:val="pl-PL"/>
        </w:rPr>
      </w:pPr>
      <w:r w:rsidRPr="00BD22FE">
        <w:rPr>
          <w:sz w:val="22"/>
          <w:szCs w:val="22"/>
          <w:lang w:val="pl-PL"/>
        </w:rPr>
        <w:t>Żelaza tlenek żółty (E172)</w:t>
      </w:r>
    </w:p>
    <w:p w14:paraId="0F2447E5" w14:textId="77777777" w:rsidR="00A610E1" w:rsidRPr="00BD22FE" w:rsidRDefault="00A610E1" w:rsidP="00A610E1">
      <w:pPr>
        <w:pStyle w:val="BodyText"/>
        <w:spacing w:line="240" w:lineRule="auto"/>
        <w:jc w:val="left"/>
        <w:rPr>
          <w:sz w:val="22"/>
          <w:szCs w:val="22"/>
          <w:lang w:val="pl-PL"/>
        </w:rPr>
      </w:pPr>
      <w:r w:rsidRPr="00BD22FE">
        <w:rPr>
          <w:sz w:val="22"/>
          <w:szCs w:val="22"/>
          <w:lang w:val="pl-PL"/>
        </w:rPr>
        <w:t>Sodu wodorotlenek</w:t>
      </w:r>
    </w:p>
    <w:p w14:paraId="7DE6E4F1" w14:textId="77777777" w:rsidR="00A610E1" w:rsidRPr="00BD22FE" w:rsidRDefault="00A610E1" w:rsidP="00A610E1">
      <w:pPr>
        <w:pStyle w:val="BodyText"/>
        <w:spacing w:line="240" w:lineRule="auto"/>
        <w:jc w:val="left"/>
        <w:rPr>
          <w:sz w:val="22"/>
          <w:szCs w:val="22"/>
          <w:lang w:val="pl-PL"/>
        </w:rPr>
      </w:pPr>
      <w:r w:rsidRPr="00BD22FE">
        <w:rPr>
          <w:sz w:val="22"/>
          <w:szCs w:val="22"/>
          <w:lang w:val="pl-PL"/>
        </w:rPr>
        <w:t>Karboksymetyloskrobia sodowa (typ A)</w:t>
      </w:r>
    </w:p>
    <w:p w14:paraId="1DEA0011" w14:textId="77777777" w:rsidR="00A610E1" w:rsidRPr="00BD22FE" w:rsidRDefault="00A610E1" w:rsidP="00A610E1">
      <w:pPr>
        <w:pStyle w:val="BodyText"/>
        <w:spacing w:line="240" w:lineRule="auto"/>
        <w:jc w:val="left"/>
        <w:rPr>
          <w:sz w:val="22"/>
          <w:szCs w:val="22"/>
          <w:lang w:val="pl-PL"/>
        </w:rPr>
      </w:pPr>
      <w:r w:rsidRPr="00BD22FE">
        <w:rPr>
          <w:sz w:val="22"/>
          <w:szCs w:val="22"/>
          <w:lang w:val="pl-PL"/>
        </w:rPr>
        <w:t>Sorbitol (E420)</w:t>
      </w:r>
    </w:p>
    <w:p w14:paraId="3511523C" w14:textId="77777777" w:rsidR="00A610E1" w:rsidRPr="00BD22FE" w:rsidRDefault="00A610E1" w:rsidP="00A610E1">
      <w:pPr>
        <w:pStyle w:val="BodyText"/>
        <w:spacing w:line="240" w:lineRule="auto"/>
        <w:jc w:val="left"/>
        <w:rPr>
          <w:sz w:val="22"/>
          <w:szCs w:val="22"/>
          <w:lang w:val="pl-PL"/>
        </w:rPr>
      </w:pPr>
    </w:p>
    <w:p w14:paraId="748C9B44" w14:textId="77777777" w:rsidR="00A610E1" w:rsidRPr="00BD22FE" w:rsidRDefault="00A610E1" w:rsidP="00A610E1">
      <w:pPr>
        <w:pStyle w:val="BodyText"/>
        <w:keepNext/>
        <w:spacing w:line="240" w:lineRule="auto"/>
        <w:ind w:left="567" w:hanging="567"/>
        <w:jc w:val="left"/>
        <w:rPr>
          <w:b/>
          <w:sz w:val="22"/>
          <w:szCs w:val="22"/>
          <w:lang w:val="pl-PL"/>
        </w:rPr>
      </w:pPr>
      <w:r w:rsidRPr="00BD22FE">
        <w:rPr>
          <w:b/>
          <w:sz w:val="22"/>
          <w:szCs w:val="22"/>
          <w:lang w:val="pl-PL"/>
        </w:rPr>
        <w:t>6.2</w:t>
      </w:r>
      <w:r w:rsidRPr="00BD22FE">
        <w:rPr>
          <w:b/>
          <w:sz w:val="22"/>
          <w:szCs w:val="22"/>
          <w:lang w:val="pl-PL"/>
        </w:rPr>
        <w:tab/>
        <w:t>Niezgodności farmaceutyczne</w:t>
      </w:r>
    </w:p>
    <w:p w14:paraId="512D66E1" w14:textId="77777777" w:rsidR="00A610E1" w:rsidRPr="00BD22FE" w:rsidRDefault="00A610E1" w:rsidP="00A610E1">
      <w:pPr>
        <w:pStyle w:val="BodyText"/>
        <w:keepNext/>
        <w:spacing w:line="240" w:lineRule="auto"/>
        <w:jc w:val="left"/>
        <w:rPr>
          <w:sz w:val="22"/>
          <w:szCs w:val="22"/>
          <w:lang w:val="pl-PL"/>
        </w:rPr>
      </w:pPr>
    </w:p>
    <w:p w14:paraId="55D0A439" w14:textId="77777777" w:rsidR="00A610E1" w:rsidRPr="00BD22FE" w:rsidRDefault="00A610E1" w:rsidP="00A610E1">
      <w:pPr>
        <w:pStyle w:val="BodyText"/>
        <w:spacing w:line="240" w:lineRule="auto"/>
        <w:jc w:val="left"/>
        <w:rPr>
          <w:sz w:val="22"/>
          <w:szCs w:val="22"/>
          <w:lang w:val="pl-PL"/>
        </w:rPr>
      </w:pPr>
      <w:r w:rsidRPr="00BD22FE">
        <w:rPr>
          <w:sz w:val="22"/>
          <w:szCs w:val="22"/>
          <w:lang w:val="pl-PL"/>
        </w:rPr>
        <w:t>Nie dotyczy.</w:t>
      </w:r>
    </w:p>
    <w:p w14:paraId="4038FA6B" w14:textId="77777777" w:rsidR="00A610E1" w:rsidRPr="00BD22FE" w:rsidRDefault="00A610E1" w:rsidP="00A610E1">
      <w:pPr>
        <w:pStyle w:val="BodyText"/>
        <w:spacing w:line="240" w:lineRule="auto"/>
        <w:jc w:val="left"/>
        <w:rPr>
          <w:sz w:val="22"/>
          <w:szCs w:val="22"/>
          <w:lang w:val="pl-PL"/>
        </w:rPr>
      </w:pPr>
    </w:p>
    <w:p w14:paraId="64EBC14C" w14:textId="77777777" w:rsidR="00A610E1" w:rsidRPr="00BD22FE" w:rsidRDefault="00A610E1" w:rsidP="00A610E1">
      <w:pPr>
        <w:pStyle w:val="BodyText"/>
        <w:keepNext/>
        <w:spacing w:line="240" w:lineRule="auto"/>
        <w:ind w:left="567" w:hanging="567"/>
        <w:jc w:val="left"/>
        <w:rPr>
          <w:b/>
          <w:sz w:val="22"/>
          <w:szCs w:val="22"/>
          <w:lang w:val="pl-PL"/>
        </w:rPr>
      </w:pPr>
      <w:r w:rsidRPr="00BD22FE">
        <w:rPr>
          <w:b/>
          <w:sz w:val="22"/>
          <w:szCs w:val="22"/>
          <w:lang w:val="pl-PL"/>
        </w:rPr>
        <w:t>6.3</w:t>
      </w:r>
      <w:r w:rsidRPr="00BD22FE">
        <w:rPr>
          <w:b/>
          <w:sz w:val="22"/>
          <w:szCs w:val="22"/>
          <w:lang w:val="pl-PL"/>
        </w:rPr>
        <w:tab/>
        <w:t>Okres ważności</w:t>
      </w:r>
    </w:p>
    <w:p w14:paraId="43636610" w14:textId="77777777" w:rsidR="00A610E1" w:rsidRPr="00BD22FE" w:rsidRDefault="00A610E1" w:rsidP="00A610E1">
      <w:pPr>
        <w:pStyle w:val="BodyText"/>
        <w:keepNext/>
        <w:spacing w:line="240" w:lineRule="auto"/>
        <w:jc w:val="left"/>
        <w:rPr>
          <w:sz w:val="22"/>
          <w:szCs w:val="22"/>
          <w:lang w:val="pl-PL"/>
        </w:rPr>
      </w:pPr>
    </w:p>
    <w:p w14:paraId="574F4B67" w14:textId="77777777" w:rsidR="00A610E1" w:rsidRPr="00BD22FE" w:rsidRDefault="00A610E1" w:rsidP="00A610E1">
      <w:pPr>
        <w:pStyle w:val="BodyText"/>
        <w:spacing w:line="240" w:lineRule="auto"/>
        <w:jc w:val="left"/>
        <w:rPr>
          <w:sz w:val="22"/>
          <w:szCs w:val="22"/>
          <w:lang w:val="pl-PL"/>
        </w:rPr>
      </w:pPr>
      <w:r w:rsidRPr="00BD22FE">
        <w:rPr>
          <w:sz w:val="22"/>
          <w:szCs w:val="22"/>
          <w:lang w:val="pl-PL"/>
        </w:rPr>
        <w:t>3 lata</w:t>
      </w:r>
    </w:p>
    <w:p w14:paraId="180C9539" w14:textId="77777777" w:rsidR="00A610E1" w:rsidRPr="00BD22FE" w:rsidRDefault="00A610E1" w:rsidP="00A610E1">
      <w:pPr>
        <w:pStyle w:val="BodyText"/>
        <w:spacing w:line="240" w:lineRule="auto"/>
        <w:jc w:val="left"/>
        <w:rPr>
          <w:sz w:val="22"/>
          <w:szCs w:val="22"/>
          <w:lang w:val="pl-PL"/>
        </w:rPr>
      </w:pPr>
    </w:p>
    <w:p w14:paraId="35C56747" w14:textId="77777777" w:rsidR="00A610E1" w:rsidRPr="00BD22FE" w:rsidRDefault="00A610E1" w:rsidP="00A610E1">
      <w:pPr>
        <w:pStyle w:val="BodyText"/>
        <w:keepNext/>
        <w:spacing w:line="240" w:lineRule="auto"/>
        <w:ind w:left="567" w:hanging="567"/>
        <w:jc w:val="left"/>
        <w:rPr>
          <w:b/>
          <w:sz w:val="22"/>
          <w:szCs w:val="22"/>
          <w:lang w:val="pl-PL"/>
        </w:rPr>
      </w:pPr>
      <w:r w:rsidRPr="00BD22FE">
        <w:rPr>
          <w:b/>
          <w:sz w:val="22"/>
          <w:szCs w:val="22"/>
          <w:lang w:val="pl-PL"/>
        </w:rPr>
        <w:t>6.4</w:t>
      </w:r>
      <w:r w:rsidRPr="00BD22FE">
        <w:rPr>
          <w:b/>
          <w:sz w:val="22"/>
          <w:szCs w:val="22"/>
          <w:lang w:val="pl-PL"/>
        </w:rPr>
        <w:tab/>
        <w:t>Specjalne środki ostrożności podczas przechowywania</w:t>
      </w:r>
    </w:p>
    <w:p w14:paraId="7117D1C7" w14:textId="77777777" w:rsidR="00A610E1" w:rsidRPr="00BD22FE" w:rsidRDefault="00A610E1" w:rsidP="00A610E1">
      <w:pPr>
        <w:pStyle w:val="BodyText"/>
        <w:keepNext/>
        <w:spacing w:line="240" w:lineRule="auto"/>
        <w:jc w:val="left"/>
        <w:rPr>
          <w:sz w:val="22"/>
          <w:szCs w:val="22"/>
          <w:lang w:val="pl-PL"/>
        </w:rPr>
      </w:pPr>
    </w:p>
    <w:p w14:paraId="39D7A7F8" w14:textId="77777777" w:rsidR="00A610E1" w:rsidRPr="00BD22FE" w:rsidRDefault="00A610E1" w:rsidP="00A610E1">
      <w:pPr>
        <w:pStyle w:val="BodyText"/>
        <w:spacing w:line="240" w:lineRule="auto"/>
        <w:jc w:val="left"/>
        <w:rPr>
          <w:sz w:val="22"/>
          <w:szCs w:val="22"/>
          <w:lang w:val="pl-PL"/>
        </w:rPr>
      </w:pPr>
      <w:r w:rsidRPr="00BD22FE">
        <w:rPr>
          <w:sz w:val="22"/>
          <w:szCs w:val="22"/>
          <w:lang w:val="pl-PL"/>
        </w:rPr>
        <w:t>Brak specjalnych zaleceń dotyczących temperatury przechowywania produktu leczniczego. Przechowywać w oryginalnym opakowaniu w celu ochrony przed wilgocią.</w:t>
      </w:r>
    </w:p>
    <w:p w14:paraId="2153A57E" w14:textId="77777777" w:rsidR="00A610E1" w:rsidRPr="00BD22FE" w:rsidRDefault="00A610E1" w:rsidP="00A610E1">
      <w:pPr>
        <w:pStyle w:val="BodyText"/>
        <w:spacing w:line="240" w:lineRule="auto"/>
        <w:jc w:val="left"/>
        <w:rPr>
          <w:sz w:val="22"/>
          <w:szCs w:val="22"/>
          <w:lang w:val="pl-PL"/>
        </w:rPr>
      </w:pPr>
    </w:p>
    <w:p w14:paraId="2100A8CB" w14:textId="77777777" w:rsidR="00A610E1" w:rsidRPr="00BD22FE" w:rsidRDefault="00A610E1" w:rsidP="00A610E1">
      <w:pPr>
        <w:pStyle w:val="BodyText"/>
        <w:keepNext/>
        <w:spacing w:line="240" w:lineRule="auto"/>
        <w:ind w:left="567" w:hanging="567"/>
        <w:jc w:val="left"/>
        <w:rPr>
          <w:b/>
          <w:sz w:val="22"/>
          <w:szCs w:val="22"/>
          <w:lang w:val="pl-PL"/>
        </w:rPr>
      </w:pPr>
      <w:r w:rsidRPr="00BD22FE">
        <w:rPr>
          <w:b/>
          <w:sz w:val="22"/>
          <w:szCs w:val="22"/>
          <w:lang w:val="pl-PL"/>
        </w:rPr>
        <w:t>6.5</w:t>
      </w:r>
      <w:r w:rsidRPr="00BD22FE">
        <w:rPr>
          <w:b/>
          <w:sz w:val="22"/>
          <w:szCs w:val="22"/>
          <w:lang w:val="pl-PL"/>
        </w:rPr>
        <w:tab/>
        <w:t>Rodzaj i zawartość opakowania</w:t>
      </w:r>
    </w:p>
    <w:p w14:paraId="31583B4E" w14:textId="77777777" w:rsidR="00A610E1" w:rsidRPr="00BD22FE" w:rsidRDefault="00A610E1" w:rsidP="00A610E1">
      <w:pPr>
        <w:pStyle w:val="BodyText"/>
        <w:keepNext/>
        <w:spacing w:line="240" w:lineRule="auto"/>
        <w:jc w:val="left"/>
        <w:rPr>
          <w:sz w:val="22"/>
          <w:szCs w:val="22"/>
          <w:lang w:val="pl-PL"/>
        </w:rPr>
      </w:pPr>
    </w:p>
    <w:p w14:paraId="7B3E4852" w14:textId="06C90B17" w:rsidR="00A610E1" w:rsidRPr="00BD22FE" w:rsidRDefault="00A610E1" w:rsidP="00A610E1">
      <w:pPr>
        <w:pStyle w:val="BodyText"/>
        <w:spacing w:line="240" w:lineRule="auto"/>
        <w:jc w:val="left"/>
        <w:rPr>
          <w:sz w:val="22"/>
          <w:szCs w:val="22"/>
          <w:lang w:val="pl-PL"/>
        </w:rPr>
      </w:pPr>
      <w:r w:rsidRPr="00BD22FE">
        <w:rPr>
          <w:sz w:val="22"/>
          <w:szCs w:val="22"/>
          <w:lang w:val="pl-PL"/>
        </w:rPr>
        <w:t>Blistry Aluminium/aluminium (PA/Al/PVC/Al lub PA/PA/Al/PVC/Al). Jeden blister zawiera 7 lub 10 tabletek.</w:t>
      </w:r>
    </w:p>
    <w:p w14:paraId="1F697E0F" w14:textId="77777777" w:rsidR="00A610E1" w:rsidRPr="00BD22FE" w:rsidRDefault="00A610E1" w:rsidP="00A610E1">
      <w:pPr>
        <w:pStyle w:val="BodyText"/>
        <w:spacing w:line="240" w:lineRule="auto"/>
        <w:jc w:val="left"/>
        <w:rPr>
          <w:sz w:val="22"/>
          <w:szCs w:val="22"/>
          <w:lang w:val="pl-PL"/>
        </w:rPr>
      </w:pPr>
    </w:p>
    <w:p w14:paraId="2D15BA20" w14:textId="77777777" w:rsidR="00A610E1" w:rsidRPr="00BD22FE" w:rsidRDefault="00A610E1" w:rsidP="00A610E1">
      <w:pPr>
        <w:pStyle w:val="BodyText"/>
        <w:spacing w:line="240" w:lineRule="auto"/>
        <w:jc w:val="left"/>
        <w:rPr>
          <w:sz w:val="22"/>
          <w:szCs w:val="22"/>
          <w:lang w:val="pl-PL"/>
        </w:rPr>
      </w:pPr>
      <w:r w:rsidRPr="00BD22FE">
        <w:rPr>
          <w:sz w:val="22"/>
          <w:szCs w:val="22"/>
          <w:lang w:val="pl-PL"/>
        </w:rPr>
        <w:t>Wielkości opakowań:</w:t>
      </w:r>
    </w:p>
    <w:p w14:paraId="43A35635" w14:textId="77777777" w:rsidR="00A610E1" w:rsidRPr="00BD22FE" w:rsidRDefault="00A610E1" w:rsidP="00A610E1">
      <w:pPr>
        <w:pStyle w:val="BodyText"/>
        <w:numPr>
          <w:ilvl w:val="0"/>
          <w:numId w:val="28"/>
        </w:numPr>
        <w:spacing w:line="240" w:lineRule="auto"/>
        <w:ind w:left="567" w:hanging="567"/>
        <w:jc w:val="left"/>
        <w:rPr>
          <w:sz w:val="22"/>
          <w:szCs w:val="22"/>
          <w:lang w:val="pl-PL"/>
        </w:rPr>
      </w:pPr>
      <w:r w:rsidRPr="00BD22FE">
        <w:rPr>
          <w:sz w:val="22"/>
          <w:szCs w:val="22"/>
          <w:lang w:val="pl-PL"/>
        </w:rPr>
        <w:t>Blistry po 14, 28, 56 lub 98 tabletek lub</w:t>
      </w:r>
    </w:p>
    <w:p w14:paraId="6C2F0379" w14:textId="7C00E5AC" w:rsidR="00A610E1" w:rsidRPr="00BD22FE" w:rsidRDefault="00A610E1" w:rsidP="00A610E1">
      <w:pPr>
        <w:pStyle w:val="BodyText"/>
        <w:numPr>
          <w:ilvl w:val="0"/>
          <w:numId w:val="28"/>
        </w:numPr>
        <w:spacing w:line="240" w:lineRule="auto"/>
        <w:ind w:left="567" w:hanging="567"/>
        <w:jc w:val="left"/>
        <w:rPr>
          <w:sz w:val="22"/>
          <w:szCs w:val="22"/>
          <w:lang w:val="pl-PL"/>
        </w:rPr>
      </w:pPr>
      <w:r w:rsidRPr="00BD22FE">
        <w:rPr>
          <w:sz w:val="22"/>
          <w:szCs w:val="22"/>
          <w:lang w:val="pl-PL"/>
        </w:rPr>
        <w:t>Blistry perforowane podzielne na dawki pojedyncze, zawierające 28 </w:t>
      </w:r>
      <w:r w:rsidRPr="00BD22FE">
        <w:rPr>
          <w:sz w:val="22"/>
          <w:lang w:val="pl-PL"/>
        </w:rPr>
        <w:t>×</w:t>
      </w:r>
      <w:r w:rsidRPr="00BD22FE">
        <w:rPr>
          <w:sz w:val="22"/>
          <w:szCs w:val="22"/>
          <w:lang w:val="pl-PL"/>
        </w:rPr>
        <w:t> 1, 30 </w:t>
      </w:r>
      <w:r w:rsidRPr="00BD22FE">
        <w:rPr>
          <w:sz w:val="22"/>
          <w:lang w:val="pl-PL"/>
        </w:rPr>
        <w:t>×</w:t>
      </w:r>
      <w:r w:rsidRPr="00BD22FE">
        <w:rPr>
          <w:sz w:val="22"/>
          <w:szCs w:val="22"/>
          <w:lang w:val="pl-PL"/>
        </w:rPr>
        <w:t> 1 lub 90 </w:t>
      </w:r>
      <w:r w:rsidRPr="00BD22FE">
        <w:rPr>
          <w:sz w:val="22"/>
          <w:lang w:val="pl-PL"/>
        </w:rPr>
        <w:t>×</w:t>
      </w:r>
      <w:r w:rsidRPr="00BD22FE">
        <w:rPr>
          <w:sz w:val="22"/>
          <w:szCs w:val="22"/>
          <w:lang w:val="pl-PL"/>
        </w:rPr>
        <w:t> 1 tabletka.</w:t>
      </w:r>
    </w:p>
    <w:p w14:paraId="62A51917" w14:textId="77777777" w:rsidR="00A610E1" w:rsidRPr="00BD22FE" w:rsidRDefault="00A610E1" w:rsidP="00A610E1">
      <w:pPr>
        <w:pStyle w:val="BodyText"/>
        <w:spacing w:line="240" w:lineRule="auto"/>
        <w:jc w:val="left"/>
        <w:rPr>
          <w:sz w:val="22"/>
          <w:szCs w:val="22"/>
          <w:lang w:val="pl-PL"/>
        </w:rPr>
      </w:pPr>
    </w:p>
    <w:p w14:paraId="72C062FD" w14:textId="77777777" w:rsidR="00A610E1" w:rsidRPr="00BD22FE" w:rsidRDefault="00A610E1" w:rsidP="00A610E1">
      <w:pPr>
        <w:pStyle w:val="BodyText"/>
        <w:spacing w:line="240" w:lineRule="auto"/>
        <w:jc w:val="left"/>
        <w:rPr>
          <w:sz w:val="22"/>
          <w:szCs w:val="22"/>
          <w:lang w:val="pl-PL"/>
        </w:rPr>
      </w:pPr>
      <w:r w:rsidRPr="00BD22FE">
        <w:rPr>
          <w:sz w:val="22"/>
          <w:szCs w:val="22"/>
          <w:lang w:val="pl-PL"/>
        </w:rPr>
        <w:t>Nie wszystkie wielkości opakowań muszą znajdować się w obrocie.</w:t>
      </w:r>
    </w:p>
    <w:p w14:paraId="59A289BB" w14:textId="77777777" w:rsidR="00A610E1" w:rsidRPr="00BD22FE" w:rsidRDefault="00A610E1" w:rsidP="00A610E1">
      <w:pPr>
        <w:pStyle w:val="BodyText"/>
        <w:spacing w:line="240" w:lineRule="auto"/>
        <w:jc w:val="left"/>
        <w:rPr>
          <w:sz w:val="22"/>
          <w:szCs w:val="22"/>
          <w:lang w:val="pl-PL"/>
        </w:rPr>
      </w:pPr>
    </w:p>
    <w:p w14:paraId="4B8AB4A8" w14:textId="77777777" w:rsidR="00A610E1" w:rsidRPr="00BD22FE" w:rsidRDefault="00A610E1" w:rsidP="00A610E1">
      <w:pPr>
        <w:keepNext/>
        <w:ind w:left="567" w:hanging="567"/>
        <w:rPr>
          <w:b/>
          <w:sz w:val="22"/>
          <w:szCs w:val="22"/>
          <w:lang w:val="pl-PL"/>
        </w:rPr>
      </w:pPr>
      <w:r w:rsidRPr="00BD22FE">
        <w:rPr>
          <w:b/>
          <w:sz w:val="22"/>
          <w:szCs w:val="22"/>
          <w:lang w:val="pl-PL"/>
        </w:rPr>
        <w:t>6.6</w:t>
      </w:r>
      <w:r w:rsidRPr="00BD22FE">
        <w:rPr>
          <w:b/>
          <w:sz w:val="22"/>
          <w:szCs w:val="22"/>
          <w:lang w:val="pl-PL"/>
        </w:rPr>
        <w:tab/>
        <w:t>Specjalne środki ostrożności dotyczące usuwania i przygotowania produktu leczniczego do stosowania</w:t>
      </w:r>
    </w:p>
    <w:p w14:paraId="23417630" w14:textId="77777777" w:rsidR="00A610E1" w:rsidRPr="00BD22FE" w:rsidRDefault="00A610E1" w:rsidP="00A610E1">
      <w:pPr>
        <w:keepNext/>
        <w:rPr>
          <w:sz w:val="22"/>
          <w:szCs w:val="22"/>
          <w:lang w:val="pl-PL"/>
        </w:rPr>
      </w:pPr>
    </w:p>
    <w:p w14:paraId="215FCB28" w14:textId="4977FA29" w:rsidR="00A610E1" w:rsidRPr="00BD22FE" w:rsidRDefault="00A610E1" w:rsidP="00A610E1">
      <w:pPr>
        <w:rPr>
          <w:sz w:val="22"/>
          <w:szCs w:val="22"/>
          <w:lang w:val="pl-PL"/>
        </w:rPr>
      </w:pPr>
      <w:r w:rsidRPr="00BD22FE">
        <w:rPr>
          <w:sz w:val="22"/>
          <w:szCs w:val="22"/>
          <w:lang w:val="pl-PL"/>
        </w:rPr>
        <w:t>Produkt leczniczy MicardisPlus należy przechowywać w szczelnym blistrze ze względu na higroskopijne właściwości tabletek. Tabletki należy wyjmować z blistra bezpośrednio przed podaniem.</w:t>
      </w:r>
    </w:p>
    <w:p w14:paraId="73018E73" w14:textId="1AC4C858" w:rsidR="00A610E1" w:rsidRPr="00BD22FE" w:rsidRDefault="00A610E1" w:rsidP="00A610E1">
      <w:pPr>
        <w:pStyle w:val="BodyText"/>
        <w:spacing w:line="240" w:lineRule="auto"/>
        <w:jc w:val="left"/>
        <w:rPr>
          <w:sz w:val="22"/>
          <w:szCs w:val="22"/>
          <w:lang w:val="pl-PL"/>
        </w:rPr>
      </w:pPr>
      <w:r w:rsidRPr="00BD22FE">
        <w:rPr>
          <w:sz w:val="22"/>
          <w:szCs w:val="22"/>
          <w:lang w:val="pl-PL"/>
        </w:rPr>
        <w:t>Czasami zdarza się, że zewnętrzna powłoka blistra odkleja się od wewnętrznej pomiędzy kieszeniami blistra. W tym przypadku nie ma potrzeby podejmowania żadnych działań.</w:t>
      </w:r>
    </w:p>
    <w:p w14:paraId="1DC2D893" w14:textId="77777777" w:rsidR="00A610E1" w:rsidRPr="00BD22FE" w:rsidRDefault="00A610E1" w:rsidP="00A610E1">
      <w:pPr>
        <w:pStyle w:val="BodyText"/>
        <w:spacing w:line="240" w:lineRule="auto"/>
        <w:jc w:val="left"/>
        <w:rPr>
          <w:sz w:val="22"/>
          <w:szCs w:val="22"/>
          <w:lang w:val="pl-PL"/>
        </w:rPr>
      </w:pPr>
    </w:p>
    <w:p w14:paraId="56FB508C" w14:textId="77777777" w:rsidR="00A610E1" w:rsidRPr="00BD22FE" w:rsidRDefault="00A610E1" w:rsidP="00A610E1">
      <w:pPr>
        <w:pStyle w:val="BodyText"/>
        <w:spacing w:line="240" w:lineRule="auto"/>
        <w:jc w:val="left"/>
        <w:rPr>
          <w:sz w:val="22"/>
          <w:szCs w:val="22"/>
          <w:lang w:val="pl-PL"/>
        </w:rPr>
      </w:pPr>
      <w:r w:rsidRPr="00BD22FE">
        <w:rPr>
          <w:sz w:val="22"/>
          <w:szCs w:val="22"/>
          <w:lang w:val="pl-PL"/>
        </w:rPr>
        <w:t>Wszelkie niewykorzystane resztki produktu leczniczego lub jego odpady należy usunąć zgodnie z lokalnymi przepisami.</w:t>
      </w:r>
    </w:p>
    <w:p w14:paraId="024E0033" w14:textId="77777777" w:rsidR="00A610E1" w:rsidRPr="00BD22FE" w:rsidRDefault="00A610E1" w:rsidP="00A610E1">
      <w:pPr>
        <w:pStyle w:val="BodyText"/>
        <w:spacing w:line="240" w:lineRule="auto"/>
        <w:jc w:val="left"/>
        <w:rPr>
          <w:sz w:val="22"/>
          <w:szCs w:val="22"/>
          <w:lang w:val="pl-PL"/>
        </w:rPr>
      </w:pPr>
    </w:p>
    <w:p w14:paraId="056A693E" w14:textId="77777777" w:rsidR="00A610E1" w:rsidRPr="00BD22FE" w:rsidRDefault="00A610E1" w:rsidP="00A610E1">
      <w:pPr>
        <w:pStyle w:val="BodyText"/>
        <w:spacing w:line="240" w:lineRule="auto"/>
        <w:jc w:val="left"/>
        <w:rPr>
          <w:sz w:val="22"/>
          <w:szCs w:val="22"/>
          <w:lang w:val="pl-PL"/>
        </w:rPr>
      </w:pPr>
    </w:p>
    <w:p w14:paraId="5E54124A" w14:textId="77777777" w:rsidR="00A610E1" w:rsidRPr="00BD22FE" w:rsidRDefault="00A610E1" w:rsidP="00A610E1">
      <w:pPr>
        <w:pStyle w:val="BodyText"/>
        <w:keepNext/>
        <w:spacing w:line="240" w:lineRule="auto"/>
        <w:ind w:left="567" w:hanging="567"/>
        <w:jc w:val="left"/>
        <w:rPr>
          <w:b/>
          <w:sz w:val="22"/>
          <w:szCs w:val="22"/>
          <w:lang w:val="pl-PL"/>
        </w:rPr>
      </w:pPr>
      <w:r w:rsidRPr="00BD22FE">
        <w:rPr>
          <w:b/>
          <w:sz w:val="22"/>
          <w:szCs w:val="22"/>
          <w:lang w:val="pl-PL"/>
        </w:rPr>
        <w:t>7.</w:t>
      </w:r>
      <w:r w:rsidRPr="00BD22FE">
        <w:rPr>
          <w:b/>
          <w:sz w:val="22"/>
          <w:szCs w:val="22"/>
          <w:lang w:val="pl-PL"/>
        </w:rPr>
        <w:tab/>
        <w:t>PODMIOT ODPOWIEDZIALNY POSIADAJĄCY POZWOLENIE NA DOPUSZCZENIE DO OBROTU</w:t>
      </w:r>
    </w:p>
    <w:p w14:paraId="5A4E9C81" w14:textId="77777777" w:rsidR="00A610E1" w:rsidRPr="00BD22FE" w:rsidRDefault="00A610E1" w:rsidP="00A610E1">
      <w:pPr>
        <w:pStyle w:val="BodyText"/>
        <w:keepNext/>
        <w:spacing w:line="240" w:lineRule="auto"/>
        <w:jc w:val="left"/>
        <w:rPr>
          <w:sz w:val="22"/>
          <w:szCs w:val="22"/>
          <w:lang w:val="pl-PL"/>
        </w:rPr>
      </w:pPr>
    </w:p>
    <w:p w14:paraId="14D6E68B" w14:textId="77777777" w:rsidR="00A610E1" w:rsidRPr="009D16CE" w:rsidRDefault="00A610E1" w:rsidP="00A610E1">
      <w:pPr>
        <w:pStyle w:val="BodyText"/>
        <w:keepNext/>
        <w:spacing w:line="240" w:lineRule="auto"/>
        <w:jc w:val="left"/>
        <w:rPr>
          <w:sz w:val="22"/>
          <w:szCs w:val="22"/>
          <w:lang w:val="de-DE"/>
        </w:rPr>
      </w:pPr>
      <w:r w:rsidRPr="009D16CE">
        <w:rPr>
          <w:sz w:val="22"/>
          <w:szCs w:val="22"/>
          <w:lang w:val="de-DE"/>
        </w:rPr>
        <w:t>Boehringer Ingelheim International GmbH</w:t>
      </w:r>
    </w:p>
    <w:p w14:paraId="135728A2" w14:textId="77777777" w:rsidR="00A610E1" w:rsidRPr="009D16CE" w:rsidRDefault="00A610E1" w:rsidP="00A610E1">
      <w:pPr>
        <w:pStyle w:val="BodyText"/>
        <w:keepNext/>
        <w:spacing w:line="240" w:lineRule="auto"/>
        <w:jc w:val="left"/>
        <w:rPr>
          <w:sz w:val="22"/>
          <w:szCs w:val="22"/>
          <w:lang w:val="de-DE"/>
        </w:rPr>
      </w:pPr>
      <w:r w:rsidRPr="009D16CE">
        <w:rPr>
          <w:sz w:val="22"/>
          <w:szCs w:val="22"/>
          <w:lang w:val="de-DE"/>
        </w:rPr>
        <w:t>Binger Str. 173</w:t>
      </w:r>
    </w:p>
    <w:p w14:paraId="11BE82EE" w14:textId="77777777" w:rsidR="00A610E1" w:rsidRPr="00DE4C52" w:rsidRDefault="00A610E1" w:rsidP="00A610E1">
      <w:pPr>
        <w:pStyle w:val="BodyText"/>
        <w:keepNext/>
        <w:spacing w:line="240" w:lineRule="auto"/>
        <w:jc w:val="left"/>
        <w:rPr>
          <w:sz w:val="22"/>
          <w:szCs w:val="22"/>
          <w:lang w:val="pl-PL"/>
        </w:rPr>
      </w:pPr>
      <w:r w:rsidRPr="00DE4C52">
        <w:rPr>
          <w:sz w:val="22"/>
          <w:szCs w:val="22"/>
          <w:lang w:val="pl-PL"/>
        </w:rPr>
        <w:t>55216 Ingelheim am Rhein</w:t>
      </w:r>
    </w:p>
    <w:p w14:paraId="54B1A127" w14:textId="77777777" w:rsidR="00A610E1" w:rsidRPr="00BD22FE" w:rsidRDefault="00A610E1" w:rsidP="00A610E1">
      <w:pPr>
        <w:pStyle w:val="BodyText"/>
        <w:spacing w:line="240" w:lineRule="auto"/>
        <w:jc w:val="left"/>
        <w:rPr>
          <w:sz w:val="22"/>
          <w:szCs w:val="22"/>
          <w:lang w:val="pl-PL"/>
        </w:rPr>
      </w:pPr>
      <w:r w:rsidRPr="00BD22FE">
        <w:rPr>
          <w:sz w:val="22"/>
          <w:szCs w:val="22"/>
          <w:lang w:val="pl-PL"/>
        </w:rPr>
        <w:t>Niemcy</w:t>
      </w:r>
    </w:p>
    <w:p w14:paraId="3D8033F4" w14:textId="77777777" w:rsidR="00A610E1" w:rsidRPr="00BD22FE" w:rsidRDefault="00A610E1" w:rsidP="00A610E1">
      <w:pPr>
        <w:pStyle w:val="BodyText"/>
        <w:spacing w:line="240" w:lineRule="auto"/>
        <w:jc w:val="left"/>
        <w:rPr>
          <w:sz w:val="22"/>
          <w:szCs w:val="22"/>
          <w:lang w:val="pl-PL"/>
        </w:rPr>
      </w:pPr>
    </w:p>
    <w:p w14:paraId="7A55E8DC" w14:textId="77777777" w:rsidR="00A610E1" w:rsidRPr="00BD22FE" w:rsidRDefault="00A610E1" w:rsidP="00A610E1">
      <w:pPr>
        <w:pStyle w:val="BodyText"/>
        <w:spacing w:line="240" w:lineRule="auto"/>
        <w:jc w:val="left"/>
        <w:rPr>
          <w:sz w:val="22"/>
          <w:szCs w:val="22"/>
          <w:lang w:val="pl-PL"/>
        </w:rPr>
      </w:pPr>
    </w:p>
    <w:p w14:paraId="43F3F02F" w14:textId="77777777" w:rsidR="00A610E1" w:rsidRPr="00BD22FE" w:rsidRDefault="00A610E1" w:rsidP="00A610E1">
      <w:pPr>
        <w:pStyle w:val="BodyText"/>
        <w:keepNext/>
        <w:spacing w:line="240" w:lineRule="auto"/>
        <w:ind w:left="567" w:hanging="567"/>
        <w:jc w:val="left"/>
        <w:rPr>
          <w:b/>
          <w:sz w:val="22"/>
          <w:szCs w:val="22"/>
          <w:lang w:val="pl-PL"/>
        </w:rPr>
      </w:pPr>
      <w:r w:rsidRPr="00BD22FE">
        <w:rPr>
          <w:b/>
          <w:sz w:val="22"/>
          <w:szCs w:val="22"/>
          <w:lang w:val="pl-PL"/>
        </w:rPr>
        <w:t>8.</w:t>
      </w:r>
      <w:r w:rsidRPr="00BD22FE">
        <w:rPr>
          <w:b/>
          <w:sz w:val="22"/>
          <w:szCs w:val="22"/>
          <w:lang w:val="pl-PL"/>
        </w:rPr>
        <w:tab/>
        <w:t>NUMER POZWOLENIA NA DOPUSZCZENIE DO OBROTU</w:t>
      </w:r>
    </w:p>
    <w:p w14:paraId="005217FD" w14:textId="77777777" w:rsidR="00A610E1" w:rsidRPr="00BD22FE" w:rsidRDefault="00A610E1" w:rsidP="00A610E1">
      <w:pPr>
        <w:pStyle w:val="BodyText"/>
        <w:keepNext/>
        <w:spacing w:line="240" w:lineRule="auto"/>
        <w:jc w:val="left"/>
        <w:rPr>
          <w:sz w:val="22"/>
          <w:szCs w:val="22"/>
          <w:lang w:val="pl-PL"/>
        </w:rPr>
      </w:pPr>
    </w:p>
    <w:p w14:paraId="686F0160" w14:textId="77777777" w:rsidR="00A610E1" w:rsidRPr="00BD22FE" w:rsidRDefault="00A610E1" w:rsidP="00A610E1">
      <w:pPr>
        <w:pStyle w:val="BodyText"/>
        <w:spacing w:line="240" w:lineRule="auto"/>
        <w:jc w:val="left"/>
        <w:rPr>
          <w:sz w:val="22"/>
          <w:lang w:val="pl-PL"/>
        </w:rPr>
      </w:pPr>
      <w:r w:rsidRPr="00BD22FE">
        <w:rPr>
          <w:sz w:val="22"/>
          <w:lang w:val="pl-PL"/>
        </w:rPr>
        <w:t>EU/1/02/213/</w:t>
      </w:r>
      <w:r w:rsidRPr="00BD22FE">
        <w:rPr>
          <w:sz w:val="22"/>
          <w:szCs w:val="22"/>
          <w:lang w:val="pl-PL"/>
        </w:rPr>
        <w:t>017</w:t>
      </w:r>
      <w:r w:rsidRPr="00BD22FE">
        <w:rPr>
          <w:sz w:val="22"/>
          <w:szCs w:val="22"/>
          <w:lang w:val="pl-PL"/>
        </w:rPr>
        <w:noBreakHyphen/>
        <w:t>023</w:t>
      </w:r>
    </w:p>
    <w:p w14:paraId="0594B01F" w14:textId="77777777" w:rsidR="00A610E1" w:rsidRPr="00BD22FE" w:rsidRDefault="00A610E1" w:rsidP="00A610E1">
      <w:pPr>
        <w:pStyle w:val="BodyText"/>
        <w:spacing w:line="240" w:lineRule="auto"/>
        <w:jc w:val="left"/>
        <w:rPr>
          <w:sz w:val="22"/>
          <w:szCs w:val="22"/>
          <w:lang w:val="pl-PL"/>
        </w:rPr>
      </w:pPr>
    </w:p>
    <w:p w14:paraId="34355ADF" w14:textId="77777777" w:rsidR="00A610E1" w:rsidRPr="00BD22FE" w:rsidRDefault="00A610E1" w:rsidP="00A610E1">
      <w:pPr>
        <w:pStyle w:val="BodyText"/>
        <w:spacing w:line="240" w:lineRule="auto"/>
        <w:jc w:val="left"/>
        <w:rPr>
          <w:sz w:val="22"/>
          <w:szCs w:val="22"/>
          <w:lang w:val="pl-PL"/>
        </w:rPr>
      </w:pPr>
    </w:p>
    <w:p w14:paraId="7DEBED08" w14:textId="77777777" w:rsidR="00A610E1" w:rsidRPr="00BD22FE" w:rsidRDefault="00A610E1" w:rsidP="00A610E1">
      <w:pPr>
        <w:pStyle w:val="BodyText"/>
        <w:keepNext/>
        <w:spacing w:line="240" w:lineRule="auto"/>
        <w:ind w:left="567" w:hanging="567"/>
        <w:jc w:val="left"/>
        <w:rPr>
          <w:b/>
          <w:sz w:val="22"/>
          <w:szCs w:val="22"/>
          <w:lang w:val="pl-PL"/>
        </w:rPr>
      </w:pPr>
      <w:r w:rsidRPr="00BD22FE">
        <w:rPr>
          <w:b/>
          <w:sz w:val="22"/>
          <w:szCs w:val="22"/>
          <w:lang w:val="pl-PL"/>
        </w:rPr>
        <w:t>9.</w:t>
      </w:r>
      <w:r w:rsidRPr="00BD22FE">
        <w:rPr>
          <w:b/>
          <w:sz w:val="22"/>
          <w:szCs w:val="22"/>
          <w:lang w:val="pl-PL"/>
        </w:rPr>
        <w:tab/>
      </w:r>
      <w:smartTag w:uri="urn:schemas-microsoft-com:office:smarttags" w:element="stockticker">
        <w:r w:rsidRPr="00BD22FE">
          <w:rPr>
            <w:b/>
            <w:sz w:val="22"/>
            <w:szCs w:val="22"/>
            <w:lang w:val="pl-PL"/>
          </w:rPr>
          <w:t>DATA</w:t>
        </w:r>
      </w:smartTag>
      <w:r w:rsidRPr="00BD22FE">
        <w:rPr>
          <w:b/>
          <w:sz w:val="22"/>
          <w:szCs w:val="22"/>
          <w:lang w:val="pl-PL"/>
        </w:rPr>
        <w:t xml:space="preserve"> WYDANIA PIERWSZEGO POZWOLENIA NA DOPUSZCZENIE DO OBROTU I</w:t>
      </w:r>
      <w:smartTag w:uri="urn:schemas-microsoft-com:office:smarttags" w:element="stockticker">
        <w:r w:rsidRPr="00BD22FE">
          <w:rPr>
            <w:b/>
            <w:sz w:val="22"/>
            <w:szCs w:val="22"/>
            <w:lang w:val="pl-PL"/>
          </w:rPr>
          <w:t> DATA</w:t>
        </w:r>
      </w:smartTag>
      <w:r w:rsidRPr="00BD22FE">
        <w:rPr>
          <w:b/>
          <w:sz w:val="22"/>
          <w:szCs w:val="22"/>
          <w:lang w:val="pl-PL"/>
        </w:rPr>
        <w:t xml:space="preserve"> PRZEDŁUŻENIA POZWOLENIA</w:t>
      </w:r>
    </w:p>
    <w:p w14:paraId="5EF14BCF" w14:textId="77777777" w:rsidR="00A610E1" w:rsidRPr="00BD22FE" w:rsidRDefault="00A610E1" w:rsidP="00A610E1">
      <w:pPr>
        <w:pStyle w:val="BodyText"/>
        <w:keepNext/>
        <w:spacing w:line="240" w:lineRule="auto"/>
        <w:jc w:val="left"/>
        <w:rPr>
          <w:sz w:val="22"/>
          <w:szCs w:val="22"/>
          <w:lang w:val="pl-PL"/>
        </w:rPr>
      </w:pPr>
    </w:p>
    <w:p w14:paraId="69F6206F" w14:textId="77777777" w:rsidR="00A610E1" w:rsidRPr="00BD22FE" w:rsidRDefault="00A610E1" w:rsidP="00A610E1">
      <w:pPr>
        <w:pStyle w:val="BodyText"/>
        <w:keepNext/>
        <w:spacing w:line="240" w:lineRule="auto"/>
        <w:jc w:val="left"/>
        <w:rPr>
          <w:sz w:val="22"/>
          <w:szCs w:val="22"/>
          <w:lang w:val="pl-PL"/>
        </w:rPr>
      </w:pPr>
      <w:r w:rsidRPr="00BD22FE">
        <w:rPr>
          <w:sz w:val="22"/>
          <w:szCs w:val="22"/>
          <w:lang w:val="pl-PL"/>
        </w:rPr>
        <w:t>Data wydania pierwszego pozwolenia na dopuszczenie do obrotu: 19 kwietnia 2002</w:t>
      </w:r>
    </w:p>
    <w:p w14:paraId="2247332B" w14:textId="77777777" w:rsidR="00A610E1" w:rsidRPr="00BD22FE" w:rsidRDefault="00A610E1" w:rsidP="00A610E1">
      <w:pPr>
        <w:pStyle w:val="BodyText"/>
        <w:spacing w:line="240" w:lineRule="auto"/>
        <w:jc w:val="left"/>
        <w:rPr>
          <w:sz w:val="22"/>
          <w:szCs w:val="22"/>
          <w:lang w:val="pl-PL"/>
        </w:rPr>
      </w:pPr>
      <w:r w:rsidRPr="00BD22FE">
        <w:rPr>
          <w:sz w:val="22"/>
          <w:szCs w:val="22"/>
          <w:lang w:val="pl-PL"/>
        </w:rPr>
        <w:t>Data ostatniego przedłużenia pozwolenia: 23 kwietnia 2007</w:t>
      </w:r>
    </w:p>
    <w:p w14:paraId="2082C13B" w14:textId="77777777" w:rsidR="00A610E1" w:rsidRPr="00BD22FE" w:rsidRDefault="00A610E1" w:rsidP="00A610E1">
      <w:pPr>
        <w:pStyle w:val="BodyText"/>
        <w:spacing w:line="240" w:lineRule="auto"/>
        <w:jc w:val="left"/>
        <w:rPr>
          <w:sz w:val="22"/>
          <w:szCs w:val="22"/>
          <w:lang w:val="pl-PL"/>
        </w:rPr>
      </w:pPr>
    </w:p>
    <w:p w14:paraId="533BA848" w14:textId="77777777" w:rsidR="00A610E1" w:rsidRPr="00BD22FE" w:rsidRDefault="00A610E1" w:rsidP="00A610E1">
      <w:pPr>
        <w:pStyle w:val="BodyText"/>
        <w:spacing w:line="240" w:lineRule="auto"/>
        <w:jc w:val="left"/>
        <w:rPr>
          <w:sz w:val="22"/>
          <w:szCs w:val="22"/>
          <w:lang w:val="pl-PL"/>
        </w:rPr>
      </w:pPr>
    </w:p>
    <w:p w14:paraId="32B3C6AC" w14:textId="77777777" w:rsidR="00A610E1" w:rsidRPr="00BD22FE" w:rsidRDefault="00A610E1" w:rsidP="00A610E1">
      <w:pPr>
        <w:pStyle w:val="BodyText"/>
        <w:keepNext/>
        <w:spacing w:line="240" w:lineRule="auto"/>
        <w:ind w:left="567" w:hanging="567"/>
        <w:jc w:val="left"/>
        <w:rPr>
          <w:b/>
          <w:sz w:val="22"/>
          <w:szCs w:val="22"/>
          <w:lang w:val="pl-PL"/>
        </w:rPr>
      </w:pPr>
      <w:r w:rsidRPr="00BD22FE">
        <w:rPr>
          <w:b/>
          <w:sz w:val="22"/>
          <w:szCs w:val="22"/>
          <w:lang w:val="pl-PL"/>
        </w:rPr>
        <w:t>10.</w:t>
      </w:r>
      <w:r w:rsidRPr="00BD22FE">
        <w:rPr>
          <w:b/>
          <w:sz w:val="22"/>
          <w:szCs w:val="22"/>
          <w:lang w:val="pl-PL"/>
        </w:rPr>
        <w:tab/>
      </w:r>
      <w:smartTag w:uri="urn:schemas-microsoft-com:office:smarttags" w:element="stockticker">
        <w:r w:rsidRPr="00BD22FE">
          <w:rPr>
            <w:b/>
            <w:sz w:val="22"/>
            <w:szCs w:val="22"/>
            <w:lang w:val="pl-PL"/>
          </w:rPr>
          <w:t>DATA</w:t>
        </w:r>
      </w:smartTag>
      <w:r w:rsidRPr="00BD22FE">
        <w:rPr>
          <w:b/>
          <w:sz w:val="22"/>
          <w:szCs w:val="22"/>
          <w:lang w:val="pl-PL"/>
        </w:rPr>
        <w:t xml:space="preserve"> ZATWIERDZENIA </w:t>
      </w:r>
      <w:smartTag w:uri="urn:schemas-microsoft-com:office:smarttags" w:element="stockticker">
        <w:r w:rsidRPr="00BD22FE">
          <w:rPr>
            <w:b/>
            <w:sz w:val="22"/>
            <w:szCs w:val="22"/>
            <w:lang w:val="pl-PL"/>
          </w:rPr>
          <w:t>LUB</w:t>
        </w:r>
      </w:smartTag>
      <w:r w:rsidRPr="00BD22FE">
        <w:rPr>
          <w:b/>
          <w:sz w:val="22"/>
          <w:szCs w:val="22"/>
          <w:lang w:val="pl-PL"/>
        </w:rPr>
        <w:t xml:space="preserve"> CZĘŚCIOWEJ ZMIANY TEKSTU CHARAKTERYSTYKI PRODUKTU LECZNICZEGO</w:t>
      </w:r>
    </w:p>
    <w:p w14:paraId="35D97945" w14:textId="77777777" w:rsidR="00A610E1" w:rsidRPr="00BD22FE" w:rsidRDefault="00A610E1" w:rsidP="00A610E1">
      <w:pPr>
        <w:pStyle w:val="BodyText"/>
        <w:keepNext/>
        <w:spacing w:line="240" w:lineRule="auto"/>
        <w:jc w:val="left"/>
        <w:rPr>
          <w:sz w:val="22"/>
          <w:szCs w:val="22"/>
          <w:lang w:val="pl-PL"/>
        </w:rPr>
      </w:pPr>
    </w:p>
    <w:p w14:paraId="730E1C29" w14:textId="77777777" w:rsidR="00A610E1" w:rsidRPr="00BD22FE" w:rsidRDefault="00A610E1" w:rsidP="00A610E1">
      <w:pPr>
        <w:pStyle w:val="BodyText"/>
        <w:spacing w:line="240" w:lineRule="auto"/>
        <w:jc w:val="left"/>
        <w:rPr>
          <w:sz w:val="22"/>
          <w:szCs w:val="22"/>
          <w:lang w:val="pl-PL"/>
        </w:rPr>
      </w:pPr>
      <w:r w:rsidRPr="00BD22FE">
        <w:rPr>
          <w:sz w:val="22"/>
          <w:szCs w:val="22"/>
          <w:lang w:val="pl-PL"/>
        </w:rPr>
        <w:t xml:space="preserve">Szczegółowe informacje o tym produkcie leczniczym są dostępne na stronie internetowej Europejskiej Agencji Leków </w:t>
      </w:r>
      <w:r>
        <w:fldChar w:fldCharType="begin"/>
      </w:r>
      <w:r>
        <w:instrText>HYPERLINK "https://www.ema.europa.eu"</w:instrText>
      </w:r>
      <w:r>
        <w:fldChar w:fldCharType="separate"/>
      </w:r>
      <w:r w:rsidRPr="00BD22FE">
        <w:rPr>
          <w:rStyle w:val="Hyperlink"/>
          <w:sz w:val="22"/>
          <w:szCs w:val="22"/>
          <w:lang w:val="pl-PL"/>
        </w:rPr>
        <w:t>https://www.ema.europa.eu</w:t>
      </w:r>
      <w:r>
        <w:fldChar w:fldCharType="end"/>
      </w:r>
      <w:r w:rsidRPr="00BD22FE">
        <w:rPr>
          <w:sz w:val="22"/>
          <w:szCs w:val="22"/>
          <w:lang w:val="pl-PL"/>
        </w:rPr>
        <w:t>.</w:t>
      </w:r>
    </w:p>
    <w:p w14:paraId="7F5B57C3" w14:textId="77777777" w:rsidR="00A610E1" w:rsidRPr="00BD22FE" w:rsidRDefault="00A610E1" w:rsidP="00A610E1">
      <w:pPr>
        <w:pStyle w:val="BodyText"/>
        <w:spacing w:line="240" w:lineRule="auto"/>
        <w:jc w:val="left"/>
        <w:rPr>
          <w:sz w:val="22"/>
          <w:szCs w:val="22"/>
          <w:u w:val="single"/>
          <w:lang w:val="pl-PL"/>
        </w:rPr>
      </w:pPr>
    </w:p>
    <w:p w14:paraId="0BB1D484" w14:textId="77777777" w:rsidR="000016E2" w:rsidRPr="00BD22FE" w:rsidRDefault="00104CA8" w:rsidP="00941FBF">
      <w:pPr>
        <w:pStyle w:val="BodyText"/>
        <w:keepNext/>
        <w:spacing w:line="240" w:lineRule="auto"/>
        <w:rPr>
          <w:sz w:val="22"/>
          <w:szCs w:val="22"/>
          <w:lang w:val="pl-PL"/>
        </w:rPr>
      </w:pPr>
      <w:r w:rsidRPr="00BD22FE">
        <w:rPr>
          <w:sz w:val="22"/>
          <w:szCs w:val="22"/>
          <w:lang w:val="pl-PL"/>
        </w:rPr>
        <w:lastRenderedPageBreak/>
        <w:br w:type="page"/>
      </w:r>
    </w:p>
    <w:p w14:paraId="40327145" w14:textId="77777777" w:rsidR="000016E2" w:rsidRPr="00BD22FE" w:rsidRDefault="000016E2" w:rsidP="00941FBF">
      <w:pPr>
        <w:jc w:val="center"/>
        <w:rPr>
          <w:sz w:val="22"/>
          <w:szCs w:val="22"/>
          <w:lang w:val="pl-PL"/>
        </w:rPr>
      </w:pPr>
    </w:p>
    <w:p w14:paraId="6A302913" w14:textId="77777777" w:rsidR="000016E2" w:rsidRPr="00BD22FE" w:rsidRDefault="000016E2" w:rsidP="00941FBF">
      <w:pPr>
        <w:jc w:val="center"/>
        <w:rPr>
          <w:sz w:val="22"/>
          <w:szCs w:val="22"/>
          <w:lang w:val="pl-PL"/>
        </w:rPr>
      </w:pPr>
    </w:p>
    <w:p w14:paraId="54A4A2E8" w14:textId="77777777" w:rsidR="000016E2" w:rsidRPr="00BD22FE" w:rsidRDefault="000016E2" w:rsidP="00941FBF">
      <w:pPr>
        <w:jc w:val="center"/>
        <w:rPr>
          <w:sz w:val="22"/>
          <w:szCs w:val="22"/>
          <w:lang w:val="pl-PL"/>
        </w:rPr>
      </w:pPr>
    </w:p>
    <w:p w14:paraId="4B0A726D" w14:textId="77777777" w:rsidR="000016E2" w:rsidRPr="00BD22FE" w:rsidRDefault="000016E2" w:rsidP="00941FBF">
      <w:pPr>
        <w:jc w:val="center"/>
        <w:rPr>
          <w:sz w:val="22"/>
          <w:szCs w:val="22"/>
          <w:lang w:val="pl-PL"/>
        </w:rPr>
      </w:pPr>
    </w:p>
    <w:p w14:paraId="6AD498C3" w14:textId="77777777" w:rsidR="000016E2" w:rsidRPr="00BD22FE" w:rsidRDefault="000016E2" w:rsidP="00941FBF">
      <w:pPr>
        <w:jc w:val="center"/>
        <w:rPr>
          <w:sz w:val="22"/>
          <w:szCs w:val="22"/>
          <w:lang w:val="pl-PL"/>
        </w:rPr>
      </w:pPr>
    </w:p>
    <w:p w14:paraId="78F55085" w14:textId="77777777" w:rsidR="000016E2" w:rsidRPr="00BD22FE" w:rsidRDefault="000016E2" w:rsidP="00941FBF">
      <w:pPr>
        <w:jc w:val="center"/>
        <w:rPr>
          <w:sz w:val="22"/>
          <w:szCs w:val="22"/>
          <w:lang w:val="pl-PL"/>
        </w:rPr>
      </w:pPr>
    </w:p>
    <w:p w14:paraId="761EFCDE" w14:textId="77777777" w:rsidR="000016E2" w:rsidRPr="00BD22FE" w:rsidRDefault="000016E2" w:rsidP="00941FBF">
      <w:pPr>
        <w:jc w:val="center"/>
        <w:rPr>
          <w:sz w:val="22"/>
          <w:szCs w:val="22"/>
          <w:lang w:val="pl-PL"/>
        </w:rPr>
      </w:pPr>
    </w:p>
    <w:p w14:paraId="1DD7C8E9" w14:textId="77777777" w:rsidR="000016E2" w:rsidRPr="00BD22FE" w:rsidRDefault="000016E2" w:rsidP="00941FBF">
      <w:pPr>
        <w:jc w:val="center"/>
        <w:rPr>
          <w:sz w:val="22"/>
          <w:szCs w:val="22"/>
          <w:lang w:val="pl-PL"/>
        </w:rPr>
      </w:pPr>
    </w:p>
    <w:p w14:paraId="7A435AA6" w14:textId="77777777" w:rsidR="000016E2" w:rsidRPr="00BD22FE" w:rsidRDefault="000016E2" w:rsidP="00941FBF">
      <w:pPr>
        <w:jc w:val="center"/>
        <w:rPr>
          <w:sz w:val="22"/>
          <w:szCs w:val="22"/>
          <w:lang w:val="pl-PL"/>
        </w:rPr>
      </w:pPr>
    </w:p>
    <w:p w14:paraId="04F98181" w14:textId="77777777" w:rsidR="000016E2" w:rsidRPr="00BD22FE" w:rsidRDefault="000016E2" w:rsidP="00941FBF">
      <w:pPr>
        <w:jc w:val="center"/>
        <w:rPr>
          <w:sz w:val="22"/>
          <w:szCs w:val="22"/>
          <w:lang w:val="pl-PL"/>
        </w:rPr>
      </w:pPr>
    </w:p>
    <w:p w14:paraId="72E9D441" w14:textId="77777777" w:rsidR="000016E2" w:rsidRPr="00BD22FE" w:rsidRDefault="000016E2" w:rsidP="00941FBF">
      <w:pPr>
        <w:jc w:val="center"/>
        <w:rPr>
          <w:sz w:val="22"/>
          <w:szCs w:val="22"/>
          <w:lang w:val="pl-PL"/>
        </w:rPr>
      </w:pPr>
    </w:p>
    <w:p w14:paraId="0F80A9C4" w14:textId="77777777" w:rsidR="000016E2" w:rsidRPr="00BD22FE" w:rsidRDefault="000016E2" w:rsidP="00941FBF">
      <w:pPr>
        <w:jc w:val="center"/>
        <w:rPr>
          <w:sz w:val="22"/>
          <w:szCs w:val="22"/>
          <w:lang w:val="pl-PL"/>
        </w:rPr>
      </w:pPr>
    </w:p>
    <w:p w14:paraId="55FD8A43" w14:textId="77777777" w:rsidR="000016E2" w:rsidRPr="00BD22FE" w:rsidRDefault="000016E2" w:rsidP="00941FBF">
      <w:pPr>
        <w:jc w:val="center"/>
        <w:rPr>
          <w:sz w:val="22"/>
          <w:szCs w:val="22"/>
          <w:lang w:val="pl-PL"/>
        </w:rPr>
      </w:pPr>
    </w:p>
    <w:p w14:paraId="7AADFFCF" w14:textId="77777777" w:rsidR="000016E2" w:rsidRPr="00BD22FE" w:rsidRDefault="000016E2" w:rsidP="00941FBF">
      <w:pPr>
        <w:jc w:val="center"/>
        <w:rPr>
          <w:sz w:val="22"/>
          <w:szCs w:val="22"/>
          <w:lang w:val="pl-PL"/>
        </w:rPr>
      </w:pPr>
    </w:p>
    <w:p w14:paraId="003B8F61" w14:textId="77777777" w:rsidR="000016E2" w:rsidRPr="00BD22FE" w:rsidRDefault="000016E2" w:rsidP="00941FBF">
      <w:pPr>
        <w:jc w:val="center"/>
        <w:rPr>
          <w:sz w:val="22"/>
          <w:szCs w:val="22"/>
          <w:lang w:val="pl-PL"/>
        </w:rPr>
      </w:pPr>
    </w:p>
    <w:p w14:paraId="07F8345D" w14:textId="77777777" w:rsidR="000016E2" w:rsidRPr="00BD22FE" w:rsidRDefault="000016E2" w:rsidP="00941FBF">
      <w:pPr>
        <w:jc w:val="center"/>
        <w:rPr>
          <w:sz w:val="22"/>
          <w:szCs w:val="22"/>
          <w:lang w:val="pl-PL"/>
        </w:rPr>
      </w:pPr>
    </w:p>
    <w:p w14:paraId="57FD8922" w14:textId="77777777" w:rsidR="000016E2" w:rsidRPr="00BD22FE" w:rsidRDefault="000016E2" w:rsidP="00941FBF">
      <w:pPr>
        <w:jc w:val="center"/>
        <w:rPr>
          <w:sz w:val="22"/>
          <w:szCs w:val="22"/>
          <w:lang w:val="pl-PL"/>
        </w:rPr>
      </w:pPr>
    </w:p>
    <w:p w14:paraId="3482D228" w14:textId="77777777" w:rsidR="000016E2" w:rsidRPr="00BD22FE" w:rsidRDefault="000016E2" w:rsidP="00941FBF">
      <w:pPr>
        <w:jc w:val="center"/>
        <w:rPr>
          <w:sz w:val="22"/>
          <w:szCs w:val="22"/>
          <w:lang w:val="pl-PL"/>
        </w:rPr>
      </w:pPr>
    </w:p>
    <w:p w14:paraId="19C519E8" w14:textId="77777777" w:rsidR="000016E2" w:rsidRPr="00BD22FE" w:rsidRDefault="000016E2" w:rsidP="00941FBF">
      <w:pPr>
        <w:jc w:val="center"/>
        <w:rPr>
          <w:sz w:val="22"/>
          <w:szCs w:val="22"/>
          <w:lang w:val="pl-PL"/>
        </w:rPr>
      </w:pPr>
    </w:p>
    <w:p w14:paraId="397F96CC" w14:textId="77777777" w:rsidR="000016E2" w:rsidRPr="00BD22FE" w:rsidRDefault="000016E2" w:rsidP="00941FBF">
      <w:pPr>
        <w:jc w:val="center"/>
        <w:rPr>
          <w:sz w:val="22"/>
          <w:szCs w:val="22"/>
          <w:lang w:val="pl-PL"/>
        </w:rPr>
      </w:pPr>
    </w:p>
    <w:p w14:paraId="6EC8EED1" w14:textId="77777777" w:rsidR="000016E2" w:rsidRPr="00BD22FE" w:rsidRDefault="000016E2" w:rsidP="00941FBF">
      <w:pPr>
        <w:jc w:val="center"/>
        <w:rPr>
          <w:sz w:val="22"/>
          <w:szCs w:val="22"/>
          <w:lang w:val="pl-PL"/>
        </w:rPr>
      </w:pPr>
    </w:p>
    <w:p w14:paraId="2D7EB88B" w14:textId="77777777" w:rsidR="000016E2" w:rsidRPr="00BD22FE" w:rsidRDefault="000016E2" w:rsidP="00941FBF">
      <w:pPr>
        <w:jc w:val="center"/>
        <w:rPr>
          <w:sz w:val="22"/>
          <w:szCs w:val="22"/>
          <w:lang w:val="pl-PL"/>
        </w:rPr>
      </w:pPr>
    </w:p>
    <w:p w14:paraId="717A86A2" w14:textId="77777777" w:rsidR="000016E2" w:rsidRPr="00BD22FE" w:rsidRDefault="000016E2" w:rsidP="00941FBF">
      <w:pPr>
        <w:jc w:val="center"/>
        <w:rPr>
          <w:sz w:val="22"/>
          <w:szCs w:val="22"/>
          <w:lang w:val="pl-PL"/>
        </w:rPr>
      </w:pPr>
    </w:p>
    <w:p w14:paraId="048BE267" w14:textId="77777777" w:rsidR="000016E2" w:rsidRPr="00BD22FE" w:rsidRDefault="00104CA8" w:rsidP="00941FBF">
      <w:pPr>
        <w:jc w:val="center"/>
        <w:rPr>
          <w:sz w:val="22"/>
          <w:szCs w:val="22"/>
          <w:lang w:val="pl-PL"/>
        </w:rPr>
      </w:pPr>
      <w:r w:rsidRPr="00BD22FE">
        <w:rPr>
          <w:b/>
          <w:sz w:val="22"/>
          <w:szCs w:val="22"/>
          <w:lang w:val="pl-PL"/>
        </w:rPr>
        <w:t>ANEKS II</w:t>
      </w:r>
    </w:p>
    <w:p w14:paraId="05792C1D" w14:textId="77777777" w:rsidR="000016E2" w:rsidRPr="00BD22FE" w:rsidRDefault="000016E2" w:rsidP="00941FBF">
      <w:pPr>
        <w:jc w:val="center"/>
        <w:rPr>
          <w:sz w:val="22"/>
          <w:szCs w:val="22"/>
          <w:lang w:val="pl-PL"/>
        </w:rPr>
      </w:pPr>
    </w:p>
    <w:p w14:paraId="149E0BD6" w14:textId="100CC624" w:rsidR="000016E2" w:rsidRPr="00BD22FE" w:rsidRDefault="00641A7F" w:rsidP="00641A7F">
      <w:pPr>
        <w:ind w:left="1701" w:right="1418" w:hanging="567"/>
        <w:rPr>
          <w:b/>
          <w:sz w:val="22"/>
          <w:szCs w:val="22"/>
          <w:lang w:val="pl-PL"/>
        </w:rPr>
      </w:pPr>
      <w:r w:rsidRPr="00BD22FE">
        <w:rPr>
          <w:b/>
          <w:sz w:val="22"/>
          <w:szCs w:val="22"/>
          <w:lang w:val="pl-PL"/>
        </w:rPr>
        <w:t>A.</w:t>
      </w:r>
      <w:r w:rsidRPr="00BD22FE">
        <w:rPr>
          <w:b/>
          <w:sz w:val="22"/>
          <w:szCs w:val="22"/>
          <w:lang w:val="pl-PL"/>
        </w:rPr>
        <w:tab/>
      </w:r>
      <w:r w:rsidR="00104CA8" w:rsidRPr="00BD22FE">
        <w:rPr>
          <w:b/>
          <w:sz w:val="22"/>
          <w:szCs w:val="22"/>
          <w:lang w:val="pl-PL"/>
        </w:rPr>
        <w:t>WYTWÓRCY ODPOWIEDZIALNI ZA ZWOLNIENIE SERII</w:t>
      </w:r>
    </w:p>
    <w:p w14:paraId="0E38C62B" w14:textId="77777777" w:rsidR="000016E2" w:rsidRPr="00BD22FE" w:rsidRDefault="000016E2" w:rsidP="00641A7F">
      <w:pPr>
        <w:numPr>
          <w:ilvl w:val="12"/>
          <w:numId w:val="0"/>
        </w:numPr>
        <w:ind w:left="1701" w:right="1418" w:hanging="567"/>
        <w:rPr>
          <w:sz w:val="22"/>
          <w:szCs w:val="22"/>
          <w:lang w:val="pl-PL"/>
        </w:rPr>
      </w:pPr>
    </w:p>
    <w:p w14:paraId="331726A7" w14:textId="586664C0" w:rsidR="000016E2" w:rsidRPr="00BD22FE" w:rsidRDefault="00641A7F" w:rsidP="00641A7F">
      <w:pPr>
        <w:ind w:left="1701" w:right="1418" w:hanging="567"/>
        <w:rPr>
          <w:b/>
          <w:sz w:val="22"/>
          <w:szCs w:val="22"/>
          <w:lang w:val="pl-PL"/>
        </w:rPr>
      </w:pPr>
      <w:r w:rsidRPr="00BD22FE">
        <w:rPr>
          <w:b/>
          <w:sz w:val="22"/>
          <w:szCs w:val="22"/>
          <w:lang w:val="pl-PL"/>
        </w:rPr>
        <w:t>B.</w:t>
      </w:r>
      <w:r w:rsidRPr="00BD22FE">
        <w:rPr>
          <w:b/>
          <w:sz w:val="22"/>
          <w:szCs w:val="22"/>
          <w:lang w:val="pl-PL"/>
        </w:rPr>
        <w:tab/>
      </w:r>
      <w:r w:rsidR="00104CA8" w:rsidRPr="00BD22FE">
        <w:rPr>
          <w:b/>
          <w:sz w:val="22"/>
          <w:szCs w:val="22"/>
          <w:lang w:val="pl-PL"/>
        </w:rPr>
        <w:t>WARUNKI LUB OGRANICZENIA DOTYCZĄCE ZAOPATRZENIA I</w:t>
      </w:r>
      <w:r w:rsidR="00717A7B" w:rsidRPr="00BD22FE">
        <w:rPr>
          <w:b/>
          <w:sz w:val="22"/>
          <w:szCs w:val="22"/>
          <w:lang w:val="pl-PL"/>
        </w:rPr>
        <w:t> </w:t>
      </w:r>
      <w:r w:rsidR="00104CA8" w:rsidRPr="00BD22FE">
        <w:rPr>
          <w:b/>
          <w:sz w:val="22"/>
          <w:szCs w:val="22"/>
          <w:lang w:val="pl-PL"/>
        </w:rPr>
        <w:t>STOSOWANIA</w:t>
      </w:r>
    </w:p>
    <w:p w14:paraId="1A32B601" w14:textId="77777777" w:rsidR="000016E2" w:rsidRPr="00BD22FE" w:rsidRDefault="000016E2" w:rsidP="00641A7F">
      <w:pPr>
        <w:pStyle w:val="ListParagraph1"/>
        <w:ind w:left="1701" w:right="1418" w:hanging="567"/>
        <w:rPr>
          <w:sz w:val="22"/>
          <w:szCs w:val="22"/>
          <w:lang w:val="pl-PL"/>
        </w:rPr>
      </w:pPr>
    </w:p>
    <w:p w14:paraId="648D702D" w14:textId="453850DA" w:rsidR="003A7E3D" w:rsidRPr="00BD22FE" w:rsidRDefault="00641A7F" w:rsidP="00641A7F">
      <w:pPr>
        <w:ind w:left="1701" w:right="1418" w:hanging="567"/>
        <w:rPr>
          <w:b/>
          <w:sz w:val="22"/>
          <w:szCs w:val="22"/>
          <w:lang w:val="pl-PL"/>
        </w:rPr>
      </w:pPr>
      <w:r w:rsidRPr="00BD22FE">
        <w:rPr>
          <w:b/>
          <w:sz w:val="22"/>
          <w:szCs w:val="22"/>
          <w:lang w:val="pl-PL"/>
        </w:rPr>
        <w:t>C.</w:t>
      </w:r>
      <w:r w:rsidRPr="00BD22FE">
        <w:rPr>
          <w:b/>
          <w:sz w:val="22"/>
          <w:szCs w:val="22"/>
          <w:lang w:val="pl-PL"/>
        </w:rPr>
        <w:tab/>
      </w:r>
      <w:r w:rsidR="00104CA8" w:rsidRPr="00BD22FE">
        <w:rPr>
          <w:b/>
          <w:sz w:val="22"/>
          <w:szCs w:val="22"/>
          <w:lang w:val="pl-PL"/>
        </w:rPr>
        <w:t>INNE WARUNKI I</w:t>
      </w:r>
      <w:r w:rsidR="00717A7B" w:rsidRPr="00BD22FE">
        <w:rPr>
          <w:b/>
          <w:sz w:val="22"/>
          <w:szCs w:val="22"/>
          <w:lang w:val="pl-PL"/>
        </w:rPr>
        <w:t> </w:t>
      </w:r>
      <w:r w:rsidR="00104CA8" w:rsidRPr="00BD22FE">
        <w:rPr>
          <w:b/>
          <w:sz w:val="22"/>
          <w:szCs w:val="22"/>
          <w:lang w:val="pl-PL"/>
        </w:rPr>
        <w:t>WYMAGANIA DOTYCZĄCE DOPUSZCZENIA DO OBROTU</w:t>
      </w:r>
    </w:p>
    <w:p w14:paraId="22F4E803" w14:textId="48183A9D" w:rsidR="000016E2" w:rsidRPr="00BD22FE" w:rsidRDefault="000016E2" w:rsidP="00641A7F">
      <w:pPr>
        <w:ind w:left="1701" w:right="1418" w:hanging="567"/>
        <w:rPr>
          <w:sz w:val="22"/>
          <w:szCs w:val="22"/>
          <w:lang w:val="pl-PL"/>
        </w:rPr>
      </w:pPr>
    </w:p>
    <w:p w14:paraId="2875886B" w14:textId="5B202EF9" w:rsidR="000016E2" w:rsidRPr="00BD22FE" w:rsidRDefault="00641A7F" w:rsidP="00641A7F">
      <w:pPr>
        <w:ind w:left="1701" w:right="1418" w:hanging="567"/>
        <w:rPr>
          <w:b/>
          <w:sz w:val="22"/>
          <w:szCs w:val="22"/>
          <w:lang w:val="pl-PL"/>
        </w:rPr>
      </w:pPr>
      <w:r w:rsidRPr="00BD22FE">
        <w:rPr>
          <w:b/>
          <w:sz w:val="22"/>
          <w:szCs w:val="22"/>
          <w:lang w:val="pl-PL"/>
        </w:rPr>
        <w:t>D.</w:t>
      </w:r>
      <w:r w:rsidRPr="00BD22FE">
        <w:rPr>
          <w:b/>
          <w:sz w:val="22"/>
          <w:szCs w:val="22"/>
          <w:lang w:val="pl-PL"/>
        </w:rPr>
        <w:tab/>
      </w:r>
      <w:r w:rsidR="00104CA8" w:rsidRPr="00BD22FE">
        <w:rPr>
          <w:b/>
          <w:sz w:val="22"/>
          <w:szCs w:val="22"/>
          <w:lang w:val="pl-PL"/>
        </w:rPr>
        <w:t>WARUNKI LUB OGRANICZENIA DOTYCZĄCE BEZPIECZNEGO I</w:t>
      </w:r>
      <w:r w:rsidR="00717A7B" w:rsidRPr="00BD22FE">
        <w:rPr>
          <w:b/>
          <w:sz w:val="22"/>
          <w:szCs w:val="22"/>
          <w:lang w:val="pl-PL"/>
        </w:rPr>
        <w:t> </w:t>
      </w:r>
      <w:r w:rsidR="00104CA8" w:rsidRPr="00BD22FE">
        <w:rPr>
          <w:b/>
          <w:sz w:val="22"/>
          <w:szCs w:val="22"/>
          <w:lang w:val="pl-PL"/>
        </w:rPr>
        <w:t>SKUTECZNEGO STOSOWANIA PRODUKTU LECZNICZEGO</w:t>
      </w:r>
    </w:p>
    <w:p w14:paraId="3FFF35BB" w14:textId="77777777" w:rsidR="000016E2" w:rsidRPr="00BD22FE" w:rsidRDefault="000016E2" w:rsidP="00641A7F">
      <w:pPr>
        <w:ind w:left="1701" w:right="1418" w:hanging="567"/>
        <w:rPr>
          <w:sz w:val="22"/>
          <w:szCs w:val="22"/>
          <w:lang w:val="pl-PL"/>
        </w:rPr>
      </w:pPr>
    </w:p>
    <w:p w14:paraId="49EC3AAF" w14:textId="29E0CA26" w:rsidR="003A7E3D" w:rsidRPr="00BD22FE" w:rsidRDefault="00104CA8" w:rsidP="00717A7B">
      <w:pPr>
        <w:pStyle w:val="QRD2"/>
      </w:pPr>
      <w:r w:rsidRPr="00BD22FE">
        <w:br w:type="page"/>
      </w:r>
      <w:r w:rsidRPr="00BD22FE">
        <w:lastRenderedPageBreak/>
        <w:t>A.</w:t>
      </w:r>
      <w:r w:rsidRPr="00BD22FE">
        <w:tab/>
        <w:t>WYTWÓRCY ODPOWIEDZIALNI ZA ZWOLNIENIE SERII</w:t>
      </w:r>
      <w:r w:rsidR="00C15F79">
        <w:fldChar w:fldCharType="begin"/>
      </w:r>
      <w:r w:rsidR="00C15F79">
        <w:instrText xml:space="preserve"> DOCVARIABLE VAULT_ND_4da6b45c-58cd-4e7e-bfad-01a2d23fed1f \* MERGEFORMAT </w:instrText>
      </w:r>
      <w:r w:rsidR="00C15F79">
        <w:fldChar w:fldCharType="separate"/>
      </w:r>
      <w:r w:rsidR="00C15F79" w:rsidRPr="00BD22FE">
        <w:t xml:space="preserve"> </w:t>
      </w:r>
      <w:r w:rsidR="00C15F79">
        <w:fldChar w:fldCharType="end"/>
      </w:r>
    </w:p>
    <w:p w14:paraId="3E34C263" w14:textId="211551B4" w:rsidR="000016E2" w:rsidRPr="00BD22FE" w:rsidRDefault="000016E2" w:rsidP="004C7CFA">
      <w:pPr>
        <w:keepNext/>
        <w:numPr>
          <w:ilvl w:val="12"/>
          <w:numId w:val="0"/>
        </w:numPr>
        <w:rPr>
          <w:sz w:val="22"/>
          <w:szCs w:val="22"/>
          <w:lang w:val="pl-PL"/>
        </w:rPr>
      </w:pPr>
    </w:p>
    <w:p w14:paraId="09122862" w14:textId="0E5A5A33" w:rsidR="000016E2" w:rsidRPr="00BD22FE" w:rsidRDefault="00104CA8" w:rsidP="004C7CFA">
      <w:pPr>
        <w:pStyle w:val="BodyText"/>
        <w:keepNext/>
        <w:spacing w:line="240" w:lineRule="auto"/>
        <w:rPr>
          <w:sz w:val="22"/>
          <w:szCs w:val="22"/>
          <w:u w:val="single"/>
          <w:lang w:val="pl-PL"/>
        </w:rPr>
      </w:pPr>
      <w:r w:rsidRPr="00BD22FE">
        <w:rPr>
          <w:sz w:val="22"/>
          <w:szCs w:val="22"/>
          <w:u w:val="single"/>
          <w:lang w:val="pl-PL"/>
        </w:rPr>
        <w:t>Nazwa i</w:t>
      </w:r>
      <w:r w:rsidR="00717A7B" w:rsidRPr="00BD22FE">
        <w:rPr>
          <w:sz w:val="22"/>
          <w:szCs w:val="22"/>
          <w:u w:val="single"/>
          <w:lang w:val="pl-PL"/>
        </w:rPr>
        <w:t> </w:t>
      </w:r>
      <w:r w:rsidRPr="00BD22FE">
        <w:rPr>
          <w:sz w:val="22"/>
          <w:szCs w:val="22"/>
          <w:u w:val="single"/>
          <w:lang w:val="pl-PL"/>
        </w:rPr>
        <w:t>adres wytwórców odpowiedzialnych za zwolnienie serii</w:t>
      </w:r>
    </w:p>
    <w:p w14:paraId="18A3F7F8" w14:textId="77777777" w:rsidR="000016E2" w:rsidRPr="00BD22FE" w:rsidRDefault="000016E2" w:rsidP="004C7CFA">
      <w:pPr>
        <w:keepNext/>
        <w:numPr>
          <w:ilvl w:val="12"/>
          <w:numId w:val="0"/>
        </w:numPr>
        <w:rPr>
          <w:sz w:val="22"/>
          <w:szCs w:val="22"/>
          <w:lang w:val="pl-PL"/>
        </w:rPr>
      </w:pPr>
    </w:p>
    <w:p w14:paraId="062A57EB" w14:textId="77777777" w:rsidR="000016E2" w:rsidRPr="00DE4C52" w:rsidRDefault="00104CA8" w:rsidP="00941FBF">
      <w:pPr>
        <w:pStyle w:val="Default"/>
        <w:rPr>
          <w:color w:val="auto"/>
          <w:sz w:val="22"/>
          <w:szCs w:val="22"/>
          <w:lang w:val="en-US"/>
        </w:rPr>
      </w:pPr>
      <w:r w:rsidRPr="00DE4C52">
        <w:rPr>
          <w:color w:val="auto"/>
          <w:sz w:val="22"/>
          <w:szCs w:val="22"/>
          <w:lang w:val="en-US"/>
        </w:rPr>
        <w:t>Boehringer Ingelheim Hellas Single Member S.A.</w:t>
      </w:r>
    </w:p>
    <w:p w14:paraId="7E68EE49" w14:textId="77777777" w:rsidR="003A7E3D" w:rsidRPr="00DE4C52" w:rsidRDefault="00104CA8" w:rsidP="00941FBF">
      <w:pPr>
        <w:pStyle w:val="Default"/>
        <w:rPr>
          <w:color w:val="auto"/>
          <w:sz w:val="22"/>
          <w:szCs w:val="22"/>
          <w:lang w:val="en-US"/>
        </w:rPr>
      </w:pPr>
      <w:r w:rsidRPr="00DE4C52">
        <w:rPr>
          <w:color w:val="auto"/>
          <w:sz w:val="22"/>
          <w:szCs w:val="22"/>
          <w:lang w:val="en-US"/>
        </w:rPr>
        <w:t>5th km Paiania – Markopoulo</w:t>
      </w:r>
    </w:p>
    <w:p w14:paraId="1C65B503" w14:textId="069432AE" w:rsidR="000016E2" w:rsidRPr="00DE4C52" w:rsidRDefault="00104CA8" w:rsidP="00941FBF">
      <w:pPr>
        <w:pStyle w:val="Default"/>
        <w:rPr>
          <w:color w:val="auto"/>
          <w:sz w:val="22"/>
          <w:szCs w:val="22"/>
        </w:rPr>
      </w:pPr>
      <w:r w:rsidRPr="00DE4C52">
        <w:rPr>
          <w:color w:val="auto"/>
          <w:sz w:val="22"/>
          <w:szCs w:val="22"/>
        </w:rPr>
        <w:t>Koropi Attiki, 19441</w:t>
      </w:r>
    </w:p>
    <w:p w14:paraId="04DDFF9F" w14:textId="77777777" w:rsidR="000016E2" w:rsidRPr="00DE4C52" w:rsidRDefault="00104CA8" w:rsidP="00941FBF">
      <w:pPr>
        <w:numPr>
          <w:ilvl w:val="12"/>
          <w:numId w:val="0"/>
        </w:numPr>
        <w:rPr>
          <w:sz w:val="22"/>
          <w:szCs w:val="22"/>
          <w:lang w:val="de-DE"/>
        </w:rPr>
      </w:pPr>
      <w:r w:rsidRPr="00DE4C52">
        <w:rPr>
          <w:sz w:val="22"/>
          <w:szCs w:val="22"/>
          <w:lang w:val="de-DE"/>
        </w:rPr>
        <w:t>Grecja</w:t>
      </w:r>
    </w:p>
    <w:p w14:paraId="53A42DD5" w14:textId="77777777" w:rsidR="000016E2" w:rsidRPr="00DE4C52" w:rsidRDefault="000016E2" w:rsidP="00941FBF">
      <w:pPr>
        <w:numPr>
          <w:ilvl w:val="12"/>
          <w:numId w:val="0"/>
        </w:numPr>
        <w:rPr>
          <w:sz w:val="22"/>
          <w:szCs w:val="22"/>
          <w:lang w:val="de-DE"/>
        </w:rPr>
      </w:pPr>
    </w:p>
    <w:p w14:paraId="5C7F319F" w14:textId="77777777" w:rsidR="000016E2" w:rsidRPr="00DE4C52" w:rsidRDefault="00104CA8" w:rsidP="00941FBF">
      <w:pPr>
        <w:numPr>
          <w:ilvl w:val="12"/>
          <w:numId w:val="0"/>
        </w:numPr>
        <w:rPr>
          <w:sz w:val="22"/>
          <w:szCs w:val="22"/>
          <w:lang w:val="de-DE"/>
        </w:rPr>
      </w:pPr>
      <w:r w:rsidRPr="00DE4C52">
        <w:rPr>
          <w:sz w:val="22"/>
          <w:szCs w:val="22"/>
          <w:lang w:val="de-DE"/>
        </w:rPr>
        <w:t>Rottendorf Pharma GmbH</w:t>
      </w:r>
    </w:p>
    <w:p w14:paraId="169F9A86" w14:textId="6BDEDAE7" w:rsidR="000016E2" w:rsidRPr="00DE4C52" w:rsidRDefault="00104CA8" w:rsidP="00941FBF">
      <w:pPr>
        <w:numPr>
          <w:ilvl w:val="12"/>
          <w:numId w:val="0"/>
        </w:numPr>
        <w:rPr>
          <w:sz w:val="22"/>
          <w:szCs w:val="22"/>
          <w:lang w:val="de-DE"/>
        </w:rPr>
      </w:pPr>
      <w:r w:rsidRPr="00DE4C52">
        <w:rPr>
          <w:sz w:val="22"/>
          <w:szCs w:val="22"/>
          <w:lang w:val="de-DE"/>
        </w:rPr>
        <w:t>Ostenfelder Strasse 51 - 61</w:t>
      </w:r>
    </w:p>
    <w:p w14:paraId="03F7C087" w14:textId="77777777" w:rsidR="000016E2" w:rsidRPr="00DE4C52" w:rsidRDefault="00104CA8" w:rsidP="00941FBF">
      <w:pPr>
        <w:numPr>
          <w:ilvl w:val="12"/>
          <w:numId w:val="0"/>
        </w:numPr>
        <w:rPr>
          <w:sz w:val="22"/>
          <w:szCs w:val="22"/>
          <w:lang w:val="de-DE"/>
        </w:rPr>
      </w:pPr>
      <w:r w:rsidRPr="00DE4C52">
        <w:rPr>
          <w:sz w:val="22"/>
          <w:szCs w:val="22"/>
          <w:lang w:val="de-DE"/>
        </w:rPr>
        <w:t>59320 Ennigerloh</w:t>
      </w:r>
    </w:p>
    <w:p w14:paraId="52A1B736" w14:textId="77777777" w:rsidR="000016E2" w:rsidRPr="00DE4C52" w:rsidRDefault="00104CA8" w:rsidP="00941FBF">
      <w:pPr>
        <w:numPr>
          <w:ilvl w:val="12"/>
          <w:numId w:val="0"/>
        </w:numPr>
        <w:rPr>
          <w:sz w:val="22"/>
          <w:szCs w:val="22"/>
          <w:lang w:val="de-DE"/>
        </w:rPr>
      </w:pPr>
      <w:r w:rsidRPr="00DE4C52">
        <w:rPr>
          <w:sz w:val="22"/>
          <w:szCs w:val="22"/>
          <w:lang w:val="de-DE"/>
        </w:rPr>
        <w:t>Niemcy</w:t>
      </w:r>
    </w:p>
    <w:p w14:paraId="20FE66FD" w14:textId="77777777" w:rsidR="000016E2" w:rsidRPr="00DE4C52" w:rsidRDefault="000016E2" w:rsidP="00941FBF">
      <w:pPr>
        <w:numPr>
          <w:ilvl w:val="12"/>
          <w:numId w:val="0"/>
        </w:numPr>
        <w:rPr>
          <w:sz w:val="22"/>
          <w:szCs w:val="22"/>
          <w:lang w:val="de-DE"/>
        </w:rPr>
      </w:pPr>
    </w:p>
    <w:p w14:paraId="5AC1BF9D" w14:textId="77777777" w:rsidR="000016E2" w:rsidRPr="00DE4C52" w:rsidRDefault="00104CA8" w:rsidP="004C7CFA">
      <w:pPr>
        <w:autoSpaceDE w:val="0"/>
        <w:autoSpaceDN w:val="0"/>
        <w:rPr>
          <w:rFonts w:eastAsia="PMingLiU"/>
          <w:iCs/>
          <w:sz w:val="22"/>
          <w:szCs w:val="22"/>
          <w:lang w:val="de-DE"/>
        </w:rPr>
      </w:pPr>
      <w:bookmarkStart w:id="12" w:name="_Hlk116300016"/>
      <w:r w:rsidRPr="00DE4C52">
        <w:rPr>
          <w:rFonts w:eastAsia="PMingLiU"/>
          <w:iCs/>
          <w:sz w:val="22"/>
          <w:szCs w:val="22"/>
          <w:lang w:val="de-DE"/>
        </w:rPr>
        <w:t>Boehringer Ingelheim France</w:t>
      </w:r>
    </w:p>
    <w:p w14:paraId="55E0E3B8" w14:textId="0FA46EEE" w:rsidR="000016E2" w:rsidRPr="00DE4C52" w:rsidRDefault="00104CA8" w:rsidP="004C7CFA">
      <w:pPr>
        <w:autoSpaceDE w:val="0"/>
        <w:autoSpaceDN w:val="0"/>
        <w:rPr>
          <w:rFonts w:eastAsia="PMingLiU"/>
          <w:iCs/>
          <w:sz w:val="22"/>
          <w:szCs w:val="22"/>
          <w:lang w:val="de-DE"/>
        </w:rPr>
      </w:pPr>
      <w:r w:rsidRPr="00DE4C52">
        <w:rPr>
          <w:rFonts w:eastAsia="PMingLiU"/>
          <w:iCs/>
          <w:sz w:val="22"/>
          <w:szCs w:val="22"/>
          <w:lang w:val="de-DE"/>
        </w:rPr>
        <w:t>100</w:t>
      </w:r>
      <w:r w:rsidR="00CB4FE6" w:rsidRPr="00DE4C52">
        <w:rPr>
          <w:rFonts w:eastAsia="PMingLiU"/>
          <w:iCs/>
          <w:sz w:val="22"/>
          <w:szCs w:val="22"/>
          <w:lang w:val="de-DE"/>
        </w:rPr>
        <w:noBreakHyphen/>
      </w:r>
      <w:r w:rsidRPr="00DE4C52">
        <w:rPr>
          <w:rFonts w:eastAsia="PMingLiU"/>
          <w:iCs/>
          <w:sz w:val="22"/>
          <w:szCs w:val="22"/>
          <w:lang w:val="de-DE"/>
        </w:rPr>
        <w:t>104 Avenue de France</w:t>
      </w:r>
    </w:p>
    <w:p w14:paraId="2F8CE316" w14:textId="77777777" w:rsidR="000016E2" w:rsidRPr="00BD22FE" w:rsidRDefault="00104CA8" w:rsidP="004C7CFA">
      <w:pPr>
        <w:autoSpaceDE w:val="0"/>
        <w:autoSpaceDN w:val="0"/>
        <w:rPr>
          <w:rFonts w:eastAsia="PMingLiU"/>
          <w:iCs/>
          <w:sz w:val="22"/>
          <w:szCs w:val="22"/>
          <w:lang w:val="pl-PL"/>
        </w:rPr>
      </w:pPr>
      <w:r w:rsidRPr="00BD22FE">
        <w:rPr>
          <w:rFonts w:eastAsia="PMingLiU"/>
          <w:iCs/>
          <w:sz w:val="22"/>
          <w:szCs w:val="22"/>
          <w:lang w:val="pl-PL"/>
        </w:rPr>
        <w:t>75013 Paryż</w:t>
      </w:r>
    </w:p>
    <w:bookmarkEnd w:id="12"/>
    <w:p w14:paraId="4AF08348" w14:textId="77777777" w:rsidR="000016E2" w:rsidRPr="00BD22FE" w:rsidRDefault="00104CA8" w:rsidP="00941FBF">
      <w:pPr>
        <w:autoSpaceDE w:val="0"/>
        <w:autoSpaceDN w:val="0"/>
        <w:rPr>
          <w:sz w:val="22"/>
          <w:szCs w:val="22"/>
          <w:lang w:val="pl-PL"/>
        </w:rPr>
      </w:pPr>
      <w:r w:rsidRPr="00BD22FE">
        <w:rPr>
          <w:rFonts w:eastAsia="PMingLiU"/>
          <w:iCs/>
          <w:sz w:val="22"/>
          <w:szCs w:val="22"/>
          <w:lang w:val="pl-PL"/>
        </w:rPr>
        <w:t>Francja</w:t>
      </w:r>
    </w:p>
    <w:p w14:paraId="07E93528" w14:textId="77777777" w:rsidR="000016E2" w:rsidRPr="00BD22FE" w:rsidRDefault="000016E2" w:rsidP="00941FBF">
      <w:pPr>
        <w:numPr>
          <w:ilvl w:val="12"/>
          <w:numId w:val="0"/>
        </w:numPr>
        <w:rPr>
          <w:sz w:val="22"/>
          <w:szCs w:val="22"/>
          <w:lang w:val="pl-PL"/>
        </w:rPr>
      </w:pPr>
    </w:p>
    <w:p w14:paraId="18A8E466" w14:textId="164B1562" w:rsidR="000016E2" w:rsidRPr="00BD22FE" w:rsidRDefault="00104CA8" w:rsidP="00941FBF">
      <w:pPr>
        <w:numPr>
          <w:ilvl w:val="12"/>
          <w:numId w:val="0"/>
        </w:numPr>
        <w:rPr>
          <w:sz w:val="22"/>
          <w:szCs w:val="22"/>
          <w:lang w:val="pl-PL"/>
        </w:rPr>
      </w:pPr>
      <w:r w:rsidRPr="00BD22FE">
        <w:rPr>
          <w:sz w:val="22"/>
          <w:szCs w:val="22"/>
          <w:lang w:val="pl-PL"/>
        </w:rPr>
        <w:t>Wydrukowana ulotka dla pacjenta musi zawierać nazwę i</w:t>
      </w:r>
      <w:r w:rsidR="00717A7B" w:rsidRPr="00BD22FE">
        <w:rPr>
          <w:sz w:val="22"/>
          <w:szCs w:val="22"/>
          <w:lang w:val="pl-PL"/>
        </w:rPr>
        <w:t> </w:t>
      </w:r>
      <w:r w:rsidRPr="00BD22FE">
        <w:rPr>
          <w:sz w:val="22"/>
          <w:szCs w:val="22"/>
          <w:lang w:val="pl-PL"/>
        </w:rPr>
        <w:t>adres wytwórcy odpowiedzialnego za zwolnienie danej serii produktu leczniczego.</w:t>
      </w:r>
    </w:p>
    <w:p w14:paraId="224EDE9E" w14:textId="77777777" w:rsidR="000016E2" w:rsidRPr="00BD22FE" w:rsidRDefault="000016E2" w:rsidP="00941FBF">
      <w:pPr>
        <w:numPr>
          <w:ilvl w:val="12"/>
          <w:numId w:val="0"/>
        </w:numPr>
        <w:rPr>
          <w:sz w:val="22"/>
          <w:szCs w:val="22"/>
          <w:lang w:val="pl-PL"/>
        </w:rPr>
      </w:pPr>
    </w:p>
    <w:p w14:paraId="46BF2AC4" w14:textId="77777777" w:rsidR="000016E2" w:rsidRPr="00BD22FE" w:rsidRDefault="000016E2" w:rsidP="00941FBF">
      <w:pPr>
        <w:numPr>
          <w:ilvl w:val="12"/>
          <w:numId w:val="0"/>
        </w:numPr>
        <w:rPr>
          <w:sz w:val="22"/>
          <w:szCs w:val="22"/>
          <w:lang w:val="pl-PL"/>
        </w:rPr>
      </w:pPr>
    </w:p>
    <w:p w14:paraId="2ED8731A" w14:textId="25AB98E5" w:rsidR="000016E2" w:rsidRPr="00BD22FE" w:rsidRDefault="00104CA8" w:rsidP="00717A7B">
      <w:pPr>
        <w:pStyle w:val="QRD2"/>
      </w:pPr>
      <w:r w:rsidRPr="00BD22FE">
        <w:t>B.</w:t>
      </w:r>
      <w:r w:rsidRPr="00BD22FE">
        <w:tab/>
        <w:t>WARUNKI LUB OGRANICZENIA DOTYCZĄCE ZAOPATRZENIA I</w:t>
      </w:r>
      <w:r w:rsidR="00717A7B" w:rsidRPr="00BD22FE">
        <w:t> </w:t>
      </w:r>
      <w:r w:rsidRPr="00BD22FE">
        <w:t>STOSOWANIA</w:t>
      </w:r>
      <w:fldSimple w:instr=" DOCVARIABLE VAULT_ND_6019744f-eb6b-412b-a9d6-e616a7f660ac \* MERGEFORMAT ">
        <w:r w:rsidR="00C15F79" w:rsidRPr="00BD22FE">
          <w:t xml:space="preserve"> </w:t>
        </w:r>
      </w:fldSimple>
    </w:p>
    <w:p w14:paraId="40C47460" w14:textId="77777777" w:rsidR="000016E2" w:rsidRPr="00BD22FE" w:rsidRDefault="000016E2" w:rsidP="00333C60">
      <w:pPr>
        <w:keepNext/>
        <w:rPr>
          <w:sz w:val="22"/>
          <w:szCs w:val="22"/>
          <w:lang w:val="pl-PL"/>
        </w:rPr>
      </w:pPr>
    </w:p>
    <w:p w14:paraId="4BB16F1A" w14:textId="77777777" w:rsidR="000016E2" w:rsidRPr="00BD22FE" w:rsidRDefault="00104CA8" w:rsidP="00941FBF">
      <w:pPr>
        <w:numPr>
          <w:ilvl w:val="12"/>
          <w:numId w:val="0"/>
        </w:numPr>
        <w:rPr>
          <w:sz w:val="22"/>
          <w:szCs w:val="22"/>
          <w:lang w:val="pl-PL"/>
        </w:rPr>
      </w:pPr>
      <w:r w:rsidRPr="00BD22FE">
        <w:rPr>
          <w:sz w:val="22"/>
          <w:szCs w:val="22"/>
          <w:lang w:val="pl-PL"/>
        </w:rPr>
        <w:t>Produkt leczniczy wydawany na receptę.</w:t>
      </w:r>
    </w:p>
    <w:p w14:paraId="71000552" w14:textId="77777777" w:rsidR="000016E2" w:rsidRPr="00BD22FE" w:rsidRDefault="000016E2" w:rsidP="00941FBF">
      <w:pPr>
        <w:numPr>
          <w:ilvl w:val="12"/>
          <w:numId w:val="0"/>
        </w:numPr>
        <w:rPr>
          <w:sz w:val="22"/>
          <w:szCs w:val="22"/>
          <w:lang w:val="pl-PL"/>
        </w:rPr>
      </w:pPr>
    </w:p>
    <w:p w14:paraId="28D90291" w14:textId="77777777" w:rsidR="000016E2" w:rsidRPr="00BD22FE" w:rsidRDefault="000016E2" w:rsidP="00941FBF">
      <w:pPr>
        <w:numPr>
          <w:ilvl w:val="12"/>
          <w:numId w:val="0"/>
        </w:numPr>
        <w:rPr>
          <w:sz w:val="22"/>
          <w:szCs w:val="22"/>
          <w:lang w:val="pl-PL"/>
        </w:rPr>
      </w:pPr>
    </w:p>
    <w:p w14:paraId="28443E2F" w14:textId="75E35B33" w:rsidR="000016E2" w:rsidRPr="00BD22FE" w:rsidRDefault="00104CA8" w:rsidP="00717A7B">
      <w:pPr>
        <w:pStyle w:val="QRD2"/>
      </w:pPr>
      <w:r w:rsidRPr="00BD22FE">
        <w:t>C.</w:t>
      </w:r>
      <w:r w:rsidRPr="00BD22FE">
        <w:tab/>
        <w:t>INNE WARUNKI I</w:t>
      </w:r>
      <w:r w:rsidR="00717A7B" w:rsidRPr="00BD22FE">
        <w:t> </w:t>
      </w:r>
      <w:r w:rsidRPr="00BD22FE">
        <w:t>WYMAGANIA DOTYCZĄCE DOPUSZCZENIA DO OBROTU</w:t>
      </w:r>
      <w:r w:rsidR="00C15F79">
        <w:fldChar w:fldCharType="begin"/>
      </w:r>
      <w:r w:rsidR="00C15F79">
        <w:instrText xml:space="preserve"> DOCVARIABLE VAULT_ND_b561b49d-cb36-42e4-bb99-1fc530af317a \* MERGEFORMAT </w:instrText>
      </w:r>
      <w:r w:rsidR="00C15F79">
        <w:fldChar w:fldCharType="separate"/>
      </w:r>
      <w:r w:rsidR="00C15F79" w:rsidRPr="00BD22FE">
        <w:t xml:space="preserve"> </w:t>
      </w:r>
      <w:r w:rsidR="00C15F79">
        <w:fldChar w:fldCharType="end"/>
      </w:r>
    </w:p>
    <w:p w14:paraId="5D124BD1" w14:textId="77777777" w:rsidR="000016E2" w:rsidRPr="00BD22FE" w:rsidRDefault="000016E2" w:rsidP="00333C60">
      <w:pPr>
        <w:keepNext/>
        <w:rPr>
          <w:sz w:val="22"/>
          <w:szCs w:val="22"/>
          <w:lang w:val="pl-PL"/>
        </w:rPr>
      </w:pPr>
    </w:p>
    <w:p w14:paraId="21F37A5A" w14:textId="1E3A9FB9" w:rsidR="000016E2" w:rsidRPr="00166B77" w:rsidRDefault="00104CA8" w:rsidP="006717CD">
      <w:pPr>
        <w:keepNext/>
        <w:numPr>
          <w:ilvl w:val="0"/>
          <w:numId w:val="14"/>
        </w:numPr>
        <w:ind w:left="567" w:hanging="567"/>
        <w:rPr>
          <w:b/>
          <w:sz w:val="22"/>
          <w:szCs w:val="22"/>
          <w:lang w:val="en-GB"/>
        </w:rPr>
      </w:pPr>
      <w:r w:rsidRPr="00BD22FE">
        <w:rPr>
          <w:b/>
          <w:sz w:val="22"/>
          <w:szCs w:val="22"/>
          <w:lang w:val="pl-PL"/>
        </w:rPr>
        <w:t>Okresowe raporty o</w:t>
      </w:r>
      <w:r w:rsidR="00717A7B" w:rsidRPr="00BD22FE">
        <w:rPr>
          <w:b/>
          <w:sz w:val="22"/>
          <w:szCs w:val="22"/>
          <w:lang w:val="pl-PL"/>
        </w:rPr>
        <w:t> </w:t>
      </w:r>
      <w:r w:rsidRPr="00BD22FE">
        <w:rPr>
          <w:b/>
          <w:sz w:val="22"/>
          <w:szCs w:val="22"/>
          <w:lang w:val="pl-PL"/>
        </w:rPr>
        <w:t xml:space="preserve">bezpieczeństwie stosowania (ang. </w:t>
      </w:r>
      <w:r w:rsidRPr="00166B77">
        <w:rPr>
          <w:b/>
          <w:sz w:val="22"/>
          <w:szCs w:val="22"/>
          <w:lang w:val="en-GB"/>
        </w:rPr>
        <w:t>Periodic safety update reports, PSURs)</w:t>
      </w:r>
    </w:p>
    <w:p w14:paraId="14A997FA" w14:textId="77777777" w:rsidR="000016E2" w:rsidRPr="00166B77" w:rsidRDefault="000016E2" w:rsidP="00333C60">
      <w:pPr>
        <w:keepNext/>
        <w:ind w:left="567" w:hanging="567"/>
        <w:rPr>
          <w:sz w:val="22"/>
          <w:szCs w:val="22"/>
          <w:u w:val="single"/>
          <w:lang w:val="en-GB"/>
        </w:rPr>
      </w:pPr>
    </w:p>
    <w:p w14:paraId="49381E06" w14:textId="6D3E12E8" w:rsidR="000016E2" w:rsidRPr="00BD22FE" w:rsidRDefault="00104CA8" w:rsidP="00941FBF">
      <w:pPr>
        <w:rPr>
          <w:rStyle w:val="hps"/>
          <w:sz w:val="22"/>
          <w:szCs w:val="22"/>
          <w:lang w:val="pl-PL"/>
        </w:rPr>
      </w:pPr>
      <w:r w:rsidRPr="00BD22FE">
        <w:rPr>
          <w:sz w:val="22"/>
          <w:szCs w:val="22"/>
          <w:lang w:val="pl-PL"/>
        </w:rPr>
        <w:t>Wymagania do przedłożenia okresowych raportów o</w:t>
      </w:r>
      <w:r w:rsidR="00717A7B" w:rsidRPr="00BD22FE">
        <w:rPr>
          <w:sz w:val="22"/>
          <w:szCs w:val="22"/>
          <w:lang w:val="pl-PL"/>
        </w:rPr>
        <w:t> </w:t>
      </w:r>
      <w:r w:rsidRPr="00BD22FE">
        <w:rPr>
          <w:sz w:val="22"/>
          <w:szCs w:val="22"/>
          <w:lang w:val="pl-PL"/>
        </w:rPr>
        <w:t>bezpieczeństwie stosowania tego produktu leczniczego są określone w</w:t>
      </w:r>
      <w:r w:rsidR="00717A7B" w:rsidRPr="00BD22FE">
        <w:rPr>
          <w:sz w:val="22"/>
          <w:szCs w:val="22"/>
          <w:lang w:val="pl-PL"/>
        </w:rPr>
        <w:t> </w:t>
      </w:r>
      <w:r w:rsidRPr="00BD22FE">
        <w:rPr>
          <w:sz w:val="22"/>
          <w:szCs w:val="22"/>
          <w:lang w:val="pl-PL"/>
        </w:rPr>
        <w:t>wykazie unijnych dat referencyjnych (wykaz EURD), o</w:t>
      </w:r>
      <w:r w:rsidR="00717A7B" w:rsidRPr="00BD22FE">
        <w:rPr>
          <w:sz w:val="22"/>
          <w:szCs w:val="22"/>
          <w:lang w:val="pl-PL"/>
        </w:rPr>
        <w:t> </w:t>
      </w:r>
      <w:r w:rsidRPr="00BD22FE">
        <w:rPr>
          <w:sz w:val="22"/>
          <w:szCs w:val="22"/>
          <w:lang w:val="pl-PL"/>
        </w:rPr>
        <w:t>którym mowa w</w:t>
      </w:r>
      <w:r w:rsidR="00717A7B" w:rsidRPr="00BD22FE">
        <w:rPr>
          <w:sz w:val="22"/>
          <w:szCs w:val="22"/>
          <w:lang w:val="pl-PL"/>
        </w:rPr>
        <w:t> </w:t>
      </w:r>
      <w:r w:rsidRPr="00BD22FE">
        <w:rPr>
          <w:sz w:val="22"/>
          <w:szCs w:val="22"/>
          <w:lang w:val="pl-PL"/>
        </w:rPr>
        <w:t>art. 107c ust. 7 dyrektywy</w:t>
      </w:r>
      <w:r w:rsidR="00717A7B" w:rsidRPr="00BD22FE">
        <w:rPr>
          <w:sz w:val="22"/>
          <w:szCs w:val="22"/>
          <w:lang w:val="pl-PL"/>
        </w:rPr>
        <w:t> </w:t>
      </w:r>
      <w:r w:rsidRPr="00BD22FE">
        <w:rPr>
          <w:sz w:val="22"/>
          <w:szCs w:val="22"/>
          <w:lang w:val="pl-PL"/>
        </w:rPr>
        <w:t>2001/83/WE i</w:t>
      </w:r>
      <w:r w:rsidR="00717A7B" w:rsidRPr="00BD22FE">
        <w:rPr>
          <w:sz w:val="22"/>
          <w:szCs w:val="22"/>
          <w:lang w:val="pl-PL"/>
        </w:rPr>
        <w:t> </w:t>
      </w:r>
      <w:r w:rsidRPr="00BD22FE">
        <w:rPr>
          <w:sz w:val="22"/>
          <w:szCs w:val="22"/>
          <w:lang w:val="pl-PL"/>
        </w:rPr>
        <w:t>jego kolejnych aktualizacjach ogłaszanych na europejskiej stronie internetowej dotyczącej leków.</w:t>
      </w:r>
    </w:p>
    <w:p w14:paraId="08E49B9B" w14:textId="77777777" w:rsidR="000016E2" w:rsidRPr="00BD22FE" w:rsidRDefault="000016E2" w:rsidP="00941FBF">
      <w:pPr>
        <w:rPr>
          <w:sz w:val="22"/>
          <w:szCs w:val="22"/>
          <w:u w:val="single"/>
          <w:lang w:val="pl-PL"/>
        </w:rPr>
      </w:pPr>
    </w:p>
    <w:p w14:paraId="45325177" w14:textId="77777777" w:rsidR="000016E2" w:rsidRPr="00BD22FE" w:rsidRDefault="000016E2" w:rsidP="00941FBF">
      <w:pPr>
        <w:rPr>
          <w:sz w:val="22"/>
          <w:szCs w:val="22"/>
          <w:u w:val="single"/>
          <w:lang w:val="pl-PL"/>
        </w:rPr>
      </w:pPr>
    </w:p>
    <w:p w14:paraId="366C1900" w14:textId="1D296DC7" w:rsidR="000016E2" w:rsidRPr="00BD22FE" w:rsidRDefault="00104CA8" w:rsidP="00717A7B">
      <w:pPr>
        <w:pStyle w:val="QRD2"/>
      </w:pPr>
      <w:r w:rsidRPr="00BD22FE">
        <w:t>D.</w:t>
      </w:r>
      <w:r w:rsidRPr="00BD22FE">
        <w:tab/>
        <w:t>WARUNKI LUB OGRANICZENIA DOTYCZĄCE BEZPIECZNEGO I</w:t>
      </w:r>
      <w:r w:rsidR="00717A7B" w:rsidRPr="00BD22FE">
        <w:t> </w:t>
      </w:r>
      <w:r w:rsidRPr="00BD22FE">
        <w:t>SKUTECZNEGO STOSOWANIA PRODUKTU LECZNICZEGO</w:t>
      </w:r>
      <w:r w:rsidR="00C15F79">
        <w:fldChar w:fldCharType="begin"/>
      </w:r>
      <w:r w:rsidR="00C15F79">
        <w:instrText xml:space="preserve"> DOCVARIABLE VAULT_ND_7dfc2cab-125b-4299-886a-0dfbef1f7ac8 \* MERGEFORMAT </w:instrText>
      </w:r>
      <w:r w:rsidR="00C15F79">
        <w:fldChar w:fldCharType="separate"/>
      </w:r>
      <w:r w:rsidR="00C15F79" w:rsidRPr="00BD22FE">
        <w:t xml:space="preserve"> </w:t>
      </w:r>
      <w:r w:rsidR="00C15F79">
        <w:fldChar w:fldCharType="end"/>
      </w:r>
    </w:p>
    <w:p w14:paraId="6C07D583" w14:textId="77777777" w:rsidR="000016E2" w:rsidRPr="00BD22FE" w:rsidRDefault="000016E2" w:rsidP="00333C60">
      <w:pPr>
        <w:pStyle w:val="Default"/>
        <w:keepNext/>
        <w:rPr>
          <w:rStyle w:val="hps"/>
          <w:lang w:val="pl-PL"/>
        </w:rPr>
      </w:pPr>
    </w:p>
    <w:p w14:paraId="0396EB7E" w14:textId="77777777" w:rsidR="000016E2" w:rsidRPr="00BD22FE" w:rsidRDefault="00104CA8" w:rsidP="006717CD">
      <w:pPr>
        <w:keepNext/>
        <w:numPr>
          <w:ilvl w:val="0"/>
          <w:numId w:val="14"/>
        </w:numPr>
        <w:ind w:left="567" w:hanging="567"/>
        <w:rPr>
          <w:b/>
          <w:sz w:val="22"/>
          <w:szCs w:val="22"/>
          <w:lang w:val="pl-PL"/>
        </w:rPr>
      </w:pPr>
      <w:r w:rsidRPr="00BD22FE">
        <w:rPr>
          <w:b/>
          <w:sz w:val="22"/>
          <w:szCs w:val="22"/>
          <w:lang w:val="pl-PL"/>
        </w:rPr>
        <w:t>Plan zarządzania ryzykiem (ang. Risk Management Plan, RMP)</w:t>
      </w:r>
    </w:p>
    <w:p w14:paraId="09C86580" w14:textId="77777777" w:rsidR="00333C60" w:rsidRPr="00BD22FE" w:rsidRDefault="00333C60" w:rsidP="00333C60">
      <w:pPr>
        <w:keepNext/>
        <w:adjustRightInd w:val="0"/>
        <w:rPr>
          <w:sz w:val="22"/>
          <w:szCs w:val="22"/>
          <w:lang w:val="pl-PL" w:bidi="bn-IN"/>
        </w:rPr>
      </w:pPr>
    </w:p>
    <w:p w14:paraId="4A6E3AB6" w14:textId="02071142" w:rsidR="003A7E3D" w:rsidRPr="00BD22FE" w:rsidRDefault="00104CA8" w:rsidP="00941FBF">
      <w:pPr>
        <w:adjustRightInd w:val="0"/>
        <w:rPr>
          <w:sz w:val="22"/>
          <w:szCs w:val="22"/>
          <w:lang w:val="pl-PL" w:bidi="bn-IN"/>
        </w:rPr>
      </w:pPr>
      <w:r w:rsidRPr="00BD22FE">
        <w:rPr>
          <w:sz w:val="22"/>
          <w:szCs w:val="22"/>
          <w:lang w:val="pl-PL" w:bidi="bn-IN"/>
        </w:rPr>
        <w:t>Podmiot odpowiedzialny podejmie wymagane działania i</w:t>
      </w:r>
      <w:r w:rsidR="00717A7B" w:rsidRPr="00BD22FE">
        <w:rPr>
          <w:sz w:val="22"/>
          <w:szCs w:val="22"/>
          <w:lang w:val="pl-PL" w:bidi="bn-IN"/>
        </w:rPr>
        <w:t> </w:t>
      </w:r>
      <w:r w:rsidRPr="00BD22FE">
        <w:rPr>
          <w:sz w:val="22"/>
          <w:szCs w:val="22"/>
          <w:lang w:val="pl-PL" w:bidi="bn-IN"/>
        </w:rPr>
        <w:t>interwencje z</w:t>
      </w:r>
      <w:r w:rsidR="00717A7B" w:rsidRPr="00BD22FE">
        <w:rPr>
          <w:sz w:val="22"/>
          <w:szCs w:val="22"/>
          <w:lang w:val="pl-PL" w:bidi="bn-IN"/>
        </w:rPr>
        <w:t> </w:t>
      </w:r>
      <w:r w:rsidRPr="00BD22FE">
        <w:rPr>
          <w:sz w:val="22"/>
          <w:szCs w:val="22"/>
          <w:lang w:val="pl-PL" w:bidi="bn-IN"/>
        </w:rPr>
        <w:t>zakresu nadzoru nad bezpieczeństwem farmakoterapii wyszczególnione w</w:t>
      </w:r>
      <w:r w:rsidR="00717A7B" w:rsidRPr="00BD22FE">
        <w:rPr>
          <w:sz w:val="22"/>
          <w:szCs w:val="22"/>
          <w:lang w:val="pl-PL" w:bidi="bn-IN"/>
        </w:rPr>
        <w:t> </w:t>
      </w:r>
      <w:r w:rsidRPr="00BD22FE">
        <w:rPr>
          <w:sz w:val="22"/>
          <w:szCs w:val="22"/>
          <w:lang w:val="pl-PL" w:bidi="bn-IN"/>
        </w:rPr>
        <w:t>RMP, przedstawionym w</w:t>
      </w:r>
      <w:r w:rsidR="00717A7B" w:rsidRPr="00BD22FE">
        <w:rPr>
          <w:sz w:val="22"/>
          <w:szCs w:val="22"/>
          <w:lang w:val="pl-PL" w:bidi="bn-IN"/>
        </w:rPr>
        <w:t> </w:t>
      </w:r>
      <w:r w:rsidRPr="00BD22FE">
        <w:rPr>
          <w:sz w:val="22"/>
          <w:szCs w:val="22"/>
          <w:lang w:val="pl-PL" w:bidi="bn-IN"/>
        </w:rPr>
        <w:t>module 1.8.2 dokumentacji do pozwolenia na dopuszczenie do obrotu, i</w:t>
      </w:r>
      <w:r w:rsidR="00717A7B" w:rsidRPr="00BD22FE">
        <w:rPr>
          <w:sz w:val="22"/>
          <w:szCs w:val="22"/>
          <w:lang w:val="pl-PL" w:bidi="bn-IN"/>
        </w:rPr>
        <w:t> </w:t>
      </w:r>
      <w:r w:rsidRPr="00BD22FE">
        <w:rPr>
          <w:sz w:val="22"/>
          <w:szCs w:val="22"/>
          <w:lang w:val="pl-PL" w:bidi="bn-IN"/>
        </w:rPr>
        <w:t>wszelkich jego kolejnych aktualizacjach.</w:t>
      </w:r>
    </w:p>
    <w:p w14:paraId="2A47E046" w14:textId="77777777" w:rsidR="00AA012C" w:rsidRPr="00BD22FE" w:rsidRDefault="00AA012C" w:rsidP="00941FBF">
      <w:pPr>
        <w:adjustRightInd w:val="0"/>
        <w:rPr>
          <w:sz w:val="22"/>
          <w:szCs w:val="22"/>
          <w:lang w:val="pl-PL" w:bidi="bn-IN"/>
        </w:rPr>
      </w:pPr>
    </w:p>
    <w:p w14:paraId="395FF944" w14:textId="08A91891" w:rsidR="000016E2" w:rsidRPr="00BD22FE" w:rsidRDefault="00104CA8" w:rsidP="00941FBF">
      <w:pPr>
        <w:adjustRightInd w:val="0"/>
        <w:rPr>
          <w:sz w:val="22"/>
          <w:szCs w:val="22"/>
          <w:lang w:val="pl-PL" w:bidi="bn-IN"/>
        </w:rPr>
      </w:pPr>
      <w:r w:rsidRPr="00BD22FE">
        <w:rPr>
          <w:sz w:val="22"/>
          <w:szCs w:val="22"/>
          <w:lang w:val="pl-PL" w:bidi="bn-IN"/>
        </w:rPr>
        <w:t xml:space="preserve">Uaktualniony RMP należy przedstawiać co </w:t>
      </w:r>
      <w:r w:rsidR="00AA012C" w:rsidRPr="00BD22FE">
        <w:rPr>
          <w:sz w:val="22"/>
          <w:szCs w:val="22"/>
          <w:lang w:val="pl-PL" w:bidi="bn-IN"/>
        </w:rPr>
        <w:t>trzy </w:t>
      </w:r>
      <w:r w:rsidRPr="00BD22FE">
        <w:rPr>
          <w:sz w:val="22"/>
          <w:szCs w:val="22"/>
          <w:lang w:val="pl-PL" w:bidi="bn-IN"/>
        </w:rPr>
        <w:t>lata.</w:t>
      </w:r>
    </w:p>
    <w:p w14:paraId="31EA7281" w14:textId="77777777" w:rsidR="000016E2" w:rsidRPr="00BD22FE" w:rsidRDefault="000016E2" w:rsidP="00941FBF">
      <w:pPr>
        <w:pStyle w:val="Default"/>
        <w:rPr>
          <w:rStyle w:val="hps"/>
          <w:sz w:val="22"/>
          <w:lang w:val="pl-PL"/>
        </w:rPr>
      </w:pPr>
    </w:p>
    <w:p w14:paraId="0A379FAD" w14:textId="77777777" w:rsidR="000016E2" w:rsidRPr="00BD22FE" w:rsidRDefault="00104CA8" w:rsidP="00333C60">
      <w:pPr>
        <w:keepNext/>
        <w:adjustRightInd w:val="0"/>
        <w:rPr>
          <w:rFonts w:eastAsia="Symbol"/>
          <w:sz w:val="22"/>
          <w:szCs w:val="22"/>
          <w:lang w:val="pl-PL" w:bidi="bn-IN"/>
        </w:rPr>
      </w:pPr>
      <w:r w:rsidRPr="00BD22FE">
        <w:rPr>
          <w:sz w:val="22"/>
          <w:szCs w:val="22"/>
          <w:lang w:val="pl-PL" w:bidi="bn-IN"/>
        </w:rPr>
        <w:t>Ponadto, uaktualniony RMP należy przedstawiać:</w:t>
      </w:r>
    </w:p>
    <w:p w14:paraId="0349865D" w14:textId="77777777" w:rsidR="003A7E3D" w:rsidRPr="00BD22FE" w:rsidRDefault="00104CA8" w:rsidP="006717CD">
      <w:pPr>
        <w:keepNext/>
        <w:numPr>
          <w:ilvl w:val="2"/>
          <w:numId w:val="15"/>
        </w:numPr>
        <w:adjustRightInd w:val="0"/>
        <w:ind w:left="567" w:hanging="567"/>
        <w:rPr>
          <w:sz w:val="22"/>
          <w:szCs w:val="22"/>
          <w:lang w:val="pl-PL" w:bidi="bn-IN"/>
        </w:rPr>
      </w:pPr>
      <w:r w:rsidRPr="00BD22FE">
        <w:rPr>
          <w:sz w:val="22"/>
          <w:szCs w:val="22"/>
          <w:lang w:val="pl-PL" w:bidi="bn-IN"/>
        </w:rPr>
        <w:t>na żądanie Europejskiej Agencji Leków;</w:t>
      </w:r>
    </w:p>
    <w:p w14:paraId="69AC8349" w14:textId="2E348169" w:rsidR="00333C60" w:rsidRPr="00BD22FE" w:rsidRDefault="00104CA8" w:rsidP="006717CD">
      <w:pPr>
        <w:numPr>
          <w:ilvl w:val="2"/>
          <w:numId w:val="15"/>
        </w:numPr>
        <w:adjustRightInd w:val="0"/>
        <w:ind w:left="567" w:hanging="567"/>
        <w:rPr>
          <w:rFonts w:eastAsia="MS Mincho"/>
          <w:sz w:val="22"/>
          <w:szCs w:val="22"/>
          <w:lang w:val="pl-PL" w:bidi="bn-IN"/>
        </w:rPr>
      </w:pPr>
      <w:r w:rsidRPr="00BD22FE">
        <w:rPr>
          <w:sz w:val="22"/>
          <w:szCs w:val="22"/>
          <w:lang w:val="pl-PL" w:bidi="bn-IN"/>
        </w:rPr>
        <w:t>w</w:t>
      </w:r>
      <w:r w:rsidR="00717A7B" w:rsidRPr="00BD22FE">
        <w:rPr>
          <w:sz w:val="22"/>
          <w:szCs w:val="22"/>
          <w:lang w:val="pl-PL" w:bidi="bn-IN"/>
        </w:rPr>
        <w:t> </w:t>
      </w:r>
      <w:r w:rsidRPr="00BD22FE">
        <w:rPr>
          <w:sz w:val="22"/>
          <w:szCs w:val="22"/>
          <w:lang w:val="pl-PL" w:bidi="bn-IN"/>
        </w:rPr>
        <w:t>razie zmiany systemu zarządzania ryzykiem, zwłaszcza w</w:t>
      </w:r>
      <w:r w:rsidR="00717A7B" w:rsidRPr="00BD22FE">
        <w:rPr>
          <w:sz w:val="22"/>
          <w:szCs w:val="22"/>
          <w:lang w:val="pl-PL" w:bidi="bn-IN"/>
        </w:rPr>
        <w:t> </w:t>
      </w:r>
      <w:r w:rsidRPr="00BD22FE">
        <w:rPr>
          <w:sz w:val="22"/>
          <w:szCs w:val="22"/>
          <w:lang w:val="pl-PL" w:bidi="bn-IN"/>
        </w:rPr>
        <w:t>wyniku uzyskania nowych informacji, które mogą istotnie wpłynąć na stosunek ryzyka do korzyści, lub w</w:t>
      </w:r>
      <w:r w:rsidR="00717A7B" w:rsidRPr="00BD22FE">
        <w:rPr>
          <w:sz w:val="22"/>
          <w:szCs w:val="22"/>
          <w:lang w:val="pl-PL" w:bidi="bn-IN"/>
        </w:rPr>
        <w:t> </w:t>
      </w:r>
      <w:r w:rsidRPr="00BD22FE">
        <w:rPr>
          <w:sz w:val="22"/>
          <w:szCs w:val="22"/>
          <w:lang w:val="pl-PL" w:bidi="bn-IN"/>
        </w:rPr>
        <w:t>wyniku uzyskania istotnych informacji, dotyczących bezpieczeństwa stosowania produktu leczniczego lub odnoszący</w:t>
      </w:r>
      <w:r w:rsidR="00333C60" w:rsidRPr="00BD22FE">
        <w:rPr>
          <w:sz w:val="22"/>
          <w:szCs w:val="22"/>
          <w:lang w:val="pl-PL" w:bidi="bn-IN"/>
        </w:rPr>
        <w:t>ch się do minimalizacji ryzyka.</w:t>
      </w:r>
    </w:p>
    <w:p w14:paraId="6918CE08" w14:textId="1A356449" w:rsidR="000016E2" w:rsidRPr="00BD22FE" w:rsidRDefault="00104CA8" w:rsidP="006717CD">
      <w:pPr>
        <w:numPr>
          <w:ilvl w:val="2"/>
          <w:numId w:val="15"/>
        </w:numPr>
        <w:adjustRightInd w:val="0"/>
        <w:ind w:left="567" w:hanging="567"/>
        <w:rPr>
          <w:rFonts w:eastAsia="MS Mincho"/>
          <w:sz w:val="22"/>
          <w:szCs w:val="22"/>
          <w:lang w:val="pl-PL" w:bidi="bn-IN"/>
        </w:rPr>
      </w:pPr>
      <w:r w:rsidRPr="00BD22FE">
        <w:rPr>
          <w:sz w:val="22"/>
          <w:szCs w:val="22"/>
          <w:lang w:val="pl-PL" w:bidi="bn-IN"/>
        </w:rPr>
        <w:br w:type="page"/>
      </w:r>
    </w:p>
    <w:p w14:paraId="77A4F9F8" w14:textId="77777777" w:rsidR="000016E2" w:rsidRPr="00BD22FE" w:rsidRDefault="000016E2" w:rsidP="00941FBF">
      <w:pPr>
        <w:jc w:val="center"/>
        <w:rPr>
          <w:sz w:val="22"/>
          <w:szCs w:val="22"/>
          <w:lang w:val="pl-PL"/>
        </w:rPr>
      </w:pPr>
    </w:p>
    <w:p w14:paraId="0F16A2F9" w14:textId="77777777" w:rsidR="000016E2" w:rsidRPr="00BD22FE" w:rsidRDefault="000016E2" w:rsidP="00941FBF">
      <w:pPr>
        <w:jc w:val="center"/>
        <w:rPr>
          <w:sz w:val="22"/>
          <w:szCs w:val="22"/>
          <w:lang w:val="pl-PL"/>
        </w:rPr>
      </w:pPr>
    </w:p>
    <w:p w14:paraId="7276D1F1" w14:textId="77777777" w:rsidR="000016E2" w:rsidRPr="00BD22FE" w:rsidRDefault="000016E2" w:rsidP="00941FBF">
      <w:pPr>
        <w:jc w:val="center"/>
        <w:rPr>
          <w:sz w:val="22"/>
          <w:szCs w:val="22"/>
          <w:lang w:val="pl-PL"/>
        </w:rPr>
      </w:pPr>
    </w:p>
    <w:p w14:paraId="53610030" w14:textId="77777777" w:rsidR="000016E2" w:rsidRPr="00BD22FE" w:rsidRDefault="000016E2" w:rsidP="00941FBF">
      <w:pPr>
        <w:jc w:val="center"/>
        <w:rPr>
          <w:sz w:val="22"/>
          <w:szCs w:val="22"/>
          <w:lang w:val="pl-PL"/>
        </w:rPr>
      </w:pPr>
    </w:p>
    <w:p w14:paraId="4B51122B" w14:textId="77777777" w:rsidR="000016E2" w:rsidRPr="00BD22FE" w:rsidRDefault="000016E2" w:rsidP="00941FBF">
      <w:pPr>
        <w:jc w:val="center"/>
        <w:rPr>
          <w:sz w:val="22"/>
          <w:szCs w:val="22"/>
          <w:lang w:val="pl-PL"/>
        </w:rPr>
      </w:pPr>
    </w:p>
    <w:p w14:paraId="0032E892" w14:textId="77777777" w:rsidR="000016E2" w:rsidRPr="00BD22FE" w:rsidRDefault="000016E2" w:rsidP="00941FBF">
      <w:pPr>
        <w:jc w:val="center"/>
        <w:rPr>
          <w:sz w:val="22"/>
          <w:szCs w:val="22"/>
          <w:lang w:val="pl-PL"/>
        </w:rPr>
      </w:pPr>
    </w:p>
    <w:p w14:paraId="3C10E090" w14:textId="77777777" w:rsidR="000016E2" w:rsidRPr="00BD22FE" w:rsidRDefault="000016E2" w:rsidP="00941FBF">
      <w:pPr>
        <w:jc w:val="center"/>
        <w:rPr>
          <w:sz w:val="22"/>
          <w:szCs w:val="22"/>
          <w:lang w:val="pl-PL"/>
        </w:rPr>
      </w:pPr>
    </w:p>
    <w:p w14:paraId="6E83BEA4" w14:textId="77777777" w:rsidR="000016E2" w:rsidRPr="00BD22FE" w:rsidRDefault="000016E2" w:rsidP="00941FBF">
      <w:pPr>
        <w:jc w:val="center"/>
        <w:rPr>
          <w:sz w:val="22"/>
          <w:szCs w:val="22"/>
          <w:lang w:val="pl-PL"/>
        </w:rPr>
      </w:pPr>
    </w:p>
    <w:p w14:paraId="4F3588FF" w14:textId="77777777" w:rsidR="000016E2" w:rsidRPr="00BD22FE" w:rsidRDefault="000016E2" w:rsidP="00941FBF">
      <w:pPr>
        <w:jc w:val="center"/>
        <w:rPr>
          <w:sz w:val="22"/>
          <w:szCs w:val="22"/>
          <w:lang w:val="pl-PL"/>
        </w:rPr>
      </w:pPr>
    </w:p>
    <w:p w14:paraId="53D57C5F" w14:textId="77777777" w:rsidR="000016E2" w:rsidRPr="00BD22FE" w:rsidRDefault="000016E2" w:rsidP="00941FBF">
      <w:pPr>
        <w:jc w:val="center"/>
        <w:rPr>
          <w:sz w:val="22"/>
          <w:szCs w:val="22"/>
          <w:lang w:val="pl-PL"/>
        </w:rPr>
      </w:pPr>
    </w:p>
    <w:p w14:paraId="40112B44" w14:textId="77777777" w:rsidR="000016E2" w:rsidRPr="00BD22FE" w:rsidRDefault="000016E2" w:rsidP="00941FBF">
      <w:pPr>
        <w:jc w:val="center"/>
        <w:rPr>
          <w:sz w:val="22"/>
          <w:szCs w:val="22"/>
          <w:lang w:val="pl-PL"/>
        </w:rPr>
      </w:pPr>
    </w:p>
    <w:p w14:paraId="6DB5B8FA" w14:textId="77777777" w:rsidR="000016E2" w:rsidRPr="00BD22FE" w:rsidRDefault="000016E2" w:rsidP="00941FBF">
      <w:pPr>
        <w:jc w:val="center"/>
        <w:rPr>
          <w:sz w:val="22"/>
          <w:szCs w:val="22"/>
          <w:lang w:val="pl-PL"/>
        </w:rPr>
      </w:pPr>
    </w:p>
    <w:p w14:paraId="6F863086" w14:textId="77777777" w:rsidR="000016E2" w:rsidRPr="00BD22FE" w:rsidRDefault="000016E2" w:rsidP="00941FBF">
      <w:pPr>
        <w:jc w:val="center"/>
        <w:rPr>
          <w:sz w:val="22"/>
          <w:szCs w:val="22"/>
          <w:lang w:val="pl-PL"/>
        </w:rPr>
      </w:pPr>
    </w:p>
    <w:p w14:paraId="0A007F7E" w14:textId="77777777" w:rsidR="000016E2" w:rsidRPr="00BD22FE" w:rsidRDefault="000016E2" w:rsidP="00941FBF">
      <w:pPr>
        <w:jc w:val="center"/>
        <w:rPr>
          <w:sz w:val="22"/>
          <w:szCs w:val="22"/>
          <w:lang w:val="pl-PL"/>
        </w:rPr>
      </w:pPr>
    </w:p>
    <w:p w14:paraId="5027AD29" w14:textId="77777777" w:rsidR="000016E2" w:rsidRPr="00BD22FE" w:rsidRDefault="000016E2" w:rsidP="00941FBF">
      <w:pPr>
        <w:jc w:val="center"/>
        <w:rPr>
          <w:sz w:val="22"/>
          <w:szCs w:val="22"/>
          <w:lang w:val="pl-PL"/>
        </w:rPr>
      </w:pPr>
    </w:p>
    <w:p w14:paraId="1D2AD411" w14:textId="77777777" w:rsidR="000016E2" w:rsidRPr="00BD22FE" w:rsidRDefault="000016E2" w:rsidP="00941FBF">
      <w:pPr>
        <w:jc w:val="center"/>
        <w:rPr>
          <w:sz w:val="22"/>
          <w:szCs w:val="22"/>
          <w:lang w:val="pl-PL"/>
        </w:rPr>
      </w:pPr>
    </w:p>
    <w:p w14:paraId="0F163F4F" w14:textId="77777777" w:rsidR="000016E2" w:rsidRPr="00BD22FE" w:rsidRDefault="000016E2" w:rsidP="00941FBF">
      <w:pPr>
        <w:jc w:val="center"/>
        <w:rPr>
          <w:sz w:val="22"/>
          <w:szCs w:val="22"/>
          <w:lang w:val="pl-PL"/>
        </w:rPr>
      </w:pPr>
    </w:p>
    <w:p w14:paraId="638776D7" w14:textId="77777777" w:rsidR="000016E2" w:rsidRPr="00BD22FE" w:rsidRDefault="000016E2" w:rsidP="00941FBF">
      <w:pPr>
        <w:jc w:val="center"/>
        <w:rPr>
          <w:sz w:val="22"/>
          <w:szCs w:val="22"/>
          <w:lang w:val="pl-PL"/>
        </w:rPr>
      </w:pPr>
    </w:p>
    <w:p w14:paraId="5EE6F856" w14:textId="77777777" w:rsidR="000016E2" w:rsidRPr="00BD22FE" w:rsidRDefault="000016E2" w:rsidP="00941FBF">
      <w:pPr>
        <w:jc w:val="center"/>
        <w:rPr>
          <w:sz w:val="22"/>
          <w:szCs w:val="22"/>
          <w:lang w:val="pl-PL"/>
        </w:rPr>
      </w:pPr>
    </w:p>
    <w:p w14:paraId="5DD1DA1A" w14:textId="77777777" w:rsidR="000016E2" w:rsidRPr="00BD22FE" w:rsidRDefault="000016E2" w:rsidP="00941FBF">
      <w:pPr>
        <w:jc w:val="center"/>
        <w:rPr>
          <w:sz w:val="22"/>
          <w:szCs w:val="22"/>
          <w:lang w:val="pl-PL"/>
        </w:rPr>
      </w:pPr>
    </w:p>
    <w:p w14:paraId="56A8EFA3" w14:textId="77777777" w:rsidR="000016E2" w:rsidRPr="00BD22FE" w:rsidRDefault="000016E2" w:rsidP="00941FBF">
      <w:pPr>
        <w:jc w:val="center"/>
        <w:rPr>
          <w:sz w:val="22"/>
          <w:szCs w:val="22"/>
          <w:lang w:val="pl-PL"/>
        </w:rPr>
      </w:pPr>
    </w:p>
    <w:p w14:paraId="29FE120A" w14:textId="77777777" w:rsidR="000016E2" w:rsidRPr="00BD22FE" w:rsidRDefault="000016E2" w:rsidP="00941FBF">
      <w:pPr>
        <w:jc w:val="center"/>
        <w:rPr>
          <w:sz w:val="22"/>
          <w:szCs w:val="22"/>
          <w:lang w:val="pl-PL"/>
        </w:rPr>
      </w:pPr>
    </w:p>
    <w:p w14:paraId="1306CA99" w14:textId="77777777" w:rsidR="000016E2" w:rsidRPr="00BD22FE" w:rsidRDefault="000016E2" w:rsidP="00941FBF">
      <w:pPr>
        <w:jc w:val="center"/>
        <w:rPr>
          <w:sz w:val="22"/>
          <w:szCs w:val="22"/>
          <w:lang w:val="pl-PL"/>
        </w:rPr>
      </w:pPr>
    </w:p>
    <w:p w14:paraId="06971592" w14:textId="77777777" w:rsidR="000016E2" w:rsidRPr="00BD22FE" w:rsidRDefault="00104CA8" w:rsidP="00941FBF">
      <w:pPr>
        <w:jc w:val="center"/>
        <w:rPr>
          <w:b/>
          <w:sz w:val="22"/>
          <w:szCs w:val="22"/>
          <w:lang w:val="pl-PL"/>
        </w:rPr>
      </w:pPr>
      <w:r w:rsidRPr="00BD22FE">
        <w:rPr>
          <w:b/>
          <w:sz w:val="22"/>
          <w:szCs w:val="22"/>
          <w:lang w:val="pl-PL"/>
        </w:rPr>
        <w:t>ANEKS III</w:t>
      </w:r>
    </w:p>
    <w:p w14:paraId="6D23282D" w14:textId="77777777" w:rsidR="000016E2" w:rsidRPr="00BD22FE" w:rsidRDefault="000016E2" w:rsidP="00941FBF">
      <w:pPr>
        <w:jc w:val="center"/>
        <w:rPr>
          <w:sz w:val="22"/>
          <w:szCs w:val="22"/>
          <w:lang w:val="pl-PL"/>
        </w:rPr>
      </w:pPr>
    </w:p>
    <w:p w14:paraId="78C931A4" w14:textId="7BDE4294" w:rsidR="000016E2" w:rsidRPr="00BD22FE" w:rsidRDefault="00104CA8" w:rsidP="00941FBF">
      <w:pPr>
        <w:jc w:val="center"/>
        <w:rPr>
          <w:b/>
          <w:sz w:val="22"/>
          <w:szCs w:val="22"/>
          <w:lang w:val="pl-PL"/>
        </w:rPr>
      </w:pPr>
      <w:r w:rsidRPr="00BD22FE">
        <w:rPr>
          <w:b/>
          <w:sz w:val="22"/>
          <w:szCs w:val="22"/>
          <w:lang w:val="pl-PL"/>
        </w:rPr>
        <w:t>OZNAKOWANIE OPAKOWAŃ I</w:t>
      </w:r>
      <w:r w:rsidR="00717A7B" w:rsidRPr="00BD22FE">
        <w:rPr>
          <w:b/>
          <w:sz w:val="22"/>
          <w:szCs w:val="22"/>
          <w:lang w:val="pl-PL"/>
        </w:rPr>
        <w:t> </w:t>
      </w:r>
      <w:r w:rsidRPr="00BD22FE">
        <w:rPr>
          <w:b/>
          <w:sz w:val="22"/>
          <w:szCs w:val="22"/>
          <w:lang w:val="pl-PL"/>
        </w:rPr>
        <w:t>ULOTKA DLA PACJENTA</w:t>
      </w:r>
    </w:p>
    <w:p w14:paraId="598264FA" w14:textId="77777777" w:rsidR="000016E2" w:rsidRPr="00BD22FE" w:rsidRDefault="00104CA8" w:rsidP="0003612E">
      <w:pPr>
        <w:rPr>
          <w:sz w:val="22"/>
          <w:szCs w:val="22"/>
          <w:lang w:val="pl-PL"/>
        </w:rPr>
      </w:pPr>
      <w:r w:rsidRPr="00BD22FE">
        <w:rPr>
          <w:b/>
          <w:sz w:val="22"/>
          <w:szCs w:val="22"/>
          <w:lang w:val="pl-PL"/>
        </w:rPr>
        <w:br w:type="page"/>
      </w:r>
    </w:p>
    <w:p w14:paraId="7A68A328" w14:textId="77777777" w:rsidR="000016E2" w:rsidRPr="00BD22FE" w:rsidRDefault="000016E2" w:rsidP="00941FBF">
      <w:pPr>
        <w:jc w:val="center"/>
        <w:rPr>
          <w:sz w:val="22"/>
          <w:szCs w:val="22"/>
          <w:lang w:val="pl-PL"/>
        </w:rPr>
      </w:pPr>
    </w:p>
    <w:p w14:paraId="1B483BA8" w14:textId="77777777" w:rsidR="000016E2" w:rsidRPr="00BD22FE" w:rsidRDefault="000016E2" w:rsidP="00941FBF">
      <w:pPr>
        <w:jc w:val="center"/>
        <w:rPr>
          <w:sz w:val="22"/>
          <w:szCs w:val="22"/>
          <w:lang w:val="pl-PL"/>
        </w:rPr>
      </w:pPr>
    </w:p>
    <w:p w14:paraId="3D2554E7" w14:textId="77777777" w:rsidR="000016E2" w:rsidRPr="00BD22FE" w:rsidRDefault="000016E2" w:rsidP="00941FBF">
      <w:pPr>
        <w:jc w:val="center"/>
        <w:rPr>
          <w:sz w:val="22"/>
          <w:szCs w:val="22"/>
          <w:lang w:val="pl-PL"/>
        </w:rPr>
      </w:pPr>
    </w:p>
    <w:p w14:paraId="5C36F696" w14:textId="77777777" w:rsidR="000016E2" w:rsidRPr="00BD22FE" w:rsidRDefault="000016E2" w:rsidP="00941FBF">
      <w:pPr>
        <w:jc w:val="center"/>
        <w:rPr>
          <w:sz w:val="22"/>
          <w:szCs w:val="22"/>
          <w:lang w:val="pl-PL"/>
        </w:rPr>
      </w:pPr>
    </w:p>
    <w:p w14:paraId="439EBC12" w14:textId="77777777" w:rsidR="000016E2" w:rsidRPr="00BD22FE" w:rsidRDefault="000016E2" w:rsidP="00941FBF">
      <w:pPr>
        <w:jc w:val="center"/>
        <w:rPr>
          <w:sz w:val="22"/>
          <w:szCs w:val="22"/>
          <w:lang w:val="pl-PL"/>
        </w:rPr>
      </w:pPr>
    </w:p>
    <w:p w14:paraId="3BA1E7BD" w14:textId="77777777" w:rsidR="000016E2" w:rsidRPr="00BD22FE" w:rsidRDefault="000016E2" w:rsidP="00941FBF">
      <w:pPr>
        <w:jc w:val="center"/>
        <w:rPr>
          <w:sz w:val="22"/>
          <w:szCs w:val="22"/>
          <w:lang w:val="pl-PL"/>
        </w:rPr>
      </w:pPr>
    </w:p>
    <w:p w14:paraId="4D441866" w14:textId="77777777" w:rsidR="000016E2" w:rsidRPr="00BD22FE" w:rsidRDefault="000016E2" w:rsidP="00941FBF">
      <w:pPr>
        <w:jc w:val="center"/>
        <w:rPr>
          <w:sz w:val="22"/>
          <w:szCs w:val="22"/>
          <w:lang w:val="pl-PL"/>
        </w:rPr>
      </w:pPr>
    </w:p>
    <w:p w14:paraId="4868D99F" w14:textId="77777777" w:rsidR="000016E2" w:rsidRPr="00BD22FE" w:rsidRDefault="000016E2" w:rsidP="00941FBF">
      <w:pPr>
        <w:jc w:val="center"/>
        <w:rPr>
          <w:sz w:val="22"/>
          <w:szCs w:val="22"/>
          <w:lang w:val="pl-PL"/>
        </w:rPr>
      </w:pPr>
    </w:p>
    <w:p w14:paraId="7971770F" w14:textId="77777777" w:rsidR="000016E2" w:rsidRPr="00BD22FE" w:rsidRDefault="000016E2" w:rsidP="00941FBF">
      <w:pPr>
        <w:jc w:val="center"/>
        <w:rPr>
          <w:sz w:val="22"/>
          <w:szCs w:val="22"/>
          <w:lang w:val="pl-PL"/>
        </w:rPr>
      </w:pPr>
    </w:p>
    <w:p w14:paraId="10F17389" w14:textId="77777777" w:rsidR="000016E2" w:rsidRPr="00BD22FE" w:rsidRDefault="000016E2" w:rsidP="00941FBF">
      <w:pPr>
        <w:jc w:val="center"/>
        <w:rPr>
          <w:sz w:val="22"/>
          <w:szCs w:val="22"/>
          <w:lang w:val="pl-PL"/>
        </w:rPr>
      </w:pPr>
    </w:p>
    <w:p w14:paraId="19EA16A1" w14:textId="77777777" w:rsidR="000016E2" w:rsidRPr="00BD22FE" w:rsidRDefault="000016E2" w:rsidP="00941FBF">
      <w:pPr>
        <w:jc w:val="center"/>
        <w:rPr>
          <w:sz w:val="22"/>
          <w:szCs w:val="22"/>
          <w:lang w:val="pl-PL"/>
        </w:rPr>
      </w:pPr>
    </w:p>
    <w:p w14:paraId="4472D962" w14:textId="77777777" w:rsidR="000016E2" w:rsidRPr="00BD22FE" w:rsidRDefault="000016E2" w:rsidP="00941FBF">
      <w:pPr>
        <w:jc w:val="center"/>
        <w:rPr>
          <w:sz w:val="22"/>
          <w:szCs w:val="22"/>
          <w:lang w:val="pl-PL"/>
        </w:rPr>
      </w:pPr>
    </w:p>
    <w:p w14:paraId="050A559A" w14:textId="77777777" w:rsidR="000016E2" w:rsidRPr="00BD22FE" w:rsidRDefault="000016E2" w:rsidP="00941FBF">
      <w:pPr>
        <w:jc w:val="center"/>
        <w:rPr>
          <w:sz w:val="22"/>
          <w:szCs w:val="22"/>
          <w:lang w:val="pl-PL"/>
        </w:rPr>
      </w:pPr>
    </w:p>
    <w:p w14:paraId="7882B5FB" w14:textId="77777777" w:rsidR="000016E2" w:rsidRPr="00BD22FE" w:rsidRDefault="000016E2" w:rsidP="00941FBF">
      <w:pPr>
        <w:jc w:val="center"/>
        <w:rPr>
          <w:sz w:val="22"/>
          <w:szCs w:val="22"/>
          <w:lang w:val="pl-PL"/>
        </w:rPr>
      </w:pPr>
    </w:p>
    <w:p w14:paraId="498C517F" w14:textId="77777777" w:rsidR="000016E2" w:rsidRPr="00BD22FE" w:rsidRDefault="000016E2" w:rsidP="00941FBF">
      <w:pPr>
        <w:jc w:val="center"/>
        <w:rPr>
          <w:sz w:val="22"/>
          <w:szCs w:val="22"/>
          <w:lang w:val="pl-PL"/>
        </w:rPr>
      </w:pPr>
    </w:p>
    <w:p w14:paraId="271F63F5" w14:textId="77777777" w:rsidR="000016E2" w:rsidRPr="00BD22FE" w:rsidRDefault="000016E2" w:rsidP="00941FBF">
      <w:pPr>
        <w:jc w:val="center"/>
        <w:rPr>
          <w:sz w:val="22"/>
          <w:szCs w:val="22"/>
          <w:lang w:val="pl-PL"/>
        </w:rPr>
      </w:pPr>
    </w:p>
    <w:p w14:paraId="7A4A7A47" w14:textId="77777777" w:rsidR="000016E2" w:rsidRPr="00BD22FE" w:rsidRDefault="000016E2" w:rsidP="00941FBF">
      <w:pPr>
        <w:jc w:val="center"/>
        <w:rPr>
          <w:sz w:val="22"/>
          <w:szCs w:val="22"/>
          <w:lang w:val="pl-PL"/>
        </w:rPr>
      </w:pPr>
    </w:p>
    <w:p w14:paraId="1641F28D" w14:textId="77777777" w:rsidR="000016E2" w:rsidRPr="00BD22FE" w:rsidRDefault="000016E2" w:rsidP="00941FBF">
      <w:pPr>
        <w:jc w:val="center"/>
        <w:rPr>
          <w:sz w:val="22"/>
          <w:szCs w:val="22"/>
          <w:lang w:val="pl-PL"/>
        </w:rPr>
      </w:pPr>
    </w:p>
    <w:p w14:paraId="7B02CF54" w14:textId="77777777" w:rsidR="000016E2" w:rsidRPr="00BD22FE" w:rsidRDefault="000016E2" w:rsidP="00941FBF">
      <w:pPr>
        <w:jc w:val="center"/>
        <w:rPr>
          <w:sz w:val="22"/>
          <w:szCs w:val="22"/>
          <w:lang w:val="pl-PL"/>
        </w:rPr>
      </w:pPr>
    </w:p>
    <w:p w14:paraId="35D8CDFD" w14:textId="77777777" w:rsidR="000016E2" w:rsidRPr="00BD22FE" w:rsidRDefault="000016E2" w:rsidP="00941FBF">
      <w:pPr>
        <w:jc w:val="center"/>
        <w:rPr>
          <w:sz w:val="22"/>
          <w:szCs w:val="22"/>
          <w:lang w:val="pl-PL"/>
        </w:rPr>
      </w:pPr>
    </w:p>
    <w:p w14:paraId="59634225" w14:textId="77777777" w:rsidR="000016E2" w:rsidRPr="00BD22FE" w:rsidRDefault="000016E2" w:rsidP="00941FBF">
      <w:pPr>
        <w:jc w:val="center"/>
        <w:rPr>
          <w:sz w:val="22"/>
          <w:szCs w:val="22"/>
          <w:lang w:val="pl-PL"/>
        </w:rPr>
      </w:pPr>
    </w:p>
    <w:p w14:paraId="4FED5A1C" w14:textId="77777777" w:rsidR="000016E2" w:rsidRPr="00BD22FE" w:rsidRDefault="000016E2" w:rsidP="00941FBF">
      <w:pPr>
        <w:jc w:val="center"/>
        <w:rPr>
          <w:sz w:val="22"/>
          <w:szCs w:val="22"/>
          <w:lang w:val="pl-PL"/>
        </w:rPr>
      </w:pPr>
    </w:p>
    <w:p w14:paraId="5FA6C7C0" w14:textId="77777777" w:rsidR="000016E2" w:rsidRPr="00BD22FE" w:rsidRDefault="000016E2" w:rsidP="00941FBF">
      <w:pPr>
        <w:jc w:val="center"/>
        <w:rPr>
          <w:sz w:val="22"/>
          <w:szCs w:val="22"/>
          <w:lang w:val="pl-PL"/>
        </w:rPr>
      </w:pPr>
    </w:p>
    <w:p w14:paraId="1C49F9F4" w14:textId="7A5FD047" w:rsidR="000016E2" w:rsidRPr="00BD22FE" w:rsidRDefault="00104CA8" w:rsidP="00941FBF">
      <w:pPr>
        <w:pStyle w:val="QRD1"/>
        <w:rPr>
          <w:lang w:val="pl-PL"/>
        </w:rPr>
      </w:pPr>
      <w:r w:rsidRPr="00BD22FE">
        <w:rPr>
          <w:lang w:val="pl-PL"/>
        </w:rPr>
        <w:t>A. OZNAKOWANIE OPAKOWAŃ</w:t>
      </w:r>
      <w:r w:rsidR="00C15F79" w:rsidRPr="00BD22FE">
        <w:rPr>
          <w:lang w:val="pl-PL"/>
        </w:rPr>
        <w:fldChar w:fldCharType="begin"/>
      </w:r>
      <w:r w:rsidR="00C15F79" w:rsidRPr="00BD22FE">
        <w:rPr>
          <w:lang w:val="pl-PL"/>
        </w:rPr>
        <w:instrText xml:space="preserve"> DOCVARIABLE VAULT_ND_5639dff1-e2fc-4a21-80bf-27fb32b1ab28 \* MERGEFORMAT </w:instrText>
      </w:r>
      <w:r w:rsidR="00C15F79" w:rsidRPr="00BD22FE">
        <w:rPr>
          <w:lang w:val="pl-PL"/>
        </w:rPr>
        <w:fldChar w:fldCharType="separate"/>
      </w:r>
      <w:r w:rsidR="00C15F79" w:rsidRPr="00BD22FE">
        <w:rPr>
          <w:lang w:val="pl-PL"/>
        </w:rPr>
        <w:t xml:space="preserve"> </w:t>
      </w:r>
      <w:r w:rsidR="00C15F79" w:rsidRPr="00BD22FE">
        <w:rPr>
          <w:lang w:val="pl-PL"/>
        </w:rPr>
        <w:fldChar w:fldCharType="end"/>
      </w:r>
    </w:p>
    <w:p w14:paraId="5D06BA04" w14:textId="77777777" w:rsidR="000016E2" w:rsidRPr="00BD22FE" w:rsidRDefault="00104CA8" w:rsidP="00941FBF">
      <w:pPr>
        <w:jc w:val="both"/>
        <w:rPr>
          <w:sz w:val="22"/>
          <w:szCs w:val="22"/>
          <w:lang w:val="pl-PL"/>
        </w:rPr>
      </w:pPr>
      <w:r w:rsidRPr="00BD22FE">
        <w:rPr>
          <w:b/>
          <w:sz w:val="22"/>
          <w:szCs w:val="22"/>
          <w:lang w:val="pl-PL"/>
        </w:rPr>
        <w:br w:type="page"/>
      </w:r>
    </w:p>
    <w:p w14:paraId="3DBB4A3A" w14:textId="77777777" w:rsidR="003A7E3D" w:rsidRPr="00BD22FE" w:rsidRDefault="00104CA8" w:rsidP="00941FBF">
      <w:pPr>
        <w:pBdr>
          <w:top w:val="single" w:sz="4" w:space="1" w:color="auto"/>
          <w:left w:val="single" w:sz="4" w:space="4" w:color="auto"/>
          <w:bottom w:val="single" w:sz="4" w:space="1" w:color="auto"/>
          <w:right w:val="single" w:sz="4" w:space="4" w:color="auto"/>
        </w:pBdr>
        <w:rPr>
          <w:b/>
          <w:sz w:val="22"/>
          <w:szCs w:val="22"/>
          <w:lang w:val="pl-PL"/>
        </w:rPr>
      </w:pPr>
      <w:r w:rsidRPr="00BD22FE">
        <w:rPr>
          <w:b/>
          <w:sz w:val="22"/>
          <w:szCs w:val="22"/>
          <w:lang w:val="pl-PL"/>
        </w:rPr>
        <w:lastRenderedPageBreak/>
        <w:t>INFORMACJE ZAMIESZCZANE NA OPAKOWANIACH ZEWNĘTRZNYCH</w:t>
      </w:r>
    </w:p>
    <w:p w14:paraId="3576021E" w14:textId="36B44B58" w:rsidR="000016E2" w:rsidRPr="00BD22FE" w:rsidRDefault="000016E2" w:rsidP="00941FBF">
      <w:pPr>
        <w:pBdr>
          <w:top w:val="single" w:sz="4" w:space="1" w:color="auto"/>
          <w:left w:val="single" w:sz="4" w:space="4" w:color="auto"/>
          <w:bottom w:val="single" w:sz="4" w:space="1" w:color="auto"/>
          <w:right w:val="single" w:sz="4" w:space="4" w:color="auto"/>
        </w:pBdr>
        <w:rPr>
          <w:bCs/>
          <w:sz w:val="22"/>
          <w:szCs w:val="22"/>
          <w:lang w:val="pl-PL"/>
        </w:rPr>
      </w:pPr>
    </w:p>
    <w:p w14:paraId="0B3C0B9F" w14:textId="05B02A3A" w:rsidR="000016E2" w:rsidRPr="00BD22FE" w:rsidRDefault="00104CA8" w:rsidP="00941FBF">
      <w:pPr>
        <w:pBdr>
          <w:top w:val="single" w:sz="4" w:space="1" w:color="auto"/>
          <w:left w:val="single" w:sz="4" w:space="4" w:color="auto"/>
          <w:bottom w:val="single" w:sz="4" w:space="1" w:color="auto"/>
          <w:right w:val="single" w:sz="4" w:space="4" w:color="auto"/>
        </w:pBdr>
        <w:rPr>
          <w:b/>
          <w:bCs/>
          <w:sz w:val="22"/>
          <w:szCs w:val="22"/>
          <w:lang w:val="pl-PL"/>
        </w:rPr>
      </w:pPr>
      <w:r w:rsidRPr="00BD22FE">
        <w:rPr>
          <w:b/>
          <w:bCs/>
          <w:sz w:val="22"/>
          <w:szCs w:val="22"/>
          <w:lang w:val="pl-PL"/>
        </w:rPr>
        <w:t>Pudełko tekturowe</w:t>
      </w:r>
    </w:p>
    <w:p w14:paraId="19969A9F" w14:textId="77777777" w:rsidR="000016E2" w:rsidRPr="00BD22FE" w:rsidRDefault="000016E2" w:rsidP="00941FBF">
      <w:pPr>
        <w:jc w:val="both"/>
        <w:rPr>
          <w:bCs/>
          <w:sz w:val="22"/>
          <w:szCs w:val="22"/>
          <w:lang w:val="pl-PL"/>
        </w:rPr>
      </w:pPr>
    </w:p>
    <w:p w14:paraId="41B680A8" w14:textId="77777777" w:rsidR="000016E2" w:rsidRPr="00BD22FE" w:rsidRDefault="000016E2" w:rsidP="00941FBF">
      <w:pPr>
        <w:jc w:val="both"/>
        <w:rPr>
          <w:bCs/>
          <w:sz w:val="22"/>
          <w:szCs w:val="22"/>
          <w:lang w:val="pl-PL"/>
        </w:rPr>
      </w:pPr>
    </w:p>
    <w:p w14:paraId="11727E08" w14:textId="1F10B772" w:rsidR="000016E2" w:rsidRPr="00BD22FE" w:rsidRDefault="001353D7" w:rsidP="001353D7">
      <w:pPr>
        <w:keepNext/>
        <w:pBdr>
          <w:top w:val="single" w:sz="4" w:space="1" w:color="auto"/>
          <w:left w:val="single" w:sz="4" w:space="4" w:color="auto"/>
          <w:bottom w:val="single" w:sz="4" w:space="1" w:color="auto"/>
          <w:right w:val="single" w:sz="4" w:space="4" w:color="auto"/>
        </w:pBdr>
        <w:ind w:left="567" w:hanging="567"/>
        <w:rPr>
          <w:b/>
          <w:sz w:val="22"/>
          <w:szCs w:val="22"/>
          <w:lang w:val="pl-PL"/>
        </w:rPr>
      </w:pPr>
      <w:r w:rsidRPr="00BD22FE">
        <w:rPr>
          <w:b/>
          <w:sz w:val="22"/>
          <w:szCs w:val="22"/>
          <w:lang w:val="pl-PL"/>
        </w:rPr>
        <w:t>1.</w:t>
      </w:r>
      <w:r w:rsidRPr="00BD22FE">
        <w:rPr>
          <w:b/>
          <w:sz w:val="22"/>
          <w:szCs w:val="22"/>
          <w:lang w:val="pl-PL"/>
        </w:rPr>
        <w:tab/>
      </w:r>
      <w:r w:rsidR="00104CA8" w:rsidRPr="00BD22FE">
        <w:rPr>
          <w:b/>
          <w:sz w:val="22"/>
          <w:szCs w:val="22"/>
          <w:lang w:val="pl-PL"/>
        </w:rPr>
        <w:t>NAZWA PRODUKTU LECZNICZEGO</w:t>
      </w:r>
    </w:p>
    <w:p w14:paraId="7059B9F1" w14:textId="77777777" w:rsidR="000016E2" w:rsidRPr="00BD22FE" w:rsidRDefault="000016E2" w:rsidP="001353D7">
      <w:pPr>
        <w:keepNext/>
        <w:jc w:val="both"/>
        <w:rPr>
          <w:bCs/>
          <w:sz w:val="22"/>
          <w:szCs w:val="22"/>
          <w:lang w:val="pl-PL"/>
        </w:rPr>
      </w:pPr>
    </w:p>
    <w:p w14:paraId="3D3F45DE" w14:textId="77777777" w:rsidR="000016E2" w:rsidRPr="00BD22FE" w:rsidRDefault="00104CA8" w:rsidP="00941FBF">
      <w:pPr>
        <w:rPr>
          <w:sz w:val="22"/>
          <w:szCs w:val="22"/>
          <w:lang w:val="pl-PL"/>
        </w:rPr>
      </w:pPr>
      <w:r w:rsidRPr="00BD22FE">
        <w:rPr>
          <w:sz w:val="22"/>
          <w:szCs w:val="22"/>
          <w:lang w:val="pl-PL"/>
        </w:rPr>
        <w:t>MicardisPlus 40 mg/12,5 mg tabletki</w:t>
      </w:r>
    </w:p>
    <w:p w14:paraId="3F681E1B" w14:textId="77777777" w:rsidR="000016E2" w:rsidRPr="00BD22FE" w:rsidRDefault="00104CA8" w:rsidP="00941FBF">
      <w:pPr>
        <w:jc w:val="both"/>
        <w:rPr>
          <w:sz w:val="22"/>
          <w:szCs w:val="22"/>
          <w:lang w:val="pl-PL"/>
        </w:rPr>
      </w:pPr>
      <w:r w:rsidRPr="00BD22FE">
        <w:rPr>
          <w:sz w:val="22"/>
          <w:szCs w:val="22"/>
          <w:lang w:val="pl-PL"/>
        </w:rPr>
        <w:t>telmisartan/hydrochlorotiazyd</w:t>
      </w:r>
    </w:p>
    <w:p w14:paraId="1857BE17" w14:textId="77777777" w:rsidR="000016E2" w:rsidRPr="00BD22FE" w:rsidRDefault="000016E2" w:rsidP="00941FBF">
      <w:pPr>
        <w:jc w:val="both"/>
        <w:rPr>
          <w:sz w:val="22"/>
          <w:szCs w:val="22"/>
          <w:lang w:val="pl-PL"/>
        </w:rPr>
      </w:pPr>
    </w:p>
    <w:p w14:paraId="79242862" w14:textId="77777777" w:rsidR="000016E2" w:rsidRPr="00BD22FE" w:rsidRDefault="000016E2" w:rsidP="00941FBF">
      <w:pPr>
        <w:jc w:val="both"/>
        <w:rPr>
          <w:sz w:val="22"/>
          <w:szCs w:val="22"/>
          <w:lang w:val="pl-PL"/>
        </w:rPr>
      </w:pPr>
    </w:p>
    <w:p w14:paraId="7B2E21FF" w14:textId="36F32475" w:rsidR="000016E2" w:rsidRPr="00BD22FE" w:rsidRDefault="001353D7" w:rsidP="001353D7">
      <w:pPr>
        <w:keepNext/>
        <w:pBdr>
          <w:top w:val="single" w:sz="4" w:space="1" w:color="auto"/>
          <w:left w:val="single" w:sz="4" w:space="4" w:color="auto"/>
          <w:bottom w:val="single" w:sz="4" w:space="1" w:color="auto"/>
          <w:right w:val="single" w:sz="4" w:space="4" w:color="auto"/>
        </w:pBdr>
        <w:ind w:left="567" w:hanging="567"/>
        <w:rPr>
          <w:b/>
          <w:sz w:val="22"/>
          <w:szCs w:val="22"/>
          <w:lang w:val="pl-PL"/>
        </w:rPr>
      </w:pPr>
      <w:r w:rsidRPr="00BD22FE">
        <w:rPr>
          <w:b/>
          <w:sz w:val="22"/>
          <w:szCs w:val="22"/>
          <w:lang w:val="pl-PL"/>
        </w:rPr>
        <w:t>2.</w:t>
      </w:r>
      <w:r w:rsidRPr="00BD22FE">
        <w:rPr>
          <w:b/>
          <w:sz w:val="22"/>
          <w:szCs w:val="22"/>
          <w:lang w:val="pl-PL"/>
        </w:rPr>
        <w:tab/>
      </w:r>
      <w:r w:rsidR="00104CA8" w:rsidRPr="00BD22FE">
        <w:rPr>
          <w:b/>
          <w:sz w:val="22"/>
          <w:szCs w:val="22"/>
          <w:lang w:val="pl-PL"/>
        </w:rPr>
        <w:t>ZAWARTOŚĆ SUBSTANCJI CZYNNYCH</w:t>
      </w:r>
    </w:p>
    <w:p w14:paraId="33DB3125" w14:textId="77777777" w:rsidR="000016E2" w:rsidRPr="00BD22FE" w:rsidRDefault="000016E2" w:rsidP="001353D7">
      <w:pPr>
        <w:keepNext/>
        <w:jc w:val="both"/>
        <w:rPr>
          <w:sz w:val="22"/>
          <w:szCs w:val="22"/>
          <w:lang w:val="pl-PL"/>
        </w:rPr>
      </w:pPr>
    </w:p>
    <w:p w14:paraId="7AF91581" w14:textId="44A13553" w:rsidR="000016E2" w:rsidRPr="00BD22FE" w:rsidRDefault="00104CA8" w:rsidP="00941FBF">
      <w:pPr>
        <w:jc w:val="both"/>
        <w:rPr>
          <w:sz w:val="22"/>
          <w:szCs w:val="22"/>
          <w:lang w:val="pl-PL"/>
        </w:rPr>
      </w:pPr>
      <w:r w:rsidRPr="00BD22FE">
        <w:rPr>
          <w:sz w:val="22"/>
          <w:szCs w:val="22"/>
          <w:lang w:val="pl-PL"/>
        </w:rPr>
        <w:t>Każda tabletka zawiera 40 mg telmisartanu i</w:t>
      </w:r>
      <w:r w:rsidR="00717A7B" w:rsidRPr="00BD22FE">
        <w:rPr>
          <w:sz w:val="22"/>
          <w:szCs w:val="22"/>
          <w:lang w:val="pl-PL"/>
        </w:rPr>
        <w:t> </w:t>
      </w:r>
      <w:r w:rsidRPr="00BD22FE">
        <w:rPr>
          <w:sz w:val="22"/>
          <w:szCs w:val="22"/>
          <w:lang w:val="pl-PL"/>
        </w:rPr>
        <w:t>12,5 mg hydrochlorotiazydu.</w:t>
      </w:r>
    </w:p>
    <w:p w14:paraId="40BAF77D" w14:textId="77777777" w:rsidR="000016E2" w:rsidRPr="00BD22FE" w:rsidRDefault="000016E2" w:rsidP="00941FBF">
      <w:pPr>
        <w:jc w:val="both"/>
        <w:rPr>
          <w:sz w:val="22"/>
          <w:szCs w:val="22"/>
          <w:lang w:val="pl-PL"/>
        </w:rPr>
      </w:pPr>
    </w:p>
    <w:p w14:paraId="5FB5598A" w14:textId="77777777" w:rsidR="000016E2" w:rsidRPr="00BD22FE" w:rsidRDefault="000016E2" w:rsidP="00941FBF">
      <w:pPr>
        <w:jc w:val="both"/>
        <w:rPr>
          <w:sz w:val="22"/>
          <w:szCs w:val="22"/>
          <w:lang w:val="pl-PL"/>
        </w:rPr>
      </w:pPr>
    </w:p>
    <w:p w14:paraId="4B38E8E3" w14:textId="76F4A785" w:rsidR="000016E2" w:rsidRPr="00BD22FE" w:rsidRDefault="001353D7" w:rsidP="001353D7">
      <w:pPr>
        <w:keepNext/>
        <w:pBdr>
          <w:top w:val="single" w:sz="4" w:space="1" w:color="auto"/>
          <w:left w:val="single" w:sz="4" w:space="4" w:color="auto"/>
          <w:bottom w:val="single" w:sz="4" w:space="1" w:color="auto"/>
          <w:right w:val="single" w:sz="4" w:space="4" w:color="auto"/>
        </w:pBdr>
        <w:ind w:left="567" w:hanging="567"/>
        <w:rPr>
          <w:b/>
          <w:sz w:val="22"/>
          <w:szCs w:val="22"/>
          <w:lang w:val="pl-PL"/>
        </w:rPr>
      </w:pPr>
      <w:r w:rsidRPr="00BD22FE">
        <w:rPr>
          <w:b/>
          <w:sz w:val="22"/>
          <w:szCs w:val="22"/>
          <w:lang w:val="pl-PL"/>
        </w:rPr>
        <w:t>3.</w:t>
      </w:r>
      <w:r w:rsidRPr="00BD22FE">
        <w:rPr>
          <w:b/>
          <w:sz w:val="22"/>
          <w:szCs w:val="22"/>
          <w:lang w:val="pl-PL"/>
        </w:rPr>
        <w:tab/>
      </w:r>
      <w:r w:rsidR="00104CA8" w:rsidRPr="00BD22FE">
        <w:rPr>
          <w:b/>
          <w:sz w:val="22"/>
          <w:szCs w:val="22"/>
          <w:lang w:val="pl-PL"/>
        </w:rPr>
        <w:t>WYKAZ SUBSTANCJI POMOCNICZYCH</w:t>
      </w:r>
    </w:p>
    <w:p w14:paraId="614B1990" w14:textId="77777777" w:rsidR="000016E2" w:rsidRPr="00BD22FE" w:rsidRDefault="000016E2" w:rsidP="001353D7">
      <w:pPr>
        <w:keepNext/>
        <w:jc w:val="both"/>
        <w:rPr>
          <w:bCs/>
          <w:sz w:val="22"/>
          <w:szCs w:val="22"/>
          <w:lang w:val="pl-PL"/>
        </w:rPr>
      </w:pPr>
    </w:p>
    <w:p w14:paraId="1920A5FF" w14:textId="271416A0" w:rsidR="000016E2" w:rsidRPr="00BD22FE" w:rsidRDefault="00104CA8" w:rsidP="00941FBF">
      <w:pPr>
        <w:jc w:val="both"/>
        <w:rPr>
          <w:sz w:val="22"/>
          <w:szCs w:val="22"/>
          <w:lang w:val="pl-PL"/>
        </w:rPr>
      </w:pPr>
      <w:r w:rsidRPr="00BD22FE">
        <w:rPr>
          <w:sz w:val="22"/>
          <w:szCs w:val="22"/>
          <w:lang w:val="pl-PL"/>
        </w:rPr>
        <w:t>Zawiera laktozę jednowodną i</w:t>
      </w:r>
      <w:r w:rsidR="00717A7B" w:rsidRPr="00BD22FE">
        <w:rPr>
          <w:sz w:val="22"/>
          <w:szCs w:val="22"/>
          <w:lang w:val="pl-PL"/>
        </w:rPr>
        <w:t> </w:t>
      </w:r>
      <w:r w:rsidRPr="00BD22FE">
        <w:rPr>
          <w:sz w:val="22"/>
          <w:szCs w:val="22"/>
          <w:lang w:val="pl-PL"/>
        </w:rPr>
        <w:t>sorbitol (E420).</w:t>
      </w:r>
    </w:p>
    <w:p w14:paraId="148CE4B5" w14:textId="5A2022DA" w:rsidR="000016E2" w:rsidRPr="00BD22FE" w:rsidRDefault="00104CA8" w:rsidP="00941FBF">
      <w:pPr>
        <w:rPr>
          <w:sz w:val="22"/>
          <w:szCs w:val="22"/>
          <w:lang w:val="pl-PL"/>
        </w:rPr>
      </w:pPr>
      <w:r w:rsidRPr="00BD22FE">
        <w:rPr>
          <w:sz w:val="22"/>
          <w:szCs w:val="22"/>
          <w:lang w:val="pl-PL"/>
        </w:rPr>
        <w:t>W</w:t>
      </w:r>
      <w:r w:rsidR="00717A7B" w:rsidRPr="00BD22FE">
        <w:rPr>
          <w:sz w:val="22"/>
          <w:szCs w:val="22"/>
          <w:lang w:val="pl-PL"/>
        </w:rPr>
        <w:t> </w:t>
      </w:r>
      <w:r w:rsidRPr="00BD22FE">
        <w:rPr>
          <w:sz w:val="22"/>
          <w:szCs w:val="22"/>
          <w:lang w:val="pl-PL"/>
        </w:rPr>
        <w:t>celu uzyskania dodatkowych informacji należy zapoznać się z</w:t>
      </w:r>
      <w:r w:rsidR="00717A7B" w:rsidRPr="00BD22FE">
        <w:rPr>
          <w:sz w:val="22"/>
          <w:szCs w:val="22"/>
          <w:lang w:val="pl-PL"/>
        </w:rPr>
        <w:t> </w:t>
      </w:r>
      <w:r w:rsidRPr="00BD22FE">
        <w:rPr>
          <w:sz w:val="22"/>
          <w:szCs w:val="22"/>
          <w:lang w:val="pl-PL"/>
        </w:rPr>
        <w:t>treścią ulotki.</w:t>
      </w:r>
    </w:p>
    <w:p w14:paraId="7C2EA8A6" w14:textId="77777777" w:rsidR="000016E2" w:rsidRPr="00BD22FE" w:rsidRDefault="000016E2" w:rsidP="00941FBF">
      <w:pPr>
        <w:jc w:val="both"/>
        <w:rPr>
          <w:bCs/>
          <w:sz w:val="22"/>
          <w:szCs w:val="22"/>
          <w:lang w:val="pl-PL"/>
        </w:rPr>
      </w:pPr>
    </w:p>
    <w:p w14:paraId="2508F1A6" w14:textId="77777777" w:rsidR="000016E2" w:rsidRPr="00BD22FE" w:rsidRDefault="000016E2" w:rsidP="00941FBF">
      <w:pPr>
        <w:jc w:val="both"/>
        <w:rPr>
          <w:bCs/>
          <w:sz w:val="22"/>
          <w:szCs w:val="22"/>
          <w:lang w:val="pl-PL"/>
        </w:rPr>
      </w:pPr>
    </w:p>
    <w:p w14:paraId="632B4532" w14:textId="24A7CC3B" w:rsidR="000016E2" w:rsidRPr="00BD22FE" w:rsidRDefault="001353D7" w:rsidP="001353D7">
      <w:pPr>
        <w:keepNext/>
        <w:pBdr>
          <w:top w:val="single" w:sz="4" w:space="1" w:color="auto"/>
          <w:left w:val="single" w:sz="4" w:space="4" w:color="auto"/>
          <w:bottom w:val="single" w:sz="4" w:space="1" w:color="auto"/>
          <w:right w:val="single" w:sz="4" w:space="4" w:color="auto"/>
        </w:pBdr>
        <w:ind w:left="567" w:hanging="567"/>
        <w:rPr>
          <w:b/>
          <w:sz w:val="22"/>
          <w:szCs w:val="22"/>
          <w:lang w:val="pl-PL"/>
        </w:rPr>
      </w:pPr>
      <w:r w:rsidRPr="00BD22FE">
        <w:rPr>
          <w:b/>
          <w:sz w:val="22"/>
          <w:szCs w:val="22"/>
          <w:lang w:val="pl-PL"/>
        </w:rPr>
        <w:t>4.</w:t>
      </w:r>
      <w:r w:rsidRPr="00BD22FE">
        <w:rPr>
          <w:b/>
          <w:sz w:val="22"/>
          <w:szCs w:val="22"/>
          <w:lang w:val="pl-PL"/>
        </w:rPr>
        <w:tab/>
      </w:r>
      <w:r w:rsidR="00104CA8" w:rsidRPr="00BD22FE">
        <w:rPr>
          <w:b/>
          <w:sz w:val="22"/>
          <w:szCs w:val="22"/>
          <w:lang w:val="pl-PL"/>
        </w:rPr>
        <w:t>POSTAĆ FARMACEUTYCZNA I</w:t>
      </w:r>
      <w:r w:rsidR="00717A7B" w:rsidRPr="00BD22FE">
        <w:rPr>
          <w:b/>
          <w:sz w:val="22"/>
          <w:szCs w:val="22"/>
          <w:lang w:val="pl-PL"/>
        </w:rPr>
        <w:t> </w:t>
      </w:r>
      <w:r w:rsidR="00104CA8" w:rsidRPr="00BD22FE">
        <w:rPr>
          <w:b/>
          <w:sz w:val="22"/>
          <w:szCs w:val="22"/>
          <w:lang w:val="pl-PL"/>
        </w:rPr>
        <w:t>ZAWARTOŚĆ OPAKOWANIA</w:t>
      </w:r>
    </w:p>
    <w:p w14:paraId="0E0A6B7B" w14:textId="77777777" w:rsidR="000016E2" w:rsidRPr="00BD22FE" w:rsidRDefault="000016E2" w:rsidP="001353D7">
      <w:pPr>
        <w:keepNext/>
        <w:jc w:val="both"/>
        <w:rPr>
          <w:bCs/>
          <w:sz w:val="22"/>
          <w:szCs w:val="22"/>
          <w:lang w:val="pl-PL"/>
        </w:rPr>
      </w:pPr>
    </w:p>
    <w:p w14:paraId="40C9F8C5" w14:textId="188A59B1" w:rsidR="000016E2" w:rsidRPr="00BD22FE" w:rsidRDefault="00104CA8" w:rsidP="00941FBF">
      <w:pPr>
        <w:jc w:val="both"/>
        <w:rPr>
          <w:sz w:val="22"/>
          <w:szCs w:val="22"/>
          <w:lang w:val="pl-PL"/>
        </w:rPr>
      </w:pPr>
      <w:r w:rsidRPr="00BD22FE">
        <w:rPr>
          <w:sz w:val="22"/>
          <w:szCs w:val="22"/>
          <w:lang w:val="pl-PL"/>
        </w:rPr>
        <w:t>14</w:t>
      </w:r>
      <w:r w:rsidR="001353D7" w:rsidRPr="00BD22FE">
        <w:rPr>
          <w:sz w:val="22"/>
          <w:szCs w:val="22"/>
          <w:lang w:val="pl-PL"/>
        </w:rPr>
        <w:t> </w:t>
      </w:r>
      <w:r w:rsidRPr="00BD22FE">
        <w:rPr>
          <w:sz w:val="22"/>
          <w:szCs w:val="22"/>
          <w:lang w:val="pl-PL"/>
        </w:rPr>
        <w:t>tabletek</w:t>
      </w:r>
    </w:p>
    <w:p w14:paraId="186775BC" w14:textId="1B716BBE" w:rsidR="003A7E3D" w:rsidRPr="00BD22FE" w:rsidRDefault="00104CA8" w:rsidP="00941FBF">
      <w:pPr>
        <w:jc w:val="both"/>
        <w:rPr>
          <w:sz w:val="22"/>
          <w:szCs w:val="22"/>
          <w:lang w:val="pl-PL"/>
        </w:rPr>
      </w:pPr>
      <w:r w:rsidRPr="00BD22FE">
        <w:rPr>
          <w:sz w:val="22"/>
          <w:szCs w:val="22"/>
          <w:shd w:val="clear" w:color="auto" w:fill="C0C0C0"/>
          <w:lang w:val="pl-PL"/>
        </w:rPr>
        <w:t>28</w:t>
      </w:r>
      <w:r w:rsidR="001353D7" w:rsidRPr="00BD22FE">
        <w:rPr>
          <w:sz w:val="22"/>
          <w:szCs w:val="22"/>
          <w:shd w:val="clear" w:color="auto" w:fill="C0C0C0"/>
          <w:lang w:val="pl-PL"/>
        </w:rPr>
        <w:t> </w:t>
      </w:r>
      <w:r w:rsidRPr="00BD22FE">
        <w:rPr>
          <w:sz w:val="22"/>
          <w:szCs w:val="22"/>
          <w:shd w:val="clear" w:color="auto" w:fill="C0C0C0"/>
          <w:lang w:val="pl-PL"/>
        </w:rPr>
        <w:t>tabletek</w:t>
      </w:r>
    </w:p>
    <w:p w14:paraId="43136750" w14:textId="1DE5FD88" w:rsidR="000016E2" w:rsidRPr="00BD22FE" w:rsidRDefault="00104CA8" w:rsidP="00941FBF">
      <w:pPr>
        <w:jc w:val="both"/>
        <w:rPr>
          <w:sz w:val="22"/>
          <w:szCs w:val="22"/>
          <w:lang w:val="pl-PL"/>
        </w:rPr>
      </w:pPr>
      <w:r w:rsidRPr="00BD22FE">
        <w:rPr>
          <w:sz w:val="22"/>
          <w:szCs w:val="22"/>
          <w:shd w:val="clear" w:color="auto" w:fill="C0C0C0"/>
          <w:lang w:val="pl-PL"/>
        </w:rPr>
        <w:t>30</w:t>
      </w:r>
      <w:r w:rsidR="001353D7" w:rsidRPr="00BD22FE">
        <w:rPr>
          <w:sz w:val="22"/>
          <w:szCs w:val="22"/>
          <w:shd w:val="clear" w:color="auto" w:fill="C0C0C0"/>
          <w:lang w:val="pl-PL"/>
        </w:rPr>
        <w:t> </w:t>
      </w:r>
      <w:r w:rsidR="003F4C93" w:rsidRPr="00BD22FE">
        <w:rPr>
          <w:sz w:val="22"/>
          <w:shd w:val="clear" w:color="auto" w:fill="C0C0C0"/>
          <w:lang w:val="pl-PL"/>
        </w:rPr>
        <w:t>×</w:t>
      </w:r>
      <w:r w:rsidR="001353D7" w:rsidRPr="00BD22FE">
        <w:rPr>
          <w:sz w:val="22"/>
          <w:szCs w:val="22"/>
          <w:shd w:val="clear" w:color="auto" w:fill="C0C0C0"/>
          <w:lang w:val="pl-PL"/>
        </w:rPr>
        <w:t> </w:t>
      </w:r>
      <w:r w:rsidRPr="00BD22FE">
        <w:rPr>
          <w:sz w:val="22"/>
          <w:szCs w:val="22"/>
          <w:shd w:val="clear" w:color="auto" w:fill="C0C0C0"/>
          <w:lang w:val="pl-PL"/>
        </w:rPr>
        <w:t>1</w:t>
      </w:r>
      <w:r w:rsidR="001353D7" w:rsidRPr="00BD22FE">
        <w:rPr>
          <w:sz w:val="22"/>
          <w:szCs w:val="22"/>
          <w:shd w:val="clear" w:color="auto" w:fill="C0C0C0"/>
          <w:lang w:val="pl-PL"/>
        </w:rPr>
        <w:t> </w:t>
      </w:r>
      <w:r w:rsidRPr="00BD22FE">
        <w:rPr>
          <w:sz w:val="22"/>
          <w:szCs w:val="22"/>
          <w:shd w:val="clear" w:color="auto" w:fill="C0C0C0"/>
          <w:lang w:val="pl-PL"/>
        </w:rPr>
        <w:t>tabletka</w:t>
      </w:r>
    </w:p>
    <w:p w14:paraId="5A6F32B1" w14:textId="66215969" w:rsidR="000016E2" w:rsidRPr="00BD22FE" w:rsidRDefault="00104CA8" w:rsidP="00941FBF">
      <w:pPr>
        <w:jc w:val="both"/>
        <w:rPr>
          <w:sz w:val="22"/>
          <w:szCs w:val="22"/>
          <w:lang w:val="pl-PL"/>
        </w:rPr>
      </w:pPr>
      <w:r w:rsidRPr="00BD22FE">
        <w:rPr>
          <w:sz w:val="22"/>
          <w:szCs w:val="22"/>
          <w:shd w:val="clear" w:color="auto" w:fill="C0C0C0"/>
          <w:lang w:val="pl-PL"/>
        </w:rPr>
        <w:t>56</w:t>
      </w:r>
      <w:r w:rsidR="001353D7" w:rsidRPr="00BD22FE">
        <w:rPr>
          <w:sz w:val="22"/>
          <w:szCs w:val="22"/>
          <w:shd w:val="clear" w:color="auto" w:fill="C0C0C0"/>
          <w:lang w:val="pl-PL"/>
        </w:rPr>
        <w:t> </w:t>
      </w:r>
      <w:r w:rsidRPr="00BD22FE">
        <w:rPr>
          <w:sz w:val="22"/>
          <w:szCs w:val="22"/>
          <w:shd w:val="clear" w:color="auto" w:fill="C0C0C0"/>
          <w:lang w:val="pl-PL"/>
        </w:rPr>
        <w:t>tabletek</w:t>
      </w:r>
    </w:p>
    <w:p w14:paraId="76F886D7" w14:textId="68ECD356" w:rsidR="000016E2" w:rsidRPr="00BD22FE" w:rsidRDefault="00104CA8" w:rsidP="00941FBF">
      <w:pPr>
        <w:jc w:val="both"/>
        <w:rPr>
          <w:sz w:val="22"/>
          <w:szCs w:val="22"/>
          <w:lang w:val="pl-PL"/>
        </w:rPr>
      </w:pPr>
      <w:r w:rsidRPr="00BD22FE">
        <w:rPr>
          <w:sz w:val="22"/>
          <w:szCs w:val="22"/>
          <w:shd w:val="clear" w:color="auto" w:fill="C0C0C0"/>
          <w:lang w:val="pl-PL"/>
        </w:rPr>
        <w:t>84</w:t>
      </w:r>
      <w:r w:rsidR="001353D7" w:rsidRPr="00BD22FE">
        <w:rPr>
          <w:sz w:val="22"/>
          <w:szCs w:val="22"/>
          <w:shd w:val="clear" w:color="auto" w:fill="C0C0C0"/>
          <w:lang w:val="pl-PL"/>
        </w:rPr>
        <w:t> </w:t>
      </w:r>
      <w:r w:rsidRPr="00BD22FE">
        <w:rPr>
          <w:sz w:val="22"/>
          <w:szCs w:val="22"/>
          <w:shd w:val="clear" w:color="auto" w:fill="C0C0C0"/>
          <w:lang w:val="pl-PL"/>
        </w:rPr>
        <w:t>tabletki</w:t>
      </w:r>
    </w:p>
    <w:p w14:paraId="3759DE71" w14:textId="1B3C194F" w:rsidR="000016E2" w:rsidRPr="00BD22FE" w:rsidRDefault="00104CA8" w:rsidP="00941FBF">
      <w:pPr>
        <w:jc w:val="both"/>
        <w:rPr>
          <w:sz w:val="22"/>
          <w:szCs w:val="22"/>
          <w:lang w:val="pl-PL"/>
        </w:rPr>
      </w:pPr>
      <w:r w:rsidRPr="00BD22FE">
        <w:rPr>
          <w:sz w:val="22"/>
          <w:szCs w:val="22"/>
          <w:shd w:val="clear" w:color="auto" w:fill="C0C0C0"/>
          <w:lang w:val="pl-PL"/>
        </w:rPr>
        <w:t>90</w:t>
      </w:r>
      <w:r w:rsidR="001353D7" w:rsidRPr="00BD22FE">
        <w:rPr>
          <w:sz w:val="22"/>
          <w:szCs w:val="22"/>
          <w:shd w:val="clear" w:color="auto" w:fill="C0C0C0"/>
          <w:lang w:val="pl-PL"/>
        </w:rPr>
        <w:t> </w:t>
      </w:r>
      <w:r w:rsidR="003F4C93" w:rsidRPr="00BD22FE">
        <w:rPr>
          <w:sz w:val="22"/>
          <w:shd w:val="clear" w:color="auto" w:fill="C0C0C0"/>
          <w:lang w:val="pl-PL"/>
        </w:rPr>
        <w:t>×</w:t>
      </w:r>
      <w:r w:rsidR="001353D7" w:rsidRPr="00BD22FE">
        <w:rPr>
          <w:sz w:val="22"/>
          <w:szCs w:val="22"/>
          <w:shd w:val="clear" w:color="auto" w:fill="C0C0C0"/>
          <w:lang w:val="pl-PL"/>
        </w:rPr>
        <w:t> </w:t>
      </w:r>
      <w:r w:rsidRPr="00BD22FE">
        <w:rPr>
          <w:sz w:val="22"/>
          <w:szCs w:val="22"/>
          <w:shd w:val="clear" w:color="auto" w:fill="C0C0C0"/>
          <w:lang w:val="pl-PL"/>
        </w:rPr>
        <w:t>1</w:t>
      </w:r>
      <w:r w:rsidR="001353D7" w:rsidRPr="00BD22FE">
        <w:rPr>
          <w:sz w:val="22"/>
          <w:szCs w:val="22"/>
          <w:shd w:val="clear" w:color="auto" w:fill="C0C0C0"/>
          <w:lang w:val="pl-PL"/>
        </w:rPr>
        <w:t> </w:t>
      </w:r>
      <w:r w:rsidRPr="00BD22FE">
        <w:rPr>
          <w:sz w:val="22"/>
          <w:szCs w:val="22"/>
          <w:shd w:val="clear" w:color="auto" w:fill="C0C0C0"/>
          <w:lang w:val="pl-PL"/>
        </w:rPr>
        <w:t>tabletka</w:t>
      </w:r>
    </w:p>
    <w:p w14:paraId="0DB7641B" w14:textId="0FCCCF8F" w:rsidR="000016E2" w:rsidRPr="00BD22FE" w:rsidRDefault="00104CA8" w:rsidP="00941FBF">
      <w:pPr>
        <w:jc w:val="both"/>
        <w:rPr>
          <w:sz w:val="22"/>
          <w:szCs w:val="22"/>
          <w:lang w:val="pl-PL"/>
        </w:rPr>
      </w:pPr>
      <w:r w:rsidRPr="00BD22FE">
        <w:rPr>
          <w:sz w:val="22"/>
          <w:szCs w:val="22"/>
          <w:shd w:val="clear" w:color="auto" w:fill="C0C0C0"/>
          <w:lang w:val="pl-PL"/>
        </w:rPr>
        <w:t>98</w:t>
      </w:r>
      <w:r w:rsidR="001353D7" w:rsidRPr="00BD22FE">
        <w:rPr>
          <w:sz w:val="22"/>
          <w:szCs w:val="22"/>
          <w:shd w:val="clear" w:color="auto" w:fill="C0C0C0"/>
          <w:lang w:val="pl-PL"/>
        </w:rPr>
        <w:t> </w:t>
      </w:r>
      <w:r w:rsidRPr="00BD22FE">
        <w:rPr>
          <w:sz w:val="22"/>
          <w:szCs w:val="22"/>
          <w:shd w:val="clear" w:color="auto" w:fill="C0C0C0"/>
          <w:lang w:val="pl-PL"/>
        </w:rPr>
        <w:t>tabletek</w:t>
      </w:r>
    </w:p>
    <w:p w14:paraId="4F88051F" w14:textId="6BA3A970" w:rsidR="000016E2" w:rsidRPr="00BD22FE" w:rsidRDefault="00104CA8" w:rsidP="00941FBF">
      <w:pPr>
        <w:jc w:val="both"/>
        <w:rPr>
          <w:sz w:val="22"/>
          <w:szCs w:val="22"/>
          <w:lang w:val="pl-PL"/>
        </w:rPr>
      </w:pPr>
      <w:r w:rsidRPr="00BD22FE">
        <w:rPr>
          <w:sz w:val="22"/>
          <w:szCs w:val="22"/>
          <w:shd w:val="clear" w:color="auto" w:fill="C0C0C0"/>
          <w:lang w:val="pl-PL"/>
        </w:rPr>
        <w:t>28</w:t>
      </w:r>
      <w:r w:rsidR="001353D7" w:rsidRPr="00BD22FE">
        <w:rPr>
          <w:sz w:val="22"/>
          <w:szCs w:val="22"/>
          <w:shd w:val="clear" w:color="auto" w:fill="C0C0C0"/>
          <w:lang w:val="pl-PL"/>
        </w:rPr>
        <w:t> </w:t>
      </w:r>
      <w:r w:rsidR="003F4C93" w:rsidRPr="00BD22FE">
        <w:rPr>
          <w:sz w:val="22"/>
          <w:shd w:val="clear" w:color="auto" w:fill="C0C0C0"/>
          <w:lang w:val="pl-PL"/>
        </w:rPr>
        <w:t>×</w:t>
      </w:r>
      <w:r w:rsidR="001353D7" w:rsidRPr="00BD22FE">
        <w:rPr>
          <w:sz w:val="22"/>
          <w:szCs w:val="22"/>
          <w:shd w:val="clear" w:color="auto" w:fill="C0C0C0"/>
          <w:lang w:val="pl-PL"/>
        </w:rPr>
        <w:t> </w:t>
      </w:r>
      <w:r w:rsidRPr="00BD22FE">
        <w:rPr>
          <w:sz w:val="22"/>
          <w:szCs w:val="22"/>
          <w:shd w:val="clear" w:color="auto" w:fill="C0C0C0"/>
          <w:lang w:val="pl-PL"/>
        </w:rPr>
        <w:t>1</w:t>
      </w:r>
      <w:r w:rsidR="001353D7" w:rsidRPr="00BD22FE">
        <w:rPr>
          <w:sz w:val="22"/>
          <w:szCs w:val="22"/>
          <w:shd w:val="clear" w:color="auto" w:fill="C0C0C0"/>
          <w:lang w:val="pl-PL"/>
        </w:rPr>
        <w:t> </w:t>
      </w:r>
      <w:r w:rsidRPr="00BD22FE">
        <w:rPr>
          <w:sz w:val="22"/>
          <w:szCs w:val="22"/>
          <w:shd w:val="clear" w:color="auto" w:fill="C0C0C0"/>
          <w:lang w:val="pl-PL"/>
        </w:rPr>
        <w:t>tabletka</w:t>
      </w:r>
    </w:p>
    <w:p w14:paraId="303961A3" w14:textId="77777777" w:rsidR="000016E2" w:rsidRPr="00BD22FE" w:rsidRDefault="000016E2" w:rsidP="00941FBF">
      <w:pPr>
        <w:jc w:val="both"/>
        <w:rPr>
          <w:sz w:val="22"/>
          <w:szCs w:val="22"/>
          <w:lang w:val="pl-PL"/>
        </w:rPr>
      </w:pPr>
    </w:p>
    <w:p w14:paraId="246368DB" w14:textId="77777777" w:rsidR="000016E2" w:rsidRPr="00BD22FE" w:rsidRDefault="000016E2" w:rsidP="00941FBF">
      <w:pPr>
        <w:jc w:val="both"/>
        <w:rPr>
          <w:sz w:val="22"/>
          <w:szCs w:val="22"/>
          <w:lang w:val="pl-PL"/>
        </w:rPr>
      </w:pPr>
    </w:p>
    <w:p w14:paraId="14BA6DB5" w14:textId="03BCF498" w:rsidR="000016E2" w:rsidRPr="00BD22FE" w:rsidRDefault="001353D7" w:rsidP="001353D7">
      <w:pPr>
        <w:keepNext/>
        <w:pBdr>
          <w:top w:val="single" w:sz="4" w:space="1" w:color="auto"/>
          <w:left w:val="single" w:sz="4" w:space="4" w:color="auto"/>
          <w:bottom w:val="single" w:sz="4" w:space="1" w:color="auto"/>
          <w:right w:val="single" w:sz="4" w:space="4" w:color="auto"/>
        </w:pBdr>
        <w:ind w:left="567" w:hanging="567"/>
        <w:rPr>
          <w:b/>
          <w:sz w:val="22"/>
          <w:szCs w:val="22"/>
          <w:lang w:val="pl-PL"/>
        </w:rPr>
      </w:pPr>
      <w:r w:rsidRPr="00BD22FE">
        <w:rPr>
          <w:b/>
          <w:sz w:val="22"/>
          <w:szCs w:val="22"/>
          <w:lang w:val="pl-PL"/>
        </w:rPr>
        <w:t>5.</w:t>
      </w:r>
      <w:r w:rsidRPr="00BD22FE">
        <w:rPr>
          <w:b/>
          <w:sz w:val="22"/>
          <w:szCs w:val="22"/>
          <w:lang w:val="pl-PL"/>
        </w:rPr>
        <w:tab/>
      </w:r>
      <w:r w:rsidR="00104CA8" w:rsidRPr="00BD22FE">
        <w:rPr>
          <w:b/>
          <w:sz w:val="22"/>
          <w:szCs w:val="22"/>
          <w:lang w:val="pl-PL"/>
        </w:rPr>
        <w:t>SPOSÓB I</w:t>
      </w:r>
      <w:r w:rsidR="00717A7B" w:rsidRPr="00BD22FE">
        <w:rPr>
          <w:b/>
          <w:sz w:val="22"/>
          <w:szCs w:val="22"/>
          <w:lang w:val="pl-PL"/>
        </w:rPr>
        <w:t> </w:t>
      </w:r>
      <w:r w:rsidR="00104CA8" w:rsidRPr="00BD22FE">
        <w:rPr>
          <w:b/>
          <w:sz w:val="22"/>
          <w:szCs w:val="22"/>
          <w:lang w:val="pl-PL"/>
        </w:rPr>
        <w:t>DROGA PODANIA</w:t>
      </w:r>
    </w:p>
    <w:p w14:paraId="4F0F6B8E" w14:textId="77777777" w:rsidR="000016E2" w:rsidRPr="00BD22FE" w:rsidRDefault="000016E2" w:rsidP="001353D7">
      <w:pPr>
        <w:keepNext/>
        <w:jc w:val="both"/>
        <w:rPr>
          <w:bCs/>
          <w:sz w:val="22"/>
          <w:szCs w:val="22"/>
          <w:lang w:val="pl-PL"/>
        </w:rPr>
      </w:pPr>
    </w:p>
    <w:p w14:paraId="1D9E0646" w14:textId="77777777" w:rsidR="000016E2" w:rsidRPr="00BD22FE" w:rsidRDefault="00104CA8" w:rsidP="00941FBF">
      <w:pPr>
        <w:jc w:val="both"/>
        <w:rPr>
          <w:sz w:val="22"/>
          <w:szCs w:val="22"/>
          <w:lang w:val="pl-PL"/>
        </w:rPr>
      </w:pPr>
      <w:r w:rsidRPr="00BD22FE">
        <w:rPr>
          <w:sz w:val="22"/>
          <w:szCs w:val="22"/>
          <w:lang w:val="pl-PL"/>
        </w:rPr>
        <w:t>Podanie doustne.</w:t>
      </w:r>
    </w:p>
    <w:p w14:paraId="52635D2E" w14:textId="36502837" w:rsidR="000016E2" w:rsidRPr="00BD22FE" w:rsidRDefault="00104CA8" w:rsidP="00941FBF">
      <w:pPr>
        <w:jc w:val="both"/>
        <w:rPr>
          <w:sz w:val="22"/>
          <w:szCs w:val="22"/>
          <w:lang w:val="pl-PL"/>
        </w:rPr>
      </w:pPr>
      <w:r w:rsidRPr="00BD22FE">
        <w:rPr>
          <w:sz w:val="22"/>
          <w:szCs w:val="22"/>
          <w:lang w:val="pl-PL"/>
        </w:rPr>
        <w:t>Należy zapoznać się z</w:t>
      </w:r>
      <w:r w:rsidR="00717A7B" w:rsidRPr="00BD22FE">
        <w:rPr>
          <w:sz w:val="22"/>
          <w:szCs w:val="22"/>
          <w:lang w:val="pl-PL"/>
        </w:rPr>
        <w:t> </w:t>
      </w:r>
      <w:r w:rsidRPr="00BD22FE">
        <w:rPr>
          <w:sz w:val="22"/>
          <w:szCs w:val="22"/>
          <w:lang w:val="pl-PL"/>
        </w:rPr>
        <w:t>treścią ulotki przed zastosowaniem leku.</w:t>
      </w:r>
    </w:p>
    <w:p w14:paraId="48FA9EED" w14:textId="77777777" w:rsidR="000016E2" w:rsidRPr="00BD22FE" w:rsidRDefault="000016E2" w:rsidP="00941FBF">
      <w:pPr>
        <w:jc w:val="both"/>
        <w:rPr>
          <w:sz w:val="22"/>
          <w:szCs w:val="22"/>
          <w:lang w:val="pl-PL"/>
        </w:rPr>
      </w:pPr>
    </w:p>
    <w:p w14:paraId="51AFD58B" w14:textId="77777777" w:rsidR="000016E2" w:rsidRPr="00BD22FE" w:rsidRDefault="000016E2" w:rsidP="00941FBF">
      <w:pPr>
        <w:jc w:val="both"/>
        <w:rPr>
          <w:sz w:val="22"/>
          <w:szCs w:val="22"/>
          <w:lang w:val="pl-PL"/>
        </w:rPr>
      </w:pPr>
    </w:p>
    <w:p w14:paraId="5ECDA834" w14:textId="0C743D0A" w:rsidR="003A7E3D" w:rsidRPr="00BD22FE" w:rsidRDefault="00104CA8" w:rsidP="005E756D">
      <w:pPr>
        <w:keepNext/>
        <w:pBdr>
          <w:top w:val="single" w:sz="4" w:space="1" w:color="auto"/>
          <w:left w:val="single" w:sz="4" w:space="4" w:color="auto"/>
          <w:bottom w:val="single" w:sz="4" w:space="1" w:color="auto"/>
          <w:right w:val="single" w:sz="4" w:space="4" w:color="auto"/>
        </w:pBdr>
        <w:ind w:left="567" w:hanging="567"/>
        <w:rPr>
          <w:b/>
          <w:sz w:val="22"/>
          <w:szCs w:val="22"/>
          <w:lang w:val="pl-PL"/>
        </w:rPr>
      </w:pPr>
      <w:r w:rsidRPr="00BD22FE">
        <w:rPr>
          <w:b/>
          <w:sz w:val="22"/>
          <w:szCs w:val="22"/>
          <w:lang w:val="pl-PL"/>
        </w:rPr>
        <w:t>6.</w:t>
      </w:r>
      <w:r w:rsidRPr="00BD22FE">
        <w:rPr>
          <w:b/>
          <w:sz w:val="22"/>
          <w:szCs w:val="22"/>
          <w:lang w:val="pl-PL"/>
        </w:rPr>
        <w:tab/>
        <w:t>OSTRZEŻENIE DOTYCZĄCE PRZECHOWYWANIA PRODUKTU LECZNICZEGO W</w:t>
      </w:r>
      <w:r w:rsidR="00717A7B" w:rsidRPr="00BD22FE">
        <w:rPr>
          <w:b/>
          <w:sz w:val="22"/>
          <w:szCs w:val="22"/>
          <w:lang w:val="pl-PL"/>
        </w:rPr>
        <w:t> </w:t>
      </w:r>
      <w:r w:rsidRPr="00BD22FE">
        <w:rPr>
          <w:b/>
          <w:sz w:val="22"/>
          <w:szCs w:val="22"/>
          <w:lang w:val="pl-PL"/>
        </w:rPr>
        <w:t>MIEJSCU NIEWIDOCZNYM I</w:t>
      </w:r>
      <w:r w:rsidR="00717A7B" w:rsidRPr="00BD22FE">
        <w:rPr>
          <w:b/>
          <w:sz w:val="22"/>
          <w:szCs w:val="22"/>
          <w:lang w:val="pl-PL"/>
        </w:rPr>
        <w:t> </w:t>
      </w:r>
      <w:r w:rsidRPr="00BD22FE">
        <w:rPr>
          <w:b/>
          <w:sz w:val="22"/>
          <w:szCs w:val="22"/>
          <w:lang w:val="pl-PL"/>
        </w:rPr>
        <w:t>NIEDOSTĘPNYM DLA DZIECI</w:t>
      </w:r>
    </w:p>
    <w:p w14:paraId="5730C89E" w14:textId="541C5AA1" w:rsidR="000016E2" w:rsidRPr="00BD22FE" w:rsidRDefault="000016E2" w:rsidP="001353D7">
      <w:pPr>
        <w:keepNext/>
        <w:jc w:val="both"/>
        <w:rPr>
          <w:sz w:val="22"/>
          <w:szCs w:val="22"/>
          <w:lang w:val="pl-PL"/>
        </w:rPr>
      </w:pPr>
    </w:p>
    <w:p w14:paraId="058D2EF1" w14:textId="16AD7AC0" w:rsidR="000016E2" w:rsidRPr="00BD22FE" w:rsidRDefault="00104CA8" w:rsidP="00941FBF">
      <w:pPr>
        <w:rPr>
          <w:sz w:val="22"/>
          <w:szCs w:val="22"/>
          <w:lang w:val="pl-PL"/>
        </w:rPr>
      </w:pPr>
      <w:r w:rsidRPr="00BD22FE">
        <w:rPr>
          <w:sz w:val="22"/>
          <w:szCs w:val="22"/>
          <w:lang w:val="pl-PL"/>
        </w:rPr>
        <w:t>Lek przechowywać w</w:t>
      </w:r>
      <w:r w:rsidR="00717A7B" w:rsidRPr="00BD22FE">
        <w:rPr>
          <w:sz w:val="22"/>
          <w:szCs w:val="22"/>
          <w:lang w:val="pl-PL"/>
        </w:rPr>
        <w:t> </w:t>
      </w:r>
      <w:r w:rsidRPr="00BD22FE">
        <w:rPr>
          <w:sz w:val="22"/>
          <w:szCs w:val="22"/>
          <w:lang w:val="pl-PL"/>
        </w:rPr>
        <w:t>miejscu niewidocznym i</w:t>
      </w:r>
      <w:r w:rsidR="00717A7B" w:rsidRPr="00BD22FE">
        <w:rPr>
          <w:sz w:val="22"/>
          <w:szCs w:val="22"/>
          <w:lang w:val="pl-PL"/>
        </w:rPr>
        <w:t> </w:t>
      </w:r>
      <w:r w:rsidRPr="00BD22FE">
        <w:rPr>
          <w:sz w:val="22"/>
          <w:szCs w:val="22"/>
          <w:lang w:val="pl-PL"/>
        </w:rPr>
        <w:t>niedostępnym dla dzieci.</w:t>
      </w:r>
    </w:p>
    <w:p w14:paraId="144E895A" w14:textId="77777777" w:rsidR="000016E2" w:rsidRPr="00BD22FE" w:rsidRDefault="000016E2" w:rsidP="00941FBF">
      <w:pPr>
        <w:jc w:val="both"/>
        <w:rPr>
          <w:bCs/>
          <w:sz w:val="22"/>
          <w:szCs w:val="22"/>
          <w:lang w:val="pl-PL"/>
        </w:rPr>
      </w:pPr>
    </w:p>
    <w:p w14:paraId="23F80535" w14:textId="77777777" w:rsidR="000016E2" w:rsidRPr="00BD22FE" w:rsidRDefault="000016E2" w:rsidP="00941FBF">
      <w:pPr>
        <w:jc w:val="both"/>
        <w:rPr>
          <w:bCs/>
          <w:sz w:val="22"/>
          <w:szCs w:val="22"/>
          <w:lang w:val="pl-PL"/>
        </w:rPr>
      </w:pPr>
    </w:p>
    <w:p w14:paraId="7CEC8EFA" w14:textId="66BF2419" w:rsidR="000016E2" w:rsidRPr="00BD22FE" w:rsidRDefault="001353D7" w:rsidP="001353D7">
      <w:pPr>
        <w:keepNext/>
        <w:pBdr>
          <w:top w:val="single" w:sz="4" w:space="1" w:color="auto"/>
          <w:left w:val="single" w:sz="4" w:space="4" w:color="auto"/>
          <w:bottom w:val="single" w:sz="4" w:space="1" w:color="auto"/>
          <w:right w:val="single" w:sz="4" w:space="4" w:color="auto"/>
        </w:pBdr>
        <w:ind w:left="567" w:hanging="567"/>
        <w:rPr>
          <w:b/>
          <w:sz w:val="22"/>
          <w:szCs w:val="22"/>
          <w:lang w:val="pl-PL"/>
        </w:rPr>
      </w:pPr>
      <w:r w:rsidRPr="00BD22FE">
        <w:rPr>
          <w:b/>
          <w:sz w:val="22"/>
          <w:szCs w:val="22"/>
          <w:lang w:val="pl-PL"/>
        </w:rPr>
        <w:t>7.</w:t>
      </w:r>
      <w:r w:rsidRPr="00BD22FE">
        <w:rPr>
          <w:b/>
          <w:sz w:val="22"/>
          <w:szCs w:val="22"/>
          <w:lang w:val="pl-PL"/>
        </w:rPr>
        <w:tab/>
      </w:r>
      <w:r w:rsidR="00104CA8" w:rsidRPr="00BD22FE">
        <w:rPr>
          <w:b/>
          <w:sz w:val="22"/>
          <w:szCs w:val="22"/>
          <w:lang w:val="pl-PL"/>
        </w:rPr>
        <w:t>INNE OSTRZEŻENIA SPECJALNE, JEŚLI KONIECZNE</w:t>
      </w:r>
    </w:p>
    <w:p w14:paraId="1A360D06" w14:textId="77777777" w:rsidR="000016E2" w:rsidRPr="00BD22FE" w:rsidRDefault="000016E2" w:rsidP="001353D7">
      <w:pPr>
        <w:keepNext/>
        <w:jc w:val="both"/>
        <w:rPr>
          <w:bCs/>
          <w:sz w:val="22"/>
          <w:szCs w:val="22"/>
          <w:lang w:val="pl-PL"/>
        </w:rPr>
      </w:pPr>
    </w:p>
    <w:p w14:paraId="269E70EE" w14:textId="77777777" w:rsidR="000016E2" w:rsidRPr="00BD22FE" w:rsidRDefault="000016E2" w:rsidP="00941FBF">
      <w:pPr>
        <w:jc w:val="both"/>
        <w:rPr>
          <w:bCs/>
          <w:sz w:val="22"/>
          <w:szCs w:val="22"/>
          <w:lang w:val="pl-PL"/>
        </w:rPr>
      </w:pPr>
    </w:p>
    <w:p w14:paraId="275F1475" w14:textId="203F5795" w:rsidR="000016E2" w:rsidRPr="00BD22FE" w:rsidRDefault="001353D7" w:rsidP="001353D7">
      <w:pPr>
        <w:keepNext/>
        <w:pBdr>
          <w:top w:val="single" w:sz="4" w:space="1" w:color="auto"/>
          <w:left w:val="single" w:sz="4" w:space="4" w:color="auto"/>
          <w:bottom w:val="single" w:sz="4" w:space="1" w:color="auto"/>
          <w:right w:val="single" w:sz="4" w:space="4" w:color="auto"/>
        </w:pBdr>
        <w:ind w:left="567" w:hanging="567"/>
        <w:rPr>
          <w:b/>
          <w:sz w:val="22"/>
          <w:szCs w:val="22"/>
          <w:lang w:val="pl-PL"/>
        </w:rPr>
      </w:pPr>
      <w:r w:rsidRPr="00BD22FE">
        <w:rPr>
          <w:b/>
          <w:sz w:val="22"/>
          <w:szCs w:val="22"/>
          <w:lang w:val="pl-PL"/>
        </w:rPr>
        <w:t>8.</w:t>
      </w:r>
      <w:r w:rsidRPr="00BD22FE">
        <w:rPr>
          <w:b/>
          <w:sz w:val="22"/>
          <w:szCs w:val="22"/>
          <w:lang w:val="pl-PL"/>
        </w:rPr>
        <w:tab/>
      </w:r>
      <w:r w:rsidR="00104CA8" w:rsidRPr="00BD22FE">
        <w:rPr>
          <w:b/>
          <w:sz w:val="22"/>
          <w:szCs w:val="22"/>
          <w:lang w:val="pl-PL"/>
        </w:rPr>
        <w:t>TERMIN WAŻNOŚCI</w:t>
      </w:r>
    </w:p>
    <w:p w14:paraId="05A0969D" w14:textId="77777777" w:rsidR="000016E2" w:rsidRPr="00BD22FE" w:rsidRDefault="000016E2" w:rsidP="00941FBF">
      <w:pPr>
        <w:keepNext/>
        <w:jc w:val="both"/>
        <w:rPr>
          <w:sz w:val="22"/>
          <w:szCs w:val="22"/>
          <w:lang w:val="pl-PL"/>
        </w:rPr>
      </w:pPr>
    </w:p>
    <w:p w14:paraId="7CBEAACC" w14:textId="105B315E" w:rsidR="000016E2" w:rsidRPr="00BD22FE" w:rsidRDefault="00104CA8" w:rsidP="00941FBF">
      <w:pPr>
        <w:rPr>
          <w:sz w:val="22"/>
          <w:szCs w:val="22"/>
          <w:lang w:val="pl-PL"/>
        </w:rPr>
      </w:pPr>
      <w:r w:rsidRPr="00BD22FE">
        <w:rPr>
          <w:sz w:val="22"/>
          <w:szCs w:val="22"/>
          <w:lang w:val="pl-PL"/>
        </w:rPr>
        <w:t>Termin ważności:</w:t>
      </w:r>
    </w:p>
    <w:p w14:paraId="39AB42EE" w14:textId="77777777" w:rsidR="000016E2" w:rsidRPr="00BD22FE" w:rsidRDefault="000016E2" w:rsidP="00941FBF">
      <w:pPr>
        <w:jc w:val="both"/>
        <w:rPr>
          <w:bCs/>
          <w:sz w:val="22"/>
          <w:szCs w:val="22"/>
          <w:lang w:val="pl-PL"/>
        </w:rPr>
      </w:pPr>
    </w:p>
    <w:p w14:paraId="7A3370CF" w14:textId="77777777" w:rsidR="000016E2" w:rsidRPr="00BD22FE" w:rsidRDefault="000016E2" w:rsidP="00941FBF">
      <w:pPr>
        <w:jc w:val="both"/>
        <w:rPr>
          <w:bCs/>
          <w:sz w:val="22"/>
          <w:szCs w:val="22"/>
          <w:lang w:val="pl-PL"/>
        </w:rPr>
      </w:pPr>
    </w:p>
    <w:p w14:paraId="227BB8ED" w14:textId="278C1E96" w:rsidR="000016E2" w:rsidRPr="00BD22FE" w:rsidRDefault="001353D7" w:rsidP="001353D7">
      <w:pPr>
        <w:keepNext/>
        <w:pBdr>
          <w:top w:val="single" w:sz="4" w:space="1" w:color="auto"/>
          <w:left w:val="single" w:sz="4" w:space="4" w:color="auto"/>
          <w:bottom w:val="single" w:sz="4" w:space="1" w:color="auto"/>
          <w:right w:val="single" w:sz="4" w:space="4" w:color="auto"/>
        </w:pBdr>
        <w:ind w:left="567" w:hanging="567"/>
        <w:rPr>
          <w:b/>
          <w:sz w:val="22"/>
          <w:szCs w:val="22"/>
          <w:lang w:val="pl-PL"/>
        </w:rPr>
      </w:pPr>
      <w:r w:rsidRPr="00BD22FE">
        <w:rPr>
          <w:b/>
          <w:sz w:val="22"/>
          <w:szCs w:val="22"/>
          <w:lang w:val="pl-PL"/>
        </w:rPr>
        <w:lastRenderedPageBreak/>
        <w:t>9.</w:t>
      </w:r>
      <w:r w:rsidRPr="00BD22FE">
        <w:rPr>
          <w:b/>
          <w:sz w:val="22"/>
          <w:szCs w:val="22"/>
          <w:lang w:val="pl-PL"/>
        </w:rPr>
        <w:tab/>
      </w:r>
      <w:r w:rsidR="00104CA8" w:rsidRPr="00BD22FE">
        <w:rPr>
          <w:b/>
          <w:sz w:val="22"/>
          <w:szCs w:val="22"/>
          <w:lang w:val="pl-PL"/>
        </w:rPr>
        <w:t>WARUNKI PRZECHOWYWANIA</w:t>
      </w:r>
    </w:p>
    <w:p w14:paraId="7F721C28" w14:textId="77777777" w:rsidR="000016E2" w:rsidRPr="00BD22FE" w:rsidRDefault="000016E2" w:rsidP="001353D7">
      <w:pPr>
        <w:keepNext/>
        <w:rPr>
          <w:sz w:val="22"/>
          <w:szCs w:val="22"/>
          <w:lang w:val="pl-PL"/>
        </w:rPr>
      </w:pPr>
    </w:p>
    <w:p w14:paraId="57AF3659" w14:textId="6F4CAAEF" w:rsidR="000016E2" w:rsidRPr="00BD22FE" w:rsidRDefault="00104CA8" w:rsidP="00941FBF">
      <w:pPr>
        <w:rPr>
          <w:b/>
          <w:sz w:val="22"/>
          <w:szCs w:val="22"/>
          <w:lang w:val="pl-PL"/>
        </w:rPr>
      </w:pPr>
      <w:r w:rsidRPr="00BD22FE">
        <w:rPr>
          <w:b/>
          <w:sz w:val="22"/>
          <w:szCs w:val="22"/>
          <w:lang w:val="pl-PL"/>
        </w:rPr>
        <w:t xml:space="preserve">Brak </w:t>
      </w:r>
      <w:r w:rsidRPr="00BD22FE">
        <w:rPr>
          <w:b/>
          <w:bCs/>
          <w:sz w:val="22"/>
          <w:szCs w:val="22"/>
          <w:lang w:val="pl-PL"/>
        </w:rPr>
        <w:t>specjalnych zaleceń</w:t>
      </w:r>
      <w:r w:rsidRPr="00BD22FE">
        <w:rPr>
          <w:b/>
          <w:sz w:val="22"/>
          <w:szCs w:val="22"/>
          <w:lang w:val="pl-PL"/>
        </w:rPr>
        <w:t xml:space="preserve"> dotyczących temperatury przechowywania</w:t>
      </w:r>
      <w:r w:rsidR="00FC151A" w:rsidRPr="00BD22FE">
        <w:rPr>
          <w:b/>
          <w:sz w:val="22"/>
          <w:szCs w:val="22"/>
          <w:lang w:val="pl-PL"/>
        </w:rPr>
        <w:t xml:space="preserve"> produktu leczniczego</w:t>
      </w:r>
      <w:r w:rsidRPr="00BD22FE">
        <w:rPr>
          <w:b/>
          <w:sz w:val="22"/>
          <w:szCs w:val="22"/>
          <w:lang w:val="pl-PL"/>
        </w:rPr>
        <w:t>.</w:t>
      </w:r>
    </w:p>
    <w:p w14:paraId="77C4CC12" w14:textId="17916DDB" w:rsidR="000016E2" w:rsidRPr="00BD22FE" w:rsidRDefault="00104CA8" w:rsidP="00941FBF">
      <w:pPr>
        <w:jc w:val="both"/>
        <w:rPr>
          <w:b/>
          <w:sz w:val="22"/>
          <w:szCs w:val="22"/>
          <w:lang w:val="pl-PL"/>
        </w:rPr>
      </w:pPr>
      <w:r w:rsidRPr="00BD22FE">
        <w:rPr>
          <w:b/>
          <w:sz w:val="22"/>
          <w:szCs w:val="22"/>
          <w:lang w:val="pl-PL"/>
        </w:rPr>
        <w:t>Przechowywać w</w:t>
      </w:r>
      <w:r w:rsidR="00717A7B" w:rsidRPr="00BD22FE">
        <w:rPr>
          <w:b/>
          <w:sz w:val="22"/>
          <w:szCs w:val="22"/>
          <w:lang w:val="pl-PL"/>
        </w:rPr>
        <w:t> </w:t>
      </w:r>
      <w:r w:rsidRPr="00BD22FE">
        <w:rPr>
          <w:b/>
          <w:sz w:val="22"/>
          <w:szCs w:val="22"/>
          <w:lang w:val="pl-PL"/>
        </w:rPr>
        <w:t>oryginalnym opakowaniu w</w:t>
      </w:r>
      <w:r w:rsidR="00717A7B" w:rsidRPr="00BD22FE">
        <w:rPr>
          <w:b/>
          <w:sz w:val="22"/>
          <w:szCs w:val="22"/>
          <w:lang w:val="pl-PL"/>
        </w:rPr>
        <w:t> </w:t>
      </w:r>
      <w:r w:rsidRPr="00BD22FE">
        <w:rPr>
          <w:b/>
          <w:sz w:val="22"/>
          <w:szCs w:val="22"/>
          <w:lang w:val="pl-PL"/>
        </w:rPr>
        <w:t>celu ochrony przed wilgocią.</w:t>
      </w:r>
    </w:p>
    <w:p w14:paraId="53D5C347" w14:textId="77777777" w:rsidR="000016E2" w:rsidRPr="00BD22FE" w:rsidRDefault="000016E2" w:rsidP="00941FBF">
      <w:pPr>
        <w:jc w:val="both"/>
        <w:rPr>
          <w:sz w:val="22"/>
          <w:szCs w:val="22"/>
          <w:lang w:val="pl-PL"/>
        </w:rPr>
      </w:pPr>
    </w:p>
    <w:p w14:paraId="4AB154A2" w14:textId="77777777" w:rsidR="000016E2" w:rsidRPr="00BD22FE" w:rsidRDefault="000016E2" w:rsidP="00941FBF">
      <w:pPr>
        <w:jc w:val="both"/>
        <w:rPr>
          <w:sz w:val="22"/>
          <w:szCs w:val="22"/>
          <w:lang w:val="pl-PL"/>
        </w:rPr>
      </w:pPr>
    </w:p>
    <w:p w14:paraId="10089C87" w14:textId="6FAF1D69" w:rsidR="000016E2" w:rsidRPr="00BD22FE" w:rsidRDefault="001353D7" w:rsidP="001353D7">
      <w:pPr>
        <w:keepNext/>
        <w:pBdr>
          <w:top w:val="single" w:sz="4" w:space="1" w:color="auto"/>
          <w:left w:val="single" w:sz="4" w:space="4" w:color="auto"/>
          <w:bottom w:val="single" w:sz="4" w:space="1" w:color="auto"/>
          <w:right w:val="single" w:sz="4" w:space="4" w:color="auto"/>
        </w:pBdr>
        <w:ind w:left="567" w:hanging="567"/>
        <w:rPr>
          <w:b/>
          <w:sz w:val="22"/>
          <w:szCs w:val="22"/>
          <w:lang w:val="pl-PL"/>
        </w:rPr>
      </w:pPr>
      <w:r w:rsidRPr="00BD22FE">
        <w:rPr>
          <w:b/>
          <w:sz w:val="22"/>
          <w:szCs w:val="22"/>
          <w:lang w:val="pl-PL"/>
        </w:rPr>
        <w:t>10.</w:t>
      </w:r>
      <w:r w:rsidRPr="00BD22FE">
        <w:rPr>
          <w:b/>
          <w:sz w:val="22"/>
          <w:szCs w:val="22"/>
          <w:lang w:val="pl-PL"/>
        </w:rPr>
        <w:tab/>
      </w:r>
      <w:r w:rsidR="00104CA8" w:rsidRPr="00BD22FE">
        <w:rPr>
          <w:b/>
          <w:sz w:val="22"/>
          <w:szCs w:val="22"/>
          <w:lang w:val="pl-PL"/>
        </w:rPr>
        <w:t>SPECJALNE ŚRODKI OSTROŻNOŚCI DOTYCZĄCE USUWANIA NIEZUŻYTEGO PRODUKTU LECZNICZEGO LUB POCHODZĄCYCH Z</w:t>
      </w:r>
      <w:r w:rsidR="00717A7B" w:rsidRPr="00BD22FE">
        <w:rPr>
          <w:b/>
          <w:sz w:val="22"/>
          <w:szCs w:val="22"/>
          <w:lang w:val="pl-PL"/>
        </w:rPr>
        <w:t> </w:t>
      </w:r>
      <w:r w:rsidR="00104CA8" w:rsidRPr="00BD22FE">
        <w:rPr>
          <w:b/>
          <w:sz w:val="22"/>
          <w:szCs w:val="22"/>
          <w:lang w:val="pl-PL"/>
        </w:rPr>
        <w:t>NIEGO ODPADÓW, JEŚLI WŁAŚCIWE</w:t>
      </w:r>
    </w:p>
    <w:p w14:paraId="35699A12" w14:textId="77777777" w:rsidR="000016E2" w:rsidRPr="00BD22FE" w:rsidRDefault="000016E2" w:rsidP="001353D7">
      <w:pPr>
        <w:keepNext/>
        <w:jc w:val="both"/>
        <w:rPr>
          <w:sz w:val="22"/>
          <w:szCs w:val="22"/>
          <w:lang w:val="pl-PL"/>
        </w:rPr>
      </w:pPr>
    </w:p>
    <w:p w14:paraId="2F4872C4" w14:textId="77777777" w:rsidR="000016E2" w:rsidRPr="00BD22FE" w:rsidRDefault="000016E2" w:rsidP="00941FBF">
      <w:pPr>
        <w:jc w:val="both"/>
        <w:rPr>
          <w:sz w:val="22"/>
          <w:szCs w:val="22"/>
          <w:lang w:val="pl-PL"/>
        </w:rPr>
      </w:pPr>
    </w:p>
    <w:p w14:paraId="096794F6" w14:textId="53032865" w:rsidR="000016E2" w:rsidRPr="00BD22FE" w:rsidRDefault="001353D7" w:rsidP="001353D7">
      <w:pPr>
        <w:keepNext/>
        <w:pBdr>
          <w:top w:val="single" w:sz="4" w:space="1" w:color="auto"/>
          <w:left w:val="single" w:sz="4" w:space="4" w:color="auto"/>
          <w:bottom w:val="single" w:sz="4" w:space="1" w:color="auto"/>
          <w:right w:val="single" w:sz="4" w:space="4" w:color="auto"/>
        </w:pBdr>
        <w:ind w:left="567" w:hanging="567"/>
        <w:rPr>
          <w:b/>
          <w:sz w:val="22"/>
          <w:szCs w:val="22"/>
          <w:lang w:val="pl-PL"/>
        </w:rPr>
      </w:pPr>
      <w:r w:rsidRPr="00BD22FE">
        <w:rPr>
          <w:b/>
          <w:sz w:val="22"/>
          <w:szCs w:val="22"/>
          <w:lang w:val="pl-PL"/>
        </w:rPr>
        <w:t>11.</w:t>
      </w:r>
      <w:r w:rsidRPr="00BD22FE">
        <w:rPr>
          <w:b/>
          <w:sz w:val="22"/>
          <w:szCs w:val="22"/>
          <w:lang w:val="pl-PL"/>
        </w:rPr>
        <w:tab/>
      </w:r>
      <w:r w:rsidR="00104CA8" w:rsidRPr="00BD22FE">
        <w:rPr>
          <w:b/>
          <w:sz w:val="22"/>
          <w:szCs w:val="22"/>
          <w:lang w:val="pl-PL"/>
        </w:rPr>
        <w:t>NAZWA I</w:t>
      </w:r>
      <w:r w:rsidR="00717A7B" w:rsidRPr="00BD22FE">
        <w:rPr>
          <w:b/>
          <w:sz w:val="22"/>
          <w:szCs w:val="22"/>
          <w:lang w:val="pl-PL"/>
        </w:rPr>
        <w:t> </w:t>
      </w:r>
      <w:r w:rsidR="00104CA8" w:rsidRPr="00BD22FE">
        <w:rPr>
          <w:b/>
          <w:sz w:val="22"/>
          <w:szCs w:val="22"/>
          <w:lang w:val="pl-PL"/>
        </w:rPr>
        <w:t>ADRES PODMIOTU ODPOWIEDZIALNEGO</w:t>
      </w:r>
    </w:p>
    <w:p w14:paraId="65CA46FB" w14:textId="77777777" w:rsidR="000016E2" w:rsidRPr="00BD22FE" w:rsidRDefault="000016E2" w:rsidP="001353D7">
      <w:pPr>
        <w:keepNext/>
        <w:jc w:val="both"/>
        <w:rPr>
          <w:sz w:val="22"/>
          <w:szCs w:val="22"/>
          <w:lang w:val="pl-PL"/>
        </w:rPr>
      </w:pPr>
    </w:p>
    <w:p w14:paraId="1C11EC12" w14:textId="77777777" w:rsidR="000016E2" w:rsidRPr="00BD22FE" w:rsidRDefault="00104CA8" w:rsidP="00941FBF">
      <w:pPr>
        <w:rPr>
          <w:sz w:val="22"/>
          <w:szCs w:val="22"/>
          <w:lang w:val="pl-PL"/>
        </w:rPr>
      </w:pPr>
      <w:r w:rsidRPr="00BD22FE">
        <w:rPr>
          <w:sz w:val="22"/>
          <w:szCs w:val="22"/>
          <w:lang w:val="pl-PL"/>
        </w:rPr>
        <w:t>Boehringer Ingelheim International GmbH</w:t>
      </w:r>
    </w:p>
    <w:p w14:paraId="769A1CB1" w14:textId="77777777" w:rsidR="000016E2" w:rsidRPr="009D16CE" w:rsidRDefault="00104CA8" w:rsidP="00941FBF">
      <w:pPr>
        <w:rPr>
          <w:sz w:val="22"/>
          <w:szCs w:val="22"/>
          <w:lang w:val="de-DE"/>
        </w:rPr>
      </w:pPr>
      <w:r w:rsidRPr="009D16CE">
        <w:rPr>
          <w:sz w:val="22"/>
          <w:szCs w:val="22"/>
          <w:lang w:val="de-DE"/>
        </w:rPr>
        <w:t>Binger Str. 173</w:t>
      </w:r>
    </w:p>
    <w:p w14:paraId="114BAE4F" w14:textId="59A2180D" w:rsidR="000016E2" w:rsidRPr="009D16CE" w:rsidRDefault="00104CA8" w:rsidP="00941FBF">
      <w:pPr>
        <w:rPr>
          <w:sz w:val="22"/>
          <w:szCs w:val="22"/>
          <w:lang w:val="de-DE"/>
        </w:rPr>
      </w:pPr>
      <w:r w:rsidRPr="009D16CE">
        <w:rPr>
          <w:sz w:val="22"/>
          <w:szCs w:val="22"/>
          <w:lang w:val="de-DE"/>
        </w:rPr>
        <w:t>55216 Ingelheim am Rhein</w:t>
      </w:r>
    </w:p>
    <w:p w14:paraId="1F6AD7DB" w14:textId="701AEA9F" w:rsidR="000016E2" w:rsidRPr="009D16CE" w:rsidRDefault="00DD0776" w:rsidP="00941FBF">
      <w:pPr>
        <w:rPr>
          <w:sz w:val="22"/>
          <w:szCs w:val="22"/>
          <w:lang w:val="de-DE"/>
        </w:rPr>
      </w:pPr>
      <w:r w:rsidRPr="009D16CE">
        <w:rPr>
          <w:sz w:val="22"/>
          <w:szCs w:val="22"/>
          <w:lang w:val="de-DE"/>
        </w:rPr>
        <w:t>Niemcy</w:t>
      </w:r>
    </w:p>
    <w:p w14:paraId="60E7A727" w14:textId="77777777" w:rsidR="000016E2" w:rsidRPr="009D16CE" w:rsidRDefault="000016E2" w:rsidP="00941FBF">
      <w:pPr>
        <w:jc w:val="both"/>
        <w:rPr>
          <w:sz w:val="22"/>
          <w:szCs w:val="22"/>
          <w:lang w:val="de-DE"/>
        </w:rPr>
      </w:pPr>
    </w:p>
    <w:p w14:paraId="32045EA8" w14:textId="77777777" w:rsidR="000016E2" w:rsidRPr="009D16CE" w:rsidRDefault="000016E2" w:rsidP="00941FBF">
      <w:pPr>
        <w:jc w:val="both"/>
        <w:rPr>
          <w:sz w:val="22"/>
          <w:szCs w:val="22"/>
          <w:lang w:val="de-DE"/>
        </w:rPr>
      </w:pPr>
    </w:p>
    <w:p w14:paraId="6CB0248D" w14:textId="4D126B4D" w:rsidR="000016E2" w:rsidRPr="00BD22FE" w:rsidRDefault="001353D7" w:rsidP="001353D7">
      <w:pPr>
        <w:keepNext/>
        <w:pBdr>
          <w:top w:val="single" w:sz="4" w:space="1" w:color="auto"/>
          <w:left w:val="single" w:sz="4" w:space="4" w:color="auto"/>
          <w:bottom w:val="single" w:sz="4" w:space="1" w:color="auto"/>
          <w:right w:val="single" w:sz="4" w:space="4" w:color="auto"/>
        </w:pBdr>
        <w:ind w:left="567" w:hanging="567"/>
        <w:rPr>
          <w:b/>
          <w:sz w:val="22"/>
          <w:szCs w:val="22"/>
          <w:lang w:val="pl-PL"/>
        </w:rPr>
      </w:pPr>
      <w:r w:rsidRPr="00BD22FE">
        <w:rPr>
          <w:b/>
          <w:sz w:val="22"/>
          <w:szCs w:val="22"/>
          <w:lang w:val="pl-PL"/>
        </w:rPr>
        <w:t>12.</w:t>
      </w:r>
      <w:r w:rsidRPr="00BD22FE">
        <w:rPr>
          <w:b/>
          <w:sz w:val="22"/>
          <w:szCs w:val="22"/>
          <w:lang w:val="pl-PL"/>
        </w:rPr>
        <w:tab/>
      </w:r>
      <w:r w:rsidR="00104CA8" w:rsidRPr="00BD22FE">
        <w:rPr>
          <w:b/>
          <w:sz w:val="22"/>
          <w:szCs w:val="22"/>
          <w:lang w:val="pl-PL"/>
        </w:rPr>
        <w:t>NUMER POZWOLE</w:t>
      </w:r>
      <w:r w:rsidR="00AF3312" w:rsidRPr="00BD22FE">
        <w:rPr>
          <w:b/>
          <w:sz w:val="22"/>
          <w:szCs w:val="22"/>
          <w:lang w:val="pl-PL"/>
        </w:rPr>
        <w:t>NIA</w:t>
      </w:r>
      <w:r w:rsidR="00104CA8" w:rsidRPr="00BD22FE">
        <w:rPr>
          <w:b/>
          <w:sz w:val="22"/>
          <w:szCs w:val="22"/>
          <w:lang w:val="pl-PL"/>
        </w:rPr>
        <w:t xml:space="preserve"> NA DOPUSZCZENIE DO OBROTU</w:t>
      </w:r>
    </w:p>
    <w:p w14:paraId="3C77270A" w14:textId="77777777" w:rsidR="000016E2" w:rsidRPr="00BD22FE" w:rsidRDefault="000016E2" w:rsidP="001353D7">
      <w:pPr>
        <w:keepNext/>
        <w:jc w:val="both"/>
        <w:rPr>
          <w:sz w:val="22"/>
          <w:szCs w:val="22"/>
          <w:lang w:val="pl-PL"/>
        </w:rPr>
      </w:pPr>
    </w:p>
    <w:p w14:paraId="4221812D" w14:textId="4432FB97" w:rsidR="000016E2" w:rsidRPr="00C53640" w:rsidRDefault="00104CA8" w:rsidP="001353D7">
      <w:pPr>
        <w:ind w:left="1985" w:hanging="1985"/>
        <w:rPr>
          <w:sz w:val="22"/>
          <w:szCs w:val="22"/>
          <w:lang w:val="nb-NO"/>
        </w:rPr>
      </w:pPr>
      <w:r w:rsidRPr="00C53640">
        <w:rPr>
          <w:sz w:val="22"/>
          <w:szCs w:val="22"/>
          <w:lang w:val="nb-NO"/>
        </w:rPr>
        <w:t>EU/1/02/213/001</w:t>
      </w:r>
      <w:r w:rsidRPr="00C53640">
        <w:rPr>
          <w:sz w:val="22"/>
          <w:szCs w:val="22"/>
          <w:lang w:val="nb-NO"/>
        </w:rPr>
        <w:tab/>
        <w:t>14</w:t>
      </w:r>
      <w:r w:rsidR="001353D7" w:rsidRPr="00C53640">
        <w:rPr>
          <w:sz w:val="22"/>
          <w:szCs w:val="22"/>
          <w:lang w:val="nb-NO"/>
        </w:rPr>
        <w:t> </w:t>
      </w:r>
      <w:r w:rsidRPr="00C53640">
        <w:rPr>
          <w:sz w:val="22"/>
          <w:szCs w:val="22"/>
          <w:lang w:val="nb-NO"/>
        </w:rPr>
        <w:t>tabletek</w:t>
      </w:r>
    </w:p>
    <w:p w14:paraId="1A656D52" w14:textId="2CD961BB" w:rsidR="000016E2" w:rsidRPr="00C53640" w:rsidRDefault="00104CA8" w:rsidP="001353D7">
      <w:pPr>
        <w:ind w:left="1985" w:hanging="1985"/>
        <w:rPr>
          <w:sz w:val="22"/>
          <w:szCs w:val="22"/>
          <w:lang w:val="nb-NO"/>
        </w:rPr>
      </w:pPr>
      <w:r w:rsidRPr="00C53640">
        <w:rPr>
          <w:sz w:val="22"/>
          <w:szCs w:val="22"/>
          <w:shd w:val="clear" w:color="auto" w:fill="C0C0C0"/>
          <w:lang w:val="nb-NO"/>
        </w:rPr>
        <w:t>EU/1/02/213/002</w:t>
      </w:r>
      <w:r w:rsidRPr="00C53640">
        <w:rPr>
          <w:sz w:val="22"/>
          <w:szCs w:val="22"/>
          <w:shd w:val="clear" w:color="auto" w:fill="C0C0C0"/>
          <w:lang w:val="nb-NO"/>
        </w:rPr>
        <w:tab/>
        <w:t>28</w:t>
      </w:r>
      <w:r w:rsidR="001353D7" w:rsidRPr="00C53640">
        <w:rPr>
          <w:sz w:val="22"/>
          <w:szCs w:val="22"/>
          <w:shd w:val="clear" w:color="auto" w:fill="C0C0C0"/>
          <w:lang w:val="nb-NO"/>
        </w:rPr>
        <w:t> </w:t>
      </w:r>
      <w:r w:rsidRPr="00C53640">
        <w:rPr>
          <w:sz w:val="22"/>
          <w:szCs w:val="22"/>
          <w:shd w:val="clear" w:color="auto" w:fill="C0C0C0"/>
          <w:lang w:val="nb-NO"/>
        </w:rPr>
        <w:t>tabletek</w:t>
      </w:r>
    </w:p>
    <w:p w14:paraId="23161ED8" w14:textId="56AB4B21" w:rsidR="003A7E3D" w:rsidRPr="00C53640" w:rsidRDefault="00104CA8" w:rsidP="001353D7">
      <w:pPr>
        <w:ind w:left="1985" w:hanging="1985"/>
        <w:rPr>
          <w:sz w:val="22"/>
          <w:szCs w:val="22"/>
          <w:shd w:val="clear" w:color="auto" w:fill="C0C0C0"/>
          <w:lang w:val="nb-NO"/>
        </w:rPr>
      </w:pPr>
      <w:r w:rsidRPr="00C53640">
        <w:rPr>
          <w:sz w:val="22"/>
          <w:szCs w:val="22"/>
          <w:shd w:val="clear" w:color="auto" w:fill="C0C0C0"/>
          <w:lang w:val="nb-NO"/>
        </w:rPr>
        <w:t>EU/1/02/213/003</w:t>
      </w:r>
      <w:r w:rsidRPr="00C53640">
        <w:rPr>
          <w:sz w:val="22"/>
          <w:szCs w:val="22"/>
          <w:shd w:val="clear" w:color="auto" w:fill="C0C0C0"/>
          <w:lang w:val="nb-NO"/>
        </w:rPr>
        <w:tab/>
        <w:t>28</w:t>
      </w:r>
      <w:r w:rsidR="001353D7" w:rsidRPr="00C53640">
        <w:rPr>
          <w:sz w:val="22"/>
          <w:szCs w:val="22"/>
          <w:shd w:val="clear" w:color="auto" w:fill="C0C0C0"/>
          <w:lang w:val="nb-NO"/>
        </w:rPr>
        <w:t> </w:t>
      </w:r>
      <w:r w:rsidR="003F4C93" w:rsidRPr="00C53640">
        <w:rPr>
          <w:sz w:val="22"/>
          <w:shd w:val="clear" w:color="auto" w:fill="C0C0C0"/>
          <w:lang w:val="nb-NO"/>
        </w:rPr>
        <w:t>×</w:t>
      </w:r>
      <w:r w:rsidR="001353D7" w:rsidRPr="00C53640">
        <w:rPr>
          <w:sz w:val="22"/>
          <w:szCs w:val="22"/>
          <w:shd w:val="clear" w:color="auto" w:fill="C0C0C0"/>
          <w:lang w:val="nb-NO"/>
        </w:rPr>
        <w:t> </w:t>
      </w:r>
      <w:r w:rsidRPr="00C53640">
        <w:rPr>
          <w:sz w:val="22"/>
          <w:szCs w:val="22"/>
          <w:shd w:val="clear" w:color="auto" w:fill="C0C0C0"/>
          <w:lang w:val="nb-NO"/>
        </w:rPr>
        <w:t>1</w:t>
      </w:r>
      <w:r w:rsidR="001353D7" w:rsidRPr="00C53640">
        <w:rPr>
          <w:sz w:val="22"/>
          <w:szCs w:val="22"/>
          <w:shd w:val="clear" w:color="auto" w:fill="C0C0C0"/>
          <w:lang w:val="nb-NO"/>
        </w:rPr>
        <w:t> </w:t>
      </w:r>
      <w:r w:rsidRPr="00C53640">
        <w:rPr>
          <w:sz w:val="22"/>
          <w:szCs w:val="22"/>
          <w:shd w:val="clear" w:color="auto" w:fill="C0C0C0"/>
          <w:lang w:val="nb-NO"/>
        </w:rPr>
        <w:t>tabletka</w:t>
      </w:r>
    </w:p>
    <w:p w14:paraId="1AF0910B" w14:textId="046E1459" w:rsidR="000016E2" w:rsidRPr="00C53640" w:rsidRDefault="00104CA8" w:rsidP="001353D7">
      <w:pPr>
        <w:ind w:left="1985" w:hanging="1985"/>
        <w:rPr>
          <w:sz w:val="22"/>
          <w:szCs w:val="22"/>
          <w:lang w:val="nb-NO"/>
        </w:rPr>
      </w:pPr>
      <w:r w:rsidRPr="00C53640">
        <w:rPr>
          <w:sz w:val="22"/>
          <w:szCs w:val="22"/>
          <w:shd w:val="clear" w:color="auto" w:fill="C0C0C0"/>
          <w:lang w:val="nb-NO"/>
        </w:rPr>
        <w:t>EU/1/02/213/013</w:t>
      </w:r>
      <w:r w:rsidRPr="00C53640">
        <w:rPr>
          <w:sz w:val="22"/>
          <w:szCs w:val="22"/>
          <w:shd w:val="clear" w:color="auto" w:fill="C0C0C0"/>
          <w:lang w:val="nb-NO"/>
        </w:rPr>
        <w:tab/>
        <w:t>30</w:t>
      </w:r>
      <w:r w:rsidR="001353D7" w:rsidRPr="00C53640">
        <w:rPr>
          <w:sz w:val="22"/>
          <w:szCs w:val="22"/>
          <w:shd w:val="clear" w:color="auto" w:fill="C0C0C0"/>
          <w:lang w:val="nb-NO"/>
        </w:rPr>
        <w:t> </w:t>
      </w:r>
      <w:r w:rsidR="003F4C93" w:rsidRPr="00C53640">
        <w:rPr>
          <w:sz w:val="22"/>
          <w:shd w:val="clear" w:color="auto" w:fill="C0C0C0"/>
          <w:lang w:val="nb-NO"/>
        </w:rPr>
        <w:t>×</w:t>
      </w:r>
      <w:r w:rsidR="001353D7" w:rsidRPr="00C53640">
        <w:rPr>
          <w:sz w:val="22"/>
          <w:szCs w:val="22"/>
          <w:shd w:val="clear" w:color="auto" w:fill="C0C0C0"/>
          <w:lang w:val="nb-NO"/>
        </w:rPr>
        <w:t> </w:t>
      </w:r>
      <w:r w:rsidRPr="00C53640">
        <w:rPr>
          <w:sz w:val="22"/>
          <w:szCs w:val="22"/>
          <w:shd w:val="clear" w:color="auto" w:fill="C0C0C0"/>
          <w:lang w:val="nb-NO"/>
        </w:rPr>
        <w:t>1</w:t>
      </w:r>
      <w:r w:rsidR="001353D7" w:rsidRPr="00C53640">
        <w:rPr>
          <w:sz w:val="22"/>
          <w:szCs w:val="22"/>
          <w:shd w:val="clear" w:color="auto" w:fill="C0C0C0"/>
          <w:lang w:val="nb-NO"/>
        </w:rPr>
        <w:t> </w:t>
      </w:r>
      <w:r w:rsidRPr="00C53640">
        <w:rPr>
          <w:sz w:val="22"/>
          <w:szCs w:val="22"/>
          <w:shd w:val="clear" w:color="auto" w:fill="C0C0C0"/>
          <w:lang w:val="nb-NO"/>
        </w:rPr>
        <w:t>tabletka</w:t>
      </w:r>
    </w:p>
    <w:p w14:paraId="19F92040" w14:textId="389E4BFE" w:rsidR="000016E2" w:rsidRPr="00C53640" w:rsidRDefault="00104CA8" w:rsidP="001353D7">
      <w:pPr>
        <w:ind w:left="1985" w:hanging="1985"/>
        <w:rPr>
          <w:sz w:val="22"/>
          <w:szCs w:val="22"/>
          <w:lang w:val="nb-NO"/>
        </w:rPr>
      </w:pPr>
      <w:r w:rsidRPr="00C53640">
        <w:rPr>
          <w:sz w:val="22"/>
          <w:szCs w:val="22"/>
          <w:shd w:val="clear" w:color="auto" w:fill="C0C0C0"/>
          <w:lang w:val="nb-NO"/>
        </w:rPr>
        <w:t>EU/1/02/213/004</w:t>
      </w:r>
      <w:r w:rsidRPr="00C53640">
        <w:rPr>
          <w:sz w:val="22"/>
          <w:szCs w:val="22"/>
          <w:shd w:val="clear" w:color="auto" w:fill="C0C0C0"/>
          <w:lang w:val="nb-NO"/>
        </w:rPr>
        <w:tab/>
        <w:t>56</w:t>
      </w:r>
      <w:r w:rsidR="001353D7" w:rsidRPr="00C53640">
        <w:rPr>
          <w:sz w:val="22"/>
          <w:szCs w:val="22"/>
          <w:shd w:val="clear" w:color="auto" w:fill="C0C0C0"/>
          <w:lang w:val="nb-NO"/>
        </w:rPr>
        <w:t> </w:t>
      </w:r>
      <w:r w:rsidRPr="00C53640">
        <w:rPr>
          <w:sz w:val="22"/>
          <w:szCs w:val="22"/>
          <w:shd w:val="clear" w:color="auto" w:fill="C0C0C0"/>
          <w:lang w:val="nb-NO"/>
        </w:rPr>
        <w:t>tabletek</w:t>
      </w:r>
    </w:p>
    <w:p w14:paraId="0556F525" w14:textId="4E36DA46" w:rsidR="000016E2" w:rsidRPr="00C53640" w:rsidRDefault="00104CA8" w:rsidP="001353D7">
      <w:pPr>
        <w:ind w:left="1985" w:hanging="1985"/>
        <w:rPr>
          <w:sz w:val="22"/>
          <w:szCs w:val="22"/>
          <w:lang w:val="nb-NO"/>
        </w:rPr>
      </w:pPr>
      <w:r w:rsidRPr="00C53640">
        <w:rPr>
          <w:sz w:val="22"/>
          <w:szCs w:val="22"/>
          <w:shd w:val="clear" w:color="auto" w:fill="C0C0C0"/>
          <w:lang w:val="nb-NO"/>
        </w:rPr>
        <w:t>EU/1/02/213/011</w:t>
      </w:r>
      <w:r w:rsidRPr="00C53640">
        <w:rPr>
          <w:sz w:val="22"/>
          <w:szCs w:val="22"/>
          <w:shd w:val="clear" w:color="auto" w:fill="C0C0C0"/>
          <w:lang w:val="nb-NO"/>
        </w:rPr>
        <w:tab/>
        <w:t>84</w:t>
      </w:r>
      <w:r w:rsidR="001353D7" w:rsidRPr="00C53640">
        <w:rPr>
          <w:sz w:val="22"/>
          <w:szCs w:val="22"/>
          <w:shd w:val="clear" w:color="auto" w:fill="C0C0C0"/>
          <w:lang w:val="nb-NO"/>
        </w:rPr>
        <w:t> </w:t>
      </w:r>
      <w:r w:rsidRPr="00C53640">
        <w:rPr>
          <w:sz w:val="22"/>
          <w:szCs w:val="22"/>
          <w:shd w:val="clear" w:color="auto" w:fill="C0C0C0"/>
          <w:lang w:val="nb-NO"/>
        </w:rPr>
        <w:t>tabletki</w:t>
      </w:r>
    </w:p>
    <w:p w14:paraId="74074143" w14:textId="0E0F4844" w:rsidR="000016E2" w:rsidRPr="00C53640" w:rsidRDefault="00104CA8" w:rsidP="001353D7">
      <w:pPr>
        <w:ind w:left="1985" w:hanging="1985"/>
        <w:rPr>
          <w:sz w:val="22"/>
          <w:szCs w:val="22"/>
          <w:shd w:val="clear" w:color="auto" w:fill="C0C0C0"/>
          <w:lang w:val="nb-NO"/>
        </w:rPr>
      </w:pPr>
      <w:r w:rsidRPr="00C53640">
        <w:rPr>
          <w:sz w:val="22"/>
          <w:szCs w:val="22"/>
          <w:shd w:val="clear" w:color="auto" w:fill="C0C0C0"/>
          <w:lang w:val="nb-NO"/>
        </w:rPr>
        <w:t>EU/1/02/213/014</w:t>
      </w:r>
      <w:r w:rsidRPr="00C53640">
        <w:rPr>
          <w:sz w:val="22"/>
          <w:szCs w:val="22"/>
          <w:shd w:val="clear" w:color="auto" w:fill="C0C0C0"/>
          <w:lang w:val="nb-NO"/>
        </w:rPr>
        <w:tab/>
        <w:t>90</w:t>
      </w:r>
      <w:r w:rsidR="001353D7" w:rsidRPr="00C53640">
        <w:rPr>
          <w:sz w:val="22"/>
          <w:szCs w:val="22"/>
          <w:shd w:val="clear" w:color="auto" w:fill="C0C0C0"/>
          <w:lang w:val="nb-NO"/>
        </w:rPr>
        <w:t> </w:t>
      </w:r>
      <w:r w:rsidR="003F4C93" w:rsidRPr="00C53640">
        <w:rPr>
          <w:sz w:val="22"/>
          <w:shd w:val="clear" w:color="auto" w:fill="C0C0C0"/>
          <w:lang w:val="nb-NO"/>
        </w:rPr>
        <w:t>×</w:t>
      </w:r>
      <w:r w:rsidR="001353D7" w:rsidRPr="00C53640">
        <w:rPr>
          <w:sz w:val="22"/>
          <w:szCs w:val="22"/>
          <w:shd w:val="clear" w:color="auto" w:fill="C0C0C0"/>
          <w:lang w:val="nb-NO"/>
        </w:rPr>
        <w:t> </w:t>
      </w:r>
      <w:r w:rsidRPr="00C53640">
        <w:rPr>
          <w:sz w:val="22"/>
          <w:szCs w:val="22"/>
          <w:shd w:val="clear" w:color="auto" w:fill="C0C0C0"/>
          <w:lang w:val="nb-NO"/>
        </w:rPr>
        <w:t>1</w:t>
      </w:r>
      <w:r w:rsidR="001353D7" w:rsidRPr="00C53640">
        <w:rPr>
          <w:sz w:val="22"/>
          <w:szCs w:val="22"/>
          <w:shd w:val="clear" w:color="auto" w:fill="C0C0C0"/>
          <w:lang w:val="nb-NO"/>
        </w:rPr>
        <w:t> </w:t>
      </w:r>
      <w:r w:rsidRPr="00C53640">
        <w:rPr>
          <w:sz w:val="22"/>
          <w:szCs w:val="22"/>
          <w:shd w:val="clear" w:color="auto" w:fill="C0C0C0"/>
          <w:lang w:val="nb-NO"/>
        </w:rPr>
        <w:t>tabletka</w:t>
      </w:r>
    </w:p>
    <w:p w14:paraId="555FA9B7" w14:textId="35715443" w:rsidR="000016E2" w:rsidRPr="00BD22FE" w:rsidRDefault="00104CA8" w:rsidP="001353D7">
      <w:pPr>
        <w:ind w:left="1985" w:hanging="1985"/>
        <w:rPr>
          <w:sz w:val="22"/>
          <w:szCs w:val="22"/>
          <w:lang w:val="pl-PL"/>
        </w:rPr>
      </w:pPr>
      <w:r w:rsidRPr="00BD22FE">
        <w:rPr>
          <w:sz w:val="22"/>
          <w:szCs w:val="22"/>
          <w:shd w:val="clear" w:color="auto" w:fill="C0C0C0"/>
          <w:lang w:val="pl-PL"/>
        </w:rPr>
        <w:t>EU/1/02/213/005</w:t>
      </w:r>
      <w:r w:rsidRPr="00BD22FE">
        <w:rPr>
          <w:sz w:val="22"/>
          <w:szCs w:val="22"/>
          <w:shd w:val="clear" w:color="auto" w:fill="C0C0C0"/>
          <w:lang w:val="pl-PL"/>
        </w:rPr>
        <w:tab/>
        <w:t>98</w:t>
      </w:r>
      <w:r w:rsidR="001353D7" w:rsidRPr="00BD22FE">
        <w:rPr>
          <w:sz w:val="22"/>
          <w:szCs w:val="22"/>
          <w:shd w:val="clear" w:color="auto" w:fill="C0C0C0"/>
          <w:lang w:val="pl-PL"/>
        </w:rPr>
        <w:t> </w:t>
      </w:r>
      <w:r w:rsidRPr="00BD22FE">
        <w:rPr>
          <w:sz w:val="22"/>
          <w:szCs w:val="22"/>
          <w:shd w:val="clear" w:color="auto" w:fill="C0C0C0"/>
          <w:lang w:val="pl-PL"/>
        </w:rPr>
        <w:t>tabletek</w:t>
      </w:r>
    </w:p>
    <w:p w14:paraId="51FEAD6B" w14:textId="77777777" w:rsidR="000016E2" w:rsidRPr="00BD22FE" w:rsidRDefault="000016E2" w:rsidP="00941FBF">
      <w:pPr>
        <w:jc w:val="both"/>
        <w:rPr>
          <w:sz w:val="22"/>
          <w:szCs w:val="22"/>
          <w:lang w:val="pl-PL"/>
        </w:rPr>
      </w:pPr>
    </w:p>
    <w:p w14:paraId="324FB6D7" w14:textId="77777777" w:rsidR="000016E2" w:rsidRPr="00BD22FE" w:rsidRDefault="000016E2" w:rsidP="00941FBF">
      <w:pPr>
        <w:jc w:val="both"/>
        <w:rPr>
          <w:sz w:val="22"/>
          <w:szCs w:val="22"/>
          <w:lang w:val="pl-PL"/>
        </w:rPr>
      </w:pPr>
    </w:p>
    <w:p w14:paraId="37262F32" w14:textId="5683B276" w:rsidR="000016E2" w:rsidRPr="00BD22FE" w:rsidRDefault="001353D7" w:rsidP="001353D7">
      <w:pPr>
        <w:keepNext/>
        <w:pBdr>
          <w:top w:val="single" w:sz="4" w:space="1" w:color="auto"/>
          <w:left w:val="single" w:sz="4" w:space="4" w:color="auto"/>
          <w:bottom w:val="single" w:sz="4" w:space="1" w:color="auto"/>
          <w:right w:val="single" w:sz="4" w:space="4" w:color="auto"/>
        </w:pBdr>
        <w:ind w:left="567" w:hanging="567"/>
        <w:rPr>
          <w:b/>
          <w:sz w:val="22"/>
          <w:szCs w:val="22"/>
          <w:lang w:val="pl-PL"/>
        </w:rPr>
      </w:pPr>
      <w:r w:rsidRPr="00BD22FE">
        <w:rPr>
          <w:b/>
          <w:sz w:val="22"/>
          <w:szCs w:val="22"/>
          <w:lang w:val="pl-PL"/>
        </w:rPr>
        <w:t>13.</w:t>
      </w:r>
      <w:r w:rsidRPr="00BD22FE">
        <w:rPr>
          <w:b/>
          <w:sz w:val="22"/>
          <w:szCs w:val="22"/>
          <w:lang w:val="pl-PL"/>
        </w:rPr>
        <w:tab/>
      </w:r>
      <w:r w:rsidR="00104CA8" w:rsidRPr="00BD22FE">
        <w:rPr>
          <w:b/>
          <w:sz w:val="22"/>
          <w:szCs w:val="22"/>
          <w:lang w:val="pl-PL"/>
        </w:rPr>
        <w:t>NUMER SERII</w:t>
      </w:r>
    </w:p>
    <w:p w14:paraId="4EED69E1" w14:textId="77777777" w:rsidR="000016E2" w:rsidRPr="00BD22FE" w:rsidRDefault="000016E2" w:rsidP="001353D7">
      <w:pPr>
        <w:keepNext/>
        <w:jc w:val="both"/>
        <w:rPr>
          <w:sz w:val="22"/>
          <w:szCs w:val="22"/>
          <w:lang w:val="pl-PL"/>
        </w:rPr>
      </w:pPr>
    </w:p>
    <w:p w14:paraId="6E8585FB" w14:textId="4B97148F" w:rsidR="003A7E3D" w:rsidRPr="00BD22FE" w:rsidRDefault="00104CA8" w:rsidP="00941FBF">
      <w:pPr>
        <w:rPr>
          <w:sz w:val="22"/>
          <w:szCs w:val="22"/>
          <w:lang w:val="pl-PL"/>
        </w:rPr>
      </w:pPr>
      <w:r w:rsidRPr="00BD22FE">
        <w:rPr>
          <w:sz w:val="22"/>
          <w:szCs w:val="22"/>
          <w:lang w:val="pl-PL"/>
        </w:rPr>
        <w:t>Nr serii:</w:t>
      </w:r>
    </w:p>
    <w:p w14:paraId="7ADC194C" w14:textId="22A9FE17" w:rsidR="000016E2" w:rsidRPr="00BD22FE" w:rsidRDefault="000016E2" w:rsidP="00941FBF">
      <w:pPr>
        <w:jc w:val="both"/>
        <w:rPr>
          <w:sz w:val="22"/>
          <w:szCs w:val="22"/>
          <w:lang w:val="pl-PL"/>
        </w:rPr>
      </w:pPr>
    </w:p>
    <w:p w14:paraId="68C36793" w14:textId="77777777" w:rsidR="000016E2" w:rsidRPr="00BD22FE" w:rsidRDefault="000016E2" w:rsidP="00941FBF">
      <w:pPr>
        <w:jc w:val="both"/>
        <w:rPr>
          <w:sz w:val="22"/>
          <w:szCs w:val="22"/>
          <w:lang w:val="pl-PL"/>
        </w:rPr>
      </w:pPr>
    </w:p>
    <w:p w14:paraId="2B69730E" w14:textId="32BB3D76" w:rsidR="000016E2" w:rsidRPr="00BD22FE" w:rsidRDefault="001353D7" w:rsidP="001353D7">
      <w:pPr>
        <w:keepNext/>
        <w:pBdr>
          <w:top w:val="single" w:sz="4" w:space="1" w:color="auto"/>
          <w:left w:val="single" w:sz="4" w:space="4" w:color="auto"/>
          <w:bottom w:val="single" w:sz="4" w:space="1" w:color="auto"/>
          <w:right w:val="single" w:sz="4" w:space="4" w:color="auto"/>
        </w:pBdr>
        <w:ind w:left="567" w:hanging="567"/>
        <w:rPr>
          <w:b/>
          <w:sz w:val="22"/>
          <w:szCs w:val="22"/>
          <w:lang w:val="pl-PL"/>
        </w:rPr>
      </w:pPr>
      <w:r w:rsidRPr="00BD22FE">
        <w:rPr>
          <w:b/>
          <w:sz w:val="22"/>
          <w:szCs w:val="22"/>
          <w:lang w:val="pl-PL"/>
        </w:rPr>
        <w:t>14.</w:t>
      </w:r>
      <w:r w:rsidRPr="00BD22FE">
        <w:rPr>
          <w:b/>
          <w:sz w:val="22"/>
          <w:szCs w:val="22"/>
          <w:lang w:val="pl-PL"/>
        </w:rPr>
        <w:tab/>
      </w:r>
      <w:r w:rsidR="00104CA8" w:rsidRPr="00BD22FE">
        <w:rPr>
          <w:b/>
          <w:sz w:val="22"/>
          <w:szCs w:val="22"/>
          <w:lang w:val="pl-PL"/>
        </w:rPr>
        <w:t>OGÓLNA KATEGORIA DOSTĘPNOŚCI</w:t>
      </w:r>
    </w:p>
    <w:p w14:paraId="076FB535" w14:textId="77777777" w:rsidR="000016E2" w:rsidRPr="00BD22FE" w:rsidRDefault="000016E2" w:rsidP="001353D7">
      <w:pPr>
        <w:keepNext/>
        <w:jc w:val="both"/>
        <w:rPr>
          <w:sz w:val="22"/>
          <w:szCs w:val="22"/>
          <w:lang w:val="pl-PL"/>
        </w:rPr>
      </w:pPr>
    </w:p>
    <w:p w14:paraId="638772EA" w14:textId="77777777" w:rsidR="000016E2" w:rsidRPr="00BD22FE" w:rsidRDefault="000016E2" w:rsidP="00941FBF">
      <w:pPr>
        <w:jc w:val="both"/>
        <w:rPr>
          <w:sz w:val="22"/>
          <w:szCs w:val="22"/>
          <w:lang w:val="pl-PL"/>
        </w:rPr>
      </w:pPr>
    </w:p>
    <w:p w14:paraId="5E5071D8" w14:textId="69BBAA16" w:rsidR="000016E2" w:rsidRPr="00BD22FE" w:rsidRDefault="001353D7" w:rsidP="001353D7">
      <w:pPr>
        <w:keepNext/>
        <w:pBdr>
          <w:top w:val="single" w:sz="4" w:space="1" w:color="auto"/>
          <w:left w:val="single" w:sz="4" w:space="4" w:color="auto"/>
          <w:bottom w:val="single" w:sz="4" w:space="1" w:color="auto"/>
          <w:right w:val="single" w:sz="4" w:space="4" w:color="auto"/>
        </w:pBdr>
        <w:ind w:left="567" w:hanging="567"/>
        <w:rPr>
          <w:b/>
          <w:sz w:val="22"/>
          <w:szCs w:val="22"/>
          <w:lang w:val="pl-PL"/>
        </w:rPr>
      </w:pPr>
      <w:r w:rsidRPr="00BD22FE">
        <w:rPr>
          <w:b/>
          <w:sz w:val="22"/>
          <w:szCs w:val="22"/>
          <w:lang w:val="pl-PL"/>
        </w:rPr>
        <w:t>15.</w:t>
      </w:r>
      <w:r w:rsidRPr="00BD22FE">
        <w:rPr>
          <w:b/>
          <w:sz w:val="22"/>
          <w:szCs w:val="22"/>
          <w:lang w:val="pl-PL"/>
        </w:rPr>
        <w:tab/>
      </w:r>
      <w:r w:rsidR="00104CA8" w:rsidRPr="00BD22FE">
        <w:rPr>
          <w:b/>
          <w:sz w:val="22"/>
          <w:szCs w:val="22"/>
          <w:lang w:val="pl-PL"/>
        </w:rPr>
        <w:t>INSTRUKCJA UŻYCIA</w:t>
      </w:r>
    </w:p>
    <w:p w14:paraId="4F2C4874" w14:textId="77777777" w:rsidR="000016E2" w:rsidRPr="00BD22FE" w:rsidRDefault="000016E2" w:rsidP="001353D7">
      <w:pPr>
        <w:keepNext/>
        <w:jc w:val="both"/>
        <w:rPr>
          <w:sz w:val="22"/>
          <w:szCs w:val="22"/>
          <w:lang w:val="pl-PL"/>
        </w:rPr>
      </w:pPr>
    </w:p>
    <w:p w14:paraId="70E473F0" w14:textId="77777777" w:rsidR="000016E2" w:rsidRPr="00BD22FE" w:rsidRDefault="000016E2" w:rsidP="00941FBF">
      <w:pPr>
        <w:jc w:val="both"/>
        <w:rPr>
          <w:sz w:val="22"/>
          <w:szCs w:val="22"/>
          <w:lang w:val="pl-PL"/>
        </w:rPr>
      </w:pPr>
    </w:p>
    <w:p w14:paraId="0740AA50" w14:textId="7652CCF9" w:rsidR="000016E2" w:rsidRPr="00BD22FE" w:rsidRDefault="001353D7" w:rsidP="001353D7">
      <w:pPr>
        <w:keepNext/>
        <w:pBdr>
          <w:top w:val="single" w:sz="4" w:space="1" w:color="auto"/>
          <w:left w:val="single" w:sz="4" w:space="4" w:color="auto"/>
          <w:bottom w:val="single" w:sz="4" w:space="1" w:color="auto"/>
          <w:right w:val="single" w:sz="4" w:space="4" w:color="auto"/>
        </w:pBdr>
        <w:ind w:left="567" w:hanging="567"/>
        <w:rPr>
          <w:b/>
          <w:sz w:val="22"/>
          <w:szCs w:val="22"/>
          <w:lang w:val="pl-PL"/>
        </w:rPr>
      </w:pPr>
      <w:r w:rsidRPr="00BD22FE">
        <w:rPr>
          <w:b/>
          <w:sz w:val="22"/>
          <w:szCs w:val="22"/>
          <w:lang w:val="pl-PL"/>
        </w:rPr>
        <w:t>16.</w:t>
      </w:r>
      <w:r w:rsidRPr="00BD22FE">
        <w:rPr>
          <w:b/>
          <w:sz w:val="22"/>
          <w:szCs w:val="22"/>
          <w:lang w:val="pl-PL"/>
        </w:rPr>
        <w:tab/>
      </w:r>
      <w:r w:rsidR="00104CA8" w:rsidRPr="00BD22FE">
        <w:rPr>
          <w:b/>
          <w:sz w:val="22"/>
          <w:szCs w:val="22"/>
          <w:lang w:val="pl-PL"/>
        </w:rPr>
        <w:t>INFORMACJA PODANA SYSTEMEM BRAILLE’A</w:t>
      </w:r>
    </w:p>
    <w:p w14:paraId="56D276BC" w14:textId="77777777" w:rsidR="000016E2" w:rsidRPr="00BD22FE" w:rsidRDefault="000016E2" w:rsidP="00941FBF">
      <w:pPr>
        <w:keepNext/>
        <w:jc w:val="both"/>
        <w:rPr>
          <w:sz w:val="22"/>
          <w:szCs w:val="22"/>
          <w:lang w:val="pl-PL"/>
        </w:rPr>
      </w:pPr>
    </w:p>
    <w:p w14:paraId="6321E290" w14:textId="77777777" w:rsidR="000016E2" w:rsidRPr="00BD22FE" w:rsidRDefault="00104CA8" w:rsidP="00941FBF">
      <w:pPr>
        <w:rPr>
          <w:sz w:val="22"/>
          <w:szCs w:val="22"/>
          <w:lang w:val="pl-PL"/>
        </w:rPr>
      </w:pPr>
      <w:r w:rsidRPr="00BD22FE">
        <w:rPr>
          <w:sz w:val="22"/>
          <w:szCs w:val="22"/>
          <w:lang w:val="pl-PL"/>
        </w:rPr>
        <w:t>MicardisPlus 40 mg/12,5 mg</w:t>
      </w:r>
    </w:p>
    <w:p w14:paraId="25FD871B" w14:textId="77777777" w:rsidR="000016E2" w:rsidRPr="00BD22FE" w:rsidRDefault="000016E2" w:rsidP="00941FBF">
      <w:pPr>
        <w:jc w:val="both"/>
        <w:rPr>
          <w:sz w:val="22"/>
          <w:szCs w:val="22"/>
          <w:lang w:val="pl-PL"/>
        </w:rPr>
      </w:pPr>
    </w:p>
    <w:p w14:paraId="0A34D3A7" w14:textId="77777777" w:rsidR="000016E2" w:rsidRPr="00BD22FE" w:rsidRDefault="000016E2" w:rsidP="00941FBF">
      <w:pPr>
        <w:jc w:val="both"/>
        <w:rPr>
          <w:sz w:val="22"/>
          <w:szCs w:val="22"/>
          <w:lang w:val="pl-PL"/>
        </w:rPr>
      </w:pPr>
    </w:p>
    <w:p w14:paraId="27A87407" w14:textId="3A818131" w:rsidR="000016E2" w:rsidRPr="00BD22FE" w:rsidRDefault="00104CA8" w:rsidP="001353D7">
      <w:pPr>
        <w:keepNext/>
        <w:pBdr>
          <w:top w:val="single" w:sz="4" w:space="1" w:color="auto"/>
          <w:left w:val="single" w:sz="4" w:space="4" w:color="auto"/>
          <w:bottom w:val="single" w:sz="4" w:space="1" w:color="auto"/>
          <w:right w:val="single" w:sz="4" w:space="4" w:color="auto"/>
        </w:pBdr>
        <w:ind w:left="567" w:hanging="567"/>
        <w:rPr>
          <w:b/>
          <w:bCs/>
          <w:sz w:val="22"/>
          <w:szCs w:val="22"/>
          <w:lang w:val="pl-PL"/>
        </w:rPr>
      </w:pPr>
      <w:r w:rsidRPr="00BD22FE">
        <w:rPr>
          <w:b/>
          <w:bCs/>
          <w:sz w:val="22"/>
          <w:szCs w:val="22"/>
          <w:lang w:val="pl-PL"/>
        </w:rPr>
        <w:t>17.</w:t>
      </w:r>
      <w:r w:rsidRPr="00BD22FE">
        <w:rPr>
          <w:b/>
          <w:bCs/>
          <w:sz w:val="22"/>
          <w:szCs w:val="22"/>
          <w:lang w:val="pl-PL"/>
        </w:rPr>
        <w:tab/>
        <w:t>NIEPOWTARZALNY IDENTYFIKATOR – KOD 2D</w:t>
      </w:r>
    </w:p>
    <w:p w14:paraId="0477F987" w14:textId="77777777" w:rsidR="000016E2" w:rsidRPr="00BD22FE" w:rsidRDefault="000016E2" w:rsidP="00941FBF">
      <w:pPr>
        <w:keepNext/>
        <w:jc w:val="both"/>
        <w:rPr>
          <w:sz w:val="22"/>
          <w:szCs w:val="22"/>
          <w:lang w:val="pl-PL"/>
        </w:rPr>
      </w:pPr>
    </w:p>
    <w:p w14:paraId="09AC6060" w14:textId="77777777" w:rsidR="000016E2" w:rsidRPr="00BD22FE" w:rsidRDefault="00104CA8" w:rsidP="00941FBF">
      <w:pPr>
        <w:jc w:val="both"/>
        <w:rPr>
          <w:sz w:val="22"/>
          <w:szCs w:val="22"/>
          <w:lang w:val="pl-PL"/>
        </w:rPr>
      </w:pPr>
      <w:r w:rsidRPr="00BD22FE">
        <w:rPr>
          <w:sz w:val="22"/>
          <w:highlight w:val="lightGray"/>
          <w:lang w:val="pl-PL"/>
        </w:rPr>
        <w:t>Obejmuje kod 2D będący nośnikiem niepowtarzalnego identyfikatora.</w:t>
      </w:r>
    </w:p>
    <w:p w14:paraId="34F9FC6C" w14:textId="77777777" w:rsidR="000016E2" w:rsidRPr="00BD22FE" w:rsidRDefault="000016E2" w:rsidP="00941FBF">
      <w:pPr>
        <w:jc w:val="both"/>
        <w:rPr>
          <w:sz w:val="22"/>
          <w:szCs w:val="22"/>
          <w:lang w:val="pl-PL"/>
        </w:rPr>
      </w:pPr>
    </w:p>
    <w:p w14:paraId="755581E4" w14:textId="77777777" w:rsidR="000016E2" w:rsidRPr="00BD22FE" w:rsidRDefault="000016E2" w:rsidP="00941FBF">
      <w:pPr>
        <w:jc w:val="both"/>
        <w:rPr>
          <w:sz w:val="22"/>
          <w:szCs w:val="22"/>
          <w:lang w:val="pl-PL"/>
        </w:rPr>
      </w:pPr>
    </w:p>
    <w:p w14:paraId="6C64ECAE" w14:textId="1545FFCF" w:rsidR="000016E2" w:rsidRPr="00BD22FE" w:rsidRDefault="00104CA8" w:rsidP="001353D7">
      <w:pPr>
        <w:keepNext/>
        <w:pBdr>
          <w:top w:val="single" w:sz="4" w:space="1" w:color="auto"/>
          <w:left w:val="single" w:sz="4" w:space="4" w:color="auto"/>
          <w:bottom w:val="single" w:sz="4" w:space="1" w:color="auto"/>
          <w:right w:val="single" w:sz="4" w:space="4" w:color="auto"/>
        </w:pBdr>
        <w:ind w:left="567" w:hanging="567"/>
        <w:rPr>
          <w:b/>
          <w:sz w:val="22"/>
          <w:szCs w:val="22"/>
          <w:lang w:val="pl-PL"/>
        </w:rPr>
      </w:pPr>
      <w:r w:rsidRPr="00BD22FE">
        <w:rPr>
          <w:b/>
          <w:sz w:val="22"/>
          <w:szCs w:val="22"/>
          <w:lang w:val="pl-PL"/>
        </w:rPr>
        <w:lastRenderedPageBreak/>
        <w:t>18.</w:t>
      </w:r>
      <w:r w:rsidRPr="00BD22FE">
        <w:rPr>
          <w:b/>
          <w:sz w:val="22"/>
          <w:szCs w:val="22"/>
          <w:lang w:val="pl-PL"/>
        </w:rPr>
        <w:tab/>
        <w:t>NIEPOWTARZALNY IDENTYFIKATOR – DANE CZYTELNE DLA CZŁOWIEKA</w:t>
      </w:r>
    </w:p>
    <w:p w14:paraId="76D8BBEE" w14:textId="77777777" w:rsidR="000016E2" w:rsidRPr="00BD22FE" w:rsidRDefault="000016E2" w:rsidP="001353D7">
      <w:pPr>
        <w:keepNext/>
        <w:jc w:val="both"/>
        <w:rPr>
          <w:sz w:val="22"/>
          <w:szCs w:val="22"/>
          <w:lang w:val="pl-PL"/>
        </w:rPr>
      </w:pPr>
    </w:p>
    <w:p w14:paraId="73AE88E0" w14:textId="397354DB" w:rsidR="000016E2" w:rsidRPr="00BD22FE" w:rsidRDefault="00104CA8" w:rsidP="001353D7">
      <w:pPr>
        <w:keepNext/>
        <w:rPr>
          <w:sz w:val="22"/>
          <w:szCs w:val="22"/>
          <w:lang w:val="pl-PL"/>
        </w:rPr>
      </w:pPr>
      <w:r w:rsidRPr="00BD22FE">
        <w:rPr>
          <w:sz w:val="22"/>
          <w:szCs w:val="22"/>
          <w:lang w:val="pl-PL"/>
        </w:rPr>
        <w:t>PC</w:t>
      </w:r>
    </w:p>
    <w:p w14:paraId="09C5FD7A" w14:textId="188B394A" w:rsidR="000016E2" w:rsidRPr="00BD22FE" w:rsidRDefault="00104CA8" w:rsidP="00941FBF">
      <w:pPr>
        <w:rPr>
          <w:sz w:val="22"/>
          <w:szCs w:val="22"/>
          <w:lang w:val="pl-PL"/>
        </w:rPr>
      </w:pPr>
      <w:r w:rsidRPr="00BD22FE">
        <w:rPr>
          <w:sz w:val="22"/>
          <w:szCs w:val="22"/>
          <w:lang w:val="pl-PL"/>
        </w:rPr>
        <w:t>SN</w:t>
      </w:r>
    </w:p>
    <w:p w14:paraId="0B99EDCA" w14:textId="1483AB88" w:rsidR="000016E2" w:rsidRPr="00BD22FE" w:rsidRDefault="00104CA8" w:rsidP="00941FBF">
      <w:pPr>
        <w:rPr>
          <w:sz w:val="22"/>
          <w:szCs w:val="22"/>
          <w:lang w:val="pl-PL"/>
        </w:rPr>
      </w:pPr>
      <w:r w:rsidRPr="00BD22FE">
        <w:rPr>
          <w:sz w:val="22"/>
          <w:szCs w:val="22"/>
          <w:highlight w:val="lightGray"/>
          <w:lang w:val="pl-PL"/>
        </w:rPr>
        <w:t>NN</w:t>
      </w:r>
    </w:p>
    <w:p w14:paraId="2B442844" w14:textId="77777777" w:rsidR="000016E2" w:rsidRPr="00BD22FE" w:rsidRDefault="000016E2" w:rsidP="00941FBF">
      <w:pPr>
        <w:rPr>
          <w:sz w:val="22"/>
          <w:szCs w:val="22"/>
          <w:lang w:val="pl-PL"/>
        </w:rPr>
      </w:pPr>
    </w:p>
    <w:p w14:paraId="70C96FEC" w14:textId="77777777" w:rsidR="000016E2" w:rsidRPr="00BD22FE" w:rsidRDefault="000016E2" w:rsidP="00941FBF">
      <w:pPr>
        <w:rPr>
          <w:sz w:val="22"/>
          <w:szCs w:val="22"/>
          <w:lang w:val="pl-PL"/>
        </w:rPr>
      </w:pPr>
    </w:p>
    <w:p w14:paraId="7AD7ABEA" w14:textId="77777777" w:rsidR="000016E2" w:rsidRPr="00BD22FE" w:rsidRDefault="00104CA8" w:rsidP="00941FBF">
      <w:pPr>
        <w:jc w:val="both"/>
        <w:rPr>
          <w:sz w:val="22"/>
          <w:szCs w:val="22"/>
          <w:lang w:val="pl-PL"/>
        </w:rPr>
      </w:pPr>
      <w:r w:rsidRPr="00BD22FE">
        <w:rPr>
          <w:sz w:val="22"/>
          <w:szCs w:val="22"/>
          <w:lang w:val="pl-PL"/>
        </w:rPr>
        <w:br w:type="page"/>
      </w:r>
    </w:p>
    <w:p w14:paraId="3EEB2186" w14:textId="77777777" w:rsidR="000016E2" w:rsidRPr="00BD22FE" w:rsidRDefault="00104CA8" w:rsidP="00941FBF">
      <w:pPr>
        <w:pBdr>
          <w:top w:val="single" w:sz="4" w:space="1" w:color="auto"/>
          <w:left w:val="single" w:sz="4" w:space="6" w:color="auto"/>
          <w:bottom w:val="single" w:sz="4" w:space="1" w:color="auto"/>
          <w:right w:val="single" w:sz="4" w:space="4" w:color="auto"/>
        </w:pBdr>
        <w:rPr>
          <w:b/>
          <w:sz w:val="22"/>
          <w:szCs w:val="22"/>
          <w:lang w:val="pl-PL"/>
        </w:rPr>
      </w:pPr>
      <w:r w:rsidRPr="00BD22FE">
        <w:rPr>
          <w:b/>
          <w:sz w:val="22"/>
          <w:szCs w:val="22"/>
          <w:lang w:val="pl-PL"/>
        </w:rPr>
        <w:lastRenderedPageBreak/>
        <w:t>MINIMUM INFORMACJI ZAMIESZCZANYCH NA BLISTRACH LUB OPAKOWANIACH FOLIOWYCH</w:t>
      </w:r>
    </w:p>
    <w:p w14:paraId="5D71F2B6" w14:textId="77777777" w:rsidR="000016E2" w:rsidRPr="00BD22FE" w:rsidRDefault="000016E2" w:rsidP="00941FBF">
      <w:pPr>
        <w:pBdr>
          <w:top w:val="single" w:sz="4" w:space="1" w:color="auto"/>
          <w:left w:val="single" w:sz="4" w:space="6" w:color="auto"/>
          <w:bottom w:val="single" w:sz="4" w:space="1" w:color="auto"/>
          <w:right w:val="single" w:sz="4" w:space="4" w:color="auto"/>
        </w:pBdr>
        <w:rPr>
          <w:sz w:val="22"/>
          <w:szCs w:val="22"/>
          <w:lang w:val="pl-PL"/>
        </w:rPr>
      </w:pPr>
    </w:p>
    <w:p w14:paraId="77791292" w14:textId="7465D635" w:rsidR="000016E2" w:rsidRPr="00BD22FE" w:rsidRDefault="00104CA8" w:rsidP="00941FBF">
      <w:pPr>
        <w:pBdr>
          <w:top w:val="single" w:sz="4" w:space="1" w:color="auto"/>
          <w:left w:val="single" w:sz="4" w:space="6" w:color="auto"/>
          <w:bottom w:val="single" w:sz="4" w:space="1" w:color="auto"/>
          <w:right w:val="single" w:sz="4" w:space="4" w:color="auto"/>
        </w:pBdr>
        <w:rPr>
          <w:b/>
          <w:bCs/>
          <w:sz w:val="22"/>
          <w:szCs w:val="22"/>
          <w:lang w:val="pl-PL"/>
        </w:rPr>
      </w:pPr>
      <w:r w:rsidRPr="00BD22FE">
        <w:rPr>
          <w:b/>
          <w:bCs/>
          <w:sz w:val="22"/>
          <w:szCs w:val="22"/>
          <w:lang w:val="pl-PL"/>
        </w:rPr>
        <w:t>Blister z</w:t>
      </w:r>
      <w:r w:rsidR="00717A7B" w:rsidRPr="00BD22FE">
        <w:rPr>
          <w:b/>
          <w:bCs/>
          <w:sz w:val="22"/>
          <w:szCs w:val="22"/>
          <w:lang w:val="pl-PL"/>
        </w:rPr>
        <w:t> </w:t>
      </w:r>
      <w:r w:rsidRPr="00BD22FE">
        <w:rPr>
          <w:b/>
          <w:bCs/>
          <w:sz w:val="22"/>
          <w:szCs w:val="22"/>
          <w:lang w:val="pl-PL"/>
        </w:rPr>
        <w:t>7 tabletkami</w:t>
      </w:r>
    </w:p>
    <w:p w14:paraId="7ACA5ECD" w14:textId="77777777" w:rsidR="000016E2" w:rsidRPr="00BD22FE" w:rsidRDefault="000016E2" w:rsidP="00941FBF">
      <w:pPr>
        <w:jc w:val="both"/>
        <w:rPr>
          <w:sz w:val="22"/>
          <w:szCs w:val="22"/>
          <w:lang w:val="pl-PL"/>
        </w:rPr>
      </w:pPr>
    </w:p>
    <w:p w14:paraId="40A3D0BD" w14:textId="77777777" w:rsidR="000016E2" w:rsidRPr="00BD22FE" w:rsidRDefault="000016E2" w:rsidP="00941FBF">
      <w:pPr>
        <w:jc w:val="both"/>
        <w:rPr>
          <w:sz w:val="22"/>
          <w:szCs w:val="22"/>
          <w:lang w:val="pl-PL"/>
        </w:rPr>
      </w:pPr>
    </w:p>
    <w:p w14:paraId="678BBCA6" w14:textId="77777777" w:rsidR="000016E2" w:rsidRPr="00BD22FE" w:rsidRDefault="00104CA8" w:rsidP="005E756D">
      <w:pPr>
        <w:keepNext/>
        <w:pBdr>
          <w:top w:val="single" w:sz="4" w:space="1" w:color="auto"/>
          <w:left w:val="single" w:sz="4" w:space="4" w:color="auto"/>
          <w:bottom w:val="single" w:sz="4" w:space="1" w:color="auto"/>
          <w:right w:val="single" w:sz="4" w:space="4" w:color="auto"/>
        </w:pBdr>
        <w:ind w:left="567" w:hanging="567"/>
        <w:rPr>
          <w:b/>
          <w:sz w:val="22"/>
          <w:szCs w:val="22"/>
          <w:lang w:val="pl-PL"/>
        </w:rPr>
      </w:pPr>
      <w:r w:rsidRPr="00BD22FE">
        <w:rPr>
          <w:b/>
          <w:sz w:val="22"/>
          <w:szCs w:val="22"/>
          <w:lang w:val="pl-PL"/>
        </w:rPr>
        <w:t>1.</w:t>
      </w:r>
      <w:r w:rsidRPr="00BD22FE">
        <w:rPr>
          <w:b/>
          <w:sz w:val="22"/>
          <w:szCs w:val="22"/>
          <w:lang w:val="pl-PL"/>
        </w:rPr>
        <w:tab/>
        <w:t>NAZWA PRODUKTU LECZNICZEGO</w:t>
      </w:r>
    </w:p>
    <w:p w14:paraId="76D10BE9" w14:textId="77777777" w:rsidR="000016E2" w:rsidRPr="00BD22FE" w:rsidRDefault="000016E2" w:rsidP="0023247D">
      <w:pPr>
        <w:keepNext/>
        <w:jc w:val="both"/>
        <w:rPr>
          <w:sz w:val="22"/>
          <w:szCs w:val="22"/>
          <w:lang w:val="pl-PL"/>
        </w:rPr>
      </w:pPr>
    </w:p>
    <w:p w14:paraId="4CC2E128" w14:textId="77777777" w:rsidR="000016E2" w:rsidRPr="00BD22FE" w:rsidRDefault="00104CA8" w:rsidP="00941FBF">
      <w:pPr>
        <w:rPr>
          <w:sz w:val="22"/>
          <w:szCs w:val="22"/>
          <w:lang w:val="pl-PL"/>
        </w:rPr>
      </w:pPr>
      <w:r w:rsidRPr="00BD22FE">
        <w:rPr>
          <w:sz w:val="22"/>
          <w:szCs w:val="22"/>
          <w:lang w:val="pl-PL"/>
        </w:rPr>
        <w:t>MicardisPlus 40 mg/12,5 mg tabletki</w:t>
      </w:r>
    </w:p>
    <w:p w14:paraId="6B448A94" w14:textId="77777777" w:rsidR="000016E2" w:rsidRPr="00BD22FE" w:rsidRDefault="00104CA8" w:rsidP="00941FBF">
      <w:pPr>
        <w:jc w:val="both"/>
        <w:rPr>
          <w:sz w:val="22"/>
          <w:szCs w:val="22"/>
          <w:lang w:val="pl-PL"/>
        </w:rPr>
      </w:pPr>
      <w:r w:rsidRPr="00BD22FE">
        <w:rPr>
          <w:sz w:val="22"/>
          <w:szCs w:val="22"/>
          <w:lang w:val="pl-PL"/>
        </w:rPr>
        <w:t>telmisartan/hydrochlorotiazyd</w:t>
      </w:r>
    </w:p>
    <w:p w14:paraId="3F8541CF" w14:textId="77777777" w:rsidR="000016E2" w:rsidRPr="00BD22FE" w:rsidRDefault="000016E2" w:rsidP="00941FBF">
      <w:pPr>
        <w:jc w:val="both"/>
        <w:rPr>
          <w:sz w:val="22"/>
          <w:szCs w:val="22"/>
          <w:lang w:val="pl-PL"/>
        </w:rPr>
      </w:pPr>
    </w:p>
    <w:p w14:paraId="763A675B" w14:textId="77777777" w:rsidR="000016E2" w:rsidRPr="00BD22FE" w:rsidRDefault="000016E2" w:rsidP="00941FBF">
      <w:pPr>
        <w:jc w:val="both"/>
        <w:rPr>
          <w:sz w:val="22"/>
          <w:szCs w:val="22"/>
          <w:lang w:val="pl-PL"/>
        </w:rPr>
      </w:pPr>
    </w:p>
    <w:p w14:paraId="101BD408" w14:textId="77777777" w:rsidR="003A7E3D" w:rsidRPr="00BD22FE" w:rsidRDefault="00104CA8" w:rsidP="005E756D">
      <w:pPr>
        <w:keepNext/>
        <w:pBdr>
          <w:top w:val="single" w:sz="4" w:space="1" w:color="auto"/>
          <w:left w:val="single" w:sz="4" w:space="4" w:color="auto"/>
          <w:bottom w:val="single" w:sz="4" w:space="1" w:color="auto"/>
          <w:right w:val="single" w:sz="4" w:space="4" w:color="auto"/>
        </w:pBdr>
        <w:ind w:left="567" w:hanging="567"/>
        <w:rPr>
          <w:b/>
          <w:sz w:val="22"/>
          <w:szCs w:val="22"/>
          <w:lang w:val="pl-PL"/>
        </w:rPr>
      </w:pPr>
      <w:r w:rsidRPr="00BD22FE">
        <w:rPr>
          <w:b/>
          <w:sz w:val="22"/>
          <w:szCs w:val="22"/>
          <w:lang w:val="pl-PL"/>
        </w:rPr>
        <w:t>2.</w:t>
      </w:r>
      <w:r w:rsidRPr="00BD22FE">
        <w:rPr>
          <w:b/>
          <w:sz w:val="22"/>
          <w:szCs w:val="22"/>
          <w:lang w:val="pl-PL"/>
        </w:rPr>
        <w:tab/>
        <w:t>NAZWA PODMIOTU ODPOWIEDZIALNEGO</w:t>
      </w:r>
    </w:p>
    <w:p w14:paraId="30DF290E" w14:textId="1371CEEB" w:rsidR="000016E2" w:rsidRPr="00BD22FE" w:rsidRDefault="000016E2" w:rsidP="0023247D">
      <w:pPr>
        <w:keepNext/>
        <w:jc w:val="both"/>
        <w:rPr>
          <w:sz w:val="22"/>
          <w:szCs w:val="22"/>
          <w:lang w:val="pl-PL"/>
        </w:rPr>
      </w:pPr>
    </w:p>
    <w:p w14:paraId="7C36BF92" w14:textId="77777777" w:rsidR="000016E2" w:rsidRPr="00BD22FE" w:rsidRDefault="00104CA8" w:rsidP="00941FBF">
      <w:pPr>
        <w:rPr>
          <w:sz w:val="22"/>
          <w:szCs w:val="22"/>
          <w:lang w:val="pl-PL"/>
        </w:rPr>
      </w:pPr>
      <w:r w:rsidRPr="00BD22FE">
        <w:rPr>
          <w:sz w:val="22"/>
          <w:szCs w:val="22"/>
          <w:lang w:val="pl-PL"/>
        </w:rPr>
        <w:t>Boehringer Ingelheim (</w:t>
      </w:r>
      <w:r w:rsidRPr="00BD22FE">
        <w:rPr>
          <w:sz w:val="22"/>
          <w:szCs w:val="22"/>
          <w:highlight w:val="lightGray"/>
          <w:lang w:val="pl-PL"/>
        </w:rPr>
        <w:t>Logo</w:t>
      </w:r>
      <w:r w:rsidRPr="00BD22FE">
        <w:rPr>
          <w:sz w:val="22"/>
          <w:szCs w:val="22"/>
          <w:lang w:val="pl-PL"/>
        </w:rPr>
        <w:t>)</w:t>
      </w:r>
    </w:p>
    <w:p w14:paraId="5B603ACD" w14:textId="77777777" w:rsidR="000016E2" w:rsidRPr="00BD22FE" w:rsidRDefault="000016E2" w:rsidP="00941FBF">
      <w:pPr>
        <w:jc w:val="both"/>
        <w:rPr>
          <w:sz w:val="22"/>
          <w:szCs w:val="22"/>
          <w:lang w:val="pl-PL"/>
        </w:rPr>
      </w:pPr>
    </w:p>
    <w:p w14:paraId="15BCA091" w14:textId="77777777" w:rsidR="000016E2" w:rsidRPr="00BD22FE" w:rsidRDefault="000016E2" w:rsidP="00941FBF">
      <w:pPr>
        <w:jc w:val="both"/>
        <w:rPr>
          <w:sz w:val="22"/>
          <w:szCs w:val="22"/>
          <w:lang w:val="pl-PL"/>
        </w:rPr>
      </w:pPr>
    </w:p>
    <w:p w14:paraId="0068A934" w14:textId="77777777" w:rsidR="000016E2" w:rsidRPr="00BD22FE" w:rsidRDefault="00104CA8" w:rsidP="005E756D">
      <w:pPr>
        <w:keepNext/>
        <w:pBdr>
          <w:top w:val="single" w:sz="4" w:space="1" w:color="auto"/>
          <w:left w:val="single" w:sz="4" w:space="4" w:color="auto"/>
          <w:bottom w:val="single" w:sz="4" w:space="1" w:color="auto"/>
          <w:right w:val="single" w:sz="4" w:space="4" w:color="auto"/>
        </w:pBdr>
        <w:ind w:left="567" w:hanging="567"/>
        <w:rPr>
          <w:b/>
          <w:sz w:val="22"/>
          <w:szCs w:val="22"/>
          <w:lang w:val="pl-PL"/>
        </w:rPr>
      </w:pPr>
      <w:r w:rsidRPr="00BD22FE">
        <w:rPr>
          <w:b/>
          <w:sz w:val="22"/>
          <w:szCs w:val="22"/>
          <w:lang w:val="pl-PL"/>
        </w:rPr>
        <w:t>3.</w:t>
      </w:r>
      <w:r w:rsidRPr="00BD22FE">
        <w:rPr>
          <w:b/>
          <w:sz w:val="22"/>
          <w:szCs w:val="22"/>
          <w:lang w:val="pl-PL"/>
        </w:rPr>
        <w:tab/>
        <w:t>TERMIN WAŻNOŚCI</w:t>
      </w:r>
    </w:p>
    <w:p w14:paraId="4A2FF127" w14:textId="77777777" w:rsidR="000016E2" w:rsidRPr="00BD22FE" w:rsidRDefault="000016E2" w:rsidP="0023247D">
      <w:pPr>
        <w:keepNext/>
        <w:jc w:val="both"/>
        <w:rPr>
          <w:sz w:val="22"/>
          <w:szCs w:val="22"/>
          <w:lang w:val="pl-PL"/>
        </w:rPr>
      </w:pPr>
    </w:p>
    <w:p w14:paraId="2C434707" w14:textId="437EC062" w:rsidR="000016E2" w:rsidRPr="00BD22FE" w:rsidRDefault="00104CA8" w:rsidP="00941FBF">
      <w:pPr>
        <w:ind w:left="708" w:hanging="708"/>
        <w:rPr>
          <w:sz w:val="22"/>
          <w:szCs w:val="22"/>
          <w:lang w:val="pl-PL"/>
        </w:rPr>
      </w:pPr>
      <w:r w:rsidRPr="00BD22FE">
        <w:rPr>
          <w:sz w:val="22"/>
          <w:szCs w:val="22"/>
          <w:lang w:val="pl-PL"/>
        </w:rPr>
        <w:t>Termin ważności:</w:t>
      </w:r>
    </w:p>
    <w:p w14:paraId="2C08A1F3" w14:textId="77777777" w:rsidR="000016E2" w:rsidRPr="00BD22FE" w:rsidRDefault="000016E2" w:rsidP="00941FBF">
      <w:pPr>
        <w:jc w:val="both"/>
        <w:rPr>
          <w:sz w:val="22"/>
          <w:szCs w:val="22"/>
          <w:lang w:val="pl-PL"/>
        </w:rPr>
      </w:pPr>
    </w:p>
    <w:p w14:paraId="6239A8EA" w14:textId="77777777" w:rsidR="000016E2" w:rsidRPr="00BD22FE" w:rsidRDefault="000016E2" w:rsidP="00941FBF">
      <w:pPr>
        <w:jc w:val="both"/>
        <w:rPr>
          <w:sz w:val="22"/>
          <w:szCs w:val="22"/>
          <w:lang w:val="pl-PL"/>
        </w:rPr>
      </w:pPr>
    </w:p>
    <w:p w14:paraId="5911F757" w14:textId="77777777" w:rsidR="000016E2" w:rsidRPr="00BD22FE" w:rsidRDefault="00104CA8" w:rsidP="005E756D">
      <w:pPr>
        <w:keepNext/>
        <w:pBdr>
          <w:top w:val="single" w:sz="4" w:space="1" w:color="auto"/>
          <w:left w:val="single" w:sz="4" w:space="4" w:color="auto"/>
          <w:bottom w:val="single" w:sz="4" w:space="1" w:color="auto"/>
          <w:right w:val="single" w:sz="4" w:space="4" w:color="auto"/>
        </w:pBdr>
        <w:ind w:left="567" w:hanging="567"/>
        <w:rPr>
          <w:b/>
          <w:sz w:val="22"/>
          <w:szCs w:val="22"/>
          <w:lang w:val="pl-PL"/>
        </w:rPr>
      </w:pPr>
      <w:r w:rsidRPr="00BD22FE">
        <w:rPr>
          <w:b/>
          <w:sz w:val="22"/>
          <w:szCs w:val="22"/>
          <w:lang w:val="pl-PL"/>
        </w:rPr>
        <w:t>4.</w:t>
      </w:r>
      <w:r w:rsidRPr="00BD22FE">
        <w:rPr>
          <w:b/>
          <w:sz w:val="22"/>
          <w:szCs w:val="22"/>
          <w:lang w:val="pl-PL"/>
        </w:rPr>
        <w:tab/>
        <w:t>NUMER SERII</w:t>
      </w:r>
    </w:p>
    <w:p w14:paraId="214AB8BF" w14:textId="77777777" w:rsidR="000016E2" w:rsidRPr="00BD22FE" w:rsidRDefault="000016E2" w:rsidP="0023247D">
      <w:pPr>
        <w:keepNext/>
        <w:jc w:val="both"/>
        <w:rPr>
          <w:sz w:val="22"/>
          <w:szCs w:val="22"/>
          <w:lang w:val="pl-PL"/>
        </w:rPr>
      </w:pPr>
    </w:p>
    <w:p w14:paraId="4A9E3FB1" w14:textId="065B609D" w:rsidR="000016E2" w:rsidRPr="00BD22FE" w:rsidRDefault="00104CA8" w:rsidP="00941FBF">
      <w:pPr>
        <w:rPr>
          <w:sz w:val="22"/>
          <w:szCs w:val="22"/>
          <w:lang w:val="pl-PL"/>
        </w:rPr>
      </w:pPr>
      <w:r w:rsidRPr="00BD22FE">
        <w:rPr>
          <w:sz w:val="22"/>
          <w:szCs w:val="22"/>
          <w:lang w:val="pl-PL"/>
        </w:rPr>
        <w:t>Nr serii:</w:t>
      </w:r>
    </w:p>
    <w:p w14:paraId="33FE4E01" w14:textId="77777777" w:rsidR="000016E2" w:rsidRPr="00BD22FE" w:rsidRDefault="000016E2" w:rsidP="00941FBF">
      <w:pPr>
        <w:rPr>
          <w:sz w:val="22"/>
          <w:szCs w:val="22"/>
          <w:lang w:val="pl-PL"/>
        </w:rPr>
      </w:pPr>
    </w:p>
    <w:p w14:paraId="3E035B00" w14:textId="77777777" w:rsidR="000016E2" w:rsidRPr="00BD22FE" w:rsidRDefault="000016E2" w:rsidP="00941FBF">
      <w:pPr>
        <w:rPr>
          <w:sz w:val="22"/>
          <w:szCs w:val="22"/>
          <w:lang w:val="pl-PL"/>
        </w:rPr>
      </w:pPr>
    </w:p>
    <w:p w14:paraId="21C6D24A" w14:textId="77777777" w:rsidR="000016E2" w:rsidRPr="00BD22FE" w:rsidRDefault="00104CA8" w:rsidP="005E756D">
      <w:pPr>
        <w:keepNext/>
        <w:pBdr>
          <w:top w:val="single" w:sz="4" w:space="1" w:color="auto"/>
          <w:left w:val="single" w:sz="4" w:space="4" w:color="auto"/>
          <w:bottom w:val="single" w:sz="4" w:space="1" w:color="auto"/>
          <w:right w:val="single" w:sz="4" w:space="4" w:color="auto"/>
        </w:pBdr>
        <w:ind w:left="567" w:hanging="567"/>
        <w:rPr>
          <w:b/>
          <w:sz w:val="22"/>
          <w:szCs w:val="22"/>
          <w:lang w:val="pl-PL"/>
        </w:rPr>
      </w:pPr>
      <w:r w:rsidRPr="00BD22FE">
        <w:rPr>
          <w:b/>
          <w:sz w:val="22"/>
          <w:szCs w:val="22"/>
          <w:lang w:val="pl-PL"/>
        </w:rPr>
        <w:t>5.</w:t>
      </w:r>
      <w:r w:rsidRPr="00BD22FE">
        <w:rPr>
          <w:b/>
          <w:sz w:val="22"/>
          <w:szCs w:val="22"/>
          <w:lang w:val="pl-PL"/>
        </w:rPr>
        <w:tab/>
        <w:t>INNE</w:t>
      </w:r>
    </w:p>
    <w:p w14:paraId="637E18B4" w14:textId="77777777" w:rsidR="000016E2" w:rsidRPr="00BD22FE" w:rsidRDefault="000016E2" w:rsidP="0023247D">
      <w:pPr>
        <w:keepNext/>
        <w:rPr>
          <w:sz w:val="22"/>
          <w:szCs w:val="22"/>
          <w:lang w:val="pl-PL"/>
        </w:rPr>
      </w:pPr>
    </w:p>
    <w:p w14:paraId="017272C5" w14:textId="77777777" w:rsidR="000016E2" w:rsidRPr="00BD22FE" w:rsidRDefault="00104CA8" w:rsidP="00941FBF">
      <w:pPr>
        <w:rPr>
          <w:sz w:val="22"/>
          <w:szCs w:val="22"/>
          <w:lang w:val="pl-PL"/>
        </w:rPr>
      </w:pPr>
      <w:r w:rsidRPr="00BD22FE">
        <w:rPr>
          <w:sz w:val="22"/>
          <w:szCs w:val="22"/>
          <w:lang w:val="pl-PL"/>
        </w:rPr>
        <w:t>PN</w:t>
      </w:r>
    </w:p>
    <w:p w14:paraId="1EA9AD3C" w14:textId="77777777" w:rsidR="000016E2" w:rsidRPr="00BD22FE" w:rsidRDefault="00104CA8" w:rsidP="00941FBF">
      <w:pPr>
        <w:rPr>
          <w:sz w:val="22"/>
          <w:szCs w:val="22"/>
          <w:lang w:val="pl-PL"/>
        </w:rPr>
      </w:pPr>
      <w:r w:rsidRPr="00BD22FE">
        <w:rPr>
          <w:sz w:val="22"/>
          <w:szCs w:val="22"/>
          <w:lang w:val="pl-PL"/>
        </w:rPr>
        <w:t>WT</w:t>
      </w:r>
    </w:p>
    <w:p w14:paraId="6E679D14" w14:textId="77777777" w:rsidR="000016E2" w:rsidRPr="00BD22FE" w:rsidRDefault="00104CA8" w:rsidP="00941FBF">
      <w:pPr>
        <w:rPr>
          <w:sz w:val="22"/>
          <w:szCs w:val="22"/>
          <w:lang w:val="pl-PL"/>
        </w:rPr>
      </w:pPr>
      <w:r w:rsidRPr="00BD22FE">
        <w:rPr>
          <w:sz w:val="22"/>
          <w:szCs w:val="22"/>
          <w:lang w:val="pl-PL"/>
        </w:rPr>
        <w:t>ŚR</w:t>
      </w:r>
    </w:p>
    <w:p w14:paraId="1801FC25" w14:textId="77777777" w:rsidR="000016E2" w:rsidRPr="00BD22FE" w:rsidRDefault="00104CA8" w:rsidP="00941FBF">
      <w:pPr>
        <w:rPr>
          <w:sz w:val="22"/>
          <w:szCs w:val="22"/>
          <w:lang w:val="pl-PL"/>
        </w:rPr>
      </w:pPr>
      <w:r w:rsidRPr="00BD22FE">
        <w:rPr>
          <w:sz w:val="22"/>
          <w:szCs w:val="22"/>
          <w:lang w:val="pl-PL"/>
        </w:rPr>
        <w:t>CZ</w:t>
      </w:r>
    </w:p>
    <w:p w14:paraId="1F32DAA8" w14:textId="77777777" w:rsidR="000016E2" w:rsidRPr="00BD22FE" w:rsidRDefault="00104CA8" w:rsidP="00941FBF">
      <w:pPr>
        <w:rPr>
          <w:sz w:val="22"/>
          <w:szCs w:val="22"/>
          <w:lang w:val="pl-PL"/>
        </w:rPr>
      </w:pPr>
      <w:r w:rsidRPr="00BD22FE">
        <w:rPr>
          <w:sz w:val="22"/>
          <w:szCs w:val="22"/>
          <w:lang w:val="pl-PL"/>
        </w:rPr>
        <w:t>PT</w:t>
      </w:r>
    </w:p>
    <w:p w14:paraId="7CFB0FE2" w14:textId="77777777" w:rsidR="000016E2" w:rsidRPr="00BD22FE" w:rsidRDefault="00104CA8" w:rsidP="00941FBF">
      <w:pPr>
        <w:rPr>
          <w:sz w:val="22"/>
          <w:szCs w:val="22"/>
          <w:lang w:val="pl-PL"/>
        </w:rPr>
      </w:pPr>
      <w:r w:rsidRPr="00BD22FE">
        <w:rPr>
          <w:sz w:val="22"/>
          <w:szCs w:val="22"/>
          <w:lang w:val="pl-PL"/>
        </w:rPr>
        <w:t>SO</w:t>
      </w:r>
    </w:p>
    <w:p w14:paraId="469D3B6D" w14:textId="77777777" w:rsidR="000016E2" w:rsidRPr="00BD22FE" w:rsidRDefault="00104CA8" w:rsidP="00941FBF">
      <w:pPr>
        <w:rPr>
          <w:sz w:val="22"/>
          <w:szCs w:val="22"/>
          <w:lang w:val="pl-PL"/>
        </w:rPr>
      </w:pPr>
      <w:r w:rsidRPr="00BD22FE">
        <w:rPr>
          <w:sz w:val="22"/>
          <w:szCs w:val="22"/>
          <w:lang w:val="pl-PL"/>
        </w:rPr>
        <w:t>ND</w:t>
      </w:r>
    </w:p>
    <w:p w14:paraId="18FD94D9" w14:textId="77777777" w:rsidR="000016E2" w:rsidRPr="00BD22FE" w:rsidRDefault="00104CA8" w:rsidP="00941FBF">
      <w:pPr>
        <w:jc w:val="both"/>
        <w:rPr>
          <w:sz w:val="22"/>
          <w:szCs w:val="22"/>
          <w:lang w:val="pl-PL"/>
        </w:rPr>
      </w:pPr>
      <w:r w:rsidRPr="00BD22FE">
        <w:rPr>
          <w:sz w:val="22"/>
          <w:szCs w:val="22"/>
          <w:lang w:val="pl-PL"/>
        </w:rPr>
        <w:br w:type="page"/>
      </w:r>
    </w:p>
    <w:p w14:paraId="534410EA" w14:textId="77777777" w:rsidR="000016E2" w:rsidRPr="00BD22FE" w:rsidRDefault="00104CA8" w:rsidP="00941FBF">
      <w:pPr>
        <w:pBdr>
          <w:top w:val="single" w:sz="4" w:space="1" w:color="auto"/>
          <w:left w:val="single" w:sz="4" w:space="6" w:color="auto"/>
          <w:bottom w:val="single" w:sz="4" w:space="1" w:color="auto"/>
          <w:right w:val="single" w:sz="4" w:space="4" w:color="auto"/>
        </w:pBdr>
        <w:rPr>
          <w:b/>
          <w:sz w:val="22"/>
          <w:szCs w:val="22"/>
          <w:lang w:val="pl-PL"/>
        </w:rPr>
      </w:pPr>
      <w:r w:rsidRPr="00BD22FE">
        <w:rPr>
          <w:b/>
          <w:sz w:val="22"/>
          <w:szCs w:val="22"/>
          <w:lang w:val="pl-PL"/>
        </w:rPr>
        <w:lastRenderedPageBreak/>
        <w:t>MINIMUM INFORMACJI ZAMIESZCZANYCH NA BLISTRACH LUB OPAKOWANIACH FOLIOWYCH</w:t>
      </w:r>
    </w:p>
    <w:p w14:paraId="7549B0CE" w14:textId="77777777" w:rsidR="000016E2" w:rsidRPr="00BD22FE" w:rsidRDefault="000016E2" w:rsidP="00941FBF">
      <w:pPr>
        <w:pBdr>
          <w:top w:val="single" w:sz="4" w:space="1" w:color="auto"/>
          <w:left w:val="single" w:sz="4" w:space="6" w:color="auto"/>
          <w:bottom w:val="single" w:sz="4" w:space="1" w:color="auto"/>
          <w:right w:val="single" w:sz="4" w:space="4" w:color="auto"/>
        </w:pBdr>
        <w:rPr>
          <w:sz w:val="22"/>
          <w:szCs w:val="22"/>
          <w:lang w:val="pl-PL"/>
        </w:rPr>
      </w:pPr>
    </w:p>
    <w:p w14:paraId="2710B9D6" w14:textId="727F451C" w:rsidR="000016E2" w:rsidRPr="00BD22FE" w:rsidRDefault="00104CA8" w:rsidP="00941FBF">
      <w:pPr>
        <w:pBdr>
          <w:top w:val="single" w:sz="4" w:space="1" w:color="auto"/>
          <w:left w:val="single" w:sz="4" w:space="6" w:color="auto"/>
          <w:bottom w:val="single" w:sz="4" w:space="1" w:color="auto"/>
          <w:right w:val="single" w:sz="4" w:space="4" w:color="auto"/>
        </w:pBdr>
        <w:rPr>
          <w:b/>
          <w:bCs/>
          <w:sz w:val="22"/>
          <w:szCs w:val="22"/>
          <w:lang w:val="pl-PL"/>
        </w:rPr>
      </w:pPr>
      <w:r w:rsidRPr="00BD22FE">
        <w:rPr>
          <w:b/>
          <w:bCs/>
          <w:sz w:val="22"/>
          <w:szCs w:val="22"/>
          <w:lang w:val="pl-PL"/>
        </w:rPr>
        <w:t>Blister podzielny na dawki pojedyncze zawierający 7 lub 10</w:t>
      </w:r>
      <w:r w:rsidR="00C15D43" w:rsidRPr="00BD22FE">
        <w:rPr>
          <w:b/>
          <w:bCs/>
          <w:sz w:val="22"/>
          <w:szCs w:val="22"/>
          <w:lang w:val="pl-PL"/>
        </w:rPr>
        <w:noBreakHyphen/>
      </w:r>
      <w:r w:rsidRPr="00BD22FE">
        <w:rPr>
          <w:b/>
          <w:bCs/>
          <w:sz w:val="22"/>
          <w:szCs w:val="22"/>
          <w:lang w:val="pl-PL"/>
        </w:rPr>
        <w:t>krotność lub blister zawierający inną liczbę tabletek niż 7</w:t>
      </w:r>
    </w:p>
    <w:p w14:paraId="47B608E7" w14:textId="77777777" w:rsidR="000016E2" w:rsidRPr="00BD22FE" w:rsidRDefault="000016E2" w:rsidP="00941FBF">
      <w:pPr>
        <w:jc w:val="both"/>
        <w:rPr>
          <w:sz w:val="22"/>
          <w:szCs w:val="22"/>
          <w:lang w:val="pl-PL"/>
        </w:rPr>
      </w:pPr>
    </w:p>
    <w:p w14:paraId="2D806EAB" w14:textId="77777777" w:rsidR="000016E2" w:rsidRPr="00BD22FE" w:rsidRDefault="000016E2" w:rsidP="00941FBF">
      <w:pPr>
        <w:jc w:val="both"/>
        <w:rPr>
          <w:sz w:val="22"/>
          <w:szCs w:val="22"/>
          <w:lang w:val="pl-PL"/>
        </w:rPr>
      </w:pPr>
    </w:p>
    <w:p w14:paraId="33226D6A" w14:textId="0C7C9575" w:rsidR="000016E2" w:rsidRPr="00BD22FE" w:rsidRDefault="00D135A2" w:rsidP="00D135A2">
      <w:pPr>
        <w:keepNext/>
        <w:pBdr>
          <w:top w:val="single" w:sz="4" w:space="1" w:color="auto"/>
          <w:left w:val="single" w:sz="4" w:space="4" w:color="auto"/>
          <w:bottom w:val="single" w:sz="4" w:space="1" w:color="auto"/>
          <w:right w:val="single" w:sz="4" w:space="4" w:color="auto"/>
        </w:pBdr>
        <w:ind w:left="567" w:hanging="567"/>
        <w:rPr>
          <w:b/>
          <w:sz w:val="22"/>
          <w:szCs w:val="22"/>
          <w:lang w:val="pl-PL"/>
        </w:rPr>
      </w:pPr>
      <w:r w:rsidRPr="00BD22FE">
        <w:rPr>
          <w:b/>
          <w:sz w:val="22"/>
          <w:szCs w:val="22"/>
          <w:lang w:val="pl-PL"/>
        </w:rPr>
        <w:t>1.</w:t>
      </w:r>
      <w:r w:rsidRPr="00BD22FE">
        <w:rPr>
          <w:b/>
          <w:sz w:val="22"/>
          <w:szCs w:val="22"/>
          <w:lang w:val="pl-PL"/>
        </w:rPr>
        <w:tab/>
      </w:r>
      <w:r w:rsidR="00104CA8" w:rsidRPr="00BD22FE">
        <w:rPr>
          <w:b/>
          <w:sz w:val="22"/>
          <w:szCs w:val="22"/>
          <w:lang w:val="pl-PL"/>
        </w:rPr>
        <w:t>NAZWA PRODUKTU LECZNICZEGO</w:t>
      </w:r>
    </w:p>
    <w:p w14:paraId="4ACC4670" w14:textId="77777777" w:rsidR="000016E2" w:rsidRPr="00BD22FE" w:rsidRDefault="000016E2" w:rsidP="00D135A2">
      <w:pPr>
        <w:keepNext/>
        <w:jc w:val="both"/>
        <w:rPr>
          <w:sz w:val="22"/>
          <w:szCs w:val="22"/>
          <w:lang w:val="pl-PL"/>
        </w:rPr>
      </w:pPr>
    </w:p>
    <w:p w14:paraId="19B702BE" w14:textId="77777777" w:rsidR="000016E2" w:rsidRPr="00BD22FE" w:rsidRDefault="00104CA8" w:rsidP="00941FBF">
      <w:pPr>
        <w:rPr>
          <w:sz w:val="22"/>
          <w:szCs w:val="22"/>
          <w:lang w:val="pl-PL"/>
        </w:rPr>
      </w:pPr>
      <w:r w:rsidRPr="00BD22FE">
        <w:rPr>
          <w:sz w:val="22"/>
          <w:szCs w:val="22"/>
          <w:lang w:val="pl-PL"/>
        </w:rPr>
        <w:t>MicardisPlus 40 mg/12,5 mg tabletki</w:t>
      </w:r>
    </w:p>
    <w:p w14:paraId="1CF0F483" w14:textId="77777777" w:rsidR="000016E2" w:rsidRPr="00BD22FE" w:rsidRDefault="00104CA8" w:rsidP="00941FBF">
      <w:pPr>
        <w:jc w:val="both"/>
        <w:rPr>
          <w:sz w:val="22"/>
          <w:szCs w:val="22"/>
          <w:lang w:val="pl-PL"/>
        </w:rPr>
      </w:pPr>
      <w:r w:rsidRPr="00BD22FE">
        <w:rPr>
          <w:sz w:val="22"/>
          <w:szCs w:val="22"/>
          <w:lang w:val="pl-PL"/>
        </w:rPr>
        <w:t>telmisartan/hydrochlorotiazyd</w:t>
      </w:r>
    </w:p>
    <w:p w14:paraId="62E115FC" w14:textId="77777777" w:rsidR="000016E2" w:rsidRPr="00BD22FE" w:rsidRDefault="000016E2" w:rsidP="00941FBF">
      <w:pPr>
        <w:jc w:val="both"/>
        <w:rPr>
          <w:sz w:val="22"/>
          <w:szCs w:val="22"/>
          <w:lang w:val="pl-PL"/>
        </w:rPr>
      </w:pPr>
    </w:p>
    <w:p w14:paraId="701560ED" w14:textId="77777777" w:rsidR="000016E2" w:rsidRPr="00BD22FE" w:rsidRDefault="000016E2" w:rsidP="00941FBF">
      <w:pPr>
        <w:jc w:val="both"/>
        <w:rPr>
          <w:sz w:val="22"/>
          <w:szCs w:val="22"/>
          <w:lang w:val="pl-PL"/>
        </w:rPr>
      </w:pPr>
    </w:p>
    <w:p w14:paraId="5E501043" w14:textId="4B918BC7" w:rsidR="003A7E3D" w:rsidRPr="00BD22FE" w:rsidRDefault="00D135A2" w:rsidP="00D135A2">
      <w:pPr>
        <w:keepNext/>
        <w:pBdr>
          <w:top w:val="single" w:sz="4" w:space="1" w:color="auto"/>
          <w:left w:val="single" w:sz="4" w:space="4" w:color="auto"/>
          <w:bottom w:val="single" w:sz="4" w:space="1" w:color="auto"/>
          <w:right w:val="single" w:sz="4" w:space="4" w:color="auto"/>
        </w:pBdr>
        <w:ind w:left="567" w:hanging="567"/>
        <w:rPr>
          <w:b/>
          <w:sz w:val="22"/>
          <w:szCs w:val="22"/>
          <w:lang w:val="pl-PL"/>
        </w:rPr>
      </w:pPr>
      <w:r w:rsidRPr="00BD22FE">
        <w:rPr>
          <w:b/>
          <w:sz w:val="22"/>
          <w:szCs w:val="22"/>
          <w:lang w:val="pl-PL"/>
        </w:rPr>
        <w:t>2.</w:t>
      </w:r>
      <w:r w:rsidRPr="00BD22FE">
        <w:rPr>
          <w:b/>
          <w:sz w:val="22"/>
          <w:szCs w:val="22"/>
          <w:lang w:val="pl-PL"/>
        </w:rPr>
        <w:tab/>
      </w:r>
      <w:r w:rsidR="00104CA8" w:rsidRPr="00BD22FE">
        <w:rPr>
          <w:b/>
          <w:sz w:val="22"/>
          <w:szCs w:val="22"/>
          <w:lang w:val="pl-PL"/>
        </w:rPr>
        <w:t>NAZWA PODMIOTU ODPOWIEDZIALNEGO</w:t>
      </w:r>
    </w:p>
    <w:p w14:paraId="153B4F47" w14:textId="16A1F566" w:rsidR="000016E2" w:rsidRPr="00BD22FE" w:rsidRDefault="000016E2" w:rsidP="00D135A2">
      <w:pPr>
        <w:keepNext/>
        <w:jc w:val="both"/>
        <w:rPr>
          <w:sz w:val="22"/>
          <w:szCs w:val="22"/>
          <w:lang w:val="pl-PL"/>
        </w:rPr>
      </w:pPr>
    </w:p>
    <w:p w14:paraId="1F5D18F5" w14:textId="77777777" w:rsidR="000016E2" w:rsidRPr="00BD22FE" w:rsidRDefault="00104CA8" w:rsidP="00941FBF">
      <w:pPr>
        <w:jc w:val="both"/>
        <w:rPr>
          <w:sz w:val="22"/>
          <w:szCs w:val="22"/>
          <w:lang w:val="pl-PL"/>
        </w:rPr>
      </w:pPr>
      <w:r w:rsidRPr="00BD22FE">
        <w:rPr>
          <w:sz w:val="22"/>
          <w:szCs w:val="22"/>
          <w:lang w:val="pl-PL"/>
        </w:rPr>
        <w:t>Boehringer Ingelheim (</w:t>
      </w:r>
      <w:r w:rsidRPr="00BD22FE">
        <w:rPr>
          <w:sz w:val="22"/>
          <w:szCs w:val="22"/>
          <w:highlight w:val="lightGray"/>
          <w:lang w:val="pl-PL"/>
        </w:rPr>
        <w:t>Logo</w:t>
      </w:r>
      <w:r w:rsidRPr="00BD22FE">
        <w:rPr>
          <w:sz w:val="22"/>
          <w:szCs w:val="22"/>
          <w:lang w:val="pl-PL"/>
        </w:rPr>
        <w:t>)</w:t>
      </w:r>
    </w:p>
    <w:p w14:paraId="51933164" w14:textId="77777777" w:rsidR="000016E2" w:rsidRPr="00BD22FE" w:rsidRDefault="000016E2" w:rsidP="00941FBF">
      <w:pPr>
        <w:jc w:val="both"/>
        <w:rPr>
          <w:sz w:val="22"/>
          <w:szCs w:val="22"/>
          <w:lang w:val="pl-PL"/>
        </w:rPr>
      </w:pPr>
    </w:p>
    <w:p w14:paraId="16DAA09F" w14:textId="77777777" w:rsidR="000016E2" w:rsidRPr="00BD22FE" w:rsidRDefault="000016E2" w:rsidP="00941FBF">
      <w:pPr>
        <w:jc w:val="both"/>
        <w:rPr>
          <w:sz w:val="22"/>
          <w:szCs w:val="22"/>
          <w:lang w:val="pl-PL"/>
        </w:rPr>
      </w:pPr>
    </w:p>
    <w:p w14:paraId="5C50BEB0" w14:textId="17A4DBED" w:rsidR="000016E2" w:rsidRPr="00BD22FE" w:rsidRDefault="00D135A2" w:rsidP="00D135A2">
      <w:pPr>
        <w:keepNext/>
        <w:pBdr>
          <w:top w:val="single" w:sz="4" w:space="1" w:color="auto"/>
          <w:left w:val="single" w:sz="4" w:space="4" w:color="auto"/>
          <w:bottom w:val="single" w:sz="4" w:space="1" w:color="auto"/>
          <w:right w:val="single" w:sz="4" w:space="4" w:color="auto"/>
        </w:pBdr>
        <w:ind w:left="567" w:hanging="567"/>
        <w:rPr>
          <w:b/>
          <w:sz w:val="22"/>
          <w:szCs w:val="22"/>
          <w:lang w:val="pl-PL"/>
        </w:rPr>
      </w:pPr>
      <w:r w:rsidRPr="00BD22FE">
        <w:rPr>
          <w:b/>
          <w:sz w:val="22"/>
          <w:szCs w:val="22"/>
          <w:lang w:val="pl-PL"/>
        </w:rPr>
        <w:t>3.</w:t>
      </w:r>
      <w:r w:rsidRPr="00BD22FE">
        <w:rPr>
          <w:b/>
          <w:sz w:val="22"/>
          <w:szCs w:val="22"/>
          <w:lang w:val="pl-PL"/>
        </w:rPr>
        <w:tab/>
      </w:r>
      <w:r w:rsidR="00104CA8" w:rsidRPr="00BD22FE">
        <w:rPr>
          <w:b/>
          <w:sz w:val="22"/>
          <w:szCs w:val="22"/>
          <w:lang w:val="pl-PL"/>
        </w:rPr>
        <w:t>TERMIN WAŻNOŚCI</w:t>
      </w:r>
    </w:p>
    <w:p w14:paraId="20B0585B" w14:textId="77777777" w:rsidR="000016E2" w:rsidRPr="00BD22FE" w:rsidRDefault="000016E2" w:rsidP="00D135A2">
      <w:pPr>
        <w:keepNext/>
        <w:jc w:val="both"/>
        <w:rPr>
          <w:sz w:val="22"/>
          <w:szCs w:val="22"/>
          <w:lang w:val="pl-PL"/>
        </w:rPr>
      </w:pPr>
    </w:p>
    <w:p w14:paraId="283A5C8C" w14:textId="703695E7" w:rsidR="000016E2" w:rsidRPr="00BD22FE" w:rsidRDefault="00104CA8" w:rsidP="00941FBF">
      <w:pPr>
        <w:rPr>
          <w:sz w:val="22"/>
          <w:szCs w:val="22"/>
          <w:lang w:val="pl-PL"/>
        </w:rPr>
      </w:pPr>
      <w:r w:rsidRPr="00BD22FE">
        <w:rPr>
          <w:sz w:val="22"/>
          <w:szCs w:val="22"/>
          <w:lang w:val="pl-PL"/>
        </w:rPr>
        <w:t>Termin ważności:</w:t>
      </w:r>
    </w:p>
    <w:p w14:paraId="61FD3741" w14:textId="77777777" w:rsidR="000016E2" w:rsidRPr="00BD22FE" w:rsidRDefault="000016E2" w:rsidP="00941FBF">
      <w:pPr>
        <w:jc w:val="both"/>
        <w:rPr>
          <w:sz w:val="22"/>
          <w:szCs w:val="22"/>
          <w:lang w:val="pl-PL"/>
        </w:rPr>
      </w:pPr>
    </w:p>
    <w:p w14:paraId="4A3DB4FE" w14:textId="77777777" w:rsidR="000016E2" w:rsidRPr="00BD22FE" w:rsidRDefault="000016E2" w:rsidP="00941FBF">
      <w:pPr>
        <w:jc w:val="both"/>
        <w:rPr>
          <w:sz w:val="22"/>
          <w:szCs w:val="22"/>
          <w:lang w:val="pl-PL"/>
        </w:rPr>
      </w:pPr>
    </w:p>
    <w:p w14:paraId="3C556232" w14:textId="2790ECFD" w:rsidR="000016E2" w:rsidRPr="00BD22FE" w:rsidRDefault="00D135A2" w:rsidP="00D135A2">
      <w:pPr>
        <w:keepNext/>
        <w:pBdr>
          <w:top w:val="single" w:sz="4" w:space="1" w:color="auto"/>
          <w:left w:val="single" w:sz="4" w:space="4" w:color="auto"/>
          <w:bottom w:val="single" w:sz="4" w:space="1" w:color="auto"/>
          <w:right w:val="single" w:sz="4" w:space="4" w:color="auto"/>
        </w:pBdr>
        <w:ind w:left="567" w:hanging="567"/>
        <w:rPr>
          <w:b/>
          <w:sz w:val="22"/>
          <w:szCs w:val="22"/>
          <w:lang w:val="pl-PL"/>
        </w:rPr>
      </w:pPr>
      <w:r w:rsidRPr="00BD22FE">
        <w:rPr>
          <w:b/>
          <w:sz w:val="22"/>
          <w:szCs w:val="22"/>
          <w:lang w:val="pl-PL"/>
        </w:rPr>
        <w:t>4.</w:t>
      </w:r>
      <w:r w:rsidRPr="00BD22FE">
        <w:rPr>
          <w:b/>
          <w:sz w:val="22"/>
          <w:szCs w:val="22"/>
          <w:lang w:val="pl-PL"/>
        </w:rPr>
        <w:tab/>
      </w:r>
      <w:r w:rsidR="00104CA8" w:rsidRPr="00BD22FE">
        <w:rPr>
          <w:b/>
          <w:sz w:val="22"/>
          <w:szCs w:val="22"/>
          <w:lang w:val="pl-PL"/>
        </w:rPr>
        <w:t>NUMER SERII</w:t>
      </w:r>
    </w:p>
    <w:p w14:paraId="32A4DD8C" w14:textId="77777777" w:rsidR="000016E2" w:rsidRPr="00BD22FE" w:rsidRDefault="000016E2" w:rsidP="00D135A2">
      <w:pPr>
        <w:keepNext/>
        <w:jc w:val="both"/>
        <w:rPr>
          <w:sz w:val="22"/>
          <w:szCs w:val="22"/>
          <w:lang w:val="pl-PL"/>
        </w:rPr>
      </w:pPr>
    </w:p>
    <w:p w14:paraId="79D42556" w14:textId="1E4688BE" w:rsidR="000016E2" w:rsidRPr="00BD22FE" w:rsidRDefault="00104CA8" w:rsidP="00941FBF">
      <w:pPr>
        <w:rPr>
          <w:sz w:val="22"/>
          <w:szCs w:val="22"/>
          <w:lang w:val="pl-PL"/>
        </w:rPr>
      </w:pPr>
      <w:r w:rsidRPr="00BD22FE">
        <w:rPr>
          <w:sz w:val="22"/>
          <w:szCs w:val="22"/>
          <w:lang w:val="pl-PL"/>
        </w:rPr>
        <w:t>Nr serii:</w:t>
      </w:r>
    </w:p>
    <w:p w14:paraId="5AA96082" w14:textId="77777777" w:rsidR="000016E2" w:rsidRPr="00BD22FE" w:rsidRDefault="000016E2" w:rsidP="00941FBF">
      <w:pPr>
        <w:jc w:val="both"/>
        <w:rPr>
          <w:sz w:val="22"/>
          <w:szCs w:val="22"/>
          <w:lang w:val="pl-PL"/>
        </w:rPr>
      </w:pPr>
    </w:p>
    <w:p w14:paraId="2EE83644" w14:textId="77777777" w:rsidR="000016E2" w:rsidRPr="00BD22FE" w:rsidRDefault="000016E2" w:rsidP="00941FBF">
      <w:pPr>
        <w:jc w:val="both"/>
        <w:rPr>
          <w:sz w:val="22"/>
          <w:szCs w:val="22"/>
          <w:lang w:val="pl-PL"/>
        </w:rPr>
      </w:pPr>
    </w:p>
    <w:p w14:paraId="1D769CC8" w14:textId="78BD57BC" w:rsidR="000016E2" w:rsidRPr="00BD22FE" w:rsidRDefault="00D135A2" w:rsidP="00D135A2">
      <w:pPr>
        <w:keepNext/>
        <w:pBdr>
          <w:top w:val="single" w:sz="4" w:space="1" w:color="auto"/>
          <w:left w:val="single" w:sz="4" w:space="4" w:color="auto"/>
          <w:bottom w:val="single" w:sz="4" w:space="1" w:color="auto"/>
          <w:right w:val="single" w:sz="4" w:space="4" w:color="auto"/>
        </w:pBdr>
        <w:ind w:left="567" w:hanging="567"/>
        <w:rPr>
          <w:b/>
          <w:sz w:val="22"/>
          <w:szCs w:val="22"/>
          <w:lang w:val="pl-PL"/>
        </w:rPr>
      </w:pPr>
      <w:r w:rsidRPr="00BD22FE">
        <w:rPr>
          <w:b/>
          <w:sz w:val="22"/>
          <w:szCs w:val="22"/>
          <w:lang w:val="pl-PL"/>
        </w:rPr>
        <w:t>5.</w:t>
      </w:r>
      <w:r w:rsidRPr="00BD22FE">
        <w:rPr>
          <w:b/>
          <w:sz w:val="22"/>
          <w:szCs w:val="22"/>
          <w:lang w:val="pl-PL"/>
        </w:rPr>
        <w:tab/>
      </w:r>
      <w:r w:rsidR="00104CA8" w:rsidRPr="00BD22FE">
        <w:rPr>
          <w:b/>
          <w:sz w:val="22"/>
          <w:szCs w:val="22"/>
          <w:lang w:val="pl-PL"/>
        </w:rPr>
        <w:t>INNE</w:t>
      </w:r>
    </w:p>
    <w:p w14:paraId="6DD61E68" w14:textId="77777777" w:rsidR="00D135A2" w:rsidRPr="00BD22FE" w:rsidRDefault="00D135A2" w:rsidP="00D135A2">
      <w:pPr>
        <w:keepNext/>
        <w:jc w:val="both"/>
        <w:rPr>
          <w:sz w:val="22"/>
          <w:szCs w:val="22"/>
          <w:lang w:val="pl-PL"/>
        </w:rPr>
      </w:pPr>
    </w:p>
    <w:p w14:paraId="4A597AA2" w14:textId="77777777" w:rsidR="00D135A2" w:rsidRPr="00BD22FE" w:rsidRDefault="00D135A2" w:rsidP="00941FBF">
      <w:pPr>
        <w:jc w:val="both"/>
        <w:rPr>
          <w:sz w:val="22"/>
          <w:szCs w:val="22"/>
          <w:lang w:val="pl-PL"/>
        </w:rPr>
      </w:pPr>
    </w:p>
    <w:p w14:paraId="6A696278" w14:textId="77777777" w:rsidR="000016E2" w:rsidRPr="00BD22FE" w:rsidRDefault="00104CA8" w:rsidP="00941FBF">
      <w:pPr>
        <w:jc w:val="both"/>
        <w:rPr>
          <w:sz w:val="22"/>
          <w:szCs w:val="22"/>
          <w:lang w:val="pl-PL"/>
        </w:rPr>
      </w:pPr>
      <w:r w:rsidRPr="00BD22FE">
        <w:rPr>
          <w:sz w:val="22"/>
          <w:szCs w:val="22"/>
          <w:lang w:val="pl-PL"/>
        </w:rPr>
        <w:br w:type="page"/>
      </w:r>
    </w:p>
    <w:p w14:paraId="720B6D51" w14:textId="77777777" w:rsidR="003A7E3D" w:rsidRPr="00BD22FE" w:rsidRDefault="00104CA8" w:rsidP="00941FBF">
      <w:pPr>
        <w:pBdr>
          <w:top w:val="single" w:sz="4" w:space="0" w:color="auto"/>
          <w:left w:val="single" w:sz="4" w:space="4" w:color="auto"/>
          <w:bottom w:val="single" w:sz="4" w:space="0" w:color="auto"/>
          <w:right w:val="single" w:sz="4" w:space="4" w:color="auto"/>
        </w:pBdr>
        <w:rPr>
          <w:b/>
          <w:sz w:val="22"/>
          <w:szCs w:val="22"/>
          <w:lang w:val="pl-PL"/>
        </w:rPr>
      </w:pPr>
      <w:r w:rsidRPr="00BD22FE">
        <w:rPr>
          <w:b/>
          <w:sz w:val="22"/>
          <w:szCs w:val="22"/>
          <w:lang w:val="pl-PL"/>
        </w:rPr>
        <w:lastRenderedPageBreak/>
        <w:t>INFORMACJE ZAMIESZCZANE NA OPAKOWANIACH ZEWNĘTRZNYCH</w:t>
      </w:r>
    </w:p>
    <w:p w14:paraId="05EEEE7C" w14:textId="408CBBBF" w:rsidR="000016E2" w:rsidRPr="00BD22FE" w:rsidRDefault="000016E2" w:rsidP="00941FBF">
      <w:pPr>
        <w:pBdr>
          <w:top w:val="single" w:sz="4" w:space="0" w:color="auto"/>
          <w:left w:val="single" w:sz="4" w:space="4" w:color="auto"/>
          <w:bottom w:val="single" w:sz="4" w:space="0" w:color="auto"/>
          <w:right w:val="single" w:sz="4" w:space="4" w:color="auto"/>
        </w:pBdr>
        <w:rPr>
          <w:sz w:val="22"/>
          <w:szCs w:val="22"/>
          <w:lang w:val="pl-PL"/>
        </w:rPr>
      </w:pPr>
    </w:p>
    <w:p w14:paraId="3A3FC03F" w14:textId="1A58335C" w:rsidR="000016E2" w:rsidRPr="00BD22FE" w:rsidRDefault="00104CA8" w:rsidP="00941FBF">
      <w:pPr>
        <w:pBdr>
          <w:top w:val="single" w:sz="4" w:space="0" w:color="auto"/>
          <w:left w:val="single" w:sz="4" w:space="4" w:color="auto"/>
          <w:bottom w:val="single" w:sz="4" w:space="0" w:color="auto"/>
          <w:right w:val="single" w:sz="4" w:space="4" w:color="auto"/>
        </w:pBdr>
        <w:rPr>
          <w:b/>
          <w:bCs/>
          <w:sz w:val="22"/>
          <w:szCs w:val="22"/>
          <w:lang w:val="pl-PL"/>
        </w:rPr>
      </w:pPr>
      <w:r w:rsidRPr="00BD22FE">
        <w:rPr>
          <w:b/>
          <w:bCs/>
          <w:sz w:val="22"/>
          <w:szCs w:val="22"/>
          <w:lang w:val="pl-PL"/>
        </w:rPr>
        <w:t>Pudełko tekturowe</w:t>
      </w:r>
    </w:p>
    <w:p w14:paraId="3ABF0961" w14:textId="77777777" w:rsidR="000016E2" w:rsidRPr="00BD22FE" w:rsidRDefault="000016E2" w:rsidP="00941FBF">
      <w:pPr>
        <w:jc w:val="both"/>
        <w:rPr>
          <w:sz w:val="22"/>
          <w:szCs w:val="22"/>
          <w:lang w:val="pl-PL"/>
        </w:rPr>
      </w:pPr>
    </w:p>
    <w:p w14:paraId="4DD79592" w14:textId="77777777" w:rsidR="000016E2" w:rsidRPr="00BD22FE" w:rsidRDefault="000016E2" w:rsidP="00941FBF">
      <w:pPr>
        <w:jc w:val="both"/>
        <w:rPr>
          <w:sz w:val="22"/>
          <w:szCs w:val="22"/>
          <w:lang w:val="pl-PL"/>
        </w:rPr>
      </w:pPr>
    </w:p>
    <w:p w14:paraId="6291D8E1" w14:textId="284CEEE1" w:rsidR="000016E2" w:rsidRPr="00BD22FE" w:rsidRDefault="00391291" w:rsidP="00391291">
      <w:pPr>
        <w:keepNext/>
        <w:pBdr>
          <w:top w:val="single" w:sz="4" w:space="1" w:color="auto"/>
          <w:left w:val="single" w:sz="4" w:space="4" w:color="auto"/>
          <w:bottom w:val="single" w:sz="4" w:space="1" w:color="auto"/>
          <w:right w:val="single" w:sz="4" w:space="4" w:color="auto"/>
        </w:pBdr>
        <w:ind w:left="567" w:hanging="567"/>
        <w:rPr>
          <w:b/>
          <w:sz w:val="22"/>
          <w:szCs w:val="22"/>
          <w:lang w:val="pl-PL"/>
        </w:rPr>
      </w:pPr>
      <w:r w:rsidRPr="00BD22FE">
        <w:rPr>
          <w:b/>
          <w:sz w:val="22"/>
          <w:szCs w:val="22"/>
          <w:lang w:val="pl-PL"/>
        </w:rPr>
        <w:t>1.</w:t>
      </w:r>
      <w:r w:rsidRPr="00BD22FE">
        <w:rPr>
          <w:b/>
          <w:sz w:val="22"/>
          <w:szCs w:val="22"/>
          <w:lang w:val="pl-PL"/>
        </w:rPr>
        <w:tab/>
      </w:r>
      <w:r w:rsidR="00104CA8" w:rsidRPr="00BD22FE">
        <w:rPr>
          <w:b/>
          <w:sz w:val="22"/>
          <w:szCs w:val="22"/>
          <w:lang w:val="pl-PL"/>
        </w:rPr>
        <w:t>NAZWA PRODUKTU LECZNICZEGO</w:t>
      </w:r>
    </w:p>
    <w:p w14:paraId="103A1D96" w14:textId="77777777" w:rsidR="000016E2" w:rsidRPr="00BD22FE" w:rsidRDefault="000016E2" w:rsidP="00391291">
      <w:pPr>
        <w:keepNext/>
        <w:jc w:val="both"/>
        <w:rPr>
          <w:sz w:val="22"/>
          <w:szCs w:val="22"/>
          <w:lang w:val="pl-PL"/>
        </w:rPr>
      </w:pPr>
    </w:p>
    <w:p w14:paraId="208DC1E9" w14:textId="77777777" w:rsidR="000016E2" w:rsidRPr="00BD22FE" w:rsidRDefault="00104CA8" w:rsidP="00941FBF">
      <w:pPr>
        <w:ind w:left="540" w:hanging="540"/>
        <w:rPr>
          <w:sz w:val="22"/>
          <w:szCs w:val="22"/>
          <w:lang w:val="pl-PL"/>
        </w:rPr>
      </w:pPr>
      <w:r w:rsidRPr="00BD22FE">
        <w:rPr>
          <w:sz w:val="22"/>
          <w:szCs w:val="22"/>
          <w:lang w:val="pl-PL"/>
        </w:rPr>
        <w:t>MicardisPlus 80 mg/12,5 mg tabletki</w:t>
      </w:r>
    </w:p>
    <w:p w14:paraId="7954C6E1" w14:textId="77777777" w:rsidR="000016E2" w:rsidRPr="00BD22FE" w:rsidRDefault="00104CA8" w:rsidP="00941FBF">
      <w:pPr>
        <w:jc w:val="both"/>
        <w:rPr>
          <w:sz w:val="22"/>
          <w:szCs w:val="22"/>
          <w:lang w:val="pl-PL"/>
        </w:rPr>
      </w:pPr>
      <w:r w:rsidRPr="00BD22FE">
        <w:rPr>
          <w:sz w:val="22"/>
          <w:szCs w:val="22"/>
          <w:lang w:val="pl-PL"/>
        </w:rPr>
        <w:t>telmisartan/hydrochlorotiazyd</w:t>
      </w:r>
    </w:p>
    <w:p w14:paraId="445EB1A1" w14:textId="77777777" w:rsidR="000016E2" w:rsidRPr="00BD22FE" w:rsidRDefault="000016E2" w:rsidP="00941FBF">
      <w:pPr>
        <w:jc w:val="both"/>
        <w:rPr>
          <w:sz w:val="22"/>
          <w:szCs w:val="22"/>
          <w:lang w:val="pl-PL"/>
        </w:rPr>
      </w:pPr>
    </w:p>
    <w:p w14:paraId="7FD14C1F" w14:textId="77777777" w:rsidR="000016E2" w:rsidRPr="00BD22FE" w:rsidRDefault="000016E2" w:rsidP="00941FBF">
      <w:pPr>
        <w:jc w:val="both"/>
        <w:rPr>
          <w:sz w:val="22"/>
          <w:szCs w:val="22"/>
          <w:lang w:val="pl-PL"/>
        </w:rPr>
      </w:pPr>
    </w:p>
    <w:p w14:paraId="1B622AEA" w14:textId="2AFEB5BC" w:rsidR="000016E2" w:rsidRPr="00BD22FE" w:rsidRDefault="00391291" w:rsidP="00391291">
      <w:pPr>
        <w:keepNext/>
        <w:pBdr>
          <w:top w:val="single" w:sz="4" w:space="1" w:color="auto"/>
          <w:left w:val="single" w:sz="4" w:space="4" w:color="auto"/>
          <w:bottom w:val="single" w:sz="4" w:space="1" w:color="auto"/>
          <w:right w:val="single" w:sz="4" w:space="4" w:color="auto"/>
        </w:pBdr>
        <w:ind w:left="567" w:hanging="567"/>
        <w:rPr>
          <w:b/>
          <w:sz w:val="22"/>
          <w:szCs w:val="22"/>
          <w:lang w:val="pl-PL"/>
        </w:rPr>
      </w:pPr>
      <w:r w:rsidRPr="00BD22FE">
        <w:rPr>
          <w:b/>
          <w:sz w:val="22"/>
          <w:szCs w:val="22"/>
          <w:lang w:val="pl-PL"/>
        </w:rPr>
        <w:t>2.</w:t>
      </w:r>
      <w:r w:rsidRPr="00BD22FE">
        <w:rPr>
          <w:b/>
          <w:sz w:val="22"/>
          <w:szCs w:val="22"/>
          <w:lang w:val="pl-PL"/>
        </w:rPr>
        <w:tab/>
      </w:r>
      <w:r w:rsidR="00104CA8" w:rsidRPr="00BD22FE">
        <w:rPr>
          <w:b/>
          <w:sz w:val="22"/>
          <w:szCs w:val="22"/>
          <w:lang w:val="pl-PL"/>
        </w:rPr>
        <w:t>ZAWARTOŚĆ SUBSTANCJI CZYNNYCH</w:t>
      </w:r>
    </w:p>
    <w:p w14:paraId="20150AFB" w14:textId="77777777" w:rsidR="000016E2" w:rsidRPr="00BD22FE" w:rsidRDefault="000016E2" w:rsidP="00391291">
      <w:pPr>
        <w:keepNext/>
        <w:jc w:val="both"/>
        <w:rPr>
          <w:sz w:val="22"/>
          <w:szCs w:val="22"/>
          <w:lang w:val="pl-PL"/>
        </w:rPr>
      </w:pPr>
    </w:p>
    <w:p w14:paraId="62530CF5" w14:textId="47E66A88" w:rsidR="000016E2" w:rsidRPr="00BD22FE" w:rsidRDefault="00104CA8" w:rsidP="00941FBF">
      <w:pPr>
        <w:ind w:left="540" w:hanging="540"/>
        <w:rPr>
          <w:sz w:val="22"/>
          <w:szCs w:val="22"/>
          <w:lang w:val="pl-PL"/>
        </w:rPr>
      </w:pPr>
      <w:r w:rsidRPr="00BD22FE">
        <w:rPr>
          <w:sz w:val="22"/>
          <w:szCs w:val="22"/>
          <w:lang w:val="pl-PL"/>
        </w:rPr>
        <w:t>Każda tabletka zawiera 80 mg telmisartanu i</w:t>
      </w:r>
      <w:r w:rsidR="00717A7B" w:rsidRPr="00BD22FE">
        <w:rPr>
          <w:sz w:val="22"/>
          <w:szCs w:val="22"/>
          <w:lang w:val="pl-PL"/>
        </w:rPr>
        <w:t> </w:t>
      </w:r>
      <w:r w:rsidRPr="00BD22FE">
        <w:rPr>
          <w:sz w:val="22"/>
          <w:szCs w:val="22"/>
          <w:lang w:val="pl-PL"/>
        </w:rPr>
        <w:t>12,5 mg hydrochlorotiazydu.</w:t>
      </w:r>
    </w:p>
    <w:p w14:paraId="272501AD" w14:textId="77777777" w:rsidR="000016E2" w:rsidRPr="00BD22FE" w:rsidRDefault="000016E2" w:rsidP="00941FBF">
      <w:pPr>
        <w:jc w:val="both"/>
        <w:rPr>
          <w:sz w:val="22"/>
          <w:szCs w:val="22"/>
          <w:lang w:val="pl-PL"/>
        </w:rPr>
      </w:pPr>
    </w:p>
    <w:p w14:paraId="51BE0830" w14:textId="77777777" w:rsidR="000016E2" w:rsidRPr="00BD22FE" w:rsidRDefault="000016E2" w:rsidP="00941FBF">
      <w:pPr>
        <w:jc w:val="both"/>
        <w:rPr>
          <w:sz w:val="22"/>
          <w:szCs w:val="22"/>
          <w:lang w:val="pl-PL"/>
        </w:rPr>
      </w:pPr>
    </w:p>
    <w:p w14:paraId="024CF813" w14:textId="57ED8790" w:rsidR="000016E2" w:rsidRPr="00BD22FE" w:rsidRDefault="00391291" w:rsidP="00391291">
      <w:pPr>
        <w:keepNext/>
        <w:pBdr>
          <w:top w:val="single" w:sz="4" w:space="1" w:color="auto"/>
          <w:left w:val="single" w:sz="4" w:space="4" w:color="auto"/>
          <w:bottom w:val="single" w:sz="4" w:space="1" w:color="auto"/>
          <w:right w:val="single" w:sz="4" w:space="4" w:color="auto"/>
        </w:pBdr>
        <w:ind w:left="567" w:hanging="567"/>
        <w:rPr>
          <w:b/>
          <w:sz w:val="22"/>
          <w:szCs w:val="22"/>
          <w:lang w:val="pl-PL"/>
        </w:rPr>
      </w:pPr>
      <w:r w:rsidRPr="00BD22FE">
        <w:rPr>
          <w:b/>
          <w:sz w:val="22"/>
          <w:szCs w:val="22"/>
          <w:lang w:val="pl-PL"/>
        </w:rPr>
        <w:t>3.</w:t>
      </w:r>
      <w:r w:rsidRPr="00BD22FE">
        <w:rPr>
          <w:b/>
          <w:sz w:val="22"/>
          <w:szCs w:val="22"/>
          <w:lang w:val="pl-PL"/>
        </w:rPr>
        <w:tab/>
      </w:r>
      <w:r w:rsidR="00104CA8" w:rsidRPr="00BD22FE">
        <w:rPr>
          <w:b/>
          <w:sz w:val="22"/>
          <w:szCs w:val="22"/>
          <w:lang w:val="pl-PL"/>
        </w:rPr>
        <w:t>WYKAZ SUBSTANCJI POMOCNICZYCH</w:t>
      </w:r>
    </w:p>
    <w:p w14:paraId="5DD5B430" w14:textId="77777777" w:rsidR="000016E2" w:rsidRPr="00BD22FE" w:rsidRDefault="000016E2" w:rsidP="00391291">
      <w:pPr>
        <w:keepNext/>
        <w:jc w:val="both"/>
        <w:rPr>
          <w:sz w:val="22"/>
          <w:szCs w:val="22"/>
          <w:lang w:val="pl-PL"/>
        </w:rPr>
      </w:pPr>
    </w:p>
    <w:p w14:paraId="6A6E739F" w14:textId="0D3B09DD" w:rsidR="000016E2" w:rsidRPr="00BD22FE" w:rsidRDefault="00104CA8" w:rsidP="00941FBF">
      <w:pPr>
        <w:jc w:val="both"/>
        <w:rPr>
          <w:sz w:val="22"/>
          <w:szCs w:val="22"/>
          <w:lang w:val="pl-PL"/>
        </w:rPr>
      </w:pPr>
      <w:r w:rsidRPr="00BD22FE">
        <w:rPr>
          <w:sz w:val="22"/>
          <w:szCs w:val="22"/>
          <w:lang w:val="pl-PL"/>
        </w:rPr>
        <w:t>Zawiera laktozę jednowodną i</w:t>
      </w:r>
      <w:r w:rsidR="00717A7B" w:rsidRPr="00BD22FE">
        <w:rPr>
          <w:sz w:val="22"/>
          <w:szCs w:val="22"/>
          <w:lang w:val="pl-PL"/>
        </w:rPr>
        <w:t> </w:t>
      </w:r>
      <w:r w:rsidRPr="00BD22FE">
        <w:rPr>
          <w:sz w:val="22"/>
          <w:szCs w:val="22"/>
          <w:lang w:val="pl-PL"/>
        </w:rPr>
        <w:t>sorbitol (E420).</w:t>
      </w:r>
    </w:p>
    <w:p w14:paraId="7CB65520" w14:textId="7B541970" w:rsidR="003A7E3D" w:rsidRPr="00BD22FE" w:rsidRDefault="00104CA8" w:rsidP="00941FBF">
      <w:pPr>
        <w:rPr>
          <w:sz w:val="22"/>
          <w:szCs w:val="22"/>
          <w:lang w:val="pl-PL"/>
        </w:rPr>
      </w:pPr>
      <w:r w:rsidRPr="00BD22FE">
        <w:rPr>
          <w:sz w:val="22"/>
          <w:szCs w:val="22"/>
          <w:lang w:val="pl-PL"/>
        </w:rPr>
        <w:t>W</w:t>
      </w:r>
      <w:r w:rsidR="00717A7B" w:rsidRPr="00BD22FE">
        <w:rPr>
          <w:sz w:val="22"/>
          <w:szCs w:val="22"/>
          <w:lang w:val="pl-PL"/>
        </w:rPr>
        <w:t> </w:t>
      </w:r>
      <w:r w:rsidRPr="00BD22FE">
        <w:rPr>
          <w:sz w:val="22"/>
          <w:szCs w:val="22"/>
          <w:lang w:val="pl-PL"/>
        </w:rPr>
        <w:t>celu uzyskania dodatkowych informacji należy zapoznać się z</w:t>
      </w:r>
      <w:r w:rsidR="00717A7B" w:rsidRPr="00BD22FE">
        <w:rPr>
          <w:sz w:val="22"/>
          <w:szCs w:val="22"/>
          <w:lang w:val="pl-PL"/>
        </w:rPr>
        <w:t> </w:t>
      </w:r>
      <w:r w:rsidRPr="00BD22FE">
        <w:rPr>
          <w:sz w:val="22"/>
          <w:szCs w:val="22"/>
          <w:lang w:val="pl-PL"/>
        </w:rPr>
        <w:t>treścią ulotki.</w:t>
      </w:r>
    </w:p>
    <w:p w14:paraId="5710CC93" w14:textId="3B6DC1F3" w:rsidR="000016E2" w:rsidRPr="00BD22FE" w:rsidRDefault="000016E2" w:rsidP="00941FBF">
      <w:pPr>
        <w:jc w:val="both"/>
        <w:rPr>
          <w:bCs/>
          <w:sz w:val="22"/>
          <w:szCs w:val="22"/>
          <w:lang w:val="pl-PL"/>
        </w:rPr>
      </w:pPr>
    </w:p>
    <w:p w14:paraId="3A85082E" w14:textId="77777777" w:rsidR="000016E2" w:rsidRPr="00BD22FE" w:rsidRDefault="000016E2" w:rsidP="00941FBF">
      <w:pPr>
        <w:jc w:val="both"/>
        <w:rPr>
          <w:bCs/>
          <w:sz w:val="22"/>
          <w:szCs w:val="22"/>
          <w:lang w:val="pl-PL"/>
        </w:rPr>
      </w:pPr>
    </w:p>
    <w:p w14:paraId="1C97B251" w14:textId="0FA60233" w:rsidR="000016E2" w:rsidRPr="00BD22FE" w:rsidRDefault="00391291" w:rsidP="00391291">
      <w:pPr>
        <w:keepNext/>
        <w:pBdr>
          <w:top w:val="single" w:sz="4" w:space="1" w:color="auto"/>
          <w:left w:val="single" w:sz="4" w:space="4" w:color="auto"/>
          <w:bottom w:val="single" w:sz="4" w:space="1" w:color="auto"/>
          <w:right w:val="single" w:sz="4" w:space="4" w:color="auto"/>
        </w:pBdr>
        <w:ind w:left="567" w:hanging="567"/>
        <w:rPr>
          <w:b/>
          <w:sz w:val="22"/>
          <w:szCs w:val="22"/>
          <w:lang w:val="pl-PL"/>
        </w:rPr>
      </w:pPr>
      <w:r w:rsidRPr="00BD22FE">
        <w:rPr>
          <w:b/>
          <w:sz w:val="22"/>
          <w:szCs w:val="22"/>
          <w:lang w:val="pl-PL"/>
        </w:rPr>
        <w:t>4.</w:t>
      </w:r>
      <w:r w:rsidRPr="00BD22FE">
        <w:rPr>
          <w:b/>
          <w:sz w:val="22"/>
          <w:szCs w:val="22"/>
          <w:lang w:val="pl-PL"/>
        </w:rPr>
        <w:tab/>
      </w:r>
      <w:r w:rsidR="00104CA8" w:rsidRPr="00BD22FE">
        <w:rPr>
          <w:b/>
          <w:sz w:val="22"/>
          <w:szCs w:val="22"/>
          <w:lang w:val="pl-PL"/>
        </w:rPr>
        <w:t>POSTAĆ FARMACEUTYCZNA I</w:t>
      </w:r>
      <w:r w:rsidR="00717A7B" w:rsidRPr="00BD22FE">
        <w:rPr>
          <w:b/>
          <w:sz w:val="22"/>
          <w:szCs w:val="22"/>
          <w:lang w:val="pl-PL"/>
        </w:rPr>
        <w:t> </w:t>
      </w:r>
      <w:r w:rsidR="00104CA8" w:rsidRPr="00BD22FE">
        <w:rPr>
          <w:b/>
          <w:sz w:val="22"/>
          <w:szCs w:val="22"/>
          <w:lang w:val="pl-PL"/>
        </w:rPr>
        <w:t>ZAWARTOŚĆ OPAKOWANIA</w:t>
      </w:r>
    </w:p>
    <w:p w14:paraId="02A08C98" w14:textId="77777777" w:rsidR="000016E2" w:rsidRPr="00BD22FE" w:rsidRDefault="000016E2" w:rsidP="00391291">
      <w:pPr>
        <w:keepNext/>
        <w:jc w:val="both"/>
        <w:rPr>
          <w:sz w:val="22"/>
          <w:szCs w:val="22"/>
          <w:lang w:val="pl-PL"/>
        </w:rPr>
      </w:pPr>
    </w:p>
    <w:p w14:paraId="643E5B6A" w14:textId="246FA0B5" w:rsidR="000016E2" w:rsidRPr="00BD22FE" w:rsidRDefault="00104CA8" w:rsidP="00941FBF">
      <w:pPr>
        <w:rPr>
          <w:sz w:val="22"/>
          <w:szCs w:val="22"/>
          <w:lang w:val="pl-PL"/>
        </w:rPr>
      </w:pPr>
      <w:r w:rsidRPr="00BD22FE">
        <w:rPr>
          <w:sz w:val="22"/>
          <w:szCs w:val="22"/>
          <w:lang w:val="pl-PL"/>
        </w:rPr>
        <w:t>14</w:t>
      </w:r>
      <w:r w:rsidR="00391291" w:rsidRPr="00BD22FE">
        <w:rPr>
          <w:sz w:val="22"/>
          <w:szCs w:val="22"/>
          <w:lang w:val="pl-PL"/>
        </w:rPr>
        <w:t> </w:t>
      </w:r>
      <w:r w:rsidRPr="00BD22FE">
        <w:rPr>
          <w:sz w:val="22"/>
          <w:szCs w:val="22"/>
          <w:lang w:val="pl-PL"/>
        </w:rPr>
        <w:t>tabletek</w:t>
      </w:r>
    </w:p>
    <w:p w14:paraId="4745D431" w14:textId="4BCB54BF" w:rsidR="000016E2" w:rsidRPr="00BD22FE" w:rsidRDefault="00104CA8" w:rsidP="00941FBF">
      <w:pPr>
        <w:rPr>
          <w:sz w:val="22"/>
          <w:szCs w:val="22"/>
          <w:lang w:val="pl-PL"/>
        </w:rPr>
      </w:pPr>
      <w:r w:rsidRPr="00BD22FE">
        <w:rPr>
          <w:sz w:val="22"/>
          <w:szCs w:val="22"/>
          <w:shd w:val="clear" w:color="auto" w:fill="C0C0C0"/>
          <w:lang w:val="pl-PL"/>
        </w:rPr>
        <w:t>28</w:t>
      </w:r>
      <w:r w:rsidR="00391291" w:rsidRPr="00BD22FE">
        <w:rPr>
          <w:sz w:val="22"/>
          <w:szCs w:val="22"/>
          <w:shd w:val="clear" w:color="auto" w:fill="C0C0C0"/>
          <w:lang w:val="pl-PL"/>
        </w:rPr>
        <w:t> </w:t>
      </w:r>
      <w:r w:rsidRPr="00BD22FE">
        <w:rPr>
          <w:sz w:val="22"/>
          <w:szCs w:val="22"/>
          <w:shd w:val="clear" w:color="auto" w:fill="C0C0C0"/>
          <w:lang w:val="pl-PL"/>
        </w:rPr>
        <w:t>tabletek</w:t>
      </w:r>
    </w:p>
    <w:p w14:paraId="5CEA2EBF" w14:textId="6460DB7D" w:rsidR="000016E2" w:rsidRPr="00BD22FE" w:rsidRDefault="00104CA8" w:rsidP="00941FBF">
      <w:pPr>
        <w:rPr>
          <w:sz w:val="22"/>
          <w:szCs w:val="22"/>
          <w:lang w:val="pl-PL"/>
        </w:rPr>
      </w:pPr>
      <w:r w:rsidRPr="00BD22FE">
        <w:rPr>
          <w:sz w:val="22"/>
          <w:szCs w:val="22"/>
          <w:shd w:val="clear" w:color="auto" w:fill="C0C0C0"/>
          <w:lang w:val="pl-PL"/>
        </w:rPr>
        <w:t>30</w:t>
      </w:r>
      <w:r w:rsidR="00391291" w:rsidRPr="00BD22FE">
        <w:rPr>
          <w:sz w:val="22"/>
          <w:szCs w:val="22"/>
          <w:shd w:val="clear" w:color="auto" w:fill="C0C0C0"/>
          <w:lang w:val="pl-PL"/>
        </w:rPr>
        <w:t> </w:t>
      </w:r>
      <w:r w:rsidR="003F4C93" w:rsidRPr="00BD22FE">
        <w:rPr>
          <w:sz w:val="22"/>
          <w:shd w:val="clear" w:color="auto" w:fill="C0C0C0"/>
          <w:lang w:val="pl-PL"/>
        </w:rPr>
        <w:t>×</w:t>
      </w:r>
      <w:r w:rsidR="00391291" w:rsidRPr="00BD22FE">
        <w:rPr>
          <w:sz w:val="22"/>
          <w:szCs w:val="22"/>
          <w:shd w:val="clear" w:color="auto" w:fill="C0C0C0"/>
          <w:lang w:val="pl-PL"/>
        </w:rPr>
        <w:t> </w:t>
      </w:r>
      <w:r w:rsidRPr="00BD22FE">
        <w:rPr>
          <w:sz w:val="22"/>
          <w:szCs w:val="22"/>
          <w:shd w:val="clear" w:color="auto" w:fill="C0C0C0"/>
          <w:lang w:val="pl-PL"/>
        </w:rPr>
        <w:t>1</w:t>
      </w:r>
      <w:r w:rsidR="00391291" w:rsidRPr="00BD22FE">
        <w:rPr>
          <w:sz w:val="22"/>
          <w:szCs w:val="22"/>
          <w:shd w:val="clear" w:color="auto" w:fill="C0C0C0"/>
          <w:lang w:val="pl-PL"/>
        </w:rPr>
        <w:t> </w:t>
      </w:r>
      <w:r w:rsidRPr="00BD22FE">
        <w:rPr>
          <w:sz w:val="22"/>
          <w:szCs w:val="22"/>
          <w:shd w:val="clear" w:color="auto" w:fill="C0C0C0"/>
          <w:lang w:val="pl-PL"/>
        </w:rPr>
        <w:t>tabletka</w:t>
      </w:r>
    </w:p>
    <w:p w14:paraId="1F103226" w14:textId="54534137" w:rsidR="000016E2" w:rsidRPr="00BD22FE" w:rsidRDefault="00104CA8" w:rsidP="00941FBF">
      <w:pPr>
        <w:rPr>
          <w:sz w:val="22"/>
          <w:szCs w:val="22"/>
          <w:lang w:val="pl-PL"/>
        </w:rPr>
      </w:pPr>
      <w:r w:rsidRPr="00BD22FE">
        <w:rPr>
          <w:sz w:val="22"/>
          <w:szCs w:val="22"/>
          <w:shd w:val="clear" w:color="auto" w:fill="C0C0C0"/>
          <w:lang w:val="pl-PL"/>
        </w:rPr>
        <w:t>56</w:t>
      </w:r>
      <w:r w:rsidR="00391291" w:rsidRPr="00BD22FE">
        <w:rPr>
          <w:sz w:val="22"/>
          <w:szCs w:val="22"/>
          <w:shd w:val="clear" w:color="auto" w:fill="C0C0C0"/>
          <w:lang w:val="pl-PL"/>
        </w:rPr>
        <w:t> </w:t>
      </w:r>
      <w:r w:rsidRPr="00BD22FE">
        <w:rPr>
          <w:sz w:val="22"/>
          <w:szCs w:val="22"/>
          <w:shd w:val="clear" w:color="auto" w:fill="C0C0C0"/>
          <w:lang w:val="pl-PL"/>
        </w:rPr>
        <w:t>tabletek</w:t>
      </w:r>
    </w:p>
    <w:p w14:paraId="4B60B0B3" w14:textId="41F0678D" w:rsidR="000016E2" w:rsidRPr="00BD22FE" w:rsidRDefault="00104CA8" w:rsidP="00941FBF">
      <w:pPr>
        <w:rPr>
          <w:sz w:val="22"/>
          <w:szCs w:val="22"/>
          <w:lang w:val="pl-PL"/>
        </w:rPr>
      </w:pPr>
      <w:r w:rsidRPr="00BD22FE">
        <w:rPr>
          <w:sz w:val="22"/>
          <w:szCs w:val="22"/>
          <w:shd w:val="clear" w:color="auto" w:fill="C0C0C0"/>
          <w:lang w:val="pl-PL"/>
        </w:rPr>
        <w:t>84</w:t>
      </w:r>
      <w:r w:rsidR="00391291" w:rsidRPr="00BD22FE">
        <w:rPr>
          <w:sz w:val="22"/>
          <w:szCs w:val="22"/>
          <w:shd w:val="clear" w:color="auto" w:fill="C0C0C0"/>
          <w:lang w:val="pl-PL"/>
        </w:rPr>
        <w:t> </w:t>
      </w:r>
      <w:r w:rsidRPr="00BD22FE">
        <w:rPr>
          <w:sz w:val="22"/>
          <w:szCs w:val="22"/>
          <w:shd w:val="clear" w:color="auto" w:fill="C0C0C0"/>
          <w:lang w:val="pl-PL"/>
        </w:rPr>
        <w:t>tabletki</w:t>
      </w:r>
    </w:p>
    <w:p w14:paraId="57679526" w14:textId="72D149B6" w:rsidR="000016E2" w:rsidRPr="00BD22FE" w:rsidRDefault="00104CA8" w:rsidP="00941FBF">
      <w:pPr>
        <w:rPr>
          <w:sz w:val="22"/>
          <w:szCs w:val="22"/>
          <w:lang w:val="pl-PL"/>
        </w:rPr>
      </w:pPr>
      <w:r w:rsidRPr="00BD22FE">
        <w:rPr>
          <w:sz w:val="22"/>
          <w:szCs w:val="22"/>
          <w:shd w:val="clear" w:color="auto" w:fill="C0C0C0"/>
          <w:lang w:val="pl-PL"/>
        </w:rPr>
        <w:t>90</w:t>
      </w:r>
      <w:r w:rsidR="00391291" w:rsidRPr="00BD22FE">
        <w:rPr>
          <w:sz w:val="22"/>
          <w:szCs w:val="22"/>
          <w:shd w:val="clear" w:color="auto" w:fill="C0C0C0"/>
          <w:lang w:val="pl-PL"/>
        </w:rPr>
        <w:t> </w:t>
      </w:r>
      <w:r w:rsidR="003F4C93" w:rsidRPr="00BD22FE">
        <w:rPr>
          <w:sz w:val="22"/>
          <w:shd w:val="clear" w:color="auto" w:fill="C0C0C0"/>
          <w:lang w:val="pl-PL"/>
        </w:rPr>
        <w:t>×</w:t>
      </w:r>
      <w:r w:rsidR="00391291" w:rsidRPr="00BD22FE">
        <w:rPr>
          <w:sz w:val="22"/>
          <w:szCs w:val="22"/>
          <w:shd w:val="clear" w:color="auto" w:fill="C0C0C0"/>
          <w:lang w:val="pl-PL"/>
        </w:rPr>
        <w:t> </w:t>
      </w:r>
      <w:r w:rsidRPr="00BD22FE">
        <w:rPr>
          <w:sz w:val="22"/>
          <w:szCs w:val="22"/>
          <w:shd w:val="clear" w:color="auto" w:fill="C0C0C0"/>
          <w:lang w:val="pl-PL"/>
        </w:rPr>
        <w:t>1</w:t>
      </w:r>
      <w:r w:rsidR="00391291" w:rsidRPr="00BD22FE">
        <w:rPr>
          <w:sz w:val="22"/>
          <w:szCs w:val="22"/>
          <w:shd w:val="clear" w:color="auto" w:fill="C0C0C0"/>
          <w:lang w:val="pl-PL"/>
        </w:rPr>
        <w:t> </w:t>
      </w:r>
      <w:r w:rsidRPr="00BD22FE">
        <w:rPr>
          <w:sz w:val="22"/>
          <w:szCs w:val="22"/>
          <w:shd w:val="clear" w:color="auto" w:fill="C0C0C0"/>
          <w:lang w:val="pl-PL"/>
        </w:rPr>
        <w:t>tabletka</w:t>
      </w:r>
    </w:p>
    <w:p w14:paraId="3BD1AFA4" w14:textId="61EE8869" w:rsidR="000016E2" w:rsidRPr="00BD22FE" w:rsidRDefault="00104CA8" w:rsidP="00941FBF">
      <w:pPr>
        <w:rPr>
          <w:sz w:val="22"/>
          <w:szCs w:val="22"/>
          <w:lang w:val="pl-PL"/>
        </w:rPr>
      </w:pPr>
      <w:r w:rsidRPr="00BD22FE">
        <w:rPr>
          <w:sz w:val="22"/>
          <w:szCs w:val="22"/>
          <w:shd w:val="clear" w:color="auto" w:fill="C0C0C0"/>
          <w:lang w:val="pl-PL"/>
        </w:rPr>
        <w:t>98</w:t>
      </w:r>
      <w:r w:rsidR="00391291" w:rsidRPr="00BD22FE">
        <w:rPr>
          <w:sz w:val="22"/>
          <w:szCs w:val="22"/>
          <w:shd w:val="clear" w:color="auto" w:fill="C0C0C0"/>
          <w:lang w:val="pl-PL"/>
        </w:rPr>
        <w:t> </w:t>
      </w:r>
      <w:r w:rsidRPr="00BD22FE">
        <w:rPr>
          <w:sz w:val="22"/>
          <w:szCs w:val="22"/>
          <w:shd w:val="clear" w:color="auto" w:fill="C0C0C0"/>
          <w:lang w:val="pl-PL"/>
        </w:rPr>
        <w:t>tabletek</w:t>
      </w:r>
    </w:p>
    <w:p w14:paraId="764C0270" w14:textId="6205BC42" w:rsidR="000016E2" w:rsidRPr="00BD22FE" w:rsidRDefault="00104CA8" w:rsidP="00941FBF">
      <w:pPr>
        <w:rPr>
          <w:sz w:val="22"/>
          <w:szCs w:val="22"/>
          <w:lang w:val="pl-PL"/>
        </w:rPr>
      </w:pPr>
      <w:r w:rsidRPr="00BD22FE">
        <w:rPr>
          <w:sz w:val="22"/>
          <w:szCs w:val="22"/>
          <w:shd w:val="clear" w:color="auto" w:fill="C0C0C0"/>
          <w:lang w:val="pl-PL"/>
        </w:rPr>
        <w:t>28</w:t>
      </w:r>
      <w:r w:rsidR="00391291" w:rsidRPr="00BD22FE">
        <w:rPr>
          <w:sz w:val="22"/>
          <w:szCs w:val="22"/>
          <w:shd w:val="clear" w:color="auto" w:fill="C0C0C0"/>
          <w:lang w:val="pl-PL"/>
        </w:rPr>
        <w:t> </w:t>
      </w:r>
      <w:r w:rsidR="003F4C93" w:rsidRPr="00BD22FE">
        <w:rPr>
          <w:sz w:val="22"/>
          <w:shd w:val="clear" w:color="auto" w:fill="C0C0C0"/>
          <w:lang w:val="pl-PL"/>
        </w:rPr>
        <w:t>×</w:t>
      </w:r>
      <w:r w:rsidR="00391291" w:rsidRPr="00BD22FE">
        <w:rPr>
          <w:sz w:val="22"/>
          <w:szCs w:val="22"/>
          <w:shd w:val="clear" w:color="auto" w:fill="C0C0C0"/>
          <w:lang w:val="pl-PL"/>
        </w:rPr>
        <w:t> </w:t>
      </w:r>
      <w:r w:rsidRPr="00BD22FE">
        <w:rPr>
          <w:sz w:val="22"/>
          <w:szCs w:val="22"/>
          <w:shd w:val="clear" w:color="auto" w:fill="C0C0C0"/>
          <w:lang w:val="pl-PL"/>
        </w:rPr>
        <w:t>1</w:t>
      </w:r>
      <w:r w:rsidR="00391291" w:rsidRPr="00BD22FE">
        <w:rPr>
          <w:sz w:val="22"/>
          <w:szCs w:val="22"/>
          <w:shd w:val="clear" w:color="auto" w:fill="C0C0C0"/>
          <w:lang w:val="pl-PL"/>
        </w:rPr>
        <w:t> </w:t>
      </w:r>
      <w:r w:rsidRPr="00BD22FE">
        <w:rPr>
          <w:sz w:val="22"/>
          <w:szCs w:val="22"/>
          <w:shd w:val="clear" w:color="auto" w:fill="C0C0C0"/>
          <w:lang w:val="pl-PL"/>
        </w:rPr>
        <w:t>tabletka</w:t>
      </w:r>
    </w:p>
    <w:p w14:paraId="5D06770D" w14:textId="77777777" w:rsidR="000016E2" w:rsidRPr="00BD22FE" w:rsidRDefault="000016E2" w:rsidP="00941FBF">
      <w:pPr>
        <w:jc w:val="both"/>
        <w:rPr>
          <w:sz w:val="22"/>
          <w:szCs w:val="22"/>
          <w:lang w:val="pl-PL"/>
        </w:rPr>
      </w:pPr>
    </w:p>
    <w:p w14:paraId="5C120B02" w14:textId="77777777" w:rsidR="000016E2" w:rsidRPr="00BD22FE" w:rsidRDefault="000016E2" w:rsidP="00941FBF">
      <w:pPr>
        <w:jc w:val="both"/>
        <w:rPr>
          <w:sz w:val="22"/>
          <w:szCs w:val="22"/>
          <w:lang w:val="pl-PL"/>
        </w:rPr>
      </w:pPr>
    </w:p>
    <w:p w14:paraId="3B3D2B09" w14:textId="4DA2FE6A" w:rsidR="000016E2" w:rsidRPr="00BD22FE" w:rsidRDefault="00391291" w:rsidP="00391291">
      <w:pPr>
        <w:keepNext/>
        <w:pBdr>
          <w:top w:val="single" w:sz="4" w:space="1" w:color="auto"/>
          <w:left w:val="single" w:sz="4" w:space="4" w:color="auto"/>
          <w:bottom w:val="single" w:sz="4" w:space="1" w:color="auto"/>
          <w:right w:val="single" w:sz="4" w:space="4" w:color="auto"/>
        </w:pBdr>
        <w:ind w:left="567" w:hanging="567"/>
        <w:rPr>
          <w:b/>
          <w:sz w:val="22"/>
          <w:szCs w:val="22"/>
          <w:lang w:val="pl-PL"/>
        </w:rPr>
      </w:pPr>
      <w:r w:rsidRPr="00BD22FE">
        <w:rPr>
          <w:b/>
          <w:sz w:val="22"/>
          <w:szCs w:val="22"/>
          <w:lang w:val="pl-PL"/>
        </w:rPr>
        <w:t>5.</w:t>
      </w:r>
      <w:r w:rsidRPr="00BD22FE">
        <w:rPr>
          <w:b/>
          <w:sz w:val="22"/>
          <w:szCs w:val="22"/>
          <w:lang w:val="pl-PL"/>
        </w:rPr>
        <w:tab/>
      </w:r>
      <w:r w:rsidR="00104CA8" w:rsidRPr="00BD22FE">
        <w:rPr>
          <w:b/>
          <w:sz w:val="22"/>
          <w:szCs w:val="22"/>
          <w:lang w:val="pl-PL"/>
        </w:rPr>
        <w:t>SPOSÓB I</w:t>
      </w:r>
      <w:r w:rsidR="00717A7B" w:rsidRPr="00BD22FE">
        <w:rPr>
          <w:b/>
          <w:sz w:val="22"/>
          <w:szCs w:val="22"/>
          <w:lang w:val="pl-PL"/>
        </w:rPr>
        <w:t> </w:t>
      </w:r>
      <w:r w:rsidR="00104CA8" w:rsidRPr="00BD22FE">
        <w:rPr>
          <w:b/>
          <w:sz w:val="22"/>
          <w:szCs w:val="22"/>
          <w:lang w:val="pl-PL"/>
        </w:rPr>
        <w:t>DROGA PODANIA</w:t>
      </w:r>
    </w:p>
    <w:p w14:paraId="34A8D3E8" w14:textId="77777777" w:rsidR="000016E2" w:rsidRPr="00BD22FE" w:rsidRDefault="000016E2" w:rsidP="00391291">
      <w:pPr>
        <w:keepNext/>
        <w:jc w:val="both"/>
        <w:rPr>
          <w:sz w:val="22"/>
          <w:szCs w:val="22"/>
          <w:lang w:val="pl-PL"/>
        </w:rPr>
      </w:pPr>
    </w:p>
    <w:p w14:paraId="4BD64ABD" w14:textId="77777777" w:rsidR="000016E2" w:rsidRPr="00BD22FE" w:rsidRDefault="00104CA8" w:rsidP="00941FBF">
      <w:pPr>
        <w:rPr>
          <w:sz w:val="22"/>
          <w:szCs w:val="22"/>
          <w:lang w:val="pl-PL"/>
        </w:rPr>
      </w:pPr>
      <w:r w:rsidRPr="00BD22FE">
        <w:rPr>
          <w:sz w:val="22"/>
          <w:szCs w:val="22"/>
          <w:lang w:val="pl-PL"/>
        </w:rPr>
        <w:t>Podanie doustne.</w:t>
      </w:r>
    </w:p>
    <w:p w14:paraId="76FE1E3B" w14:textId="04DAE30B" w:rsidR="000016E2" w:rsidRPr="00BD22FE" w:rsidRDefault="00104CA8" w:rsidP="00941FBF">
      <w:pPr>
        <w:jc w:val="both"/>
        <w:rPr>
          <w:sz w:val="22"/>
          <w:szCs w:val="22"/>
          <w:lang w:val="pl-PL"/>
        </w:rPr>
      </w:pPr>
      <w:r w:rsidRPr="00BD22FE">
        <w:rPr>
          <w:sz w:val="22"/>
          <w:szCs w:val="22"/>
          <w:lang w:val="pl-PL"/>
        </w:rPr>
        <w:t>Należy zapoznać się z</w:t>
      </w:r>
      <w:r w:rsidR="00717A7B" w:rsidRPr="00BD22FE">
        <w:rPr>
          <w:sz w:val="22"/>
          <w:szCs w:val="22"/>
          <w:lang w:val="pl-PL"/>
        </w:rPr>
        <w:t> </w:t>
      </w:r>
      <w:r w:rsidRPr="00BD22FE">
        <w:rPr>
          <w:sz w:val="22"/>
          <w:szCs w:val="22"/>
          <w:lang w:val="pl-PL"/>
        </w:rPr>
        <w:t>treścią ulotki przed zastosowaniem leku.</w:t>
      </w:r>
    </w:p>
    <w:p w14:paraId="0DDABB04" w14:textId="77777777" w:rsidR="000016E2" w:rsidRPr="00BD22FE" w:rsidRDefault="000016E2" w:rsidP="00941FBF">
      <w:pPr>
        <w:jc w:val="both"/>
        <w:rPr>
          <w:sz w:val="22"/>
          <w:szCs w:val="22"/>
          <w:lang w:val="pl-PL"/>
        </w:rPr>
      </w:pPr>
    </w:p>
    <w:p w14:paraId="1B454C6A" w14:textId="77777777" w:rsidR="000016E2" w:rsidRPr="00BD22FE" w:rsidRDefault="000016E2" w:rsidP="00941FBF">
      <w:pPr>
        <w:jc w:val="both"/>
        <w:rPr>
          <w:sz w:val="22"/>
          <w:szCs w:val="22"/>
          <w:lang w:val="pl-PL"/>
        </w:rPr>
      </w:pPr>
    </w:p>
    <w:p w14:paraId="0619C513" w14:textId="7D3363B4" w:rsidR="003A7E3D" w:rsidRPr="00BD22FE" w:rsidRDefault="00104CA8" w:rsidP="00391291">
      <w:pPr>
        <w:keepNext/>
        <w:pBdr>
          <w:top w:val="single" w:sz="4" w:space="1" w:color="auto"/>
          <w:left w:val="single" w:sz="4" w:space="4" w:color="auto"/>
          <w:bottom w:val="single" w:sz="4" w:space="1" w:color="auto"/>
          <w:right w:val="single" w:sz="4" w:space="4" w:color="auto"/>
        </w:pBdr>
        <w:ind w:left="567" w:hanging="567"/>
        <w:rPr>
          <w:b/>
          <w:sz w:val="22"/>
          <w:szCs w:val="22"/>
          <w:lang w:val="pl-PL"/>
        </w:rPr>
      </w:pPr>
      <w:r w:rsidRPr="00BD22FE">
        <w:rPr>
          <w:b/>
          <w:sz w:val="22"/>
          <w:szCs w:val="22"/>
          <w:lang w:val="pl-PL"/>
        </w:rPr>
        <w:t>6.</w:t>
      </w:r>
      <w:r w:rsidRPr="00BD22FE">
        <w:rPr>
          <w:b/>
          <w:sz w:val="22"/>
          <w:szCs w:val="22"/>
          <w:lang w:val="pl-PL"/>
        </w:rPr>
        <w:tab/>
        <w:t>OSTRZEŻENIE DOTYCZĄCE PRZECHOWYWANIA PRODUKTU LECZNICZEGO W</w:t>
      </w:r>
      <w:r w:rsidR="00717A7B" w:rsidRPr="00BD22FE">
        <w:rPr>
          <w:b/>
          <w:sz w:val="22"/>
          <w:szCs w:val="22"/>
          <w:lang w:val="pl-PL"/>
        </w:rPr>
        <w:t> </w:t>
      </w:r>
      <w:r w:rsidRPr="00BD22FE">
        <w:rPr>
          <w:b/>
          <w:sz w:val="22"/>
          <w:szCs w:val="22"/>
          <w:lang w:val="pl-PL"/>
        </w:rPr>
        <w:t>MIEJSCU NIEWIDOCZNYM I</w:t>
      </w:r>
      <w:r w:rsidR="00717A7B" w:rsidRPr="00BD22FE">
        <w:rPr>
          <w:b/>
          <w:sz w:val="22"/>
          <w:szCs w:val="22"/>
          <w:lang w:val="pl-PL"/>
        </w:rPr>
        <w:t> </w:t>
      </w:r>
      <w:r w:rsidRPr="00BD22FE">
        <w:rPr>
          <w:b/>
          <w:sz w:val="22"/>
          <w:szCs w:val="22"/>
          <w:lang w:val="pl-PL"/>
        </w:rPr>
        <w:t>NIEDOSTĘPNYM DLA DZIECI</w:t>
      </w:r>
    </w:p>
    <w:p w14:paraId="7D8450AF" w14:textId="79ECA242" w:rsidR="000016E2" w:rsidRPr="00BD22FE" w:rsidRDefault="000016E2" w:rsidP="00391291">
      <w:pPr>
        <w:keepNext/>
        <w:jc w:val="both"/>
        <w:rPr>
          <w:sz w:val="22"/>
          <w:szCs w:val="22"/>
          <w:lang w:val="pl-PL"/>
        </w:rPr>
      </w:pPr>
    </w:p>
    <w:p w14:paraId="581843DB" w14:textId="20CA38D5" w:rsidR="000016E2" w:rsidRPr="00BD22FE" w:rsidRDefault="00104CA8" w:rsidP="00941FBF">
      <w:pPr>
        <w:rPr>
          <w:sz w:val="22"/>
          <w:szCs w:val="22"/>
          <w:lang w:val="pl-PL"/>
        </w:rPr>
      </w:pPr>
      <w:r w:rsidRPr="00BD22FE">
        <w:rPr>
          <w:sz w:val="22"/>
          <w:szCs w:val="22"/>
          <w:lang w:val="pl-PL"/>
        </w:rPr>
        <w:t>Lek przechowywać w</w:t>
      </w:r>
      <w:r w:rsidR="00717A7B" w:rsidRPr="00BD22FE">
        <w:rPr>
          <w:sz w:val="22"/>
          <w:szCs w:val="22"/>
          <w:lang w:val="pl-PL"/>
        </w:rPr>
        <w:t> </w:t>
      </w:r>
      <w:r w:rsidRPr="00BD22FE">
        <w:rPr>
          <w:sz w:val="22"/>
          <w:szCs w:val="22"/>
          <w:lang w:val="pl-PL"/>
        </w:rPr>
        <w:t>miejscu niewidocznym i</w:t>
      </w:r>
      <w:r w:rsidR="00717A7B" w:rsidRPr="00BD22FE">
        <w:rPr>
          <w:sz w:val="22"/>
          <w:szCs w:val="22"/>
          <w:lang w:val="pl-PL"/>
        </w:rPr>
        <w:t> </w:t>
      </w:r>
      <w:r w:rsidRPr="00BD22FE">
        <w:rPr>
          <w:sz w:val="22"/>
          <w:szCs w:val="22"/>
          <w:lang w:val="pl-PL"/>
        </w:rPr>
        <w:t>niedostępnym dla dzieci.</w:t>
      </w:r>
    </w:p>
    <w:p w14:paraId="35F0132F" w14:textId="77777777" w:rsidR="000016E2" w:rsidRPr="00BD22FE" w:rsidRDefault="000016E2" w:rsidP="00941FBF">
      <w:pPr>
        <w:jc w:val="both"/>
        <w:rPr>
          <w:sz w:val="22"/>
          <w:szCs w:val="22"/>
          <w:lang w:val="pl-PL"/>
        </w:rPr>
      </w:pPr>
    </w:p>
    <w:p w14:paraId="561CB7C2" w14:textId="77777777" w:rsidR="000016E2" w:rsidRPr="00BD22FE" w:rsidRDefault="000016E2" w:rsidP="00941FBF">
      <w:pPr>
        <w:jc w:val="both"/>
        <w:rPr>
          <w:sz w:val="22"/>
          <w:szCs w:val="22"/>
          <w:lang w:val="pl-PL"/>
        </w:rPr>
      </w:pPr>
    </w:p>
    <w:p w14:paraId="0D15C2CE" w14:textId="77777777" w:rsidR="003A7E3D" w:rsidRPr="00BD22FE" w:rsidRDefault="00104CA8" w:rsidP="00391291">
      <w:pPr>
        <w:keepNext/>
        <w:pBdr>
          <w:top w:val="single" w:sz="4" w:space="1" w:color="auto"/>
          <w:left w:val="single" w:sz="4" w:space="4" w:color="auto"/>
          <w:bottom w:val="single" w:sz="4" w:space="1" w:color="auto"/>
          <w:right w:val="single" w:sz="4" w:space="4" w:color="auto"/>
        </w:pBdr>
        <w:ind w:left="567" w:hanging="567"/>
        <w:rPr>
          <w:b/>
          <w:sz w:val="22"/>
          <w:szCs w:val="22"/>
          <w:lang w:val="pl-PL"/>
        </w:rPr>
      </w:pPr>
      <w:r w:rsidRPr="00BD22FE">
        <w:rPr>
          <w:b/>
          <w:sz w:val="22"/>
          <w:szCs w:val="22"/>
          <w:lang w:val="pl-PL"/>
        </w:rPr>
        <w:t>7.</w:t>
      </w:r>
      <w:r w:rsidRPr="00BD22FE">
        <w:rPr>
          <w:b/>
          <w:sz w:val="22"/>
          <w:szCs w:val="22"/>
          <w:lang w:val="pl-PL"/>
        </w:rPr>
        <w:tab/>
        <w:t>INNE OSTRZEŻENIA SPECJALNE, JEŚLI KONIECZNE</w:t>
      </w:r>
    </w:p>
    <w:p w14:paraId="0A952504" w14:textId="25AA3090" w:rsidR="000016E2" w:rsidRPr="00BD22FE" w:rsidRDefault="000016E2" w:rsidP="00391291">
      <w:pPr>
        <w:keepNext/>
        <w:rPr>
          <w:sz w:val="22"/>
          <w:szCs w:val="22"/>
          <w:lang w:val="pl-PL"/>
        </w:rPr>
      </w:pPr>
    </w:p>
    <w:p w14:paraId="16B9C0A1" w14:textId="77777777" w:rsidR="000016E2" w:rsidRPr="00BD22FE" w:rsidRDefault="000016E2" w:rsidP="00941FBF">
      <w:pPr>
        <w:rPr>
          <w:sz w:val="22"/>
          <w:szCs w:val="22"/>
          <w:lang w:val="pl-PL"/>
        </w:rPr>
      </w:pPr>
    </w:p>
    <w:p w14:paraId="6F1FA079" w14:textId="4A5E77BC" w:rsidR="000016E2" w:rsidRPr="00BD22FE" w:rsidRDefault="00391291" w:rsidP="00391291">
      <w:pPr>
        <w:keepNext/>
        <w:pBdr>
          <w:top w:val="single" w:sz="4" w:space="1" w:color="auto"/>
          <w:left w:val="single" w:sz="4" w:space="4" w:color="auto"/>
          <w:bottom w:val="single" w:sz="4" w:space="1" w:color="auto"/>
          <w:right w:val="single" w:sz="4" w:space="4" w:color="auto"/>
        </w:pBdr>
        <w:ind w:left="567" w:hanging="567"/>
        <w:rPr>
          <w:b/>
          <w:sz w:val="22"/>
          <w:szCs w:val="22"/>
          <w:lang w:val="pl-PL"/>
        </w:rPr>
      </w:pPr>
      <w:r w:rsidRPr="00BD22FE">
        <w:rPr>
          <w:b/>
          <w:sz w:val="22"/>
          <w:szCs w:val="22"/>
          <w:lang w:val="pl-PL"/>
        </w:rPr>
        <w:t>8.</w:t>
      </w:r>
      <w:r w:rsidRPr="00BD22FE">
        <w:rPr>
          <w:b/>
          <w:sz w:val="22"/>
          <w:szCs w:val="22"/>
          <w:lang w:val="pl-PL"/>
        </w:rPr>
        <w:tab/>
      </w:r>
      <w:r w:rsidR="00104CA8" w:rsidRPr="00BD22FE">
        <w:rPr>
          <w:b/>
          <w:sz w:val="22"/>
          <w:szCs w:val="22"/>
          <w:lang w:val="pl-PL"/>
        </w:rPr>
        <w:t>TERMIN WAŻNOŚCI</w:t>
      </w:r>
    </w:p>
    <w:p w14:paraId="2B5C46CE" w14:textId="77777777" w:rsidR="000016E2" w:rsidRPr="00BD22FE" w:rsidRDefault="000016E2" w:rsidP="00941FBF">
      <w:pPr>
        <w:keepNext/>
        <w:jc w:val="both"/>
        <w:rPr>
          <w:sz w:val="22"/>
          <w:szCs w:val="22"/>
          <w:lang w:val="pl-PL"/>
        </w:rPr>
      </w:pPr>
    </w:p>
    <w:p w14:paraId="08B6CA68" w14:textId="5B784718" w:rsidR="003A7E3D" w:rsidRPr="00BD22FE" w:rsidRDefault="00104CA8" w:rsidP="00941FBF">
      <w:pPr>
        <w:rPr>
          <w:sz w:val="22"/>
          <w:szCs w:val="22"/>
          <w:lang w:val="pl-PL"/>
        </w:rPr>
      </w:pPr>
      <w:r w:rsidRPr="00BD22FE">
        <w:rPr>
          <w:sz w:val="22"/>
          <w:szCs w:val="22"/>
          <w:lang w:val="pl-PL"/>
        </w:rPr>
        <w:t>Termin ważności:</w:t>
      </w:r>
    </w:p>
    <w:p w14:paraId="5CC44928" w14:textId="16DF1F0C" w:rsidR="000016E2" w:rsidRPr="00BD22FE" w:rsidRDefault="000016E2" w:rsidP="00941FBF">
      <w:pPr>
        <w:jc w:val="both"/>
        <w:rPr>
          <w:bCs/>
          <w:sz w:val="22"/>
          <w:szCs w:val="22"/>
          <w:lang w:val="pl-PL"/>
        </w:rPr>
      </w:pPr>
    </w:p>
    <w:p w14:paraId="713764DC" w14:textId="77777777" w:rsidR="000016E2" w:rsidRPr="00BD22FE" w:rsidRDefault="000016E2" w:rsidP="00941FBF">
      <w:pPr>
        <w:jc w:val="both"/>
        <w:rPr>
          <w:bCs/>
          <w:sz w:val="22"/>
          <w:szCs w:val="22"/>
          <w:lang w:val="pl-PL"/>
        </w:rPr>
      </w:pPr>
    </w:p>
    <w:p w14:paraId="75254A40" w14:textId="2CEF6028" w:rsidR="000016E2" w:rsidRPr="00BD22FE" w:rsidRDefault="005C1127" w:rsidP="005C1127">
      <w:pPr>
        <w:keepNext/>
        <w:pBdr>
          <w:top w:val="single" w:sz="4" w:space="1" w:color="auto"/>
          <w:left w:val="single" w:sz="4" w:space="4" w:color="auto"/>
          <w:bottom w:val="single" w:sz="4" w:space="1" w:color="auto"/>
          <w:right w:val="single" w:sz="4" w:space="4" w:color="auto"/>
        </w:pBdr>
        <w:ind w:left="567" w:hanging="567"/>
        <w:rPr>
          <w:b/>
          <w:sz w:val="22"/>
          <w:szCs w:val="22"/>
          <w:lang w:val="pl-PL"/>
        </w:rPr>
      </w:pPr>
      <w:r w:rsidRPr="00BD22FE">
        <w:rPr>
          <w:b/>
          <w:sz w:val="22"/>
          <w:szCs w:val="22"/>
          <w:lang w:val="pl-PL"/>
        </w:rPr>
        <w:lastRenderedPageBreak/>
        <w:t>9.</w:t>
      </w:r>
      <w:r w:rsidRPr="00BD22FE">
        <w:rPr>
          <w:b/>
          <w:sz w:val="22"/>
          <w:szCs w:val="22"/>
          <w:lang w:val="pl-PL"/>
        </w:rPr>
        <w:tab/>
      </w:r>
      <w:r w:rsidR="00104CA8" w:rsidRPr="00BD22FE">
        <w:rPr>
          <w:b/>
          <w:sz w:val="22"/>
          <w:szCs w:val="22"/>
          <w:lang w:val="pl-PL"/>
        </w:rPr>
        <w:t>WARUNKI PRZECHOWYWANIA</w:t>
      </w:r>
    </w:p>
    <w:p w14:paraId="329E5CAE" w14:textId="77777777" w:rsidR="000016E2" w:rsidRPr="00BD22FE" w:rsidRDefault="000016E2" w:rsidP="005C1127">
      <w:pPr>
        <w:keepNext/>
        <w:jc w:val="both"/>
        <w:rPr>
          <w:sz w:val="22"/>
          <w:szCs w:val="22"/>
          <w:lang w:val="pl-PL"/>
        </w:rPr>
      </w:pPr>
    </w:p>
    <w:p w14:paraId="00565A8E" w14:textId="7E8223D2" w:rsidR="000016E2" w:rsidRPr="00BD22FE" w:rsidRDefault="00104CA8" w:rsidP="00941FBF">
      <w:pPr>
        <w:rPr>
          <w:b/>
          <w:sz w:val="22"/>
          <w:szCs w:val="22"/>
          <w:lang w:val="pl-PL"/>
        </w:rPr>
      </w:pPr>
      <w:r w:rsidRPr="00BD22FE">
        <w:rPr>
          <w:b/>
          <w:sz w:val="22"/>
          <w:szCs w:val="22"/>
          <w:lang w:val="pl-PL"/>
        </w:rPr>
        <w:t xml:space="preserve">Brak </w:t>
      </w:r>
      <w:r w:rsidRPr="00BD22FE">
        <w:rPr>
          <w:b/>
          <w:bCs/>
          <w:sz w:val="22"/>
          <w:szCs w:val="22"/>
          <w:lang w:val="pl-PL"/>
        </w:rPr>
        <w:t>specjalnych zaleceń</w:t>
      </w:r>
      <w:r w:rsidRPr="00BD22FE">
        <w:rPr>
          <w:b/>
          <w:sz w:val="22"/>
          <w:szCs w:val="22"/>
          <w:lang w:val="pl-PL"/>
        </w:rPr>
        <w:t xml:space="preserve"> dotyczących temperatury przechowywania</w:t>
      </w:r>
      <w:r w:rsidR="00FC151A" w:rsidRPr="00BD22FE">
        <w:rPr>
          <w:b/>
          <w:sz w:val="22"/>
          <w:szCs w:val="22"/>
          <w:lang w:val="pl-PL"/>
        </w:rPr>
        <w:t xml:space="preserve"> produktu leczniczego</w:t>
      </w:r>
      <w:r w:rsidRPr="00BD22FE">
        <w:rPr>
          <w:b/>
          <w:sz w:val="22"/>
          <w:szCs w:val="22"/>
          <w:lang w:val="pl-PL"/>
        </w:rPr>
        <w:t>.</w:t>
      </w:r>
    </w:p>
    <w:p w14:paraId="0BDC96D0" w14:textId="48DA591B" w:rsidR="000016E2" w:rsidRPr="00BD22FE" w:rsidRDefault="00104CA8" w:rsidP="00941FBF">
      <w:pPr>
        <w:rPr>
          <w:b/>
          <w:sz w:val="22"/>
          <w:szCs w:val="22"/>
          <w:lang w:val="pl-PL"/>
        </w:rPr>
      </w:pPr>
      <w:r w:rsidRPr="00BD22FE">
        <w:rPr>
          <w:b/>
          <w:sz w:val="22"/>
          <w:szCs w:val="22"/>
          <w:lang w:val="pl-PL"/>
        </w:rPr>
        <w:t>Przechowywać w</w:t>
      </w:r>
      <w:r w:rsidR="00717A7B" w:rsidRPr="00BD22FE">
        <w:rPr>
          <w:b/>
          <w:sz w:val="22"/>
          <w:szCs w:val="22"/>
          <w:lang w:val="pl-PL"/>
        </w:rPr>
        <w:t> </w:t>
      </w:r>
      <w:r w:rsidRPr="00BD22FE">
        <w:rPr>
          <w:b/>
          <w:sz w:val="22"/>
          <w:szCs w:val="22"/>
          <w:lang w:val="pl-PL"/>
        </w:rPr>
        <w:t>oryginalnym opakowaniu w</w:t>
      </w:r>
      <w:r w:rsidR="00717A7B" w:rsidRPr="00BD22FE">
        <w:rPr>
          <w:b/>
          <w:sz w:val="22"/>
          <w:szCs w:val="22"/>
          <w:lang w:val="pl-PL"/>
        </w:rPr>
        <w:t> </w:t>
      </w:r>
      <w:r w:rsidRPr="00BD22FE">
        <w:rPr>
          <w:b/>
          <w:sz w:val="22"/>
          <w:szCs w:val="22"/>
          <w:lang w:val="pl-PL"/>
        </w:rPr>
        <w:t>celu ochrony przed wilgocią.</w:t>
      </w:r>
    </w:p>
    <w:p w14:paraId="289256E6" w14:textId="4D6C37A8" w:rsidR="000016E2" w:rsidRPr="00BD22FE" w:rsidRDefault="000016E2" w:rsidP="00941FBF">
      <w:pPr>
        <w:jc w:val="both"/>
        <w:rPr>
          <w:sz w:val="22"/>
          <w:szCs w:val="22"/>
          <w:lang w:val="pl-PL"/>
        </w:rPr>
      </w:pPr>
    </w:p>
    <w:p w14:paraId="111C734A" w14:textId="77777777" w:rsidR="000016E2" w:rsidRPr="00BD22FE" w:rsidRDefault="000016E2" w:rsidP="00941FBF">
      <w:pPr>
        <w:jc w:val="both"/>
        <w:rPr>
          <w:sz w:val="22"/>
          <w:szCs w:val="22"/>
          <w:lang w:val="pl-PL"/>
        </w:rPr>
      </w:pPr>
    </w:p>
    <w:p w14:paraId="0B7F9BE4" w14:textId="41155C59" w:rsidR="000016E2" w:rsidRPr="00BD22FE" w:rsidRDefault="005C1127" w:rsidP="005C1127">
      <w:pPr>
        <w:keepNext/>
        <w:pBdr>
          <w:top w:val="single" w:sz="4" w:space="1" w:color="auto"/>
          <w:left w:val="single" w:sz="4" w:space="4" w:color="auto"/>
          <w:bottom w:val="single" w:sz="4" w:space="1" w:color="auto"/>
          <w:right w:val="single" w:sz="4" w:space="4" w:color="auto"/>
        </w:pBdr>
        <w:ind w:left="567" w:hanging="567"/>
        <w:rPr>
          <w:b/>
          <w:sz w:val="22"/>
          <w:szCs w:val="22"/>
          <w:lang w:val="pl-PL"/>
        </w:rPr>
      </w:pPr>
      <w:r w:rsidRPr="00BD22FE">
        <w:rPr>
          <w:b/>
          <w:sz w:val="22"/>
          <w:szCs w:val="22"/>
          <w:lang w:val="pl-PL"/>
        </w:rPr>
        <w:t>10.</w:t>
      </w:r>
      <w:r w:rsidRPr="00BD22FE">
        <w:rPr>
          <w:b/>
          <w:sz w:val="22"/>
          <w:szCs w:val="22"/>
          <w:lang w:val="pl-PL"/>
        </w:rPr>
        <w:tab/>
      </w:r>
      <w:r w:rsidR="00104CA8" w:rsidRPr="00BD22FE">
        <w:rPr>
          <w:b/>
          <w:sz w:val="22"/>
          <w:szCs w:val="22"/>
          <w:lang w:val="pl-PL"/>
        </w:rPr>
        <w:t>SPECJALNE ŚRODKI OSTROŻNOŚCI DOTYCZĄCE USUWANIA NIEZUŻYTEGO PRODUKTU LECZNICZEGO LUB POCHODZĄCYCH Z</w:t>
      </w:r>
      <w:r w:rsidR="00717A7B" w:rsidRPr="00BD22FE">
        <w:rPr>
          <w:b/>
          <w:sz w:val="22"/>
          <w:szCs w:val="22"/>
          <w:lang w:val="pl-PL"/>
        </w:rPr>
        <w:t> </w:t>
      </w:r>
      <w:r w:rsidR="00104CA8" w:rsidRPr="00BD22FE">
        <w:rPr>
          <w:b/>
          <w:sz w:val="22"/>
          <w:szCs w:val="22"/>
          <w:lang w:val="pl-PL"/>
        </w:rPr>
        <w:t>NIEGO ODPADÓW, JEŚLI WŁAŚCIWE</w:t>
      </w:r>
    </w:p>
    <w:p w14:paraId="398C25ED" w14:textId="77777777" w:rsidR="000016E2" w:rsidRPr="00BD22FE" w:rsidRDefault="000016E2" w:rsidP="005C1127">
      <w:pPr>
        <w:keepNext/>
        <w:jc w:val="both"/>
        <w:rPr>
          <w:sz w:val="22"/>
          <w:szCs w:val="22"/>
          <w:lang w:val="pl-PL"/>
        </w:rPr>
      </w:pPr>
    </w:p>
    <w:p w14:paraId="5097B7BF" w14:textId="77777777" w:rsidR="000016E2" w:rsidRPr="00BD22FE" w:rsidRDefault="000016E2" w:rsidP="00941FBF">
      <w:pPr>
        <w:jc w:val="both"/>
        <w:rPr>
          <w:sz w:val="22"/>
          <w:szCs w:val="22"/>
          <w:lang w:val="pl-PL"/>
        </w:rPr>
      </w:pPr>
    </w:p>
    <w:p w14:paraId="289D4BDB" w14:textId="57686CAD" w:rsidR="003A7E3D" w:rsidRPr="00BD22FE" w:rsidRDefault="005C1127" w:rsidP="005C1127">
      <w:pPr>
        <w:keepNext/>
        <w:pBdr>
          <w:top w:val="single" w:sz="4" w:space="1" w:color="auto"/>
          <w:left w:val="single" w:sz="4" w:space="4" w:color="auto"/>
          <w:bottom w:val="single" w:sz="4" w:space="1" w:color="auto"/>
          <w:right w:val="single" w:sz="4" w:space="4" w:color="auto"/>
        </w:pBdr>
        <w:ind w:left="567" w:hanging="567"/>
        <w:rPr>
          <w:b/>
          <w:sz w:val="22"/>
          <w:szCs w:val="22"/>
          <w:lang w:val="pl-PL"/>
        </w:rPr>
      </w:pPr>
      <w:r w:rsidRPr="00BD22FE">
        <w:rPr>
          <w:b/>
          <w:sz w:val="22"/>
          <w:szCs w:val="22"/>
          <w:lang w:val="pl-PL"/>
        </w:rPr>
        <w:t>11.</w:t>
      </w:r>
      <w:r w:rsidRPr="00BD22FE">
        <w:rPr>
          <w:b/>
          <w:sz w:val="22"/>
          <w:szCs w:val="22"/>
          <w:lang w:val="pl-PL"/>
        </w:rPr>
        <w:tab/>
      </w:r>
      <w:r w:rsidR="00104CA8" w:rsidRPr="00BD22FE">
        <w:rPr>
          <w:b/>
          <w:sz w:val="22"/>
          <w:szCs w:val="22"/>
          <w:lang w:val="pl-PL"/>
        </w:rPr>
        <w:t>NAZWA I</w:t>
      </w:r>
      <w:r w:rsidR="00717A7B" w:rsidRPr="00BD22FE">
        <w:rPr>
          <w:b/>
          <w:sz w:val="22"/>
          <w:szCs w:val="22"/>
          <w:lang w:val="pl-PL"/>
        </w:rPr>
        <w:t> </w:t>
      </w:r>
      <w:r w:rsidR="00104CA8" w:rsidRPr="00BD22FE">
        <w:rPr>
          <w:b/>
          <w:sz w:val="22"/>
          <w:szCs w:val="22"/>
          <w:lang w:val="pl-PL"/>
        </w:rPr>
        <w:t>ADRES PODMIOTU ODPOWIEDZIALNEGO</w:t>
      </w:r>
    </w:p>
    <w:p w14:paraId="73BAC237" w14:textId="677FB05A" w:rsidR="000016E2" w:rsidRPr="00BD22FE" w:rsidRDefault="000016E2" w:rsidP="005C1127">
      <w:pPr>
        <w:keepNext/>
        <w:jc w:val="both"/>
        <w:rPr>
          <w:sz w:val="22"/>
          <w:szCs w:val="22"/>
          <w:lang w:val="pl-PL"/>
        </w:rPr>
      </w:pPr>
    </w:p>
    <w:p w14:paraId="5EB99A96" w14:textId="77777777" w:rsidR="000016E2" w:rsidRPr="00BD22FE" w:rsidRDefault="00104CA8" w:rsidP="00941FBF">
      <w:pPr>
        <w:rPr>
          <w:sz w:val="22"/>
          <w:szCs w:val="22"/>
          <w:lang w:val="pl-PL"/>
        </w:rPr>
      </w:pPr>
      <w:r w:rsidRPr="00BD22FE">
        <w:rPr>
          <w:sz w:val="22"/>
          <w:szCs w:val="22"/>
          <w:lang w:val="pl-PL"/>
        </w:rPr>
        <w:t>Boehringer Ingelheim International GmbH</w:t>
      </w:r>
    </w:p>
    <w:p w14:paraId="116C47D5" w14:textId="77777777" w:rsidR="000016E2" w:rsidRPr="009D16CE" w:rsidRDefault="00104CA8" w:rsidP="00941FBF">
      <w:pPr>
        <w:rPr>
          <w:sz w:val="22"/>
          <w:szCs w:val="22"/>
          <w:lang w:val="de-DE"/>
        </w:rPr>
      </w:pPr>
      <w:r w:rsidRPr="009D16CE">
        <w:rPr>
          <w:sz w:val="22"/>
          <w:szCs w:val="22"/>
          <w:lang w:val="de-DE"/>
        </w:rPr>
        <w:t>Binger Str. 173</w:t>
      </w:r>
    </w:p>
    <w:p w14:paraId="020C79F8" w14:textId="0E10B4A0" w:rsidR="000016E2" w:rsidRPr="009D16CE" w:rsidRDefault="00104CA8" w:rsidP="00941FBF">
      <w:pPr>
        <w:rPr>
          <w:sz w:val="22"/>
          <w:szCs w:val="22"/>
          <w:lang w:val="de-DE"/>
        </w:rPr>
      </w:pPr>
      <w:r w:rsidRPr="009D16CE">
        <w:rPr>
          <w:sz w:val="22"/>
          <w:szCs w:val="22"/>
          <w:lang w:val="de-DE"/>
        </w:rPr>
        <w:t>55216 Ingelheim am Rhein</w:t>
      </w:r>
    </w:p>
    <w:p w14:paraId="33AFCC6D" w14:textId="7218DFD5" w:rsidR="000016E2" w:rsidRPr="009D16CE" w:rsidRDefault="000168C9" w:rsidP="00941FBF">
      <w:pPr>
        <w:rPr>
          <w:sz w:val="22"/>
          <w:szCs w:val="22"/>
          <w:lang w:val="de-DE"/>
        </w:rPr>
      </w:pPr>
      <w:r w:rsidRPr="009D16CE">
        <w:rPr>
          <w:sz w:val="22"/>
          <w:szCs w:val="22"/>
          <w:lang w:val="de-DE"/>
        </w:rPr>
        <w:t>Niemcy</w:t>
      </w:r>
    </w:p>
    <w:p w14:paraId="7A424751" w14:textId="77777777" w:rsidR="000016E2" w:rsidRPr="009D16CE" w:rsidRDefault="000016E2" w:rsidP="00941FBF">
      <w:pPr>
        <w:jc w:val="both"/>
        <w:rPr>
          <w:sz w:val="22"/>
          <w:szCs w:val="22"/>
          <w:lang w:val="de-DE"/>
        </w:rPr>
      </w:pPr>
    </w:p>
    <w:p w14:paraId="5BB6D779" w14:textId="77777777" w:rsidR="000016E2" w:rsidRPr="009D16CE" w:rsidRDefault="000016E2" w:rsidP="00941FBF">
      <w:pPr>
        <w:jc w:val="both"/>
        <w:rPr>
          <w:sz w:val="22"/>
          <w:szCs w:val="22"/>
          <w:lang w:val="de-DE"/>
        </w:rPr>
      </w:pPr>
    </w:p>
    <w:p w14:paraId="10753046" w14:textId="4A6755F9" w:rsidR="000016E2" w:rsidRPr="00BD22FE" w:rsidRDefault="005C1127" w:rsidP="005C1127">
      <w:pPr>
        <w:keepNext/>
        <w:pBdr>
          <w:top w:val="single" w:sz="4" w:space="1" w:color="auto"/>
          <w:left w:val="single" w:sz="4" w:space="4" w:color="auto"/>
          <w:bottom w:val="single" w:sz="4" w:space="1" w:color="auto"/>
          <w:right w:val="single" w:sz="4" w:space="4" w:color="auto"/>
        </w:pBdr>
        <w:ind w:left="567" w:hanging="567"/>
        <w:rPr>
          <w:b/>
          <w:sz w:val="22"/>
          <w:szCs w:val="22"/>
          <w:lang w:val="pl-PL"/>
        </w:rPr>
      </w:pPr>
      <w:r w:rsidRPr="00BD22FE">
        <w:rPr>
          <w:b/>
          <w:sz w:val="22"/>
          <w:szCs w:val="22"/>
          <w:lang w:val="pl-PL"/>
        </w:rPr>
        <w:t>12.</w:t>
      </w:r>
      <w:r w:rsidRPr="00BD22FE">
        <w:rPr>
          <w:b/>
          <w:sz w:val="22"/>
          <w:szCs w:val="22"/>
          <w:lang w:val="pl-PL"/>
        </w:rPr>
        <w:tab/>
      </w:r>
      <w:r w:rsidR="00104CA8" w:rsidRPr="00BD22FE">
        <w:rPr>
          <w:b/>
          <w:sz w:val="22"/>
          <w:szCs w:val="22"/>
          <w:lang w:val="pl-PL"/>
        </w:rPr>
        <w:t>NUMER POZWOLE</w:t>
      </w:r>
      <w:r w:rsidR="00E61A89" w:rsidRPr="00BD22FE">
        <w:rPr>
          <w:b/>
          <w:sz w:val="22"/>
          <w:szCs w:val="22"/>
          <w:lang w:val="pl-PL"/>
        </w:rPr>
        <w:t>NIA</w:t>
      </w:r>
      <w:r w:rsidR="00104CA8" w:rsidRPr="00BD22FE">
        <w:rPr>
          <w:b/>
          <w:sz w:val="22"/>
          <w:szCs w:val="22"/>
          <w:lang w:val="pl-PL"/>
        </w:rPr>
        <w:t xml:space="preserve"> NA DOPUSZCZENIE DO OBROTU</w:t>
      </w:r>
    </w:p>
    <w:p w14:paraId="7AC9B5CF" w14:textId="77777777" w:rsidR="000016E2" w:rsidRPr="00BD22FE" w:rsidRDefault="000016E2" w:rsidP="005C1127">
      <w:pPr>
        <w:keepNext/>
        <w:jc w:val="both"/>
        <w:rPr>
          <w:sz w:val="22"/>
          <w:szCs w:val="22"/>
          <w:lang w:val="pl-PL"/>
        </w:rPr>
      </w:pPr>
    </w:p>
    <w:p w14:paraId="2750B1DF" w14:textId="0BD27A9C" w:rsidR="000016E2" w:rsidRPr="00C53640" w:rsidRDefault="00104CA8" w:rsidP="005C1127">
      <w:pPr>
        <w:ind w:left="1985" w:hanging="1985"/>
        <w:rPr>
          <w:sz w:val="22"/>
          <w:szCs w:val="22"/>
          <w:lang w:val="nb-NO"/>
        </w:rPr>
      </w:pPr>
      <w:r w:rsidRPr="00C53640">
        <w:rPr>
          <w:sz w:val="22"/>
          <w:szCs w:val="22"/>
          <w:lang w:val="nb-NO"/>
        </w:rPr>
        <w:t>EU/1/02/213/006</w:t>
      </w:r>
      <w:r w:rsidRPr="00C53640">
        <w:rPr>
          <w:sz w:val="22"/>
          <w:szCs w:val="22"/>
          <w:lang w:val="nb-NO"/>
        </w:rPr>
        <w:tab/>
        <w:t>14</w:t>
      </w:r>
      <w:r w:rsidR="00686204" w:rsidRPr="00C53640">
        <w:rPr>
          <w:sz w:val="22"/>
          <w:szCs w:val="22"/>
          <w:lang w:val="nb-NO"/>
        </w:rPr>
        <w:t> </w:t>
      </w:r>
      <w:r w:rsidRPr="00C53640">
        <w:rPr>
          <w:sz w:val="22"/>
          <w:szCs w:val="22"/>
          <w:lang w:val="nb-NO"/>
        </w:rPr>
        <w:t>tabletek</w:t>
      </w:r>
    </w:p>
    <w:p w14:paraId="5DC49299" w14:textId="04C16E3F" w:rsidR="000016E2" w:rsidRPr="00C53640" w:rsidRDefault="00104CA8" w:rsidP="005C1127">
      <w:pPr>
        <w:ind w:left="1985" w:hanging="1985"/>
        <w:rPr>
          <w:sz w:val="22"/>
          <w:szCs w:val="22"/>
          <w:lang w:val="nb-NO"/>
        </w:rPr>
      </w:pPr>
      <w:r w:rsidRPr="00C53640">
        <w:rPr>
          <w:sz w:val="22"/>
          <w:szCs w:val="22"/>
          <w:shd w:val="clear" w:color="auto" w:fill="C0C0C0"/>
          <w:lang w:val="nb-NO"/>
        </w:rPr>
        <w:t>EU/1/02/213/007</w:t>
      </w:r>
      <w:r w:rsidRPr="00C53640">
        <w:rPr>
          <w:sz w:val="22"/>
          <w:szCs w:val="22"/>
          <w:shd w:val="clear" w:color="auto" w:fill="C0C0C0"/>
          <w:lang w:val="nb-NO"/>
        </w:rPr>
        <w:tab/>
        <w:t>28</w:t>
      </w:r>
      <w:r w:rsidR="00686204" w:rsidRPr="00C53640">
        <w:rPr>
          <w:sz w:val="22"/>
          <w:szCs w:val="22"/>
          <w:shd w:val="clear" w:color="auto" w:fill="C0C0C0"/>
          <w:lang w:val="nb-NO"/>
        </w:rPr>
        <w:t> </w:t>
      </w:r>
      <w:r w:rsidRPr="00C53640">
        <w:rPr>
          <w:sz w:val="22"/>
          <w:szCs w:val="22"/>
          <w:shd w:val="clear" w:color="auto" w:fill="C0C0C0"/>
          <w:lang w:val="nb-NO"/>
        </w:rPr>
        <w:t>tabletek</w:t>
      </w:r>
    </w:p>
    <w:p w14:paraId="5938E893" w14:textId="795A1F39" w:rsidR="000016E2" w:rsidRPr="00C53640" w:rsidRDefault="00104CA8" w:rsidP="005C1127">
      <w:pPr>
        <w:ind w:left="1985" w:hanging="1985"/>
        <w:rPr>
          <w:sz w:val="22"/>
          <w:szCs w:val="22"/>
          <w:shd w:val="clear" w:color="auto" w:fill="C0C0C0"/>
          <w:lang w:val="nb-NO"/>
        </w:rPr>
      </w:pPr>
      <w:r w:rsidRPr="00C53640">
        <w:rPr>
          <w:sz w:val="22"/>
          <w:szCs w:val="22"/>
          <w:shd w:val="clear" w:color="auto" w:fill="C0C0C0"/>
          <w:lang w:val="nb-NO"/>
        </w:rPr>
        <w:t>EU/1/02/213/008</w:t>
      </w:r>
      <w:r w:rsidRPr="00C53640">
        <w:rPr>
          <w:sz w:val="22"/>
          <w:szCs w:val="22"/>
          <w:shd w:val="clear" w:color="auto" w:fill="C0C0C0"/>
          <w:lang w:val="nb-NO"/>
        </w:rPr>
        <w:tab/>
        <w:t>28</w:t>
      </w:r>
      <w:r w:rsidR="00686204" w:rsidRPr="00C53640">
        <w:rPr>
          <w:sz w:val="22"/>
          <w:szCs w:val="22"/>
          <w:shd w:val="clear" w:color="auto" w:fill="C0C0C0"/>
          <w:lang w:val="nb-NO"/>
        </w:rPr>
        <w:t> </w:t>
      </w:r>
      <w:r w:rsidR="003F4C93" w:rsidRPr="00C53640">
        <w:rPr>
          <w:sz w:val="22"/>
          <w:shd w:val="clear" w:color="auto" w:fill="C0C0C0"/>
          <w:lang w:val="nb-NO"/>
        </w:rPr>
        <w:t>×</w:t>
      </w:r>
      <w:r w:rsidR="00686204" w:rsidRPr="00C53640">
        <w:rPr>
          <w:sz w:val="22"/>
          <w:szCs w:val="22"/>
          <w:shd w:val="clear" w:color="auto" w:fill="C0C0C0"/>
          <w:lang w:val="nb-NO"/>
        </w:rPr>
        <w:t> </w:t>
      </w:r>
      <w:r w:rsidRPr="00C53640">
        <w:rPr>
          <w:sz w:val="22"/>
          <w:szCs w:val="22"/>
          <w:shd w:val="clear" w:color="auto" w:fill="C0C0C0"/>
          <w:lang w:val="nb-NO"/>
        </w:rPr>
        <w:t>1</w:t>
      </w:r>
      <w:r w:rsidR="00686204" w:rsidRPr="00C53640">
        <w:rPr>
          <w:sz w:val="22"/>
          <w:szCs w:val="22"/>
          <w:shd w:val="clear" w:color="auto" w:fill="C0C0C0"/>
          <w:lang w:val="nb-NO"/>
        </w:rPr>
        <w:t> </w:t>
      </w:r>
      <w:r w:rsidRPr="00C53640">
        <w:rPr>
          <w:sz w:val="22"/>
          <w:szCs w:val="22"/>
          <w:shd w:val="clear" w:color="auto" w:fill="C0C0C0"/>
          <w:lang w:val="nb-NO"/>
        </w:rPr>
        <w:t>tabletka</w:t>
      </w:r>
    </w:p>
    <w:p w14:paraId="773F25F1" w14:textId="116CD1E2" w:rsidR="000016E2" w:rsidRPr="00C53640" w:rsidRDefault="00104CA8" w:rsidP="005C1127">
      <w:pPr>
        <w:ind w:left="1985" w:hanging="1985"/>
        <w:rPr>
          <w:sz w:val="22"/>
          <w:szCs w:val="22"/>
          <w:shd w:val="clear" w:color="auto" w:fill="C0C0C0"/>
          <w:lang w:val="nb-NO"/>
        </w:rPr>
      </w:pPr>
      <w:r w:rsidRPr="00C53640">
        <w:rPr>
          <w:sz w:val="22"/>
          <w:szCs w:val="22"/>
          <w:shd w:val="clear" w:color="auto" w:fill="C0C0C0"/>
          <w:lang w:val="nb-NO"/>
        </w:rPr>
        <w:t>EU/1/02/213/015</w:t>
      </w:r>
      <w:r w:rsidRPr="00C53640">
        <w:rPr>
          <w:sz w:val="22"/>
          <w:szCs w:val="22"/>
          <w:shd w:val="clear" w:color="auto" w:fill="C0C0C0"/>
          <w:lang w:val="nb-NO"/>
        </w:rPr>
        <w:tab/>
        <w:t>30</w:t>
      </w:r>
      <w:r w:rsidR="00686204" w:rsidRPr="00C53640">
        <w:rPr>
          <w:sz w:val="22"/>
          <w:szCs w:val="22"/>
          <w:shd w:val="clear" w:color="auto" w:fill="C0C0C0"/>
          <w:lang w:val="nb-NO"/>
        </w:rPr>
        <w:t> </w:t>
      </w:r>
      <w:r w:rsidR="003F4C93" w:rsidRPr="00C53640">
        <w:rPr>
          <w:sz w:val="22"/>
          <w:shd w:val="clear" w:color="auto" w:fill="C0C0C0"/>
          <w:lang w:val="nb-NO"/>
        </w:rPr>
        <w:t>×</w:t>
      </w:r>
      <w:r w:rsidR="00686204" w:rsidRPr="00C53640">
        <w:rPr>
          <w:sz w:val="22"/>
          <w:szCs w:val="22"/>
          <w:shd w:val="clear" w:color="auto" w:fill="C0C0C0"/>
          <w:lang w:val="nb-NO"/>
        </w:rPr>
        <w:t> </w:t>
      </w:r>
      <w:r w:rsidRPr="00C53640">
        <w:rPr>
          <w:sz w:val="22"/>
          <w:szCs w:val="22"/>
          <w:shd w:val="clear" w:color="auto" w:fill="C0C0C0"/>
          <w:lang w:val="nb-NO"/>
        </w:rPr>
        <w:t>1</w:t>
      </w:r>
      <w:r w:rsidR="00686204" w:rsidRPr="00C53640">
        <w:rPr>
          <w:sz w:val="22"/>
          <w:szCs w:val="22"/>
          <w:shd w:val="clear" w:color="auto" w:fill="C0C0C0"/>
          <w:lang w:val="nb-NO"/>
        </w:rPr>
        <w:t> </w:t>
      </w:r>
      <w:r w:rsidRPr="00C53640">
        <w:rPr>
          <w:sz w:val="22"/>
          <w:szCs w:val="22"/>
          <w:shd w:val="clear" w:color="auto" w:fill="C0C0C0"/>
          <w:lang w:val="nb-NO"/>
        </w:rPr>
        <w:t>tabletka</w:t>
      </w:r>
    </w:p>
    <w:p w14:paraId="4C9F86E3" w14:textId="478DC341" w:rsidR="000016E2" w:rsidRPr="00C53640" w:rsidRDefault="00104CA8" w:rsidP="005C1127">
      <w:pPr>
        <w:ind w:left="1985" w:hanging="1985"/>
        <w:rPr>
          <w:sz w:val="22"/>
          <w:szCs w:val="22"/>
          <w:shd w:val="clear" w:color="auto" w:fill="C0C0C0"/>
          <w:lang w:val="nb-NO"/>
        </w:rPr>
      </w:pPr>
      <w:r w:rsidRPr="00C53640">
        <w:rPr>
          <w:sz w:val="22"/>
          <w:szCs w:val="22"/>
          <w:shd w:val="clear" w:color="auto" w:fill="C0C0C0"/>
          <w:lang w:val="nb-NO"/>
        </w:rPr>
        <w:t>EU/1/02/213/009</w:t>
      </w:r>
      <w:r w:rsidRPr="00C53640">
        <w:rPr>
          <w:sz w:val="22"/>
          <w:szCs w:val="22"/>
          <w:shd w:val="clear" w:color="auto" w:fill="C0C0C0"/>
          <w:lang w:val="nb-NO"/>
        </w:rPr>
        <w:tab/>
        <w:t>56</w:t>
      </w:r>
      <w:r w:rsidR="00686204" w:rsidRPr="00C53640">
        <w:rPr>
          <w:sz w:val="22"/>
          <w:szCs w:val="22"/>
          <w:shd w:val="clear" w:color="auto" w:fill="C0C0C0"/>
          <w:lang w:val="nb-NO"/>
        </w:rPr>
        <w:t> </w:t>
      </w:r>
      <w:r w:rsidRPr="00C53640">
        <w:rPr>
          <w:sz w:val="22"/>
          <w:szCs w:val="22"/>
          <w:shd w:val="clear" w:color="auto" w:fill="C0C0C0"/>
          <w:lang w:val="nb-NO"/>
        </w:rPr>
        <w:t>tabletek</w:t>
      </w:r>
    </w:p>
    <w:p w14:paraId="1F068184" w14:textId="238EAC75" w:rsidR="000016E2" w:rsidRPr="00C53640" w:rsidRDefault="00104CA8" w:rsidP="005C1127">
      <w:pPr>
        <w:ind w:left="1985" w:hanging="1985"/>
        <w:rPr>
          <w:sz w:val="22"/>
          <w:szCs w:val="22"/>
          <w:shd w:val="clear" w:color="auto" w:fill="C0C0C0"/>
          <w:lang w:val="nb-NO"/>
        </w:rPr>
      </w:pPr>
      <w:r w:rsidRPr="00C53640">
        <w:rPr>
          <w:sz w:val="22"/>
          <w:szCs w:val="22"/>
          <w:shd w:val="clear" w:color="auto" w:fill="C0C0C0"/>
          <w:lang w:val="nb-NO"/>
        </w:rPr>
        <w:t>EU/1/02/213/012</w:t>
      </w:r>
      <w:r w:rsidRPr="00C53640">
        <w:rPr>
          <w:sz w:val="22"/>
          <w:szCs w:val="22"/>
          <w:shd w:val="clear" w:color="auto" w:fill="C0C0C0"/>
          <w:lang w:val="nb-NO"/>
        </w:rPr>
        <w:tab/>
        <w:t>84</w:t>
      </w:r>
      <w:r w:rsidR="00686204" w:rsidRPr="00C53640">
        <w:rPr>
          <w:sz w:val="22"/>
          <w:szCs w:val="22"/>
          <w:shd w:val="clear" w:color="auto" w:fill="C0C0C0"/>
          <w:lang w:val="nb-NO"/>
        </w:rPr>
        <w:t> </w:t>
      </w:r>
      <w:r w:rsidRPr="00C53640">
        <w:rPr>
          <w:sz w:val="22"/>
          <w:szCs w:val="22"/>
          <w:shd w:val="clear" w:color="auto" w:fill="C0C0C0"/>
          <w:lang w:val="nb-NO"/>
        </w:rPr>
        <w:t>tabletki</w:t>
      </w:r>
    </w:p>
    <w:p w14:paraId="57A370A1" w14:textId="16BC8E77" w:rsidR="000016E2" w:rsidRPr="00C53640" w:rsidRDefault="00104CA8" w:rsidP="005C1127">
      <w:pPr>
        <w:ind w:left="1985" w:hanging="1985"/>
        <w:rPr>
          <w:sz w:val="22"/>
          <w:szCs w:val="22"/>
          <w:shd w:val="clear" w:color="auto" w:fill="C0C0C0"/>
          <w:lang w:val="nb-NO"/>
        </w:rPr>
      </w:pPr>
      <w:r w:rsidRPr="00C53640">
        <w:rPr>
          <w:sz w:val="22"/>
          <w:szCs w:val="22"/>
          <w:shd w:val="clear" w:color="auto" w:fill="C0C0C0"/>
          <w:lang w:val="nb-NO"/>
        </w:rPr>
        <w:t>EU/1/02/213/016</w:t>
      </w:r>
      <w:r w:rsidRPr="00C53640">
        <w:rPr>
          <w:sz w:val="22"/>
          <w:szCs w:val="22"/>
          <w:shd w:val="clear" w:color="auto" w:fill="C0C0C0"/>
          <w:lang w:val="nb-NO"/>
        </w:rPr>
        <w:tab/>
        <w:t>90</w:t>
      </w:r>
      <w:r w:rsidR="00686204" w:rsidRPr="00C53640">
        <w:rPr>
          <w:sz w:val="22"/>
          <w:szCs w:val="22"/>
          <w:shd w:val="clear" w:color="auto" w:fill="C0C0C0"/>
          <w:lang w:val="nb-NO"/>
        </w:rPr>
        <w:t> </w:t>
      </w:r>
      <w:r w:rsidR="003F4C93" w:rsidRPr="00C53640">
        <w:rPr>
          <w:sz w:val="22"/>
          <w:shd w:val="clear" w:color="auto" w:fill="C0C0C0"/>
          <w:lang w:val="nb-NO"/>
        </w:rPr>
        <w:t>×</w:t>
      </w:r>
      <w:r w:rsidR="00686204" w:rsidRPr="00C53640">
        <w:rPr>
          <w:sz w:val="22"/>
          <w:szCs w:val="22"/>
          <w:shd w:val="clear" w:color="auto" w:fill="C0C0C0"/>
          <w:lang w:val="nb-NO"/>
        </w:rPr>
        <w:t> </w:t>
      </w:r>
      <w:r w:rsidRPr="00C53640">
        <w:rPr>
          <w:sz w:val="22"/>
          <w:szCs w:val="22"/>
          <w:shd w:val="clear" w:color="auto" w:fill="C0C0C0"/>
          <w:lang w:val="nb-NO"/>
        </w:rPr>
        <w:t>1</w:t>
      </w:r>
      <w:r w:rsidR="00686204" w:rsidRPr="00C53640">
        <w:rPr>
          <w:sz w:val="22"/>
          <w:szCs w:val="22"/>
          <w:shd w:val="clear" w:color="auto" w:fill="C0C0C0"/>
          <w:lang w:val="nb-NO"/>
        </w:rPr>
        <w:t> </w:t>
      </w:r>
      <w:r w:rsidRPr="00C53640">
        <w:rPr>
          <w:sz w:val="22"/>
          <w:szCs w:val="22"/>
          <w:shd w:val="clear" w:color="auto" w:fill="C0C0C0"/>
          <w:lang w:val="nb-NO"/>
        </w:rPr>
        <w:t>tabletka</w:t>
      </w:r>
    </w:p>
    <w:p w14:paraId="3424BBDD" w14:textId="3C33733C" w:rsidR="000016E2" w:rsidRPr="00BD22FE" w:rsidRDefault="00104CA8" w:rsidP="005C1127">
      <w:pPr>
        <w:ind w:left="1985" w:hanging="1985"/>
        <w:rPr>
          <w:sz w:val="22"/>
          <w:szCs w:val="22"/>
          <w:lang w:val="pl-PL"/>
        </w:rPr>
      </w:pPr>
      <w:r w:rsidRPr="00BD22FE">
        <w:rPr>
          <w:sz w:val="22"/>
          <w:szCs w:val="22"/>
          <w:shd w:val="clear" w:color="auto" w:fill="C0C0C0"/>
          <w:lang w:val="pl-PL"/>
        </w:rPr>
        <w:t>EU/1/02/213/010</w:t>
      </w:r>
      <w:r w:rsidRPr="00BD22FE">
        <w:rPr>
          <w:sz w:val="22"/>
          <w:szCs w:val="22"/>
          <w:shd w:val="clear" w:color="auto" w:fill="C0C0C0"/>
          <w:lang w:val="pl-PL"/>
        </w:rPr>
        <w:tab/>
        <w:t>98</w:t>
      </w:r>
      <w:r w:rsidR="00686204" w:rsidRPr="00BD22FE">
        <w:rPr>
          <w:sz w:val="22"/>
          <w:szCs w:val="22"/>
          <w:shd w:val="clear" w:color="auto" w:fill="C0C0C0"/>
          <w:lang w:val="pl-PL"/>
        </w:rPr>
        <w:t> </w:t>
      </w:r>
      <w:r w:rsidRPr="00BD22FE">
        <w:rPr>
          <w:sz w:val="22"/>
          <w:szCs w:val="22"/>
          <w:shd w:val="clear" w:color="auto" w:fill="C0C0C0"/>
          <w:lang w:val="pl-PL"/>
        </w:rPr>
        <w:t>tabletek</w:t>
      </w:r>
    </w:p>
    <w:p w14:paraId="0047CBEE" w14:textId="77777777" w:rsidR="000016E2" w:rsidRPr="00BD22FE" w:rsidRDefault="000016E2" w:rsidP="00941FBF">
      <w:pPr>
        <w:jc w:val="both"/>
        <w:rPr>
          <w:sz w:val="22"/>
          <w:szCs w:val="22"/>
          <w:lang w:val="pl-PL"/>
        </w:rPr>
      </w:pPr>
    </w:p>
    <w:p w14:paraId="5D67173E" w14:textId="77777777" w:rsidR="000016E2" w:rsidRPr="00BD22FE" w:rsidRDefault="000016E2" w:rsidP="00941FBF">
      <w:pPr>
        <w:jc w:val="both"/>
        <w:rPr>
          <w:sz w:val="22"/>
          <w:szCs w:val="22"/>
          <w:lang w:val="pl-PL"/>
        </w:rPr>
      </w:pPr>
    </w:p>
    <w:p w14:paraId="56F37EB0" w14:textId="18EC4BB7" w:rsidR="000016E2" w:rsidRPr="00BD22FE" w:rsidRDefault="005C1127" w:rsidP="005C1127">
      <w:pPr>
        <w:keepNext/>
        <w:pBdr>
          <w:top w:val="single" w:sz="4" w:space="1" w:color="auto"/>
          <w:left w:val="single" w:sz="4" w:space="4" w:color="auto"/>
          <w:bottom w:val="single" w:sz="4" w:space="1" w:color="auto"/>
          <w:right w:val="single" w:sz="4" w:space="4" w:color="auto"/>
        </w:pBdr>
        <w:ind w:left="567" w:hanging="567"/>
        <w:rPr>
          <w:b/>
          <w:sz w:val="22"/>
          <w:szCs w:val="22"/>
          <w:lang w:val="pl-PL"/>
        </w:rPr>
      </w:pPr>
      <w:r w:rsidRPr="00BD22FE">
        <w:rPr>
          <w:b/>
          <w:sz w:val="22"/>
          <w:szCs w:val="22"/>
          <w:lang w:val="pl-PL"/>
        </w:rPr>
        <w:t>13.</w:t>
      </w:r>
      <w:r w:rsidRPr="00BD22FE">
        <w:rPr>
          <w:b/>
          <w:sz w:val="22"/>
          <w:szCs w:val="22"/>
          <w:lang w:val="pl-PL"/>
        </w:rPr>
        <w:tab/>
      </w:r>
      <w:r w:rsidR="00104CA8" w:rsidRPr="00BD22FE">
        <w:rPr>
          <w:b/>
          <w:sz w:val="22"/>
          <w:szCs w:val="22"/>
          <w:lang w:val="pl-PL"/>
        </w:rPr>
        <w:t>NUMER SERII</w:t>
      </w:r>
    </w:p>
    <w:p w14:paraId="56501402" w14:textId="77777777" w:rsidR="000016E2" w:rsidRPr="00BD22FE" w:rsidRDefault="000016E2" w:rsidP="005C1127">
      <w:pPr>
        <w:keepNext/>
        <w:jc w:val="both"/>
        <w:rPr>
          <w:sz w:val="22"/>
          <w:szCs w:val="22"/>
          <w:lang w:val="pl-PL"/>
        </w:rPr>
      </w:pPr>
    </w:p>
    <w:p w14:paraId="591C640C" w14:textId="5E1E1A1D" w:rsidR="000016E2" w:rsidRPr="00BD22FE" w:rsidRDefault="00104CA8" w:rsidP="00941FBF">
      <w:pPr>
        <w:rPr>
          <w:sz w:val="22"/>
          <w:szCs w:val="22"/>
          <w:lang w:val="pl-PL"/>
        </w:rPr>
      </w:pPr>
      <w:r w:rsidRPr="00BD22FE">
        <w:rPr>
          <w:sz w:val="22"/>
          <w:szCs w:val="22"/>
          <w:lang w:val="pl-PL"/>
        </w:rPr>
        <w:t>Nr serii:</w:t>
      </w:r>
    </w:p>
    <w:p w14:paraId="3136F99A" w14:textId="77777777" w:rsidR="000016E2" w:rsidRPr="00BD22FE" w:rsidRDefault="000016E2" w:rsidP="00941FBF">
      <w:pPr>
        <w:jc w:val="both"/>
        <w:rPr>
          <w:sz w:val="22"/>
          <w:szCs w:val="22"/>
          <w:lang w:val="pl-PL"/>
        </w:rPr>
      </w:pPr>
    </w:p>
    <w:p w14:paraId="2512493C" w14:textId="77777777" w:rsidR="000016E2" w:rsidRPr="00BD22FE" w:rsidRDefault="000016E2" w:rsidP="00941FBF">
      <w:pPr>
        <w:jc w:val="both"/>
        <w:rPr>
          <w:sz w:val="22"/>
          <w:szCs w:val="22"/>
          <w:lang w:val="pl-PL"/>
        </w:rPr>
      </w:pPr>
    </w:p>
    <w:p w14:paraId="499056CB" w14:textId="10378DF3" w:rsidR="000016E2" w:rsidRPr="00BD22FE" w:rsidRDefault="005C1127" w:rsidP="005C1127">
      <w:pPr>
        <w:keepNext/>
        <w:pBdr>
          <w:top w:val="single" w:sz="4" w:space="1" w:color="auto"/>
          <w:left w:val="single" w:sz="4" w:space="4" w:color="auto"/>
          <w:bottom w:val="single" w:sz="4" w:space="1" w:color="auto"/>
          <w:right w:val="single" w:sz="4" w:space="4" w:color="auto"/>
        </w:pBdr>
        <w:ind w:left="567" w:hanging="567"/>
        <w:rPr>
          <w:b/>
          <w:sz w:val="22"/>
          <w:szCs w:val="22"/>
          <w:lang w:val="pl-PL"/>
        </w:rPr>
      </w:pPr>
      <w:r w:rsidRPr="00BD22FE">
        <w:rPr>
          <w:b/>
          <w:sz w:val="22"/>
          <w:szCs w:val="22"/>
          <w:lang w:val="pl-PL"/>
        </w:rPr>
        <w:t>14.</w:t>
      </w:r>
      <w:r w:rsidRPr="00BD22FE">
        <w:rPr>
          <w:b/>
          <w:sz w:val="22"/>
          <w:szCs w:val="22"/>
          <w:lang w:val="pl-PL"/>
        </w:rPr>
        <w:tab/>
      </w:r>
      <w:r w:rsidR="00104CA8" w:rsidRPr="00BD22FE">
        <w:rPr>
          <w:b/>
          <w:sz w:val="22"/>
          <w:szCs w:val="22"/>
          <w:lang w:val="pl-PL"/>
        </w:rPr>
        <w:t>OGÓLNA KATEGORIA DOSTĘPNOŚCI</w:t>
      </w:r>
    </w:p>
    <w:p w14:paraId="415E74F9" w14:textId="77777777" w:rsidR="000016E2" w:rsidRPr="00BD22FE" w:rsidRDefault="000016E2" w:rsidP="005C1127">
      <w:pPr>
        <w:keepNext/>
        <w:jc w:val="both"/>
        <w:rPr>
          <w:sz w:val="22"/>
          <w:szCs w:val="22"/>
          <w:lang w:val="pl-PL"/>
        </w:rPr>
      </w:pPr>
    </w:p>
    <w:p w14:paraId="5FBA5C62" w14:textId="77777777" w:rsidR="000016E2" w:rsidRPr="00BD22FE" w:rsidRDefault="000016E2" w:rsidP="00941FBF">
      <w:pPr>
        <w:jc w:val="both"/>
        <w:rPr>
          <w:sz w:val="22"/>
          <w:szCs w:val="22"/>
          <w:lang w:val="pl-PL"/>
        </w:rPr>
      </w:pPr>
    </w:p>
    <w:p w14:paraId="0B76F2F9" w14:textId="15FB283F" w:rsidR="000016E2" w:rsidRPr="00BD22FE" w:rsidRDefault="005C1127" w:rsidP="005C1127">
      <w:pPr>
        <w:keepNext/>
        <w:pBdr>
          <w:top w:val="single" w:sz="4" w:space="1" w:color="auto"/>
          <w:left w:val="single" w:sz="4" w:space="4" w:color="auto"/>
          <w:bottom w:val="single" w:sz="4" w:space="1" w:color="auto"/>
          <w:right w:val="single" w:sz="4" w:space="4" w:color="auto"/>
        </w:pBdr>
        <w:ind w:left="567" w:hanging="567"/>
        <w:rPr>
          <w:b/>
          <w:sz w:val="22"/>
          <w:szCs w:val="22"/>
          <w:lang w:val="pl-PL"/>
        </w:rPr>
      </w:pPr>
      <w:r w:rsidRPr="00BD22FE">
        <w:rPr>
          <w:b/>
          <w:sz w:val="22"/>
          <w:szCs w:val="22"/>
          <w:lang w:val="pl-PL"/>
        </w:rPr>
        <w:t>15.</w:t>
      </w:r>
      <w:r w:rsidRPr="00BD22FE">
        <w:rPr>
          <w:b/>
          <w:sz w:val="22"/>
          <w:szCs w:val="22"/>
          <w:lang w:val="pl-PL"/>
        </w:rPr>
        <w:tab/>
      </w:r>
      <w:r w:rsidR="00104CA8" w:rsidRPr="00BD22FE">
        <w:rPr>
          <w:b/>
          <w:sz w:val="22"/>
          <w:szCs w:val="22"/>
          <w:lang w:val="pl-PL"/>
        </w:rPr>
        <w:t>INSTRUKCJA UŻYCIA</w:t>
      </w:r>
    </w:p>
    <w:p w14:paraId="6D53E5FD" w14:textId="77777777" w:rsidR="000016E2" w:rsidRPr="00BD22FE" w:rsidRDefault="000016E2" w:rsidP="005C1127">
      <w:pPr>
        <w:keepNext/>
        <w:jc w:val="both"/>
        <w:rPr>
          <w:sz w:val="22"/>
          <w:szCs w:val="22"/>
          <w:lang w:val="pl-PL"/>
        </w:rPr>
      </w:pPr>
    </w:p>
    <w:p w14:paraId="46AB0934" w14:textId="77777777" w:rsidR="000016E2" w:rsidRPr="00BD22FE" w:rsidRDefault="000016E2" w:rsidP="00941FBF">
      <w:pPr>
        <w:jc w:val="both"/>
        <w:rPr>
          <w:sz w:val="22"/>
          <w:szCs w:val="22"/>
          <w:lang w:val="pl-PL"/>
        </w:rPr>
      </w:pPr>
    </w:p>
    <w:p w14:paraId="2A8CF81E" w14:textId="31EE20E3" w:rsidR="000016E2" w:rsidRPr="00BD22FE" w:rsidRDefault="00104CA8" w:rsidP="005C1127">
      <w:pPr>
        <w:keepNext/>
        <w:pBdr>
          <w:top w:val="single" w:sz="4" w:space="1" w:color="auto"/>
          <w:left w:val="single" w:sz="4" w:space="4" w:color="auto"/>
          <w:bottom w:val="single" w:sz="4" w:space="1" w:color="auto"/>
          <w:right w:val="single" w:sz="4" w:space="4" w:color="auto"/>
        </w:pBdr>
        <w:ind w:left="567" w:hanging="567"/>
        <w:rPr>
          <w:b/>
          <w:sz w:val="22"/>
          <w:szCs w:val="22"/>
          <w:lang w:val="pl-PL"/>
        </w:rPr>
      </w:pPr>
      <w:r w:rsidRPr="00BD22FE">
        <w:rPr>
          <w:b/>
          <w:sz w:val="22"/>
          <w:szCs w:val="22"/>
          <w:lang w:val="pl-PL"/>
        </w:rPr>
        <w:t>16.</w:t>
      </w:r>
      <w:r w:rsidRPr="00BD22FE">
        <w:rPr>
          <w:b/>
          <w:sz w:val="22"/>
          <w:szCs w:val="22"/>
          <w:lang w:val="pl-PL"/>
        </w:rPr>
        <w:tab/>
        <w:t>INFORMACJA PODANA SYSTEMEM BRAILLE’A</w:t>
      </w:r>
    </w:p>
    <w:p w14:paraId="7D1763C5" w14:textId="77777777" w:rsidR="000016E2" w:rsidRPr="00BD22FE" w:rsidRDefault="000016E2" w:rsidP="005C1127">
      <w:pPr>
        <w:keepNext/>
        <w:jc w:val="both"/>
        <w:rPr>
          <w:sz w:val="22"/>
          <w:szCs w:val="22"/>
          <w:lang w:val="pl-PL"/>
        </w:rPr>
      </w:pPr>
    </w:p>
    <w:p w14:paraId="055B8AB6" w14:textId="77777777" w:rsidR="000016E2" w:rsidRPr="00BD22FE" w:rsidRDefault="00104CA8" w:rsidP="00941FBF">
      <w:pPr>
        <w:rPr>
          <w:sz w:val="22"/>
          <w:szCs w:val="22"/>
          <w:lang w:val="pl-PL"/>
        </w:rPr>
      </w:pPr>
      <w:r w:rsidRPr="00BD22FE">
        <w:rPr>
          <w:sz w:val="22"/>
          <w:szCs w:val="22"/>
          <w:lang w:val="pl-PL"/>
        </w:rPr>
        <w:t>MicardisPlus 80 mg/12,5 mg</w:t>
      </w:r>
    </w:p>
    <w:p w14:paraId="23E50B43" w14:textId="77777777" w:rsidR="000016E2" w:rsidRPr="00BD22FE" w:rsidRDefault="000016E2" w:rsidP="00941FBF">
      <w:pPr>
        <w:jc w:val="both"/>
        <w:rPr>
          <w:sz w:val="22"/>
          <w:szCs w:val="22"/>
          <w:lang w:val="pl-PL"/>
        </w:rPr>
      </w:pPr>
    </w:p>
    <w:p w14:paraId="24EDC416" w14:textId="77777777" w:rsidR="000016E2" w:rsidRPr="00BD22FE" w:rsidRDefault="000016E2" w:rsidP="00941FBF">
      <w:pPr>
        <w:jc w:val="both"/>
        <w:rPr>
          <w:sz w:val="22"/>
          <w:szCs w:val="22"/>
          <w:lang w:val="pl-PL"/>
        </w:rPr>
      </w:pPr>
    </w:p>
    <w:p w14:paraId="5088430D" w14:textId="1770783D" w:rsidR="000016E2" w:rsidRPr="00BD22FE" w:rsidRDefault="00104CA8" w:rsidP="005C1127">
      <w:pPr>
        <w:keepNext/>
        <w:pBdr>
          <w:top w:val="single" w:sz="4" w:space="1" w:color="auto"/>
          <w:left w:val="single" w:sz="4" w:space="4" w:color="auto"/>
          <w:bottom w:val="single" w:sz="4" w:space="1" w:color="auto"/>
          <w:right w:val="single" w:sz="4" w:space="4" w:color="auto"/>
        </w:pBdr>
        <w:ind w:left="567" w:hanging="567"/>
        <w:rPr>
          <w:b/>
          <w:sz w:val="22"/>
          <w:szCs w:val="22"/>
          <w:lang w:val="pl-PL"/>
        </w:rPr>
      </w:pPr>
      <w:r w:rsidRPr="00BD22FE">
        <w:rPr>
          <w:b/>
          <w:sz w:val="22"/>
          <w:szCs w:val="22"/>
          <w:lang w:val="pl-PL"/>
        </w:rPr>
        <w:t>17.</w:t>
      </w:r>
      <w:r w:rsidRPr="00BD22FE">
        <w:rPr>
          <w:b/>
          <w:sz w:val="22"/>
          <w:szCs w:val="22"/>
          <w:lang w:val="pl-PL"/>
        </w:rPr>
        <w:tab/>
        <w:t>NIEPOWTARZALNY IDENTYFIKATOR – KOD 2D</w:t>
      </w:r>
    </w:p>
    <w:p w14:paraId="1681395E" w14:textId="77777777" w:rsidR="000016E2" w:rsidRPr="00BD22FE" w:rsidRDefault="000016E2" w:rsidP="005C1127">
      <w:pPr>
        <w:keepNext/>
        <w:jc w:val="both"/>
        <w:rPr>
          <w:sz w:val="22"/>
          <w:szCs w:val="22"/>
          <w:lang w:val="pl-PL"/>
        </w:rPr>
      </w:pPr>
    </w:p>
    <w:p w14:paraId="76829759" w14:textId="77777777" w:rsidR="000016E2" w:rsidRPr="00BD22FE" w:rsidRDefault="00104CA8" w:rsidP="00941FBF">
      <w:pPr>
        <w:jc w:val="both"/>
        <w:rPr>
          <w:sz w:val="22"/>
          <w:szCs w:val="22"/>
          <w:lang w:val="pl-PL"/>
        </w:rPr>
      </w:pPr>
      <w:r w:rsidRPr="00BD22FE">
        <w:rPr>
          <w:sz w:val="22"/>
          <w:highlight w:val="lightGray"/>
          <w:lang w:val="pl-PL"/>
        </w:rPr>
        <w:t>Obejmuje kod 2D będący nośnikiem niepowtarzalnego identyfikatora.</w:t>
      </w:r>
    </w:p>
    <w:p w14:paraId="0AF5271F" w14:textId="77777777" w:rsidR="000016E2" w:rsidRPr="00BD22FE" w:rsidRDefault="000016E2" w:rsidP="00941FBF">
      <w:pPr>
        <w:jc w:val="both"/>
        <w:rPr>
          <w:sz w:val="22"/>
          <w:szCs w:val="22"/>
          <w:lang w:val="pl-PL"/>
        </w:rPr>
      </w:pPr>
    </w:p>
    <w:p w14:paraId="79EA986A" w14:textId="77777777" w:rsidR="000016E2" w:rsidRPr="00BD22FE" w:rsidRDefault="000016E2" w:rsidP="00941FBF">
      <w:pPr>
        <w:jc w:val="both"/>
        <w:rPr>
          <w:sz w:val="22"/>
          <w:szCs w:val="22"/>
          <w:lang w:val="pl-PL"/>
        </w:rPr>
      </w:pPr>
    </w:p>
    <w:p w14:paraId="37E617A4" w14:textId="50C1727C" w:rsidR="000016E2" w:rsidRPr="00BD22FE" w:rsidRDefault="00104CA8" w:rsidP="005C1127">
      <w:pPr>
        <w:keepNext/>
        <w:pBdr>
          <w:top w:val="single" w:sz="4" w:space="1" w:color="auto"/>
          <w:left w:val="single" w:sz="4" w:space="4" w:color="auto"/>
          <w:bottom w:val="single" w:sz="4" w:space="1" w:color="auto"/>
          <w:right w:val="single" w:sz="4" w:space="4" w:color="auto"/>
        </w:pBdr>
        <w:ind w:left="567" w:hanging="567"/>
        <w:rPr>
          <w:b/>
          <w:sz w:val="22"/>
          <w:szCs w:val="22"/>
          <w:lang w:val="pl-PL"/>
        </w:rPr>
      </w:pPr>
      <w:r w:rsidRPr="00BD22FE">
        <w:rPr>
          <w:b/>
          <w:sz w:val="22"/>
          <w:szCs w:val="22"/>
          <w:lang w:val="pl-PL"/>
        </w:rPr>
        <w:lastRenderedPageBreak/>
        <w:t>18.</w:t>
      </w:r>
      <w:r w:rsidRPr="00BD22FE">
        <w:rPr>
          <w:b/>
          <w:sz w:val="22"/>
          <w:szCs w:val="22"/>
          <w:lang w:val="pl-PL"/>
        </w:rPr>
        <w:tab/>
        <w:t>NIEPOWTARZALNY IDENTYFIKATOR – DANE CZYTELNE DLA CZŁOWIEKA</w:t>
      </w:r>
    </w:p>
    <w:p w14:paraId="1125AF3F" w14:textId="77777777" w:rsidR="000016E2" w:rsidRPr="00BD22FE" w:rsidRDefault="000016E2" w:rsidP="005C1127">
      <w:pPr>
        <w:keepNext/>
        <w:jc w:val="both"/>
        <w:rPr>
          <w:sz w:val="22"/>
          <w:szCs w:val="22"/>
          <w:lang w:val="pl-PL"/>
        </w:rPr>
      </w:pPr>
    </w:p>
    <w:p w14:paraId="6DC0ADFE" w14:textId="2851CCF9" w:rsidR="000016E2" w:rsidRPr="00BD22FE" w:rsidRDefault="00104CA8" w:rsidP="005C1127">
      <w:pPr>
        <w:keepNext/>
        <w:jc w:val="both"/>
        <w:rPr>
          <w:sz w:val="22"/>
          <w:szCs w:val="22"/>
          <w:lang w:val="pl-PL"/>
        </w:rPr>
      </w:pPr>
      <w:r w:rsidRPr="00BD22FE">
        <w:rPr>
          <w:sz w:val="22"/>
          <w:szCs w:val="22"/>
          <w:lang w:val="pl-PL"/>
        </w:rPr>
        <w:t>PC</w:t>
      </w:r>
    </w:p>
    <w:p w14:paraId="13DFECA0" w14:textId="653142B3" w:rsidR="000016E2" w:rsidRPr="00BD22FE" w:rsidRDefault="00104CA8" w:rsidP="00941FBF">
      <w:pPr>
        <w:rPr>
          <w:sz w:val="22"/>
          <w:szCs w:val="22"/>
          <w:lang w:val="pl-PL"/>
        </w:rPr>
      </w:pPr>
      <w:r w:rsidRPr="00BD22FE">
        <w:rPr>
          <w:sz w:val="22"/>
          <w:szCs w:val="22"/>
          <w:lang w:val="pl-PL"/>
        </w:rPr>
        <w:t>SN</w:t>
      </w:r>
    </w:p>
    <w:p w14:paraId="108579A3" w14:textId="2DD8A97E" w:rsidR="000016E2" w:rsidRPr="00BD22FE" w:rsidRDefault="00104CA8" w:rsidP="00941FBF">
      <w:pPr>
        <w:rPr>
          <w:sz w:val="22"/>
          <w:szCs w:val="22"/>
          <w:lang w:val="pl-PL"/>
        </w:rPr>
      </w:pPr>
      <w:r w:rsidRPr="00BD22FE">
        <w:rPr>
          <w:sz w:val="22"/>
          <w:szCs w:val="22"/>
          <w:highlight w:val="lightGray"/>
          <w:lang w:val="pl-PL"/>
        </w:rPr>
        <w:t>NN</w:t>
      </w:r>
    </w:p>
    <w:p w14:paraId="6B982EF0" w14:textId="77777777" w:rsidR="000016E2" w:rsidRPr="00BD22FE" w:rsidRDefault="000016E2" w:rsidP="00941FBF">
      <w:pPr>
        <w:rPr>
          <w:sz w:val="22"/>
          <w:szCs w:val="22"/>
          <w:lang w:val="pl-PL"/>
        </w:rPr>
      </w:pPr>
    </w:p>
    <w:p w14:paraId="484DAD64" w14:textId="77777777" w:rsidR="000016E2" w:rsidRPr="00BD22FE" w:rsidRDefault="000016E2" w:rsidP="00941FBF">
      <w:pPr>
        <w:rPr>
          <w:sz w:val="22"/>
          <w:szCs w:val="22"/>
          <w:lang w:val="pl-PL"/>
        </w:rPr>
      </w:pPr>
    </w:p>
    <w:p w14:paraId="6701A713" w14:textId="77777777" w:rsidR="000016E2" w:rsidRPr="00BD22FE" w:rsidRDefault="00104CA8" w:rsidP="00941FBF">
      <w:pPr>
        <w:ind w:left="540" w:hanging="540"/>
        <w:rPr>
          <w:sz w:val="22"/>
          <w:szCs w:val="22"/>
          <w:lang w:val="pl-PL"/>
        </w:rPr>
      </w:pPr>
      <w:r w:rsidRPr="00BD22FE">
        <w:rPr>
          <w:sz w:val="22"/>
          <w:szCs w:val="22"/>
          <w:lang w:val="pl-PL"/>
        </w:rPr>
        <w:br w:type="page"/>
      </w:r>
    </w:p>
    <w:p w14:paraId="45736443" w14:textId="77777777" w:rsidR="000016E2" w:rsidRPr="00BD22FE" w:rsidRDefault="00104CA8" w:rsidP="00941FBF">
      <w:pPr>
        <w:pBdr>
          <w:top w:val="single" w:sz="4" w:space="1" w:color="auto"/>
          <w:left w:val="single" w:sz="4" w:space="6" w:color="auto"/>
          <w:bottom w:val="single" w:sz="4" w:space="1" w:color="auto"/>
          <w:right w:val="single" w:sz="4" w:space="4" w:color="auto"/>
        </w:pBdr>
        <w:rPr>
          <w:b/>
          <w:sz w:val="22"/>
          <w:szCs w:val="22"/>
          <w:lang w:val="pl-PL"/>
        </w:rPr>
      </w:pPr>
      <w:r w:rsidRPr="00BD22FE">
        <w:rPr>
          <w:b/>
          <w:sz w:val="22"/>
          <w:szCs w:val="22"/>
          <w:lang w:val="pl-PL"/>
        </w:rPr>
        <w:lastRenderedPageBreak/>
        <w:t>MINIMUM INFORMACJI ZAMIESZCZANYCH NA BLISTRACH LUB OPAKOWANIACH FOLIOWYCH</w:t>
      </w:r>
    </w:p>
    <w:p w14:paraId="76DA2871" w14:textId="77777777" w:rsidR="000016E2" w:rsidRPr="00BD22FE" w:rsidRDefault="000016E2" w:rsidP="00941FBF">
      <w:pPr>
        <w:pBdr>
          <w:top w:val="single" w:sz="4" w:space="1" w:color="auto"/>
          <w:left w:val="single" w:sz="4" w:space="6" w:color="auto"/>
          <w:bottom w:val="single" w:sz="4" w:space="1" w:color="auto"/>
          <w:right w:val="single" w:sz="4" w:space="4" w:color="auto"/>
        </w:pBdr>
        <w:rPr>
          <w:sz w:val="22"/>
          <w:szCs w:val="22"/>
          <w:lang w:val="pl-PL"/>
        </w:rPr>
      </w:pPr>
    </w:p>
    <w:p w14:paraId="2A4E698B" w14:textId="06FAE45F" w:rsidR="000016E2" w:rsidRPr="00BD22FE" w:rsidRDefault="00104CA8" w:rsidP="00941FBF">
      <w:pPr>
        <w:pBdr>
          <w:top w:val="single" w:sz="4" w:space="1" w:color="auto"/>
          <w:left w:val="single" w:sz="4" w:space="6" w:color="auto"/>
          <w:bottom w:val="single" w:sz="4" w:space="1" w:color="auto"/>
          <w:right w:val="single" w:sz="4" w:space="4" w:color="auto"/>
        </w:pBdr>
        <w:rPr>
          <w:b/>
          <w:bCs/>
          <w:sz w:val="22"/>
          <w:szCs w:val="22"/>
          <w:lang w:val="pl-PL"/>
        </w:rPr>
      </w:pPr>
      <w:r w:rsidRPr="00BD22FE">
        <w:rPr>
          <w:b/>
          <w:bCs/>
          <w:sz w:val="22"/>
          <w:szCs w:val="22"/>
          <w:lang w:val="pl-PL"/>
        </w:rPr>
        <w:t>Blister z</w:t>
      </w:r>
      <w:r w:rsidR="00717A7B" w:rsidRPr="00BD22FE">
        <w:rPr>
          <w:b/>
          <w:bCs/>
          <w:sz w:val="22"/>
          <w:szCs w:val="22"/>
          <w:lang w:val="pl-PL"/>
        </w:rPr>
        <w:t> </w:t>
      </w:r>
      <w:r w:rsidRPr="00BD22FE">
        <w:rPr>
          <w:b/>
          <w:bCs/>
          <w:sz w:val="22"/>
          <w:szCs w:val="22"/>
          <w:lang w:val="pl-PL"/>
        </w:rPr>
        <w:t>7 tabletkami</w:t>
      </w:r>
    </w:p>
    <w:p w14:paraId="1D33C1F4" w14:textId="77777777" w:rsidR="000016E2" w:rsidRPr="00BD22FE" w:rsidRDefault="000016E2" w:rsidP="00941FBF">
      <w:pPr>
        <w:jc w:val="both"/>
        <w:rPr>
          <w:sz w:val="22"/>
          <w:szCs w:val="22"/>
          <w:lang w:val="pl-PL"/>
        </w:rPr>
      </w:pPr>
    </w:p>
    <w:p w14:paraId="65A479EA" w14:textId="77777777" w:rsidR="000016E2" w:rsidRPr="00BD22FE" w:rsidRDefault="000016E2" w:rsidP="00941FBF">
      <w:pPr>
        <w:jc w:val="both"/>
        <w:rPr>
          <w:sz w:val="22"/>
          <w:szCs w:val="22"/>
          <w:lang w:val="pl-PL"/>
        </w:rPr>
      </w:pPr>
    </w:p>
    <w:p w14:paraId="71E602C3" w14:textId="14A616C7" w:rsidR="000016E2" w:rsidRPr="00BD22FE" w:rsidRDefault="00686204" w:rsidP="00686204">
      <w:pPr>
        <w:keepNext/>
        <w:pBdr>
          <w:top w:val="single" w:sz="4" w:space="1" w:color="auto"/>
          <w:left w:val="single" w:sz="4" w:space="4" w:color="auto"/>
          <w:bottom w:val="single" w:sz="4" w:space="1" w:color="auto"/>
          <w:right w:val="single" w:sz="4" w:space="4" w:color="auto"/>
        </w:pBdr>
        <w:ind w:left="567" w:hanging="567"/>
        <w:rPr>
          <w:b/>
          <w:sz w:val="22"/>
          <w:szCs w:val="22"/>
          <w:lang w:val="pl-PL"/>
        </w:rPr>
      </w:pPr>
      <w:r w:rsidRPr="00BD22FE">
        <w:rPr>
          <w:b/>
          <w:sz w:val="22"/>
          <w:szCs w:val="22"/>
          <w:lang w:val="pl-PL"/>
        </w:rPr>
        <w:t>1.</w:t>
      </w:r>
      <w:r w:rsidR="00104CA8" w:rsidRPr="00BD22FE">
        <w:rPr>
          <w:b/>
          <w:sz w:val="22"/>
          <w:szCs w:val="22"/>
          <w:lang w:val="pl-PL"/>
        </w:rPr>
        <w:tab/>
        <w:t>NAZWA PRODUKTU LECZNICZEGO</w:t>
      </w:r>
    </w:p>
    <w:p w14:paraId="2004DD3E" w14:textId="77777777" w:rsidR="000016E2" w:rsidRPr="00BD22FE" w:rsidRDefault="000016E2" w:rsidP="00686204">
      <w:pPr>
        <w:keepNext/>
        <w:jc w:val="both"/>
        <w:rPr>
          <w:sz w:val="22"/>
          <w:szCs w:val="22"/>
          <w:lang w:val="pl-PL"/>
        </w:rPr>
      </w:pPr>
    </w:p>
    <w:p w14:paraId="75A8444C" w14:textId="77777777" w:rsidR="000016E2" w:rsidRPr="00BD22FE" w:rsidRDefault="00104CA8" w:rsidP="00941FBF">
      <w:pPr>
        <w:rPr>
          <w:sz w:val="22"/>
          <w:szCs w:val="22"/>
          <w:lang w:val="pl-PL"/>
        </w:rPr>
      </w:pPr>
      <w:r w:rsidRPr="00BD22FE">
        <w:rPr>
          <w:sz w:val="22"/>
          <w:szCs w:val="22"/>
          <w:lang w:val="pl-PL"/>
        </w:rPr>
        <w:t>MicardisPlus 80 mg/12,5 mg tabletki</w:t>
      </w:r>
    </w:p>
    <w:p w14:paraId="53512154" w14:textId="77777777" w:rsidR="000016E2" w:rsidRPr="00BD22FE" w:rsidRDefault="00104CA8" w:rsidP="00941FBF">
      <w:pPr>
        <w:jc w:val="both"/>
        <w:rPr>
          <w:sz w:val="22"/>
          <w:szCs w:val="22"/>
          <w:lang w:val="pl-PL"/>
        </w:rPr>
      </w:pPr>
      <w:r w:rsidRPr="00BD22FE">
        <w:rPr>
          <w:sz w:val="22"/>
          <w:szCs w:val="22"/>
          <w:lang w:val="pl-PL"/>
        </w:rPr>
        <w:t>telmisartan/hydrochlorotiazyd</w:t>
      </w:r>
    </w:p>
    <w:p w14:paraId="6A7867F5" w14:textId="77777777" w:rsidR="000016E2" w:rsidRPr="00BD22FE" w:rsidRDefault="000016E2" w:rsidP="00941FBF">
      <w:pPr>
        <w:jc w:val="both"/>
        <w:rPr>
          <w:sz w:val="22"/>
          <w:szCs w:val="22"/>
          <w:lang w:val="pl-PL"/>
        </w:rPr>
      </w:pPr>
    </w:p>
    <w:p w14:paraId="2839170B" w14:textId="77777777" w:rsidR="000016E2" w:rsidRPr="00BD22FE" w:rsidRDefault="000016E2" w:rsidP="00941FBF">
      <w:pPr>
        <w:jc w:val="both"/>
        <w:rPr>
          <w:sz w:val="22"/>
          <w:szCs w:val="22"/>
          <w:lang w:val="pl-PL"/>
        </w:rPr>
      </w:pPr>
    </w:p>
    <w:p w14:paraId="392271AE" w14:textId="77777777" w:rsidR="003A7E3D" w:rsidRPr="00BD22FE" w:rsidRDefault="00104CA8" w:rsidP="00686204">
      <w:pPr>
        <w:keepNext/>
        <w:pBdr>
          <w:top w:val="single" w:sz="4" w:space="1" w:color="auto"/>
          <w:left w:val="single" w:sz="4" w:space="4" w:color="auto"/>
          <w:bottom w:val="single" w:sz="4" w:space="1" w:color="auto"/>
          <w:right w:val="single" w:sz="4" w:space="4" w:color="auto"/>
        </w:pBdr>
        <w:ind w:left="567" w:hanging="567"/>
        <w:rPr>
          <w:b/>
          <w:sz w:val="22"/>
          <w:szCs w:val="22"/>
          <w:lang w:val="pl-PL"/>
        </w:rPr>
      </w:pPr>
      <w:r w:rsidRPr="00BD22FE">
        <w:rPr>
          <w:b/>
          <w:sz w:val="22"/>
          <w:szCs w:val="22"/>
          <w:lang w:val="pl-PL"/>
        </w:rPr>
        <w:t>2.</w:t>
      </w:r>
      <w:r w:rsidRPr="00BD22FE">
        <w:rPr>
          <w:b/>
          <w:sz w:val="22"/>
          <w:szCs w:val="22"/>
          <w:lang w:val="pl-PL"/>
        </w:rPr>
        <w:tab/>
        <w:t>NAZWA PODMIOTU ODPOWIEDZIALNEGO</w:t>
      </w:r>
    </w:p>
    <w:p w14:paraId="7880E7C6" w14:textId="3573DE43" w:rsidR="000016E2" w:rsidRPr="00BD22FE" w:rsidRDefault="000016E2" w:rsidP="00686204">
      <w:pPr>
        <w:keepNext/>
        <w:jc w:val="both"/>
        <w:rPr>
          <w:sz w:val="22"/>
          <w:szCs w:val="22"/>
          <w:lang w:val="pl-PL"/>
        </w:rPr>
      </w:pPr>
    </w:p>
    <w:p w14:paraId="0448A06D" w14:textId="77777777" w:rsidR="000016E2" w:rsidRPr="00BD22FE" w:rsidRDefault="00104CA8" w:rsidP="00941FBF">
      <w:pPr>
        <w:rPr>
          <w:sz w:val="22"/>
          <w:szCs w:val="22"/>
          <w:lang w:val="pl-PL"/>
        </w:rPr>
      </w:pPr>
      <w:r w:rsidRPr="00BD22FE">
        <w:rPr>
          <w:sz w:val="22"/>
          <w:szCs w:val="22"/>
          <w:lang w:val="pl-PL"/>
        </w:rPr>
        <w:t>Boehringer Ingelheim (</w:t>
      </w:r>
      <w:r w:rsidRPr="00BD22FE">
        <w:rPr>
          <w:sz w:val="22"/>
          <w:szCs w:val="22"/>
          <w:highlight w:val="lightGray"/>
          <w:lang w:val="pl-PL"/>
        </w:rPr>
        <w:t>Logo</w:t>
      </w:r>
      <w:r w:rsidRPr="00BD22FE">
        <w:rPr>
          <w:sz w:val="22"/>
          <w:szCs w:val="22"/>
          <w:lang w:val="pl-PL"/>
        </w:rPr>
        <w:t>)</w:t>
      </w:r>
    </w:p>
    <w:p w14:paraId="713F350F" w14:textId="77777777" w:rsidR="000016E2" w:rsidRPr="00BD22FE" w:rsidRDefault="000016E2" w:rsidP="00941FBF">
      <w:pPr>
        <w:jc w:val="both"/>
        <w:rPr>
          <w:sz w:val="22"/>
          <w:szCs w:val="22"/>
          <w:lang w:val="pl-PL"/>
        </w:rPr>
      </w:pPr>
    </w:p>
    <w:p w14:paraId="20E37AE2" w14:textId="77777777" w:rsidR="000016E2" w:rsidRPr="00BD22FE" w:rsidRDefault="000016E2" w:rsidP="00941FBF">
      <w:pPr>
        <w:jc w:val="both"/>
        <w:rPr>
          <w:sz w:val="22"/>
          <w:szCs w:val="22"/>
          <w:lang w:val="pl-PL"/>
        </w:rPr>
      </w:pPr>
    </w:p>
    <w:p w14:paraId="51EE0272" w14:textId="77777777" w:rsidR="000016E2" w:rsidRPr="00BD22FE" w:rsidRDefault="00104CA8" w:rsidP="00686204">
      <w:pPr>
        <w:keepNext/>
        <w:pBdr>
          <w:top w:val="single" w:sz="4" w:space="1" w:color="auto"/>
          <w:left w:val="single" w:sz="4" w:space="4" w:color="auto"/>
          <w:bottom w:val="single" w:sz="4" w:space="1" w:color="auto"/>
          <w:right w:val="single" w:sz="4" w:space="4" w:color="auto"/>
        </w:pBdr>
        <w:ind w:left="567" w:hanging="567"/>
        <w:rPr>
          <w:b/>
          <w:sz w:val="22"/>
          <w:szCs w:val="22"/>
          <w:lang w:val="pl-PL"/>
        </w:rPr>
      </w:pPr>
      <w:r w:rsidRPr="00BD22FE">
        <w:rPr>
          <w:b/>
          <w:sz w:val="22"/>
          <w:szCs w:val="22"/>
          <w:lang w:val="pl-PL"/>
        </w:rPr>
        <w:t>3.</w:t>
      </w:r>
      <w:r w:rsidRPr="00BD22FE">
        <w:rPr>
          <w:b/>
          <w:sz w:val="22"/>
          <w:szCs w:val="22"/>
          <w:lang w:val="pl-PL"/>
        </w:rPr>
        <w:tab/>
        <w:t>TERMIN WAŻNOŚCI</w:t>
      </w:r>
    </w:p>
    <w:p w14:paraId="32E0C128" w14:textId="77777777" w:rsidR="000016E2" w:rsidRPr="00BD22FE" w:rsidRDefault="000016E2" w:rsidP="00686204">
      <w:pPr>
        <w:keepNext/>
        <w:jc w:val="both"/>
        <w:rPr>
          <w:sz w:val="22"/>
          <w:szCs w:val="22"/>
          <w:lang w:val="pl-PL"/>
        </w:rPr>
      </w:pPr>
    </w:p>
    <w:p w14:paraId="735EEB07" w14:textId="4E99892F" w:rsidR="000016E2" w:rsidRPr="00BD22FE" w:rsidRDefault="00104CA8" w:rsidP="00941FBF">
      <w:pPr>
        <w:ind w:left="708" w:hanging="708"/>
        <w:rPr>
          <w:sz w:val="22"/>
          <w:szCs w:val="22"/>
          <w:lang w:val="pl-PL"/>
        </w:rPr>
      </w:pPr>
      <w:r w:rsidRPr="00BD22FE">
        <w:rPr>
          <w:sz w:val="22"/>
          <w:szCs w:val="22"/>
          <w:lang w:val="pl-PL"/>
        </w:rPr>
        <w:t>Termin ważności:</w:t>
      </w:r>
    </w:p>
    <w:p w14:paraId="1B6B6108" w14:textId="77777777" w:rsidR="000016E2" w:rsidRPr="00BD22FE" w:rsidRDefault="000016E2" w:rsidP="00941FBF">
      <w:pPr>
        <w:jc w:val="both"/>
        <w:rPr>
          <w:sz w:val="22"/>
          <w:szCs w:val="22"/>
          <w:lang w:val="pl-PL"/>
        </w:rPr>
      </w:pPr>
    </w:p>
    <w:p w14:paraId="0176428E" w14:textId="77777777" w:rsidR="000016E2" w:rsidRPr="00BD22FE" w:rsidRDefault="000016E2" w:rsidP="00941FBF">
      <w:pPr>
        <w:jc w:val="both"/>
        <w:rPr>
          <w:sz w:val="22"/>
          <w:szCs w:val="22"/>
          <w:lang w:val="pl-PL"/>
        </w:rPr>
      </w:pPr>
    </w:p>
    <w:p w14:paraId="30E4027A" w14:textId="3163F15A" w:rsidR="000016E2" w:rsidRPr="00BD22FE" w:rsidRDefault="00104CA8" w:rsidP="00686204">
      <w:pPr>
        <w:keepNext/>
        <w:pBdr>
          <w:top w:val="single" w:sz="4" w:space="1" w:color="auto"/>
          <w:left w:val="single" w:sz="4" w:space="4" w:color="auto"/>
          <w:bottom w:val="single" w:sz="4" w:space="1" w:color="auto"/>
          <w:right w:val="single" w:sz="4" w:space="4" w:color="auto"/>
        </w:pBdr>
        <w:ind w:left="567" w:hanging="567"/>
        <w:rPr>
          <w:b/>
          <w:sz w:val="22"/>
          <w:szCs w:val="22"/>
          <w:lang w:val="pl-PL"/>
        </w:rPr>
      </w:pPr>
      <w:r w:rsidRPr="00BD22FE">
        <w:rPr>
          <w:b/>
          <w:sz w:val="22"/>
          <w:szCs w:val="22"/>
          <w:lang w:val="pl-PL"/>
        </w:rPr>
        <w:t>4.</w:t>
      </w:r>
      <w:r w:rsidRPr="00BD22FE">
        <w:rPr>
          <w:b/>
          <w:sz w:val="22"/>
          <w:szCs w:val="22"/>
          <w:lang w:val="pl-PL"/>
        </w:rPr>
        <w:tab/>
        <w:t>NUMER SERII</w:t>
      </w:r>
    </w:p>
    <w:p w14:paraId="363FC156" w14:textId="77777777" w:rsidR="000016E2" w:rsidRPr="00BD22FE" w:rsidRDefault="000016E2" w:rsidP="00686204">
      <w:pPr>
        <w:keepNext/>
        <w:jc w:val="both"/>
        <w:rPr>
          <w:sz w:val="22"/>
          <w:szCs w:val="22"/>
          <w:lang w:val="pl-PL"/>
        </w:rPr>
      </w:pPr>
    </w:p>
    <w:p w14:paraId="46E8DC5E" w14:textId="42DDEE12" w:rsidR="000016E2" w:rsidRPr="00BD22FE" w:rsidRDefault="00104CA8" w:rsidP="00941FBF">
      <w:pPr>
        <w:rPr>
          <w:sz w:val="22"/>
          <w:szCs w:val="22"/>
          <w:lang w:val="pl-PL"/>
        </w:rPr>
      </w:pPr>
      <w:r w:rsidRPr="00BD22FE">
        <w:rPr>
          <w:sz w:val="22"/>
          <w:szCs w:val="22"/>
          <w:lang w:val="pl-PL"/>
        </w:rPr>
        <w:t>Nr serii:</w:t>
      </w:r>
    </w:p>
    <w:p w14:paraId="6E5AD551" w14:textId="77777777" w:rsidR="000016E2" w:rsidRPr="00BD22FE" w:rsidRDefault="000016E2" w:rsidP="00941FBF">
      <w:pPr>
        <w:rPr>
          <w:sz w:val="22"/>
          <w:szCs w:val="22"/>
          <w:lang w:val="pl-PL"/>
        </w:rPr>
      </w:pPr>
    </w:p>
    <w:p w14:paraId="2DB67618" w14:textId="77777777" w:rsidR="000016E2" w:rsidRPr="00BD22FE" w:rsidRDefault="000016E2" w:rsidP="00941FBF">
      <w:pPr>
        <w:rPr>
          <w:sz w:val="22"/>
          <w:szCs w:val="22"/>
          <w:lang w:val="pl-PL"/>
        </w:rPr>
      </w:pPr>
    </w:p>
    <w:p w14:paraId="4BDD3F53" w14:textId="622EE508" w:rsidR="000016E2" w:rsidRPr="00BD22FE" w:rsidRDefault="00104CA8" w:rsidP="00686204">
      <w:pPr>
        <w:keepNext/>
        <w:pBdr>
          <w:top w:val="single" w:sz="4" w:space="1" w:color="auto"/>
          <w:left w:val="single" w:sz="4" w:space="4" w:color="auto"/>
          <w:bottom w:val="single" w:sz="4" w:space="1" w:color="auto"/>
          <w:right w:val="single" w:sz="4" w:space="4" w:color="auto"/>
        </w:pBdr>
        <w:ind w:left="567" w:hanging="567"/>
        <w:rPr>
          <w:b/>
          <w:sz w:val="22"/>
          <w:szCs w:val="22"/>
          <w:lang w:val="pl-PL"/>
        </w:rPr>
      </w:pPr>
      <w:r w:rsidRPr="00BD22FE">
        <w:rPr>
          <w:b/>
          <w:sz w:val="22"/>
          <w:szCs w:val="22"/>
          <w:lang w:val="pl-PL"/>
        </w:rPr>
        <w:t>5.</w:t>
      </w:r>
      <w:r w:rsidRPr="00BD22FE">
        <w:rPr>
          <w:b/>
          <w:sz w:val="22"/>
          <w:szCs w:val="22"/>
          <w:lang w:val="pl-PL"/>
        </w:rPr>
        <w:tab/>
        <w:t>INNE</w:t>
      </w:r>
    </w:p>
    <w:p w14:paraId="01D32D5F" w14:textId="77777777" w:rsidR="000016E2" w:rsidRPr="00BD22FE" w:rsidRDefault="000016E2" w:rsidP="00686204">
      <w:pPr>
        <w:keepNext/>
        <w:rPr>
          <w:sz w:val="22"/>
          <w:szCs w:val="22"/>
          <w:lang w:val="pl-PL"/>
        </w:rPr>
      </w:pPr>
    </w:p>
    <w:p w14:paraId="5BBC77C2" w14:textId="77777777" w:rsidR="000016E2" w:rsidRPr="00BD22FE" w:rsidRDefault="00104CA8" w:rsidP="00941FBF">
      <w:pPr>
        <w:rPr>
          <w:sz w:val="22"/>
          <w:szCs w:val="22"/>
          <w:lang w:val="pl-PL"/>
        </w:rPr>
      </w:pPr>
      <w:r w:rsidRPr="00BD22FE">
        <w:rPr>
          <w:sz w:val="22"/>
          <w:szCs w:val="22"/>
          <w:lang w:val="pl-PL"/>
        </w:rPr>
        <w:t>PN</w:t>
      </w:r>
    </w:p>
    <w:p w14:paraId="684B3493" w14:textId="77777777" w:rsidR="000016E2" w:rsidRPr="00BD22FE" w:rsidRDefault="00104CA8" w:rsidP="00941FBF">
      <w:pPr>
        <w:rPr>
          <w:sz w:val="22"/>
          <w:szCs w:val="22"/>
          <w:lang w:val="pl-PL"/>
        </w:rPr>
      </w:pPr>
      <w:r w:rsidRPr="00BD22FE">
        <w:rPr>
          <w:sz w:val="22"/>
          <w:szCs w:val="22"/>
          <w:lang w:val="pl-PL"/>
        </w:rPr>
        <w:t>WT</w:t>
      </w:r>
    </w:p>
    <w:p w14:paraId="282CE935" w14:textId="77777777" w:rsidR="000016E2" w:rsidRPr="00BD22FE" w:rsidRDefault="00104CA8" w:rsidP="00941FBF">
      <w:pPr>
        <w:rPr>
          <w:sz w:val="22"/>
          <w:szCs w:val="22"/>
          <w:lang w:val="pl-PL"/>
        </w:rPr>
      </w:pPr>
      <w:r w:rsidRPr="00BD22FE">
        <w:rPr>
          <w:sz w:val="22"/>
          <w:szCs w:val="22"/>
          <w:lang w:val="pl-PL"/>
        </w:rPr>
        <w:t>ŚR</w:t>
      </w:r>
    </w:p>
    <w:p w14:paraId="5DFB6F1E" w14:textId="77777777" w:rsidR="000016E2" w:rsidRPr="00BD22FE" w:rsidRDefault="00104CA8" w:rsidP="00941FBF">
      <w:pPr>
        <w:rPr>
          <w:sz w:val="22"/>
          <w:szCs w:val="22"/>
          <w:lang w:val="pl-PL"/>
        </w:rPr>
      </w:pPr>
      <w:r w:rsidRPr="00BD22FE">
        <w:rPr>
          <w:sz w:val="22"/>
          <w:szCs w:val="22"/>
          <w:lang w:val="pl-PL"/>
        </w:rPr>
        <w:t>CZ</w:t>
      </w:r>
    </w:p>
    <w:p w14:paraId="11E2BC13" w14:textId="77777777" w:rsidR="000016E2" w:rsidRPr="00BD22FE" w:rsidRDefault="00104CA8" w:rsidP="00941FBF">
      <w:pPr>
        <w:rPr>
          <w:sz w:val="22"/>
          <w:szCs w:val="22"/>
          <w:lang w:val="pl-PL"/>
        </w:rPr>
      </w:pPr>
      <w:r w:rsidRPr="00BD22FE">
        <w:rPr>
          <w:sz w:val="22"/>
          <w:szCs w:val="22"/>
          <w:lang w:val="pl-PL"/>
        </w:rPr>
        <w:t>PT</w:t>
      </w:r>
    </w:p>
    <w:p w14:paraId="4255E724" w14:textId="77777777" w:rsidR="000016E2" w:rsidRPr="00BD22FE" w:rsidRDefault="00104CA8" w:rsidP="00941FBF">
      <w:pPr>
        <w:rPr>
          <w:sz w:val="22"/>
          <w:szCs w:val="22"/>
          <w:lang w:val="pl-PL"/>
        </w:rPr>
      </w:pPr>
      <w:r w:rsidRPr="00BD22FE">
        <w:rPr>
          <w:sz w:val="22"/>
          <w:szCs w:val="22"/>
          <w:lang w:val="pl-PL"/>
        </w:rPr>
        <w:t>SO</w:t>
      </w:r>
    </w:p>
    <w:p w14:paraId="7491196E" w14:textId="77777777" w:rsidR="000016E2" w:rsidRPr="00BD22FE" w:rsidRDefault="00104CA8" w:rsidP="00941FBF">
      <w:pPr>
        <w:rPr>
          <w:sz w:val="22"/>
          <w:szCs w:val="22"/>
          <w:lang w:val="pl-PL"/>
        </w:rPr>
      </w:pPr>
      <w:r w:rsidRPr="00BD22FE">
        <w:rPr>
          <w:sz w:val="22"/>
          <w:szCs w:val="22"/>
          <w:lang w:val="pl-PL"/>
        </w:rPr>
        <w:t>ND</w:t>
      </w:r>
    </w:p>
    <w:p w14:paraId="7D898A7E" w14:textId="77777777" w:rsidR="000016E2" w:rsidRPr="00BD22FE" w:rsidRDefault="000016E2" w:rsidP="00941FBF">
      <w:pPr>
        <w:jc w:val="both"/>
        <w:rPr>
          <w:sz w:val="22"/>
          <w:szCs w:val="22"/>
          <w:lang w:val="pl-PL"/>
        </w:rPr>
      </w:pPr>
    </w:p>
    <w:p w14:paraId="2092F597" w14:textId="77777777" w:rsidR="000016E2" w:rsidRPr="00BD22FE" w:rsidRDefault="00104CA8" w:rsidP="00941FBF">
      <w:pPr>
        <w:jc w:val="both"/>
        <w:rPr>
          <w:sz w:val="22"/>
          <w:szCs w:val="22"/>
          <w:lang w:val="pl-PL"/>
        </w:rPr>
      </w:pPr>
      <w:r w:rsidRPr="00BD22FE">
        <w:rPr>
          <w:sz w:val="22"/>
          <w:szCs w:val="22"/>
          <w:lang w:val="pl-PL"/>
        </w:rPr>
        <w:br w:type="page"/>
      </w:r>
    </w:p>
    <w:p w14:paraId="40E47866" w14:textId="77777777" w:rsidR="000016E2" w:rsidRPr="00BD22FE" w:rsidRDefault="00104CA8" w:rsidP="000C5B3A">
      <w:pPr>
        <w:pBdr>
          <w:top w:val="single" w:sz="4" w:space="1" w:color="auto"/>
          <w:left w:val="single" w:sz="4" w:space="4" w:color="auto"/>
          <w:bottom w:val="single" w:sz="4" w:space="1" w:color="auto"/>
          <w:right w:val="single" w:sz="4" w:space="4" w:color="auto"/>
        </w:pBdr>
        <w:rPr>
          <w:b/>
          <w:sz w:val="22"/>
          <w:szCs w:val="22"/>
          <w:lang w:val="pl-PL"/>
        </w:rPr>
      </w:pPr>
      <w:r w:rsidRPr="00BD22FE">
        <w:rPr>
          <w:b/>
          <w:sz w:val="22"/>
          <w:szCs w:val="22"/>
          <w:lang w:val="pl-PL"/>
        </w:rPr>
        <w:lastRenderedPageBreak/>
        <w:t>MINIMUM INFORMACJI ZAMIESZCZANYCH NA BLISTRACH LUB OPAKOWANIACH FOLIOWYCH</w:t>
      </w:r>
    </w:p>
    <w:p w14:paraId="17EBB307" w14:textId="77777777" w:rsidR="000016E2" w:rsidRPr="00BD22FE" w:rsidRDefault="000016E2" w:rsidP="000C5B3A">
      <w:pPr>
        <w:pBdr>
          <w:top w:val="single" w:sz="4" w:space="1" w:color="auto"/>
          <w:left w:val="single" w:sz="4" w:space="4" w:color="auto"/>
          <w:bottom w:val="single" w:sz="4" w:space="1" w:color="auto"/>
          <w:right w:val="single" w:sz="4" w:space="4" w:color="auto"/>
        </w:pBdr>
        <w:rPr>
          <w:sz w:val="22"/>
          <w:szCs w:val="22"/>
          <w:lang w:val="pl-PL"/>
        </w:rPr>
      </w:pPr>
    </w:p>
    <w:p w14:paraId="483FE271" w14:textId="54375089" w:rsidR="000016E2" w:rsidRPr="00BD22FE" w:rsidRDefault="00104CA8" w:rsidP="000C5B3A">
      <w:pPr>
        <w:pBdr>
          <w:top w:val="single" w:sz="4" w:space="1" w:color="auto"/>
          <w:left w:val="single" w:sz="4" w:space="4" w:color="auto"/>
          <w:bottom w:val="single" w:sz="4" w:space="1" w:color="auto"/>
          <w:right w:val="single" w:sz="4" w:space="4" w:color="auto"/>
        </w:pBdr>
        <w:rPr>
          <w:b/>
          <w:bCs/>
          <w:sz w:val="22"/>
          <w:szCs w:val="22"/>
          <w:lang w:val="pl-PL"/>
        </w:rPr>
      </w:pPr>
      <w:r w:rsidRPr="00BD22FE">
        <w:rPr>
          <w:b/>
          <w:bCs/>
          <w:sz w:val="22"/>
          <w:szCs w:val="22"/>
          <w:lang w:val="pl-PL"/>
        </w:rPr>
        <w:t>Blister podzielny na dawki pojedyncze zawierający 7 lub 10</w:t>
      </w:r>
      <w:r w:rsidR="00C15D43" w:rsidRPr="00BD22FE">
        <w:rPr>
          <w:b/>
          <w:bCs/>
          <w:sz w:val="22"/>
          <w:szCs w:val="22"/>
          <w:lang w:val="pl-PL"/>
        </w:rPr>
        <w:noBreakHyphen/>
      </w:r>
      <w:r w:rsidRPr="00BD22FE">
        <w:rPr>
          <w:b/>
          <w:bCs/>
          <w:sz w:val="22"/>
          <w:szCs w:val="22"/>
          <w:lang w:val="pl-PL"/>
        </w:rPr>
        <w:t>krotność lub blister zawierający inną liczbę tabletek niż 7</w:t>
      </w:r>
    </w:p>
    <w:p w14:paraId="55DEED27" w14:textId="77777777" w:rsidR="000016E2" w:rsidRPr="00BD22FE" w:rsidRDefault="000016E2" w:rsidP="00941FBF">
      <w:pPr>
        <w:rPr>
          <w:sz w:val="22"/>
          <w:szCs w:val="22"/>
          <w:lang w:val="pl-PL"/>
        </w:rPr>
      </w:pPr>
    </w:p>
    <w:p w14:paraId="643CE4C8" w14:textId="77777777" w:rsidR="000016E2" w:rsidRPr="00BD22FE" w:rsidRDefault="000016E2" w:rsidP="00941FBF">
      <w:pPr>
        <w:rPr>
          <w:sz w:val="22"/>
          <w:szCs w:val="22"/>
          <w:lang w:val="pl-PL"/>
        </w:rPr>
      </w:pPr>
    </w:p>
    <w:p w14:paraId="0F21B0EA" w14:textId="77777777" w:rsidR="000016E2" w:rsidRPr="00BD22FE" w:rsidRDefault="00104CA8" w:rsidP="000C5B3A">
      <w:pPr>
        <w:keepNext/>
        <w:pBdr>
          <w:top w:val="single" w:sz="4" w:space="1" w:color="auto"/>
          <w:left w:val="single" w:sz="4" w:space="4" w:color="auto"/>
          <w:bottom w:val="single" w:sz="4" w:space="1" w:color="auto"/>
          <w:right w:val="single" w:sz="4" w:space="4" w:color="auto"/>
        </w:pBdr>
        <w:ind w:left="567" w:hanging="567"/>
        <w:rPr>
          <w:b/>
          <w:sz w:val="22"/>
          <w:szCs w:val="22"/>
          <w:lang w:val="pl-PL"/>
        </w:rPr>
      </w:pPr>
      <w:r w:rsidRPr="00BD22FE">
        <w:rPr>
          <w:b/>
          <w:sz w:val="22"/>
          <w:szCs w:val="22"/>
          <w:lang w:val="pl-PL"/>
        </w:rPr>
        <w:t>1.</w:t>
      </w:r>
      <w:r w:rsidRPr="00BD22FE">
        <w:rPr>
          <w:b/>
          <w:sz w:val="22"/>
          <w:szCs w:val="22"/>
          <w:lang w:val="pl-PL"/>
        </w:rPr>
        <w:tab/>
        <w:t>NAZWA PRODUKTU LECZNICZEGO</w:t>
      </w:r>
    </w:p>
    <w:p w14:paraId="1A8CB5D6" w14:textId="77777777" w:rsidR="000016E2" w:rsidRPr="00BD22FE" w:rsidRDefault="000016E2" w:rsidP="00CA7840">
      <w:pPr>
        <w:keepNext/>
        <w:rPr>
          <w:sz w:val="22"/>
          <w:szCs w:val="22"/>
          <w:lang w:val="pl-PL"/>
        </w:rPr>
      </w:pPr>
    </w:p>
    <w:p w14:paraId="23288865" w14:textId="77777777" w:rsidR="000016E2" w:rsidRPr="00BD22FE" w:rsidRDefault="00104CA8" w:rsidP="00941FBF">
      <w:pPr>
        <w:rPr>
          <w:sz w:val="22"/>
          <w:szCs w:val="22"/>
          <w:lang w:val="pl-PL"/>
        </w:rPr>
      </w:pPr>
      <w:r w:rsidRPr="00BD22FE">
        <w:rPr>
          <w:sz w:val="22"/>
          <w:szCs w:val="22"/>
          <w:lang w:val="pl-PL"/>
        </w:rPr>
        <w:t>MicardisPlus 80 mg/12,5 mg tabletki</w:t>
      </w:r>
    </w:p>
    <w:p w14:paraId="65054043" w14:textId="77777777" w:rsidR="000016E2" w:rsidRPr="00BD22FE" w:rsidRDefault="00104CA8" w:rsidP="00941FBF">
      <w:pPr>
        <w:jc w:val="both"/>
        <w:rPr>
          <w:sz w:val="22"/>
          <w:szCs w:val="22"/>
          <w:lang w:val="pl-PL"/>
        </w:rPr>
      </w:pPr>
      <w:r w:rsidRPr="00BD22FE">
        <w:rPr>
          <w:sz w:val="22"/>
          <w:szCs w:val="22"/>
          <w:lang w:val="pl-PL"/>
        </w:rPr>
        <w:t>telmisartan/hydrochlorotiazyd</w:t>
      </w:r>
    </w:p>
    <w:p w14:paraId="157F45AD" w14:textId="77777777" w:rsidR="000016E2" w:rsidRPr="00BD22FE" w:rsidRDefault="000016E2" w:rsidP="00941FBF">
      <w:pPr>
        <w:rPr>
          <w:sz w:val="22"/>
          <w:szCs w:val="22"/>
          <w:lang w:val="pl-PL"/>
        </w:rPr>
      </w:pPr>
    </w:p>
    <w:p w14:paraId="4EA0B093" w14:textId="77777777" w:rsidR="000016E2" w:rsidRPr="00BD22FE" w:rsidRDefault="000016E2" w:rsidP="00941FBF">
      <w:pPr>
        <w:rPr>
          <w:sz w:val="22"/>
          <w:szCs w:val="22"/>
          <w:lang w:val="pl-PL"/>
        </w:rPr>
      </w:pPr>
    </w:p>
    <w:p w14:paraId="05A2D01F" w14:textId="3C154DDB" w:rsidR="000016E2" w:rsidRPr="00BD22FE" w:rsidRDefault="00104CA8" w:rsidP="000C5B3A">
      <w:pPr>
        <w:keepNext/>
        <w:pBdr>
          <w:top w:val="single" w:sz="4" w:space="1" w:color="auto"/>
          <w:left w:val="single" w:sz="4" w:space="4" w:color="auto"/>
          <w:bottom w:val="single" w:sz="4" w:space="1" w:color="auto"/>
          <w:right w:val="single" w:sz="4" w:space="4" w:color="auto"/>
        </w:pBdr>
        <w:ind w:left="567" w:hanging="567"/>
        <w:rPr>
          <w:b/>
          <w:sz w:val="22"/>
          <w:szCs w:val="22"/>
          <w:lang w:val="pl-PL"/>
        </w:rPr>
      </w:pPr>
      <w:r w:rsidRPr="00BD22FE">
        <w:rPr>
          <w:b/>
          <w:sz w:val="22"/>
          <w:szCs w:val="22"/>
          <w:lang w:val="pl-PL"/>
        </w:rPr>
        <w:t>2.</w:t>
      </w:r>
      <w:r w:rsidRPr="00BD22FE">
        <w:rPr>
          <w:b/>
          <w:sz w:val="22"/>
          <w:szCs w:val="22"/>
          <w:lang w:val="pl-PL"/>
        </w:rPr>
        <w:tab/>
        <w:t>NAZWA PODMIOTU ODPOWIEDZIALNEGO</w:t>
      </w:r>
    </w:p>
    <w:p w14:paraId="5216EB22" w14:textId="77777777" w:rsidR="000016E2" w:rsidRPr="00BD22FE" w:rsidRDefault="000016E2" w:rsidP="00CA7840">
      <w:pPr>
        <w:keepNext/>
        <w:rPr>
          <w:sz w:val="22"/>
          <w:szCs w:val="22"/>
          <w:lang w:val="pl-PL"/>
        </w:rPr>
      </w:pPr>
    </w:p>
    <w:p w14:paraId="54476831" w14:textId="77777777" w:rsidR="000016E2" w:rsidRPr="00BD22FE" w:rsidRDefault="00104CA8" w:rsidP="00941FBF">
      <w:pPr>
        <w:rPr>
          <w:sz w:val="22"/>
          <w:szCs w:val="22"/>
          <w:lang w:val="pl-PL"/>
        </w:rPr>
      </w:pPr>
      <w:r w:rsidRPr="00BD22FE">
        <w:rPr>
          <w:sz w:val="22"/>
          <w:szCs w:val="22"/>
          <w:lang w:val="pl-PL"/>
        </w:rPr>
        <w:t>Boehringer Ingelheim (</w:t>
      </w:r>
      <w:r w:rsidRPr="00BD22FE">
        <w:rPr>
          <w:sz w:val="22"/>
          <w:szCs w:val="22"/>
          <w:highlight w:val="lightGray"/>
          <w:lang w:val="pl-PL"/>
        </w:rPr>
        <w:t>Logo</w:t>
      </w:r>
      <w:r w:rsidRPr="00BD22FE">
        <w:rPr>
          <w:sz w:val="22"/>
          <w:szCs w:val="22"/>
          <w:lang w:val="pl-PL"/>
        </w:rPr>
        <w:t>)</w:t>
      </w:r>
    </w:p>
    <w:p w14:paraId="52750EC5" w14:textId="77777777" w:rsidR="000016E2" w:rsidRPr="00BD22FE" w:rsidRDefault="000016E2" w:rsidP="00941FBF">
      <w:pPr>
        <w:rPr>
          <w:sz w:val="22"/>
          <w:szCs w:val="22"/>
          <w:lang w:val="pl-PL"/>
        </w:rPr>
      </w:pPr>
    </w:p>
    <w:p w14:paraId="6FC475C7" w14:textId="77777777" w:rsidR="000016E2" w:rsidRPr="00BD22FE" w:rsidRDefault="000016E2" w:rsidP="00941FBF">
      <w:pPr>
        <w:rPr>
          <w:sz w:val="22"/>
          <w:szCs w:val="22"/>
          <w:lang w:val="pl-PL"/>
        </w:rPr>
      </w:pPr>
    </w:p>
    <w:p w14:paraId="5EE747CE" w14:textId="77777777" w:rsidR="000016E2" w:rsidRPr="00BD22FE" w:rsidRDefault="00104CA8" w:rsidP="000C5B3A">
      <w:pPr>
        <w:keepNext/>
        <w:pBdr>
          <w:top w:val="single" w:sz="4" w:space="1" w:color="auto"/>
          <w:left w:val="single" w:sz="4" w:space="4" w:color="auto"/>
          <w:bottom w:val="single" w:sz="4" w:space="1" w:color="auto"/>
          <w:right w:val="single" w:sz="4" w:space="4" w:color="auto"/>
        </w:pBdr>
        <w:ind w:left="567" w:hanging="567"/>
        <w:rPr>
          <w:b/>
          <w:sz w:val="22"/>
          <w:szCs w:val="22"/>
          <w:lang w:val="pl-PL"/>
        </w:rPr>
      </w:pPr>
      <w:r w:rsidRPr="00BD22FE">
        <w:rPr>
          <w:b/>
          <w:sz w:val="22"/>
          <w:szCs w:val="22"/>
          <w:lang w:val="pl-PL"/>
        </w:rPr>
        <w:t>3.</w:t>
      </w:r>
      <w:r w:rsidRPr="00BD22FE">
        <w:rPr>
          <w:b/>
          <w:sz w:val="22"/>
          <w:szCs w:val="22"/>
          <w:lang w:val="pl-PL"/>
        </w:rPr>
        <w:tab/>
        <w:t>TERMIN WAŻNOŚCI</w:t>
      </w:r>
    </w:p>
    <w:p w14:paraId="69BA950E" w14:textId="77777777" w:rsidR="000016E2" w:rsidRPr="00BD22FE" w:rsidRDefault="000016E2" w:rsidP="00CA7840">
      <w:pPr>
        <w:keepNext/>
        <w:rPr>
          <w:sz w:val="22"/>
          <w:szCs w:val="22"/>
          <w:lang w:val="pl-PL"/>
        </w:rPr>
      </w:pPr>
    </w:p>
    <w:p w14:paraId="35F53784" w14:textId="38DF4AFC" w:rsidR="000016E2" w:rsidRPr="00BD22FE" w:rsidRDefault="00104CA8" w:rsidP="00941FBF">
      <w:pPr>
        <w:rPr>
          <w:sz w:val="22"/>
          <w:szCs w:val="22"/>
          <w:lang w:val="pl-PL"/>
        </w:rPr>
      </w:pPr>
      <w:r w:rsidRPr="00BD22FE">
        <w:rPr>
          <w:sz w:val="22"/>
          <w:szCs w:val="22"/>
          <w:lang w:val="pl-PL"/>
        </w:rPr>
        <w:t>Termin ważności:</w:t>
      </w:r>
    </w:p>
    <w:p w14:paraId="1B5F9F58" w14:textId="77777777" w:rsidR="000016E2" w:rsidRPr="00BD22FE" w:rsidRDefault="000016E2" w:rsidP="00941FBF">
      <w:pPr>
        <w:rPr>
          <w:sz w:val="22"/>
          <w:szCs w:val="22"/>
          <w:lang w:val="pl-PL"/>
        </w:rPr>
      </w:pPr>
    </w:p>
    <w:p w14:paraId="3E70A505" w14:textId="77777777" w:rsidR="000016E2" w:rsidRPr="00BD22FE" w:rsidRDefault="000016E2" w:rsidP="00941FBF">
      <w:pPr>
        <w:rPr>
          <w:sz w:val="22"/>
          <w:szCs w:val="22"/>
          <w:lang w:val="pl-PL"/>
        </w:rPr>
      </w:pPr>
    </w:p>
    <w:p w14:paraId="0277978C" w14:textId="77777777" w:rsidR="000016E2" w:rsidRPr="00BD22FE" w:rsidRDefault="00104CA8" w:rsidP="000C5B3A">
      <w:pPr>
        <w:keepNext/>
        <w:pBdr>
          <w:top w:val="single" w:sz="4" w:space="1" w:color="auto"/>
          <w:left w:val="single" w:sz="4" w:space="4" w:color="auto"/>
          <w:bottom w:val="single" w:sz="4" w:space="1" w:color="auto"/>
          <w:right w:val="single" w:sz="4" w:space="4" w:color="auto"/>
        </w:pBdr>
        <w:ind w:left="567" w:hanging="567"/>
        <w:rPr>
          <w:b/>
          <w:sz w:val="22"/>
          <w:szCs w:val="22"/>
          <w:lang w:val="pl-PL"/>
        </w:rPr>
      </w:pPr>
      <w:r w:rsidRPr="00BD22FE">
        <w:rPr>
          <w:b/>
          <w:sz w:val="22"/>
          <w:szCs w:val="22"/>
          <w:lang w:val="pl-PL"/>
        </w:rPr>
        <w:t>4.</w:t>
      </w:r>
      <w:r w:rsidRPr="00BD22FE">
        <w:rPr>
          <w:b/>
          <w:sz w:val="22"/>
          <w:szCs w:val="22"/>
          <w:lang w:val="pl-PL"/>
        </w:rPr>
        <w:tab/>
        <w:t>NUMER SERII</w:t>
      </w:r>
    </w:p>
    <w:p w14:paraId="40FD8A76" w14:textId="77777777" w:rsidR="000016E2" w:rsidRPr="00BD22FE" w:rsidRDefault="000016E2" w:rsidP="00CA7840">
      <w:pPr>
        <w:keepNext/>
        <w:rPr>
          <w:sz w:val="22"/>
          <w:szCs w:val="22"/>
          <w:lang w:val="pl-PL"/>
        </w:rPr>
      </w:pPr>
    </w:p>
    <w:p w14:paraId="59B597FA" w14:textId="6D475C65" w:rsidR="000016E2" w:rsidRPr="00BD22FE" w:rsidRDefault="00104CA8" w:rsidP="00941FBF">
      <w:pPr>
        <w:rPr>
          <w:sz w:val="22"/>
          <w:szCs w:val="22"/>
          <w:lang w:val="pl-PL"/>
        </w:rPr>
      </w:pPr>
      <w:r w:rsidRPr="00BD22FE">
        <w:rPr>
          <w:sz w:val="22"/>
          <w:szCs w:val="22"/>
          <w:lang w:val="pl-PL"/>
        </w:rPr>
        <w:t>Nr serii:</w:t>
      </w:r>
    </w:p>
    <w:p w14:paraId="26942AC3" w14:textId="18589E42" w:rsidR="000016E2" w:rsidRPr="00BD22FE" w:rsidRDefault="000016E2" w:rsidP="00941FBF">
      <w:pPr>
        <w:rPr>
          <w:sz w:val="22"/>
          <w:szCs w:val="22"/>
          <w:lang w:val="pl-PL"/>
        </w:rPr>
      </w:pPr>
    </w:p>
    <w:p w14:paraId="1D39459F" w14:textId="77777777" w:rsidR="000016E2" w:rsidRPr="00BD22FE" w:rsidRDefault="000016E2" w:rsidP="00941FBF">
      <w:pPr>
        <w:rPr>
          <w:sz w:val="22"/>
          <w:szCs w:val="22"/>
          <w:lang w:val="pl-PL"/>
        </w:rPr>
      </w:pPr>
    </w:p>
    <w:p w14:paraId="3930A2E1" w14:textId="77777777" w:rsidR="000016E2" w:rsidRPr="00BD22FE" w:rsidRDefault="00104CA8" w:rsidP="000C5B3A">
      <w:pPr>
        <w:keepNext/>
        <w:pBdr>
          <w:top w:val="single" w:sz="4" w:space="1" w:color="auto"/>
          <w:left w:val="single" w:sz="4" w:space="4" w:color="auto"/>
          <w:bottom w:val="single" w:sz="4" w:space="1" w:color="auto"/>
          <w:right w:val="single" w:sz="4" w:space="4" w:color="auto"/>
        </w:pBdr>
        <w:ind w:left="567" w:hanging="567"/>
        <w:rPr>
          <w:b/>
          <w:sz w:val="22"/>
          <w:szCs w:val="22"/>
          <w:lang w:val="pl-PL"/>
        </w:rPr>
      </w:pPr>
      <w:r w:rsidRPr="00BD22FE">
        <w:rPr>
          <w:b/>
          <w:sz w:val="22"/>
          <w:szCs w:val="22"/>
          <w:lang w:val="pl-PL"/>
        </w:rPr>
        <w:t>5.</w:t>
      </w:r>
      <w:r w:rsidRPr="00BD22FE">
        <w:rPr>
          <w:b/>
          <w:sz w:val="22"/>
          <w:szCs w:val="22"/>
          <w:lang w:val="pl-PL"/>
        </w:rPr>
        <w:tab/>
        <w:t>INNE</w:t>
      </w:r>
    </w:p>
    <w:p w14:paraId="19E55B78" w14:textId="77777777" w:rsidR="000016E2" w:rsidRPr="00BD22FE" w:rsidRDefault="000016E2" w:rsidP="00CA7840">
      <w:pPr>
        <w:keepNext/>
        <w:jc w:val="both"/>
        <w:rPr>
          <w:sz w:val="22"/>
          <w:szCs w:val="22"/>
          <w:lang w:val="pl-PL"/>
        </w:rPr>
      </w:pPr>
    </w:p>
    <w:p w14:paraId="0EF2DA3F" w14:textId="77777777" w:rsidR="000016E2" w:rsidRPr="00BD22FE" w:rsidRDefault="000016E2" w:rsidP="00941FBF">
      <w:pPr>
        <w:jc w:val="both"/>
        <w:rPr>
          <w:sz w:val="22"/>
          <w:szCs w:val="22"/>
          <w:lang w:val="pl-PL"/>
        </w:rPr>
      </w:pPr>
    </w:p>
    <w:p w14:paraId="5457BEBE" w14:textId="77777777" w:rsidR="003A7E3D" w:rsidRPr="00BD22FE" w:rsidRDefault="00104CA8" w:rsidP="00941FBF">
      <w:pPr>
        <w:pBdr>
          <w:top w:val="single" w:sz="4" w:space="0" w:color="auto"/>
          <w:left w:val="single" w:sz="4" w:space="4" w:color="auto"/>
          <w:bottom w:val="single" w:sz="4" w:space="0" w:color="auto"/>
          <w:right w:val="single" w:sz="4" w:space="4" w:color="auto"/>
        </w:pBdr>
        <w:rPr>
          <w:b/>
          <w:sz w:val="22"/>
          <w:szCs w:val="22"/>
          <w:lang w:val="pl-PL"/>
        </w:rPr>
      </w:pPr>
      <w:r w:rsidRPr="00BD22FE">
        <w:rPr>
          <w:sz w:val="22"/>
          <w:szCs w:val="22"/>
          <w:lang w:val="pl-PL"/>
        </w:rPr>
        <w:br w:type="page"/>
      </w:r>
      <w:r w:rsidRPr="00BD22FE">
        <w:rPr>
          <w:b/>
          <w:sz w:val="22"/>
          <w:szCs w:val="22"/>
          <w:lang w:val="pl-PL"/>
        </w:rPr>
        <w:lastRenderedPageBreak/>
        <w:t>INFORMACJE ZAMIESZCZANE NA OPAKOWANIACH ZEWNĘTRZNYCH</w:t>
      </w:r>
    </w:p>
    <w:p w14:paraId="699899E5" w14:textId="796FE2AB" w:rsidR="000016E2" w:rsidRPr="00BD22FE" w:rsidRDefault="000016E2" w:rsidP="00941FBF">
      <w:pPr>
        <w:pBdr>
          <w:top w:val="single" w:sz="4" w:space="0" w:color="auto"/>
          <w:left w:val="single" w:sz="4" w:space="4" w:color="auto"/>
          <w:bottom w:val="single" w:sz="4" w:space="0" w:color="auto"/>
          <w:right w:val="single" w:sz="4" w:space="4" w:color="auto"/>
        </w:pBdr>
        <w:rPr>
          <w:sz w:val="22"/>
          <w:szCs w:val="22"/>
          <w:lang w:val="pl-PL"/>
        </w:rPr>
      </w:pPr>
    </w:p>
    <w:p w14:paraId="1E54CE32" w14:textId="77777777" w:rsidR="000016E2" w:rsidRPr="00BD22FE" w:rsidRDefault="00104CA8" w:rsidP="00941FBF">
      <w:pPr>
        <w:pBdr>
          <w:top w:val="single" w:sz="4" w:space="0" w:color="auto"/>
          <w:left w:val="single" w:sz="4" w:space="4" w:color="auto"/>
          <w:bottom w:val="single" w:sz="4" w:space="0" w:color="auto"/>
          <w:right w:val="single" w:sz="4" w:space="4" w:color="auto"/>
        </w:pBdr>
        <w:rPr>
          <w:b/>
          <w:bCs/>
          <w:sz w:val="22"/>
          <w:szCs w:val="22"/>
          <w:lang w:val="pl-PL"/>
        </w:rPr>
      </w:pPr>
      <w:r w:rsidRPr="00BD22FE">
        <w:rPr>
          <w:b/>
          <w:bCs/>
          <w:sz w:val="22"/>
          <w:szCs w:val="22"/>
          <w:lang w:val="pl-PL"/>
        </w:rPr>
        <w:t>Pudełko tekturowe</w:t>
      </w:r>
    </w:p>
    <w:p w14:paraId="36770C23" w14:textId="77777777" w:rsidR="000016E2" w:rsidRPr="00BD22FE" w:rsidRDefault="000016E2" w:rsidP="00941FBF">
      <w:pPr>
        <w:jc w:val="both"/>
        <w:rPr>
          <w:sz w:val="22"/>
          <w:szCs w:val="22"/>
          <w:lang w:val="pl-PL"/>
        </w:rPr>
      </w:pPr>
    </w:p>
    <w:p w14:paraId="1019687E" w14:textId="77777777" w:rsidR="000016E2" w:rsidRPr="00BD22FE" w:rsidRDefault="000016E2" w:rsidP="00941FBF">
      <w:pPr>
        <w:jc w:val="both"/>
        <w:rPr>
          <w:sz w:val="22"/>
          <w:szCs w:val="22"/>
          <w:lang w:val="pl-PL"/>
        </w:rPr>
      </w:pPr>
    </w:p>
    <w:p w14:paraId="60724655" w14:textId="64BD6508" w:rsidR="003A7E3D" w:rsidRPr="00BD22FE" w:rsidRDefault="00DD0776" w:rsidP="00F2396D">
      <w:pPr>
        <w:keepNext/>
        <w:pBdr>
          <w:top w:val="single" w:sz="4" w:space="1" w:color="auto"/>
          <w:left w:val="single" w:sz="4" w:space="4" w:color="auto"/>
          <w:bottom w:val="single" w:sz="4" w:space="1" w:color="auto"/>
          <w:right w:val="single" w:sz="4" w:space="4" w:color="auto"/>
        </w:pBdr>
        <w:ind w:left="567" w:hanging="567"/>
        <w:rPr>
          <w:b/>
          <w:sz w:val="22"/>
          <w:szCs w:val="22"/>
          <w:lang w:val="pl-PL"/>
        </w:rPr>
      </w:pPr>
      <w:r w:rsidRPr="00BD22FE">
        <w:rPr>
          <w:b/>
          <w:sz w:val="22"/>
          <w:szCs w:val="22"/>
          <w:lang w:val="pl-PL"/>
        </w:rPr>
        <w:t>1.</w:t>
      </w:r>
      <w:r w:rsidRPr="00BD22FE">
        <w:rPr>
          <w:b/>
          <w:sz w:val="22"/>
          <w:szCs w:val="22"/>
          <w:lang w:val="pl-PL"/>
        </w:rPr>
        <w:tab/>
      </w:r>
      <w:r w:rsidR="00104CA8" w:rsidRPr="00BD22FE">
        <w:rPr>
          <w:b/>
          <w:sz w:val="22"/>
          <w:szCs w:val="22"/>
          <w:lang w:val="pl-PL"/>
        </w:rPr>
        <w:t>NAZWA PRODUKTU LECZNICZEGO</w:t>
      </w:r>
    </w:p>
    <w:p w14:paraId="26874DF9" w14:textId="453D6C58" w:rsidR="000016E2" w:rsidRPr="00BD22FE" w:rsidRDefault="000016E2" w:rsidP="00DD0776">
      <w:pPr>
        <w:keepNext/>
        <w:jc w:val="both"/>
        <w:rPr>
          <w:sz w:val="22"/>
          <w:szCs w:val="22"/>
          <w:lang w:val="pl-PL"/>
        </w:rPr>
      </w:pPr>
    </w:p>
    <w:p w14:paraId="2FC701BB" w14:textId="77777777" w:rsidR="000016E2" w:rsidRPr="00BD22FE" w:rsidRDefault="00104CA8" w:rsidP="00941FBF">
      <w:pPr>
        <w:ind w:left="540" w:hanging="540"/>
        <w:rPr>
          <w:sz w:val="22"/>
          <w:szCs w:val="22"/>
          <w:lang w:val="pl-PL"/>
        </w:rPr>
      </w:pPr>
      <w:r w:rsidRPr="00BD22FE">
        <w:rPr>
          <w:sz w:val="22"/>
          <w:szCs w:val="22"/>
          <w:lang w:val="pl-PL"/>
        </w:rPr>
        <w:t>MicardisPlus 80 mg/25 mg tabletki</w:t>
      </w:r>
    </w:p>
    <w:p w14:paraId="009A2639" w14:textId="77777777" w:rsidR="000016E2" w:rsidRPr="00BD22FE" w:rsidRDefault="00104CA8" w:rsidP="00941FBF">
      <w:pPr>
        <w:jc w:val="both"/>
        <w:rPr>
          <w:sz w:val="22"/>
          <w:szCs w:val="22"/>
          <w:lang w:val="pl-PL"/>
        </w:rPr>
      </w:pPr>
      <w:r w:rsidRPr="00BD22FE">
        <w:rPr>
          <w:sz w:val="22"/>
          <w:szCs w:val="22"/>
          <w:lang w:val="pl-PL"/>
        </w:rPr>
        <w:t>telmisartan/hydrochlorotiazyd</w:t>
      </w:r>
    </w:p>
    <w:p w14:paraId="34B91088" w14:textId="77777777" w:rsidR="000016E2" w:rsidRPr="00BD22FE" w:rsidRDefault="000016E2" w:rsidP="00941FBF">
      <w:pPr>
        <w:jc w:val="both"/>
        <w:rPr>
          <w:sz w:val="22"/>
          <w:szCs w:val="22"/>
          <w:lang w:val="pl-PL"/>
        </w:rPr>
      </w:pPr>
    </w:p>
    <w:p w14:paraId="3ABBF13F" w14:textId="77777777" w:rsidR="000016E2" w:rsidRPr="00BD22FE" w:rsidRDefault="000016E2" w:rsidP="00941FBF">
      <w:pPr>
        <w:jc w:val="both"/>
        <w:rPr>
          <w:sz w:val="22"/>
          <w:szCs w:val="22"/>
          <w:lang w:val="pl-PL"/>
        </w:rPr>
      </w:pPr>
    </w:p>
    <w:p w14:paraId="5722D9EF" w14:textId="6ECC4018" w:rsidR="000016E2" w:rsidRPr="00BD22FE" w:rsidRDefault="00DD0776" w:rsidP="00F2396D">
      <w:pPr>
        <w:keepNext/>
        <w:pBdr>
          <w:top w:val="single" w:sz="4" w:space="1" w:color="auto"/>
          <w:left w:val="single" w:sz="4" w:space="4" w:color="auto"/>
          <w:bottom w:val="single" w:sz="4" w:space="1" w:color="auto"/>
          <w:right w:val="single" w:sz="4" w:space="4" w:color="auto"/>
        </w:pBdr>
        <w:ind w:left="567" w:hanging="567"/>
        <w:rPr>
          <w:b/>
          <w:sz w:val="22"/>
          <w:szCs w:val="22"/>
          <w:lang w:val="pl-PL"/>
        </w:rPr>
      </w:pPr>
      <w:r w:rsidRPr="00BD22FE">
        <w:rPr>
          <w:b/>
          <w:sz w:val="22"/>
          <w:szCs w:val="22"/>
          <w:lang w:val="pl-PL"/>
        </w:rPr>
        <w:t>2.</w:t>
      </w:r>
      <w:r w:rsidRPr="00BD22FE">
        <w:rPr>
          <w:b/>
          <w:sz w:val="22"/>
          <w:szCs w:val="22"/>
          <w:lang w:val="pl-PL"/>
        </w:rPr>
        <w:tab/>
      </w:r>
      <w:r w:rsidR="00104CA8" w:rsidRPr="00BD22FE">
        <w:rPr>
          <w:b/>
          <w:sz w:val="22"/>
          <w:szCs w:val="22"/>
          <w:lang w:val="pl-PL"/>
        </w:rPr>
        <w:t>ZAWARTOŚĆ SUBSTANCJI CZYNNYCH</w:t>
      </w:r>
    </w:p>
    <w:p w14:paraId="6F0F9876" w14:textId="77777777" w:rsidR="000016E2" w:rsidRPr="00BD22FE" w:rsidRDefault="000016E2" w:rsidP="00DD0776">
      <w:pPr>
        <w:keepNext/>
        <w:jc w:val="both"/>
        <w:rPr>
          <w:sz w:val="22"/>
          <w:szCs w:val="22"/>
          <w:lang w:val="pl-PL"/>
        </w:rPr>
      </w:pPr>
    </w:p>
    <w:p w14:paraId="4458E39F" w14:textId="449E5465" w:rsidR="000016E2" w:rsidRPr="00BD22FE" w:rsidRDefault="00104CA8" w:rsidP="00941FBF">
      <w:pPr>
        <w:ind w:left="540" w:hanging="540"/>
        <w:rPr>
          <w:sz w:val="22"/>
          <w:szCs w:val="22"/>
          <w:lang w:val="pl-PL"/>
        </w:rPr>
      </w:pPr>
      <w:r w:rsidRPr="00BD22FE">
        <w:rPr>
          <w:sz w:val="22"/>
          <w:szCs w:val="22"/>
          <w:lang w:val="pl-PL"/>
        </w:rPr>
        <w:t>Każda tabletka zawiera 80 mg telmisartanu i</w:t>
      </w:r>
      <w:r w:rsidR="00717A7B" w:rsidRPr="00BD22FE">
        <w:rPr>
          <w:sz w:val="22"/>
          <w:szCs w:val="22"/>
          <w:lang w:val="pl-PL"/>
        </w:rPr>
        <w:t> </w:t>
      </w:r>
      <w:r w:rsidRPr="00BD22FE">
        <w:rPr>
          <w:sz w:val="22"/>
          <w:szCs w:val="22"/>
          <w:lang w:val="pl-PL"/>
        </w:rPr>
        <w:t>25 mg hydrochlorotiazydu.</w:t>
      </w:r>
    </w:p>
    <w:p w14:paraId="2121353D" w14:textId="77777777" w:rsidR="000016E2" w:rsidRPr="00BD22FE" w:rsidRDefault="000016E2" w:rsidP="00941FBF">
      <w:pPr>
        <w:jc w:val="both"/>
        <w:rPr>
          <w:sz w:val="22"/>
          <w:szCs w:val="22"/>
          <w:lang w:val="pl-PL"/>
        </w:rPr>
      </w:pPr>
    </w:p>
    <w:p w14:paraId="12041CE9" w14:textId="77777777" w:rsidR="000016E2" w:rsidRPr="00BD22FE" w:rsidRDefault="000016E2" w:rsidP="00941FBF">
      <w:pPr>
        <w:jc w:val="both"/>
        <w:rPr>
          <w:sz w:val="22"/>
          <w:szCs w:val="22"/>
          <w:lang w:val="pl-PL"/>
        </w:rPr>
      </w:pPr>
    </w:p>
    <w:p w14:paraId="42D5CF84" w14:textId="5174C8F2" w:rsidR="000016E2" w:rsidRPr="00BD22FE" w:rsidRDefault="00DD0776" w:rsidP="00F2396D">
      <w:pPr>
        <w:keepNext/>
        <w:pBdr>
          <w:top w:val="single" w:sz="4" w:space="1" w:color="auto"/>
          <w:left w:val="single" w:sz="4" w:space="4" w:color="auto"/>
          <w:bottom w:val="single" w:sz="4" w:space="1" w:color="auto"/>
          <w:right w:val="single" w:sz="4" w:space="4" w:color="auto"/>
        </w:pBdr>
        <w:ind w:left="567" w:hanging="567"/>
        <w:rPr>
          <w:b/>
          <w:sz w:val="22"/>
          <w:szCs w:val="22"/>
          <w:lang w:val="pl-PL"/>
        </w:rPr>
      </w:pPr>
      <w:r w:rsidRPr="00BD22FE">
        <w:rPr>
          <w:b/>
          <w:sz w:val="22"/>
          <w:szCs w:val="22"/>
          <w:lang w:val="pl-PL"/>
        </w:rPr>
        <w:t>3.</w:t>
      </w:r>
      <w:r w:rsidRPr="00BD22FE">
        <w:rPr>
          <w:b/>
          <w:sz w:val="22"/>
          <w:szCs w:val="22"/>
          <w:lang w:val="pl-PL"/>
        </w:rPr>
        <w:tab/>
      </w:r>
      <w:r w:rsidR="00104CA8" w:rsidRPr="00BD22FE">
        <w:rPr>
          <w:b/>
          <w:sz w:val="22"/>
          <w:szCs w:val="22"/>
          <w:lang w:val="pl-PL"/>
        </w:rPr>
        <w:t>WYKAZ SUBSTANCJI POMOCNICZYCH</w:t>
      </w:r>
    </w:p>
    <w:p w14:paraId="1F86CFA0" w14:textId="77777777" w:rsidR="000016E2" w:rsidRPr="00BD22FE" w:rsidRDefault="000016E2" w:rsidP="00DD0776">
      <w:pPr>
        <w:keepNext/>
        <w:jc w:val="both"/>
        <w:rPr>
          <w:sz w:val="22"/>
          <w:szCs w:val="22"/>
          <w:lang w:val="pl-PL"/>
        </w:rPr>
      </w:pPr>
    </w:p>
    <w:p w14:paraId="11D7EA58" w14:textId="091C54B5" w:rsidR="000016E2" w:rsidRPr="00BD22FE" w:rsidRDefault="00104CA8" w:rsidP="00941FBF">
      <w:pPr>
        <w:jc w:val="both"/>
        <w:rPr>
          <w:sz w:val="22"/>
          <w:szCs w:val="22"/>
          <w:lang w:val="pl-PL"/>
        </w:rPr>
      </w:pPr>
      <w:r w:rsidRPr="00BD22FE">
        <w:rPr>
          <w:sz w:val="22"/>
          <w:szCs w:val="22"/>
          <w:lang w:val="pl-PL"/>
        </w:rPr>
        <w:t>Zawiera laktozę jednowodną i</w:t>
      </w:r>
      <w:r w:rsidR="00717A7B" w:rsidRPr="00BD22FE">
        <w:rPr>
          <w:sz w:val="22"/>
          <w:szCs w:val="22"/>
          <w:lang w:val="pl-PL"/>
        </w:rPr>
        <w:t> </w:t>
      </w:r>
      <w:r w:rsidRPr="00BD22FE">
        <w:rPr>
          <w:sz w:val="22"/>
          <w:szCs w:val="22"/>
          <w:lang w:val="pl-PL"/>
        </w:rPr>
        <w:t>sorbitol (E420).</w:t>
      </w:r>
    </w:p>
    <w:p w14:paraId="117514A4" w14:textId="5AB22A05" w:rsidR="003A7E3D" w:rsidRPr="00BD22FE" w:rsidRDefault="00104CA8" w:rsidP="00941FBF">
      <w:pPr>
        <w:rPr>
          <w:sz w:val="22"/>
          <w:szCs w:val="22"/>
          <w:lang w:val="pl-PL"/>
        </w:rPr>
      </w:pPr>
      <w:r w:rsidRPr="00BD22FE">
        <w:rPr>
          <w:sz w:val="22"/>
          <w:szCs w:val="22"/>
          <w:lang w:val="pl-PL"/>
        </w:rPr>
        <w:t>W</w:t>
      </w:r>
      <w:r w:rsidR="00717A7B" w:rsidRPr="00BD22FE">
        <w:rPr>
          <w:sz w:val="22"/>
          <w:szCs w:val="22"/>
          <w:lang w:val="pl-PL"/>
        </w:rPr>
        <w:t> </w:t>
      </w:r>
      <w:r w:rsidRPr="00BD22FE">
        <w:rPr>
          <w:sz w:val="22"/>
          <w:szCs w:val="22"/>
          <w:lang w:val="pl-PL"/>
        </w:rPr>
        <w:t>celu uzyskania dodatkowych informacji należy zapoznać się z</w:t>
      </w:r>
      <w:r w:rsidR="00717A7B" w:rsidRPr="00BD22FE">
        <w:rPr>
          <w:sz w:val="22"/>
          <w:szCs w:val="22"/>
          <w:lang w:val="pl-PL"/>
        </w:rPr>
        <w:t> </w:t>
      </w:r>
      <w:r w:rsidRPr="00BD22FE">
        <w:rPr>
          <w:sz w:val="22"/>
          <w:szCs w:val="22"/>
          <w:lang w:val="pl-PL"/>
        </w:rPr>
        <w:t>treścią ulotki.</w:t>
      </w:r>
    </w:p>
    <w:p w14:paraId="4DCD5D93" w14:textId="1B0106F8" w:rsidR="000016E2" w:rsidRPr="00BD22FE" w:rsidRDefault="000016E2" w:rsidP="00941FBF">
      <w:pPr>
        <w:jc w:val="both"/>
        <w:rPr>
          <w:sz w:val="22"/>
          <w:szCs w:val="22"/>
          <w:lang w:val="pl-PL"/>
        </w:rPr>
      </w:pPr>
    </w:p>
    <w:p w14:paraId="5A8BA8F7" w14:textId="77777777" w:rsidR="000016E2" w:rsidRPr="00BD22FE" w:rsidRDefault="000016E2" w:rsidP="00941FBF">
      <w:pPr>
        <w:jc w:val="both"/>
        <w:rPr>
          <w:sz w:val="22"/>
          <w:szCs w:val="22"/>
          <w:lang w:val="pl-PL"/>
        </w:rPr>
      </w:pPr>
    </w:p>
    <w:p w14:paraId="3ADE0065" w14:textId="78B1108D" w:rsidR="000016E2" w:rsidRPr="00BD22FE" w:rsidRDefault="00DD0776" w:rsidP="00F2396D">
      <w:pPr>
        <w:keepNext/>
        <w:pBdr>
          <w:top w:val="single" w:sz="4" w:space="1" w:color="auto"/>
          <w:left w:val="single" w:sz="4" w:space="4" w:color="auto"/>
          <w:bottom w:val="single" w:sz="4" w:space="1" w:color="auto"/>
          <w:right w:val="single" w:sz="4" w:space="4" w:color="auto"/>
        </w:pBdr>
        <w:ind w:left="567" w:hanging="567"/>
        <w:rPr>
          <w:b/>
          <w:sz w:val="22"/>
          <w:szCs w:val="22"/>
          <w:lang w:val="pl-PL"/>
        </w:rPr>
      </w:pPr>
      <w:r w:rsidRPr="00BD22FE">
        <w:rPr>
          <w:b/>
          <w:sz w:val="22"/>
          <w:szCs w:val="22"/>
          <w:lang w:val="pl-PL"/>
        </w:rPr>
        <w:t>4.</w:t>
      </w:r>
      <w:r w:rsidRPr="00BD22FE">
        <w:rPr>
          <w:b/>
          <w:sz w:val="22"/>
          <w:szCs w:val="22"/>
          <w:lang w:val="pl-PL"/>
        </w:rPr>
        <w:tab/>
      </w:r>
      <w:r w:rsidR="00104CA8" w:rsidRPr="00BD22FE">
        <w:rPr>
          <w:b/>
          <w:sz w:val="22"/>
          <w:szCs w:val="22"/>
          <w:lang w:val="pl-PL"/>
        </w:rPr>
        <w:t>POSTAĆ FARMACEUTYCZNA I</w:t>
      </w:r>
      <w:r w:rsidR="00717A7B" w:rsidRPr="00BD22FE">
        <w:rPr>
          <w:b/>
          <w:sz w:val="22"/>
          <w:szCs w:val="22"/>
          <w:lang w:val="pl-PL"/>
        </w:rPr>
        <w:t> </w:t>
      </w:r>
      <w:r w:rsidR="00104CA8" w:rsidRPr="00BD22FE">
        <w:rPr>
          <w:b/>
          <w:sz w:val="22"/>
          <w:szCs w:val="22"/>
          <w:lang w:val="pl-PL"/>
        </w:rPr>
        <w:t>ZAWARTOŚĆ OPAKOWANIA</w:t>
      </w:r>
    </w:p>
    <w:p w14:paraId="71C1F569" w14:textId="77777777" w:rsidR="000016E2" w:rsidRPr="00BD22FE" w:rsidRDefault="000016E2" w:rsidP="00DD0776">
      <w:pPr>
        <w:keepNext/>
        <w:jc w:val="both"/>
        <w:rPr>
          <w:sz w:val="22"/>
          <w:szCs w:val="22"/>
          <w:lang w:val="pl-PL"/>
        </w:rPr>
      </w:pPr>
    </w:p>
    <w:p w14:paraId="38F0AB5D" w14:textId="26282704" w:rsidR="000016E2" w:rsidRPr="00BD22FE" w:rsidRDefault="00104CA8" w:rsidP="00941FBF">
      <w:pPr>
        <w:rPr>
          <w:sz w:val="22"/>
          <w:szCs w:val="22"/>
          <w:lang w:val="pl-PL"/>
        </w:rPr>
      </w:pPr>
      <w:r w:rsidRPr="00BD22FE">
        <w:rPr>
          <w:sz w:val="22"/>
          <w:szCs w:val="22"/>
          <w:lang w:val="pl-PL"/>
        </w:rPr>
        <w:t>14</w:t>
      </w:r>
      <w:r w:rsidR="00DD0776" w:rsidRPr="00BD22FE">
        <w:rPr>
          <w:sz w:val="22"/>
          <w:szCs w:val="22"/>
          <w:lang w:val="pl-PL"/>
        </w:rPr>
        <w:t> </w:t>
      </w:r>
      <w:r w:rsidRPr="00BD22FE">
        <w:rPr>
          <w:sz w:val="22"/>
          <w:szCs w:val="22"/>
          <w:lang w:val="pl-PL"/>
        </w:rPr>
        <w:t>tabletek</w:t>
      </w:r>
    </w:p>
    <w:p w14:paraId="03EAF01F" w14:textId="1E78D649" w:rsidR="000016E2" w:rsidRPr="00BD22FE" w:rsidRDefault="00104CA8" w:rsidP="00941FBF">
      <w:pPr>
        <w:rPr>
          <w:sz w:val="22"/>
          <w:szCs w:val="22"/>
          <w:lang w:val="pl-PL"/>
        </w:rPr>
      </w:pPr>
      <w:r w:rsidRPr="00BD22FE">
        <w:rPr>
          <w:sz w:val="22"/>
          <w:szCs w:val="22"/>
          <w:shd w:val="clear" w:color="auto" w:fill="C0C0C0"/>
          <w:lang w:val="pl-PL"/>
        </w:rPr>
        <w:t>28</w:t>
      </w:r>
      <w:r w:rsidR="00DD0776" w:rsidRPr="00BD22FE">
        <w:rPr>
          <w:sz w:val="22"/>
          <w:szCs w:val="22"/>
          <w:shd w:val="clear" w:color="auto" w:fill="C0C0C0"/>
          <w:lang w:val="pl-PL"/>
        </w:rPr>
        <w:t> </w:t>
      </w:r>
      <w:r w:rsidRPr="00BD22FE">
        <w:rPr>
          <w:sz w:val="22"/>
          <w:szCs w:val="22"/>
          <w:shd w:val="clear" w:color="auto" w:fill="C0C0C0"/>
          <w:lang w:val="pl-PL"/>
        </w:rPr>
        <w:t>tabletek</w:t>
      </w:r>
    </w:p>
    <w:p w14:paraId="670A86DD" w14:textId="0002E3E7" w:rsidR="000016E2" w:rsidRPr="00BD22FE" w:rsidRDefault="00104CA8" w:rsidP="00941FBF">
      <w:pPr>
        <w:rPr>
          <w:sz w:val="22"/>
          <w:szCs w:val="22"/>
          <w:lang w:val="pl-PL"/>
        </w:rPr>
      </w:pPr>
      <w:r w:rsidRPr="00BD22FE">
        <w:rPr>
          <w:sz w:val="22"/>
          <w:szCs w:val="22"/>
          <w:shd w:val="clear" w:color="auto" w:fill="C0C0C0"/>
          <w:lang w:val="pl-PL"/>
        </w:rPr>
        <w:t>30</w:t>
      </w:r>
      <w:r w:rsidR="00DD0776" w:rsidRPr="00BD22FE">
        <w:rPr>
          <w:sz w:val="22"/>
          <w:szCs w:val="22"/>
          <w:shd w:val="clear" w:color="auto" w:fill="C0C0C0"/>
          <w:lang w:val="pl-PL"/>
        </w:rPr>
        <w:t> </w:t>
      </w:r>
      <w:r w:rsidR="003F4C93" w:rsidRPr="00BD22FE">
        <w:rPr>
          <w:sz w:val="22"/>
          <w:shd w:val="clear" w:color="auto" w:fill="C0C0C0"/>
          <w:lang w:val="pl-PL"/>
        </w:rPr>
        <w:t>×</w:t>
      </w:r>
      <w:r w:rsidR="00DD0776" w:rsidRPr="00BD22FE">
        <w:rPr>
          <w:sz w:val="22"/>
          <w:szCs w:val="22"/>
          <w:shd w:val="clear" w:color="auto" w:fill="C0C0C0"/>
          <w:lang w:val="pl-PL"/>
        </w:rPr>
        <w:t> </w:t>
      </w:r>
      <w:r w:rsidRPr="00BD22FE">
        <w:rPr>
          <w:sz w:val="22"/>
          <w:szCs w:val="22"/>
          <w:shd w:val="clear" w:color="auto" w:fill="C0C0C0"/>
          <w:lang w:val="pl-PL"/>
        </w:rPr>
        <w:t>1</w:t>
      </w:r>
      <w:r w:rsidR="00DD0776" w:rsidRPr="00BD22FE">
        <w:rPr>
          <w:sz w:val="22"/>
          <w:szCs w:val="22"/>
          <w:shd w:val="clear" w:color="auto" w:fill="C0C0C0"/>
          <w:lang w:val="pl-PL"/>
        </w:rPr>
        <w:t> </w:t>
      </w:r>
      <w:r w:rsidRPr="00BD22FE">
        <w:rPr>
          <w:sz w:val="22"/>
          <w:szCs w:val="22"/>
          <w:shd w:val="clear" w:color="auto" w:fill="C0C0C0"/>
          <w:lang w:val="pl-PL"/>
        </w:rPr>
        <w:t>tabletka</w:t>
      </w:r>
    </w:p>
    <w:p w14:paraId="19E4AF91" w14:textId="479614A4" w:rsidR="000016E2" w:rsidRPr="00BD22FE" w:rsidRDefault="00104CA8" w:rsidP="00941FBF">
      <w:pPr>
        <w:rPr>
          <w:sz w:val="22"/>
          <w:szCs w:val="22"/>
          <w:lang w:val="pl-PL"/>
        </w:rPr>
      </w:pPr>
      <w:r w:rsidRPr="00BD22FE">
        <w:rPr>
          <w:sz w:val="22"/>
          <w:szCs w:val="22"/>
          <w:shd w:val="clear" w:color="auto" w:fill="C0C0C0"/>
          <w:lang w:val="pl-PL"/>
        </w:rPr>
        <w:t>56</w:t>
      </w:r>
      <w:r w:rsidR="00DD0776" w:rsidRPr="00BD22FE">
        <w:rPr>
          <w:sz w:val="22"/>
          <w:szCs w:val="22"/>
          <w:shd w:val="clear" w:color="auto" w:fill="C0C0C0"/>
          <w:lang w:val="pl-PL"/>
        </w:rPr>
        <w:t> </w:t>
      </w:r>
      <w:r w:rsidRPr="00BD22FE">
        <w:rPr>
          <w:sz w:val="22"/>
          <w:szCs w:val="22"/>
          <w:shd w:val="clear" w:color="auto" w:fill="C0C0C0"/>
          <w:lang w:val="pl-PL"/>
        </w:rPr>
        <w:t>tabletek</w:t>
      </w:r>
    </w:p>
    <w:p w14:paraId="75301B00" w14:textId="09EDBF7B" w:rsidR="000016E2" w:rsidRPr="00BD22FE" w:rsidRDefault="00104CA8" w:rsidP="00941FBF">
      <w:pPr>
        <w:rPr>
          <w:sz w:val="22"/>
          <w:szCs w:val="22"/>
          <w:lang w:val="pl-PL"/>
        </w:rPr>
      </w:pPr>
      <w:r w:rsidRPr="00BD22FE">
        <w:rPr>
          <w:sz w:val="22"/>
          <w:szCs w:val="22"/>
          <w:shd w:val="clear" w:color="auto" w:fill="C0C0C0"/>
          <w:lang w:val="pl-PL"/>
        </w:rPr>
        <w:t>90</w:t>
      </w:r>
      <w:r w:rsidR="00DD0776" w:rsidRPr="00BD22FE">
        <w:rPr>
          <w:sz w:val="22"/>
          <w:szCs w:val="22"/>
          <w:shd w:val="clear" w:color="auto" w:fill="C0C0C0"/>
          <w:lang w:val="pl-PL"/>
        </w:rPr>
        <w:t> </w:t>
      </w:r>
      <w:r w:rsidR="003F4C93" w:rsidRPr="00BD22FE">
        <w:rPr>
          <w:sz w:val="22"/>
          <w:shd w:val="clear" w:color="auto" w:fill="C0C0C0"/>
          <w:lang w:val="pl-PL"/>
        </w:rPr>
        <w:t>×</w:t>
      </w:r>
      <w:r w:rsidR="00DD0776" w:rsidRPr="00BD22FE">
        <w:rPr>
          <w:sz w:val="22"/>
          <w:szCs w:val="22"/>
          <w:shd w:val="clear" w:color="auto" w:fill="C0C0C0"/>
          <w:lang w:val="pl-PL"/>
        </w:rPr>
        <w:t> </w:t>
      </w:r>
      <w:r w:rsidRPr="00BD22FE">
        <w:rPr>
          <w:sz w:val="22"/>
          <w:szCs w:val="22"/>
          <w:shd w:val="clear" w:color="auto" w:fill="C0C0C0"/>
          <w:lang w:val="pl-PL"/>
        </w:rPr>
        <w:t>1</w:t>
      </w:r>
      <w:r w:rsidR="00DD0776" w:rsidRPr="00BD22FE">
        <w:rPr>
          <w:sz w:val="22"/>
          <w:szCs w:val="22"/>
          <w:shd w:val="clear" w:color="auto" w:fill="C0C0C0"/>
          <w:lang w:val="pl-PL"/>
        </w:rPr>
        <w:t> </w:t>
      </w:r>
      <w:r w:rsidRPr="00BD22FE">
        <w:rPr>
          <w:sz w:val="22"/>
          <w:szCs w:val="22"/>
          <w:shd w:val="clear" w:color="auto" w:fill="C0C0C0"/>
          <w:lang w:val="pl-PL"/>
        </w:rPr>
        <w:t>tabletka</w:t>
      </w:r>
    </w:p>
    <w:p w14:paraId="5188BA39" w14:textId="2D1A03DD" w:rsidR="000016E2" w:rsidRPr="00BD22FE" w:rsidRDefault="00104CA8" w:rsidP="00941FBF">
      <w:pPr>
        <w:rPr>
          <w:sz w:val="22"/>
          <w:szCs w:val="22"/>
          <w:lang w:val="pl-PL"/>
        </w:rPr>
      </w:pPr>
      <w:r w:rsidRPr="00BD22FE">
        <w:rPr>
          <w:sz w:val="22"/>
          <w:szCs w:val="22"/>
          <w:shd w:val="clear" w:color="auto" w:fill="C0C0C0"/>
          <w:lang w:val="pl-PL"/>
        </w:rPr>
        <w:t>98</w:t>
      </w:r>
      <w:r w:rsidR="00DD0776" w:rsidRPr="00BD22FE">
        <w:rPr>
          <w:sz w:val="22"/>
          <w:szCs w:val="22"/>
          <w:shd w:val="clear" w:color="auto" w:fill="C0C0C0"/>
          <w:lang w:val="pl-PL"/>
        </w:rPr>
        <w:t> </w:t>
      </w:r>
      <w:r w:rsidRPr="00BD22FE">
        <w:rPr>
          <w:sz w:val="22"/>
          <w:szCs w:val="22"/>
          <w:shd w:val="clear" w:color="auto" w:fill="C0C0C0"/>
          <w:lang w:val="pl-PL"/>
        </w:rPr>
        <w:t>tabletek</w:t>
      </w:r>
    </w:p>
    <w:p w14:paraId="055CF3DA" w14:textId="00D78BC2" w:rsidR="000016E2" w:rsidRPr="00BD22FE" w:rsidRDefault="00104CA8" w:rsidP="00941FBF">
      <w:pPr>
        <w:rPr>
          <w:sz w:val="22"/>
          <w:szCs w:val="22"/>
          <w:lang w:val="pl-PL"/>
        </w:rPr>
      </w:pPr>
      <w:r w:rsidRPr="00BD22FE">
        <w:rPr>
          <w:sz w:val="22"/>
          <w:szCs w:val="22"/>
          <w:shd w:val="clear" w:color="auto" w:fill="C0C0C0"/>
          <w:lang w:val="pl-PL"/>
        </w:rPr>
        <w:t>28</w:t>
      </w:r>
      <w:r w:rsidR="00DD0776" w:rsidRPr="00BD22FE">
        <w:rPr>
          <w:sz w:val="22"/>
          <w:szCs w:val="22"/>
          <w:shd w:val="clear" w:color="auto" w:fill="C0C0C0"/>
          <w:lang w:val="pl-PL"/>
        </w:rPr>
        <w:t> </w:t>
      </w:r>
      <w:r w:rsidR="003F4C93" w:rsidRPr="00BD22FE">
        <w:rPr>
          <w:sz w:val="22"/>
          <w:shd w:val="clear" w:color="auto" w:fill="C0C0C0"/>
          <w:lang w:val="pl-PL"/>
        </w:rPr>
        <w:t>×</w:t>
      </w:r>
      <w:r w:rsidR="00DD0776" w:rsidRPr="00BD22FE">
        <w:rPr>
          <w:sz w:val="22"/>
          <w:szCs w:val="22"/>
          <w:shd w:val="clear" w:color="auto" w:fill="C0C0C0"/>
          <w:lang w:val="pl-PL"/>
        </w:rPr>
        <w:t> </w:t>
      </w:r>
      <w:r w:rsidRPr="00BD22FE">
        <w:rPr>
          <w:sz w:val="22"/>
          <w:szCs w:val="22"/>
          <w:shd w:val="clear" w:color="auto" w:fill="C0C0C0"/>
          <w:lang w:val="pl-PL"/>
        </w:rPr>
        <w:t>1</w:t>
      </w:r>
      <w:r w:rsidR="00DD0776" w:rsidRPr="00BD22FE">
        <w:rPr>
          <w:sz w:val="22"/>
          <w:szCs w:val="22"/>
          <w:shd w:val="clear" w:color="auto" w:fill="C0C0C0"/>
          <w:lang w:val="pl-PL"/>
        </w:rPr>
        <w:t> </w:t>
      </w:r>
      <w:r w:rsidRPr="00BD22FE">
        <w:rPr>
          <w:sz w:val="22"/>
          <w:szCs w:val="22"/>
          <w:shd w:val="clear" w:color="auto" w:fill="C0C0C0"/>
          <w:lang w:val="pl-PL"/>
        </w:rPr>
        <w:t>tabletka</w:t>
      </w:r>
    </w:p>
    <w:p w14:paraId="5A03AF30" w14:textId="77777777" w:rsidR="000016E2" w:rsidRPr="00BD22FE" w:rsidRDefault="000016E2" w:rsidP="00941FBF">
      <w:pPr>
        <w:jc w:val="both"/>
        <w:rPr>
          <w:sz w:val="22"/>
          <w:szCs w:val="22"/>
          <w:lang w:val="pl-PL"/>
        </w:rPr>
      </w:pPr>
    </w:p>
    <w:p w14:paraId="5A6498BB" w14:textId="77777777" w:rsidR="000016E2" w:rsidRPr="00BD22FE" w:rsidRDefault="000016E2" w:rsidP="00941FBF">
      <w:pPr>
        <w:jc w:val="both"/>
        <w:rPr>
          <w:sz w:val="22"/>
          <w:szCs w:val="22"/>
          <w:lang w:val="pl-PL"/>
        </w:rPr>
      </w:pPr>
    </w:p>
    <w:p w14:paraId="60442509" w14:textId="74022B8C" w:rsidR="000016E2" w:rsidRPr="00BD22FE" w:rsidRDefault="00DD0776" w:rsidP="00F2396D">
      <w:pPr>
        <w:keepNext/>
        <w:pBdr>
          <w:top w:val="single" w:sz="4" w:space="1" w:color="auto"/>
          <w:left w:val="single" w:sz="4" w:space="4" w:color="auto"/>
          <w:bottom w:val="single" w:sz="4" w:space="1" w:color="auto"/>
          <w:right w:val="single" w:sz="4" w:space="4" w:color="auto"/>
        </w:pBdr>
        <w:ind w:left="567" w:hanging="567"/>
        <w:rPr>
          <w:b/>
          <w:sz w:val="22"/>
          <w:szCs w:val="22"/>
          <w:lang w:val="pl-PL"/>
        </w:rPr>
      </w:pPr>
      <w:r w:rsidRPr="00BD22FE">
        <w:rPr>
          <w:b/>
          <w:sz w:val="22"/>
          <w:szCs w:val="22"/>
          <w:lang w:val="pl-PL"/>
        </w:rPr>
        <w:t>5.</w:t>
      </w:r>
      <w:r w:rsidRPr="00BD22FE">
        <w:rPr>
          <w:b/>
          <w:sz w:val="22"/>
          <w:szCs w:val="22"/>
          <w:lang w:val="pl-PL"/>
        </w:rPr>
        <w:tab/>
      </w:r>
      <w:r w:rsidR="00104CA8" w:rsidRPr="00BD22FE">
        <w:rPr>
          <w:b/>
          <w:sz w:val="22"/>
          <w:szCs w:val="22"/>
          <w:lang w:val="pl-PL"/>
        </w:rPr>
        <w:t>SPOSÓB I</w:t>
      </w:r>
      <w:r w:rsidR="00717A7B" w:rsidRPr="00BD22FE">
        <w:rPr>
          <w:b/>
          <w:sz w:val="22"/>
          <w:szCs w:val="22"/>
          <w:lang w:val="pl-PL"/>
        </w:rPr>
        <w:t> </w:t>
      </w:r>
      <w:r w:rsidR="00104CA8" w:rsidRPr="00BD22FE">
        <w:rPr>
          <w:b/>
          <w:sz w:val="22"/>
          <w:szCs w:val="22"/>
          <w:lang w:val="pl-PL"/>
        </w:rPr>
        <w:t>DROGA PODANIA</w:t>
      </w:r>
    </w:p>
    <w:p w14:paraId="314DA1B6" w14:textId="77777777" w:rsidR="000016E2" w:rsidRPr="00BD22FE" w:rsidRDefault="000016E2" w:rsidP="00DD0776">
      <w:pPr>
        <w:keepNext/>
        <w:jc w:val="both"/>
        <w:rPr>
          <w:sz w:val="22"/>
          <w:szCs w:val="22"/>
          <w:lang w:val="pl-PL"/>
        </w:rPr>
      </w:pPr>
    </w:p>
    <w:p w14:paraId="0A419BFC" w14:textId="77777777" w:rsidR="000016E2" w:rsidRPr="00BD22FE" w:rsidRDefault="00104CA8" w:rsidP="00941FBF">
      <w:pPr>
        <w:rPr>
          <w:sz w:val="22"/>
          <w:szCs w:val="22"/>
          <w:lang w:val="pl-PL"/>
        </w:rPr>
      </w:pPr>
      <w:r w:rsidRPr="00BD22FE">
        <w:rPr>
          <w:sz w:val="22"/>
          <w:szCs w:val="22"/>
          <w:lang w:val="pl-PL"/>
        </w:rPr>
        <w:t>Podanie doustne.</w:t>
      </w:r>
    </w:p>
    <w:p w14:paraId="0F7B7948" w14:textId="4555D28F" w:rsidR="003A7E3D" w:rsidRPr="00BD22FE" w:rsidRDefault="00104CA8" w:rsidP="00941FBF">
      <w:pPr>
        <w:jc w:val="both"/>
        <w:rPr>
          <w:sz w:val="22"/>
          <w:szCs w:val="22"/>
          <w:lang w:val="pl-PL"/>
        </w:rPr>
      </w:pPr>
      <w:r w:rsidRPr="00BD22FE">
        <w:rPr>
          <w:sz w:val="22"/>
          <w:szCs w:val="22"/>
          <w:lang w:val="pl-PL"/>
        </w:rPr>
        <w:t>Należy zapoznać się z</w:t>
      </w:r>
      <w:r w:rsidR="00717A7B" w:rsidRPr="00BD22FE">
        <w:rPr>
          <w:sz w:val="22"/>
          <w:szCs w:val="22"/>
          <w:lang w:val="pl-PL"/>
        </w:rPr>
        <w:t> </w:t>
      </w:r>
      <w:r w:rsidRPr="00BD22FE">
        <w:rPr>
          <w:sz w:val="22"/>
          <w:szCs w:val="22"/>
          <w:lang w:val="pl-PL"/>
        </w:rPr>
        <w:t>treścią ulotki przed zastosowaniem leku.</w:t>
      </w:r>
    </w:p>
    <w:p w14:paraId="1E7149A9" w14:textId="53A58210" w:rsidR="000016E2" w:rsidRPr="00BD22FE" w:rsidRDefault="000016E2" w:rsidP="00941FBF">
      <w:pPr>
        <w:jc w:val="both"/>
        <w:rPr>
          <w:sz w:val="22"/>
          <w:szCs w:val="22"/>
          <w:lang w:val="pl-PL"/>
        </w:rPr>
      </w:pPr>
    </w:p>
    <w:p w14:paraId="7B23A1BF" w14:textId="77777777" w:rsidR="000016E2" w:rsidRPr="00BD22FE" w:rsidRDefault="000016E2" w:rsidP="00941FBF">
      <w:pPr>
        <w:jc w:val="both"/>
        <w:rPr>
          <w:sz w:val="22"/>
          <w:szCs w:val="22"/>
          <w:lang w:val="pl-PL"/>
        </w:rPr>
      </w:pPr>
    </w:p>
    <w:p w14:paraId="05D04A8C" w14:textId="1CE8FC03" w:rsidR="003A7E3D" w:rsidRPr="00BD22FE" w:rsidRDefault="00104CA8" w:rsidP="00F2396D">
      <w:pPr>
        <w:keepNext/>
        <w:pBdr>
          <w:top w:val="single" w:sz="4" w:space="1" w:color="auto"/>
          <w:left w:val="single" w:sz="4" w:space="4" w:color="auto"/>
          <w:bottom w:val="single" w:sz="4" w:space="1" w:color="auto"/>
          <w:right w:val="single" w:sz="4" w:space="4" w:color="auto"/>
        </w:pBdr>
        <w:ind w:left="567" w:hanging="567"/>
        <w:rPr>
          <w:b/>
          <w:sz w:val="22"/>
          <w:szCs w:val="22"/>
          <w:lang w:val="pl-PL"/>
        </w:rPr>
      </w:pPr>
      <w:r w:rsidRPr="00BD22FE">
        <w:rPr>
          <w:b/>
          <w:sz w:val="22"/>
          <w:szCs w:val="22"/>
          <w:lang w:val="pl-PL"/>
        </w:rPr>
        <w:t>6.</w:t>
      </w:r>
      <w:r w:rsidRPr="00BD22FE">
        <w:rPr>
          <w:b/>
          <w:sz w:val="22"/>
          <w:szCs w:val="22"/>
          <w:lang w:val="pl-PL"/>
        </w:rPr>
        <w:tab/>
        <w:t>OSTRZEŻENIE DOTYCZĄCE PRZECHOWYWANIA PRODUKTU LECZNICZEGO W</w:t>
      </w:r>
      <w:r w:rsidR="00717A7B" w:rsidRPr="00BD22FE">
        <w:rPr>
          <w:b/>
          <w:sz w:val="22"/>
          <w:szCs w:val="22"/>
          <w:lang w:val="pl-PL"/>
        </w:rPr>
        <w:t> </w:t>
      </w:r>
      <w:r w:rsidRPr="00BD22FE">
        <w:rPr>
          <w:b/>
          <w:sz w:val="22"/>
          <w:szCs w:val="22"/>
          <w:lang w:val="pl-PL"/>
        </w:rPr>
        <w:t>MIEJSCU NIEWIDOCZNYM I</w:t>
      </w:r>
      <w:r w:rsidR="00717A7B" w:rsidRPr="00BD22FE">
        <w:rPr>
          <w:b/>
          <w:sz w:val="22"/>
          <w:szCs w:val="22"/>
          <w:lang w:val="pl-PL"/>
        </w:rPr>
        <w:t> </w:t>
      </w:r>
      <w:r w:rsidRPr="00BD22FE">
        <w:rPr>
          <w:b/>
          <w:sz w:val="22"/>
          <w:szCs w:val="22"/>
          <w:lang w:val="pl-PL"/>
        </w:rPr>
        <w:t>NIEDOSTĘPNYM DLA DZIECI</w:t>
      </w:r>
    </w:p>
    <w:p w14:paraId="41B2CA30" w14:textId="0EE86DFD" w:rsidR="000016E2" w:rsidRPr="00BD22FE" w:rsidRDefault="000016E2" w:rsidP="00DD0776">
      <w:pPr>
        <w:keepNext/>
        <w:jc w:val="both"/>
        <w:rPr>
          <w:sz w:val="22"/>
          <w:szCs w:val="22"/>
          <w:lang w:val="pl-PL"/>
        </w:rPr>
      </w:pPr>
    </w:p>
    <w:p w14:paraId="030369E9" w14:textId="72A7BD47" w:rsidR="000016E2" w:rsidRPr="00BD22FE" w:rsidRDefault="00104CA8" w:rsidP="00941FBF">
      <w:pPr>
        <w:rPr>
          <w:sz w:val="22"/>
          <w:szCs w:val="22"/>
          <w:lang w:val="pl-PL"/>
        </w:rPr>
      </w:pPr>
      <w:r w:rsidRPr="00BD22FE">
        <w:rPr>
          <w:sz w:val="22"/>
          <w:szCs w:val="22"/>
          <w:lang w:val="pl-PL"/>
        </w:rPr>
        <w:t>Lek przechowywać w</w:t>
      </w:r>
      <w:r w:rsidR="00717A7B" w:rsidRPr="00BD22FE">
        <w:rPr>
          <w:sz w:val="22"/>
          <w:szCs w:val="22"/>
          <w:lang w:val="pl-PL"/>
        </w:rPr>
        <w:t> </w:t>
      </w:r>
      <w:r w:rsidRPr="00BD22FE">
        <w:rPr>
          <w:sz w:val="22"/>
          <w:szCs w:val="22"/>
          <w:lang w:val="pl-PL"/>
        </w:rPr>
        <w:t>miejscu niewidocznym i</w:t>
      </w:r>
      <w:r w:rsidR="00717A7B" w:rsidRPr="00BD22FE">
        <w:rPr>
          <w:sz w:val="22"/>
          <w:szCs w:val="22"/>
          <w:lang w:val="pl-PL"/>
        </w:rPr>
        <w:t> </w:t>
      </w:r>
      <w:r w:rsidRPr="00BD22FE">
        <w:rPr>
          <w:sz w:val="22"/>
          <w:szCs w:val="22"/>
          <w:lang w:val="pl-PL"/>
        </w:rPr>
        <w:t>niedostępnym dla dzieci.</w:t>
      </w:r>
    </w:p>
    <w:p w14:paraId="3502B449" w14:textId="77777777" w:rsidR="000016E2" w:rsidRPr="00BD22FE" w:rsidRDefault="000016E2" w:rsidP="00941FBF">
      <w:pPr>
        <w:jc w:val="both"/>
        <w:rPr>
          <w:bCs/>
          <w:sz w:val="22"/>
          <w:szCs w:val="22"/>
          <w:lang w:val="pl-PL"/>
        </w:rPr>
      </w:pPr>
    </w:p>
    <w:p w14:paraId="43CB278B" w14:textId="77777777" w:rsidR="000016E2" w:rsidRPr="00BD22FE" w:rsidRDefault="000016E2" w:rsidP="00941FBF">
      <w:pPr>
        <w:jc w:val="both"/>
        <w:rPr>
          <w:bCs/>
          <w:sz w:val="22"/>
          <w:szCs w:val="22"/>
          <w:lang w:val="pl-PL"/>
        </w:rPr>
      </w:pPr>
    </w:p>
    <w:p w14:paraId="01509C32" w14:textId="77777777" w:rsidR="003A7E3D" w:rsidRPr="00BD22FE" w:rsidRDefault="00104CA8" w:rsidP="00F2396D">
      <w:pPr>
        <w:keepNext/>
        <w:pBdr>
          <w:top w:val="single" w:sz="4" w:space="1" w:color="auto"/>
          <w:left w:val="single" w:sz="4" w:space="4" w:color="auto"/>
          <w:bottom w:val="single" w:sz="4" w:space="1" w:color="auto"/>
          <w:right w:val="single" w:sz="4" w:space="4" w:color="auto"/>
        </w:pBdr>
        <w:ind w:left="567" w:hanging="567"/>
        <w:rPr>
          <w:b/>
          <w:sz w:val="22"/>
          <w:szCs w:val="22"/>
          <w:lang w:val="pl-PL"/>
        </w:rPr>
      </w:pPr>
      <w:r w:rsidRPr="00BD22FE">
        <w:rPr>
          <w:b/>
          <w:sz w:val="22"/>
          <w:szCs w:val="22"/>
          <w:lang w:val="pl-PL"/>
        </w:rPr>
        <w:t>7.</w:t>
      </w:r>
      <w:r w:rsidRPr="00BD22FE">
        <w:rPr>
          <w:b/>
          <w:sz w:val="22"/>
          <w:szCs w:val="22"/>
          <w:lang w:val="pl-PL"/>
        </w:rPr>
        <w:tab/>
        <w:t>INNE OSTRZEŻENIA SPECJALNE, JEŚLI KONIECZNE</w:t>
      </w:r>
    </w:p>
    <w:p w14:paraId="44A4B35B" w14:textId="22C882DA" w:rsidR="000016E2" w:rsidRPr="00BD22FE" w:rsidRDefault="000016E2" w:rsidP="00DD0776">
      <w:pPr>
        <w:keepNext/>
        <w:jc w:val="both"/>
        <w:rPr>
          <w:bCs/>
          <w:sz w:val="22"/>
          <w:szCs w:val="22"/>
          <w:lang w:val="pl-PL"/>
        </w:rPr>
      </w:pPr>
    </w:p>
    <w:p w14:paraId="7D817D60" w14:textId="77777777" w:rsidR="000016E2" w:rsidRPr="00BD22FE" w:rsidRDefault="000016E2" w:rsidP="00941FBF">
      <w:pPr>
        <w:jc w:val="both"/>
        <w:rPr>
          <w:bCs/>
          <w:sz w:val="22"/>
          <w:szCs w:val="22"/>
          <w:lang w:val="pl-PL"/>
        </w:rPr>
      </w:pPr>
    </w:p>
    <w:p w14:paraId="6BB3CB7A" w14:textId="3CB95624" w:rsidR="000016E2" w:rsidRPr="00BD22FE" w:rsidRDefault="00DD0776" w:rsidP="00F2396D">
      <w:pPr>
        <w:keepNext/>
        <w:pBdr>
          <w:top w:val="single" w:sz="4" w:space="1" w:color="auto"/>
          <w:left w:val="single" w:sz="4" w:space="4" w:color="auto"/>
          <w:bottom w:val="single" w:sz="4" w:space="1" w:color="auto"/>
          <w:right w:val="single" w:sz="4" w:space="4" w:color="auto"/>
        </w:pBdr>
        <w:ind w:left="567" w:hanging="567"/>
        <w:rPr>
          <w:b/>
          <w:sz w:val="22"/>
          <w:szCs w:val="22"/>
          <w:lang w:val="pl-PL"/>
        </w:rPr>
      </w:pPr>
      <w:r w:rsidRPr="00BD22FE">
        <w:rPr>
          <w:b/>
          <w:sz w:val="22"/>
          <w:szCs w:val="22"/>
          <w:lang w:val="pl-PL"/>
        </w:rPr>
        <w:t>8.</w:t>
      </w:r>
      <w:r w:rsidRPr="00BD22FE">
        <w:rPr>
          <w:b/>
          <w:sz w:val="22"/>
          <w:szCs w:val="22"/>
          <w:lang w:val="pl-PL"/>
        </w:rPr>
        <w:tab/>
      </w:r>
      <w:r w:rsidR="00104CA8" w:rsidRPr="00BD22FE">
        <w:rPr>
          <w:b/>
          <w:sz w:val="22"/>
          <w:szCs w:val="22"/>
          <w:lang w:val="pl-PL"/>
        </w:rPr>
        <w:t>TERMIN WAŻNOŚCI</w:t>
      </w:r>
    </w:p>
    <w:p w14:paraId="6B91EE0B" w14:textId="77777777" w:rsidR="000016E2" w:rsidRPr="00BD22FE" w:rsidRDefault="000016E2" w:rsidP="00DD0776">
      <w:pPr>
        <w:keepNext/>
        <w:jc w:val="both"/>
        <w:rPr>
          <w:sz w:val="22"/>
          <w:szCs w:val="22"/>
          <w:lang w:val="pl-PL"/>
        </w:rPr>
      </w:pPr>
    </w:p>
    <w:p w14:paraId="58661D65" w14:textId="7E302E72" w:rsidR="000016E2" w:rsidRPr="00BD22FE" w:rsidRDefault="00104CA8" w:rsidP="00941FBF">
      <w:pPr>
        <w:rPr>
          <w:sz w:val="22"/>
          <w:szCs w:val="22"/>
          <w:lang w:val="pl-PL"/>
        </w:rPr>
      </w:pPr>
      <w:r w:rsidRPr="00BD22FE">
        <w:rPr>
          <w:sz w:val="22"/>
          <w:szCs w:val="22"/>
          <w:lang w:val="pl-PL"/>
        </w:rPr>
        <w:t>Termin ważności:</w:t>
      </w:r>
    </w:p>
    <w:p w14:paraId="6082A034" w14:textId="77777777" w:rsidR="000016E2" w:rsidRPr="00BD22FE" w:rsidRDefault="000016E2" w:rsidP="00941FBF">
      <w:pPr>
        <w:jc w:val="both"/>
        <w:rPr>
          <w:sz w:val="22"/>
          <w:szCs w:val="22"/>
          <w:lang w:val="pl-PL"/>
        </w:rPr>
      </w:pPr>
    </w:p>
    <w:p w14:paraId="0E48D60B" w14:textId="77777777" w:rsidR="000016E2" w:rsidRPr="00BD22FE" w:rsidRDefault="000016E2" w:rsidP="00941FBF">
      <w:pPr>
        <w:jc w:val="both"/>
        <w:rPr>
          <w:sz w:val="22"/>
          <w:szCs w:val="22"/>
          <w:lang w:val="pl-PL"/>
        </w:rPr>
      </w:pPr>
    </w:p>
    <w:p w14:paraId="1B480DBC" w14:textId="42E2A52F" w:rsidR="000016E2" w:rsidRPr="00BD22FE" w:rsidRDefault="00F2396D" w:rsidP="00F2396D">
      <w:pPr>
        <w:keepNext/>
        <w:pBdr>
          <w:top w:val="single" w:sz="4" w:space="1" w:color="auto"/>
          <w:left w:val="single" w:sz="4" w:space="4" w:color="auto"/>
          <w:bottom w:val="single" w:sz="4" w:space="1" w:color="auto"/>
          <w:right w:val="single" w:sz="4" w:space="4" w:color="auto"/>
        </w:pBdr>
        <w:ind w:left="567" w:hanging="567"/>
        <w:rPr>
          <w:b/>
          <w:sz w:val="22"/>
          <w:szCs w:val="22"/>
          <w:lang w:val="pl-PL"/>
        </w:rPr>
      </w:pPr>
      <w:r w:rsidRPr="00BD22FE">
        <w:rPr>
          <w:b/>
          <w:sz w:val="22"/>
          <w:szCs w:val="22"/>
          <w:lang w:val="pl-PL"/>
        </w:rPr>
        <w:lastRenderedPageBreak/>
        <w:t>9.</w:t>
      </w:r>
      <w:r w:rsidRPr="00BD22FE">
        <w:rPr>
          <w:b/>
          <w:sz w:val="22"/>
          <w:szCs w:val="22"/>
          <w:lang w:val="pl-PL"/>
        </w:rPr>
        <w:tab/>
      </w:r>
      <w:r w:rsidR="00104CA8" w:rsidRPr="00BD22FE">
        <w:rPr>
          <w:b/>
          <w:sz w:val="22"/>
          <w:szCs w:val="22"/>
          <w:lang w:val="pl-PL"/>
        </w:rPr>
        <w:t>WARUNKI PRZECHOWYWANIA</w:t>
      </w:r>
    </w:p>
    <w:p w14:paraId="36439F71" w14:textId="77777777" w:rsidR="000016E2" w:rsidRPr="00BD22FE" w:rsidRDefault="000016E2" w:rsidP="00941FBF">
      <w:pPr>
        <w:keepNext/>
        <w:jc w:val="both"/>
        <w:rPr>
          <w:bCs/>
          <w:sz w:val="22"/>
          <w:szCs w:val="22"/>
          <w:lang w:val="pl-PL"/>
        </w:rPr>
      </w:pPr>
    </w:p>
    <w:p w14:paraId="5B488A17" w14:textId="7E8EF01A" w:rsidR="000016E2" w:rsidRPr="00BD22FE" w:rsidRDefault="00104CA8" w:rsidP="00941FBF">
      <w:pPr>
        <w:rPr>
          <w:b/>
          <w:sz w:val="22"/>
          <w:szCs w:val="22"/>
          <w:lang w:val="pl-PL"/>
        </w:rPr>
      </w:pPr>
      <w:r w:rsidRPr="00BD22FE">
        <w:rPr>
          <w:b/>
          <w:sz w:val="22"/>
          <w:szCs w:val="22"/>
          <w:lang w:val="pl-PL"/>
        </w:rPr>
        <w:t xml:space="preserve">Brak </w:t>
      </w:r>
      <w:r w:rsidRPr="00BD22FE">
        <w:rPr>
          <w:b/>
          <w:bCs/>
          <w:sz w:val="22"/>
          <w:szCs w:val="22"/>
          <w:lang w:val="pl-PL"/>
        </w:rPr>
        <w:t>specjalnych zaleceń</w:t>
      </w:r>
      <w:r w:rsidRPr="00BD22FE">
        <w:rPr>
          <w:b/>
          <w:sz w:val="22"/>
          <w:szCs w:val="22"/>
          <w:lang w:val="pl-PL"/>
        </w:rPr>
        <w:t xml:space="preserve"> dotyczących temperatury przechowywania</w:t>
      </w:r>
      <w:r w:rsidR="00FC151A" w:rsidRPr="00BD22FE">
        <w:rPr>
          <w:b/>
          <w:sz w:val="22"/>
          <w:szCs w:val="22"/>
          <w:lang w:val="pl-PL"/>
        </w:rPr>
        <w:t xml:space="preserve"> produktu leczniczego</w:t>
      </w:r>
      <w:r w:rsidRPr="00BD22FE">
        <w:rPr>
          <w:b/>
          <w:sz w:val="22"/>
          <w:szCs w:val="22"/>
          <w:lang w:val="pl-PL"/>
        </w:rPr>
        <w:t>.</w:t>
      </w:r>
    </w:p>
    <w:p w14:paraId="08E67E9C" w14:textId="13594E41" w:rsidR="000016E2" w:rsidRPr="00BD22FE" w:rsidRDefault="00104CA8" w:rsidP="00941FBF">
      <w:pPr>
        <w:rPr>
          <w:b/>
          <w:sz w:val="22"/>
          <w:szCs w:val="22"/>
          <w:lang w:val="pl-PL"/>
        </w:rPr>
      </w:pPr>
      <w:r w:rsidRPr="00BD22FE">
        <w:rPr>
          <w:b/>
          <w:sz w:val="22"/>
          <w:szCs w:val="22"/>
          <w:lang w:val="pl-PL"/>
        </w:rPr>
        <w:t>Przechowywać w</w:t>
      </w:r>
      <w:r w:rsidR="00717A7B" w:rsidRPr="00BD22FE">
        <w:rPr>
          <w:b/>
          <w:sz w:val="22"/>
          <w:szCs w:val="22"/>
          <w:lang w:val="pl-PL"/>
        </w:rPr>
        <w:t> </w:t>
      </w:r>
      <w:r w:rsidRPr="00BD22FE">
        <w:rPr>
          <w:b/>
          <w:sz w:val="22"/>
          <w:szCs w:val="22"/>
          <w:lang w:val="pl-PL"/>
        </w:rPr>
        <w:t>oryginalnym opakowaniu w</w:t>
      </w:r>
      <w:r w:rsidR="00717A7B" w:rsidRPr="00BD22FE">
        <w:rPr>
          <w:b/>
          <w:sz w:val="22"/>
          <w:szCs w:val="22"/>
          <w:lang w:val="pl-PL"/>
        </w:rPr>
        <w:t> </w:t>
      </w:r>
      <w:r w:rsidRPr="00BD22FE">
        <w:rPr>
          <w:b/>
          <w:sz w:val="22"/>
          <w:szCs w:val="22"/>
          <w:lang w:val="pl-PL"/>
        </w:rPr>
        <w:t>celu ochrony przed wilgocią.</w:t>
      </w:r>
    </w:p>
    <w:p w14:paraId="0D93C984" w14:textId="77777777" w:rsidR="000016E2" w:rsidRPr="00BD22FE" w:rsidRDefault="000016E2" w:rsidP="00941FBF">
      <w:pPr>
        <w:jc w:val="both"/>
        <w:rPr>
          <w:sz w:val="22"/>
          <w:szCs w:val="22"/>
          <w:lang w:val="pl-PL"/>
        </w:rPr>
      </w:pPr>
    </w:p>
    <w:p w14:paraId="79A6922F" w14:textId="77777777" w:rsidR="000016E2" w:rsidRPr="00BD22FE" w:rsidRDefault="000016E2" w:rsidP="00941FBF">
      <w:pPr>
        <w:jc w:val="both"/>
        <w:rPr>
          <w:sz w:val="22"/>
          <w:szCs w:val="22"/>
          <w:lang w:val="pl-PL"/>
        </w:rPr>
      </w:pPr>
    </w:p>
    <w:p w14:paraId="06430EFD" w14:textId="18A04FCE" w:rsidR="000016E2" w:rsidRPr="00BD22FE" w:rsidRDefault="00F2396D" w:rsidP="00F2396D">
      <w:pPr>
        <w:keepNext/>
        <w:pBdr>
          <w:top w:val="single" w:sz="4" w:space="0" w:color="auto"/>
          <w:left w:val="single" w:sz="4" w:space="4" w:color="auto"/>
          <w:bottom w:val="single" w:sz="4" w:space="1" w:color="auto"/>
          <w:right w:val="single" w:sz="4" w:space="4" w:color="auto"/>
        </w:pBdr>
        <w:ind w:left="567" w:hanging="567"/>
        <w:rPr>
          <w:b/>
          <w:sz w:val="22"/>
          <w:szCs w:val="22"/>
          <w:lang w:val="pl-PL"/>
        </w:rPr>
      </w:pPr>
      <w:r w:rsidRPr="00BD22FE">
        <w:rPr>
          <w:b/>
          <w:sz w:val="22"/>
          <w:szCs w:val="22"/>
          <w:lang w:val="pl-PL"/>
        </w:rPr>
        <w:t>10.</w:t>
      </w:r>
      <w:r w:rsidRPr="00BD22FE">
        <w:rPr>
          <w:b/>
          <w:sz w:val="22"/>
          <w:szCs w:val="22"/>
          <w:lang w:val="pl-PL"/>
        </w:rPr>
        <w:tab/>
      </w:r>
      <w:r w:rsidR="00104CA8" w:rsidRPr="00BD22FE">
        <w:rPr>
          <w:b/>
          <w:sz w:val="22"/>
          <w:szCs w:val="22"/>
          <w:lang w:val="pl-PL"/>
        </w:rPr>
        <w:t>SPECJALNE ŚRODKI OSTROŻNOŚCI DOTYCZĄCE USUWANIA NIEZUŻYTEGO PRODUKTU LECZNICZEGO LUB POCHODZĄCYCH Z</w:t>
      </w:r>
      <w:r w:rsidR="00717A7B" w:rsidRPr="00BD22FE">
        <w:rPr>
          <w:b/>
          <w:sz w:val="22"/>
          <w:szCs w:val="22"/>
          <w:lang w:val="pl-PL"/>
        </w:rPr>
        <w:t> </w:t>
      </w:r>
      <w:r w:rsidR="00104CA8" w:rsidRPr="00BD22FE">
        <w:rPr>
          <w:b/>
          <w:sz w:val="22"/>
          <w:szCs w:val="22"/>
          <w:lang w:val="pl-PL"/>
        </w:rPr>
        <w:t>NIEGO ODPADÓW, JEŚLI WŁAŚCIWE</w:t>
      </w:r>
    </w:p>
    <w:p w14:paraId="55A2A167" w14:textId="77777777" w:rsidR="000016E2" w:rsidRPr="00BD22FE" w:rsidRDefault="000016E2" w:rsidP="00F2396D">
      <w:pPr>
        <w:keepNext/>
        <w:ind w:left="540" w:hanging="540"/>
        <w:jc w:val="both"/>
        <w:rPr>
          <w:sz w:val="22"/>
          <w:szCs w:val="22"/>
          <w:lang w:val="pl-PL"/>
        </w:rPr>
      </w:pPr>
    </w:p>
    <w:p w14:paraId="5B16CDAC" w14:textId="77777777" w:rsidR="000016E2" w:rsidRPr="00BD22FE" w:rsidRDefault="000016E2" w:rsidP="00941FBF">
      <w:pPr>
        <w:ind w:left="540" w:hanging="540"/>
        <w:jc w:val="both"/>
        <w:rPr>
          <w:sz w:val="22"/>
          <w:szCs w:val="22"/>
          <w:lang w:val="pl-PL"/>
        </w:rPr>
      </w:pPr>
    </w:p>
    <w:p w14:paraId="6214D8C8" w14:textId="166D35D6" w:rsidR="003A7E3D" w:rsidRPr="00BD22FE" w:rsidRDefault="00F2396D" w:rsidP="00F2396D">
      <w:pPr>
        <w:keepNext/>
        <w:pBdr>
          <w:top w:val="single" w:sz="4" w:space="1" w:color="auto"/>
          <w:left w:val="single" w:sz="4" w:space="4" w:color="auto"/>
          <w:bottom w:val="single" w:sz="4" w:space="1" w:color="auto"/>
          <w:right w:val="single" w:sz="4" w:space="4" w:color="auto"/>
        </w:pBdr>
        <w:ind w:left="567" w:hanging="567"/>
        <w:rPr>
          <w:b/>
          <w:sz w:val="22"/>
          <w:szCs w:val="22"/>
          <w:lang w:val="pl-PL"/>
        </w:rPr>
      </w:pPr>
      <w:r w:rsidRPr="00BD22FE">
        <w:rPr>
          <w:b/>
          <w:sz w:val="22"/>
          <w:szCs w:val="22"/>
          <w:lang w:val="pl-PL"/>
        </w:rPr>
        <w:t>11.</w:t>
      </w:r>
      <w:r w:rsidRPr="00BD22FE">
        <w:rPr>
          <w:b/>
          <w:sz w:val="22"/>
          <w:szCs w:val="22"/>
          <w:lang w:val="pl-PL"/>
        </w:rPr>
        <w:tab/>
      </w:r>
      <w:r w:rsidR="00104CA8" w:rsidRPr="00BD22FE">
        <w:rPr>
          <w:b/>
          <w:sz w:val="22"/>
          <w:szCs w:val="22"/>
          <w:lang w:val="pl-PL"/>
        </w:rPr>
        <w:t>NAZWA I</w:t>
      </w:r>
      <w:r w:rsidR="00717A7B" w:rsidRPr="00BD22FE">
        <w:rPr>
          <w:b/>
          <w:sz w:val="22"/>
          <w:szCs w:val="22"/>
          <w:lang w:val="pl-PL"/>
        </w:rPr>
        <w:t> </w:t>
      </w:r>
      <w:r w:rsidR="00104CA8" w:rsidRPr="00BD22FE">
        <w:rPr>
          <w:b/>
          <w:sz w:val="22"/>
          <w:szCs w:val="22"/>
          <w:lang w:val="pl-PL"/>
        </w:rPr>
        <w:t>ADRES PODMIOTU ODPOWIEDZIALNEGO</w:t>
      </w:r>
    </w:p>
    <w:p w14:paraId="058DE3E0" w14:textId="0C84EA15" w:rsidR="000016E2" w:rsidRPr="00BD22FE" w:rsidRDefault="000016E2" w:rsidP="00F2396D">
      <w:pPr>
        <w:keepNext/>
        <w:ind w:left="540" w:hanging="540"/>
        <w:jc w:val="both"/>
        <w:rPr>
          <w:sz w:val="22"/>
          <w:szCs w:val="22"/>
          <w:lang w:val="pl-PL"/>
        </w:rPr>
      </w:pPr>
    </w:p>
    <w:p w14:paraId="2F6BAEF7" w14:textId="77777777" w:rsidR="000016E2" w:rsidRPr="00BD22FE" w:rsidRDefault="00104CA8" w:rsidP="00941FBF">
      <w:pPr>
        <w:ind w:left="540" w:hanging="540"/>
        <w:rPr>
          <w:sz w:val="22"/>
          <w:szCs w:val="22"/>
          <w:lang w:val="pl-PL"/>
        </w:rPr>
      </w:pPr>
      <w:r w:rsidRPr="00BD22FE">
        <w:rPr>
          <w:sz w:val="22"/>
          <w:szCs w:val="22"/>
          <w:lang w:val="pl-PL"/>
        </w:rPr>
        <w:t>Boehringer Ingelheim International GmbH</w:t>
      </w:r>
    </w:p>
    <w:p w14:paraId="5124021C" w14:textId="77777777" w:rsidR="000016E2" w:rsidRPr="009D16CE" w:rsidRDefault="00104CA8" w:rsidP="00941FBF">
      <w:pPr>
        <w:ind w:left="540" w:hanging="540"/>
        <w:rPr>
          <w:sz w:val="22"/>
          <w:szCs w:val="22"/>
          <w:lang w:val="de-DE"/>
        </w:rPr>
      </w:pPr>
      <w:r w:rsidRPr="009D16CE">
        <w:rPr>
          <w:sz w:val="22"/>
          <w:szCs w:val="22"/>
          <w:lang w:val="de-DE"/>
        </w:rPr>
        <w:t>Binger Str. 173</w:t>
      </w:r>
    </w:p>
    <w:p w14:paraId="6D71D7D7" w14:textId="49F870F7" w:rsidR="000016E2" w:rsidRPr="009D16CE" w:rsidRDefault="00104CA8" w:rsidP="00941FBF">
      <w:pPr>
        <w:ind w:left="540" w:hanging="540"/>
        <w:rPr>
          <w:sz w:val="22"/>
          <w:szCs w:val="22"/>
          <w:lang w:val="de-DE"/>
        </w:rPr>
      </w:pPr>
      <w:r w:rsidRPr="009D16CE">
        <w:rPr>
          <w:sz w:val="22"/>
          <w:szCs w:val="22"/>
          <w:lang w:val="de-DE"/>
        </w:rPr>
        <w:t>55216 Ingelheim am Rhein</w:t>
      </w:r>
    </w:p>
    <w:p w14:paraId="437253FB" w14:textId="05127847" w:rsidR="000016E2" w:rsidRPr="009D16CE" w:rsidRDefault="00F2396D" w:rsidP="00941FBF">
      <w:pPr>
        <w:ind w:left="540" w:hanging="540"/>
        <w:rPr>
          <w:sz w:val="22"/>
          <w:szCs w:val="22"/>
          <w:lang w:val="de-DE"/>
        </w:rPr>
      </w:pPr>
      <w:r w:rsidRPr="009D16CE">
        <w:rPr>
          <w:sz w:val="22"/>
          <w:szCs w:val="22"/>
          <w:lang w:val="de-DE"/>
        </w:rPr>
        <w:t>Niemcy</w:t>
      </w:r>
    </w:p>
    <w:p w14:paraId="140CAE36" w14:textId="77777777" w:rsidR="000016E2" w:rsidRPr="009D16CE" w:rsidRDefault="000016E2" w:rsidP="00941FBF">
      <w:pPr>
        <w:ind w:left="540" w:hanging="540"/>
        <w:jc w:val="both"/>
        <w:rPr>
          <w:sz w:val="22"/>
          <w:szCs w:val="22"/>
          <w:lang w:val="de-DE"/>
        </w:rPr>
      </w:pPr>
    </w:p>
    <w:p w14:paraId="458401EB" w14:textId="77777777" w:rsidR="000016E2" w:rsidRPr="009D16CE" w:rsidRDefault="000016E2" w:rsidP="00941FBF">
      <w:pPr>
        <w:ind w:left="540" w:hanging="540"/>
        <w:jc w:val="both"/>
        <w:rPr>
          <w:sz w:val="22"/>
          <w:szCs w:val="22"/>
          <w:lang w:val="de-DE"/>
        </w:rPr>
      </w:pPr>
    </w:p>
    <w:p w14:paraId="744A65F7" w14:textId="2D397992" w:rsidR="000016E2" w:rsidRPr="00BD22FE" w:rsidRDefault="00F2396D" w:rsidP="00F2396D">
      <w:pPr>
        <w:keepNext/>
        <w:pBdr>
          <w:top w:val="single" w:sz="4" w:space="1" w:color="auto"/>
          <w:left w:val="single" w:sz="4" w:space="4" w:color="auto"/>
          <w:bottom w:val="single" w:sz="4" w:space="1" w:color="auto"/>
          <w:right w:val="single" w:sz="4" w:space="4" w:color="auto"/>
        </w:pBdr>
        <w:ind w:left="567" w:hanging="567"/>
        <w:rPr>
          <w:b/>
          <w:sz w:val="22"/>
          <w:szCs w:val="22"/>
          <w:lang w:val="pl-PL"/>
        </w:rPr>
      </w:pPr>
      <w:r w:rsidRPr="00BD22FE">
        <w:rPr>
          <w:b/>
          <w:sz w:val="22"/>
          <w:szCs w:val="22"/>
          <w:lang w:val="pl-PL"/>
        </w:rPr>
        <w:t>12.</w:t>
      </w:r>
      <w:r w:rsidRPr="00BD22FE">
        <w:rPr>
          <w:b/>
          <w:sz w:val="22"/>
          <w:szCs w:val="22"/>
          <w:lang w:val="pl-PL"/>
        </w:rPr>
        <w:tab/>
      </w:r>
      <w:r w:rsidR="00104CA8" w:rsidRPr="00BD22FE">
        <w:rPr>
          <w:b/>
          <w:sz w:val="22"/>
          <w:szCs w:val="22"/>
          <w:lang w:val="pl-PL"/>
        </w:rPr>
        <w:t>NUMER POZWOLE</w:t>
      </w:r>
      <w:r w:rsidR="00F8730D" w:rsidRPr="00BD22FE">
        <w:rPr>
          <w:b/>
          <w:sz w:val="22"/>
          <w:szCs w:val="22"/>
          <w:lang w:val="pl-PL"/>
        </w:rPr>
        <w:t>NIA</w:t>
      </w:r>
      <w:r w:rsidR="00104CA8" w:rsidRPr="00BD22FE">
        <w:rPr>
          <w:b/>
          <w:sz w:val="22"/>
          <w:szCs w:val="22"/>
          <w:lang w:val="pl-PL"/>
        </w:rPr>
        <w:t xml:space="preserve"> NA DOPUSZCZENIE DO OBROTU</w:t>
      </w:r>
    </w:p>
    <w:p w14:paraId="6536AD83" w14:textId="77777777" w:rsidR="000016E2" w:rsidRPr="00BD22FE" w:rsidRDefault="000016E2" w:rsidP="00F2396D">
      <w:pPr>
        <w:keepNext/>
        <w:ind w:left="540" w:hanging="540"/>
        <w:jc w:val="both"/>
        <w:rPr>
          <w:sz w:val="22"/>
          <w:szCs w:val="22"/>
          <w:lang w:val="pl-PL"/>
        </w:rPr>
      </w:pPr>
    </w:p>
    <w:p w14:paraId="7DAB734C" w14:textId="6F1660EB" w:rsidR="000016E2" w:rsidRPr="00C53640" w:rsidRDefault="00104CA8" w:rsidP="00F2396D">
      <w:pPr>
        <w:ind w:left="1985" w:hanging="1985"/>
        <w:rPr>
          <w:sz w:val="22"/>
          <w:szCs w:val="22"/>
          <w:lang w:val="nb-NO"/>
        </w:rPr>
      </w:pPr>
      <w:r w:rsidRPr="00C53640">
        <w:rPr>
          <w:sz w:val="22"/>
          <w:szCs w:val="22"/>
          <w:lang w:val="nb-NO"/>
        </w:rPr>
        <w:t>EU/1/02/213/017</w:t>
      </w:r>
      <w:r w:rsidRPr="00C53640">
        <w:rPr>
          <w:sz w:val="22"/>
          <w:szCs w:val="22"/>
          <w:lang w:val="nb-NO"/>
        </w:rPr>
        <w:tab/>
        <w:t>14</w:t>
      </w:r>
      <w:r w:rsidR="00AE6EB3" w:rsidRPr="00C53640">
        <w:rPr>
          <w:sz w:val="22"/>
          <w:szCs w:val="22"/>
          <w:lang w:val="nb-NO"/>
        </w:rPr>
        <w:t> </w:t>
      </w:r>
      <w:r w:rsidRPr="00C53640">
        <w:rPr>
          <w:sz w:val="22"/>
          <w:szCs w:val="22"/>
          <w:lang w:val="nb-NO"/>
        </w:rPr>
        <w:t>tabletek</w:t>
      </w:r>
    </w:p>
    <w:p w14:paraId="35731C5A" w14:textId="7CCD0790" w:rsidR="000016E2" w:rsidRPr="00C53640" w:rsidRDefault="00104CA8" w:rsidP="00F2396D">
      <w:pPr>
        <w:ind w:left="1985" w:hanging="1985"/>
        <w:rPr>
          <w:sz w:val="22"/>
          <w:szCs w:val="22"/>
          <w:lang w:val="nb-NO"/>
        </w:rPr>
      </w:pPr>
      <w:r w:rsidRPr="00C53640">
        <w:rPr>
          <w:sz w:val="22"/>
          <w:szCs w:val="22"/>
          <w:shd w:val="clear" w:color="auto" w:fill="C0C0C0"/>
          <w:lang w:val="nb-NO"/>
        </w:rPr>
        <w:t>EU/1/02/213/018</w:t>
      </w:r>
      <w:r w:rsidRPr="00C53640">
        <w:rPr>
          <w:sz w:val="22"/>
          <w:szCs w:val="22"/>
          <w:shd w:val="clear" w:color="auto" w:fill="C0C0C0"/>
          <w:lang w:val="nb-NO"/>
        </w:rPr>
        <w:tab/>
        <w:t>28</w:t>
      </w:r>
      <w:r w:rsidR="00AE6EB3" w:rsidRPr="00C53640">
        <w:rPr>
          <w:sz w:val="22"/>
          <w:szCs w:val="22"/>
          <w:shd w:val="clear" w:color="auto" w:fill="C0C0C0"/>
          <w:lang w:val="nb-NO"/>
        </w:rPr>
        <w:t> </w:t>
      </w:r>
      <w:r w:rsidRPr="00C53640">
        <w:rPr>
          <w:sz w:val="22"/>
          <w:szCs w:val="22"/>
          <w:shd w:val="clear" w:color="auto" w:fill="C0C0C0"/>
          <w:lang w:val="nb-NO"/>
        </w:rPr>
        <w:t>tabletek</w:t>
      </w:r>
    </w:p>
    <w:p w14:paraId="1C137859" w14:textId="10F998CE" w:rsidR="000016E2" w:rsidRPr="00C53640" w:rsidRDefault="00104CA8" w:rsidP="00F2396D">
      <w:pPr>
        <w:ind w:left="1985" w:hanging="1985"/>
        <w:rPr>
          <w:sz w:val="22"/>
          <w:szCs w:val="22"/>
          <w:shd w:val="clear" w:color="auto" w:fill="C0C0C0"/>
          <w:lang w:val="nb-NO"/>
        </w:rPr>
      </w:pPr>
      <w:r w:rsidRPr="00C53640">
        <w:rPr>
          <w:sz w:val="22"/>
          <w:szCs w:val="22"/>
          <w:shd w:val="clear" w:color="auto" w:fill="C0C0C0"/>
          <w:lang w:val="nb-NO"/>
        </w:rPr>
        <w:t>EU/1/02/213/019</w:t>
      </w:r>
      <w:r w:rsidRPr="00C53640">
        <w:rPr>
          <w:sz w:val="22"/>
          <w:szCs w:val="22"/>
          <w:shd w:val="clear" w:color="auto" w:fill="C0C0C0"/>
          <w:lang w:val="nb-NO"/>
        </w:rPr>
        <w:tab/>
        <w:t>28</w:t>
      </w:r>
      <w:r w:rsidR="00AE6EB3" w:rsidRPr="00C53640">
        <w:rPr>
          <w:sz w:val="22"/>
          <w:szCs w:val="22"/>
          <w:shd w:val="clear" w:color="auto" w:fill="C0C0C0"/>
          <w:lang w:val="nb-NO"/>
        </w:rPr>
        <w:t> </w:t>
      </w:r>
      <w:r w:rsidR="003F4C93" w:rsidRPr="00C53640">
        <w:rPr>
          <w:sz w:val="22"/>
          <w:shd w:val="clear" w:color="auto" w:fill="C0C0C0"/>
          <w:lang w:val="nb-NO"/>
        </w:rPr>
        <w:t>×</w:t>
      </w:r>
      <w:r w:rsidR="00AE6EB3" w:rsidRPr="00C53640">
        <w:rPr>
          <w:sz w:val="22"/>
          <w:szCs w:val="22"/>
          <w:shd w:val="clear" w:color="auto" w:fill="C0C0C0"/>
          <w:lang w:val="nb-NO"/>
        </w:rPr>
        <w:t> </w:t>
      </w:r>
      <w:r w:rsidRPr="00C53640">
        <w:rPr>
          <w:sz w:val="22"/>
          <w:szCs w:val="22"/>
          <w:shd w:val="clear" w:color="auto" w:fill="C0C0C0"/>
          <w:lang w:val="nb-NO"/>
        </w:rPr>
        <w:t>1</w:t>
      </w:r>
      <w:r w:rsidR="00AE6EB3" w:rsidRPr="00C53640">
        <w:rPr>
          <w:sz w:val="22"/>
          <w:szCs w:val="22"/>
          <w:shd w:val="clear" w:color="auto" w:fill="C0C0C0"/>
          <w:lang w:val="nb-NO"/>
        </w:rPr>
        <w:t> </w:t>
      </w:r>
      <w:r w:rsidRPr="00C53640">
        <w:rPr>
          <w:sz w:val="22"/>
          <w:szCs w:val="22"/>
          <w:shd w:val="clear" w:color="auto" w:fill="C0C0C0"/>
          <w:lang w:val="nb-NO"/>
        </w:rPr>
        <w:t>tabletka</w:t>
      </w:r>
    </w:p>
    <w:p w14:paraId="31FCA508" w14:textId="5267C43E" w:rsidR="000016E2" w:rsidRPr="00C53640" w:rsidRDefault="00104CA8" w:rsidP="00F2396D">
      <w:pPr>
        <w:ind w:left="1985" w:hanging="1985"/>
        <w:rPr>
          <w:sz w:val="22"/>
          <w:szCs w:val="22"/>
          <w:shd w:val="clear" w:color="auto" w:fill="C0C0C0"/>
          <w:lang w:val="nb-NO"/>
        </w:rPr>
      </w:pPr>
      <w:r w:rsidRPr="00C53640">
        <w:rPr>
          <w:sz w:val="22"/>
          <w:szCs w:val="22"/>
          <w:shd w:val="clear" w:color="auto" w:fill="C0C0C0"/>
          <w:lang w:val="nb-NO"/>
        </w:rPr>
        <w:t>EU/1/02/213/020</w:t>
      </w:r>
      <w:r w:rsidRPr="00C53640">
        <w:rPr>
          <w:sz w:val="22"/>
          <w:szCs w:val="22"/>
          <w:shd w:val="clear" w:color="auto" w:fill="C0C0C0"/>
          <w:lang w:val="nb-NO"/>
        </w:rPr>
        <w:tab/>
        <w:t>30</w:t>
      </w:r>
      <w:r w:rsidR="00AE6EB3" w:rsidRPr="00C53640">
        <w:rPr>
          <w:sz w:val="22"/>
          <w:szCs w:val="22"/>
          <w:shd w:val="clear" w:color="auto" w:fill="C0C0C0"/>
          <w:lang w:val="nb-NO"/>
        </w:rPr>
        <w:t> </w:t>
      </w:r>
      <w:r w:rsidR="003F4C93" w:rsidRPr="00C53640">
        <w:rPr>
          <w:sz w:val="22"/>
          <w:shd w:val="clear" w:color="auto" w:fill="C0C0C0"/>
          <w:lang w:val="nb-NO"/>
        </w:rPr>
        <w:t>×</w:t>
      </w:r>
      <w:r w:rsidR="00AE6EB3" w:rsidRPr="00C53640">
        <w:rPr>
          <w:sz w:val="22"/>
          <w:szCs w:val="22"/>
          <w:shd w:val="clear" w:color="auto" w:fill="C0C0C0"/>
          <w:lang w:val="nb-NO"/>
        </w:rPr>
        <w:t> </w:t>
      </w:r>
      <w:r w:rsidRPr="00C53640">
        <w:rPr>
          <w:sz w:val="22"/>
          <w:szCs w:val="22"/>
          <w:shd w:val="clear" w:color="auto" w:fill="C0C0C0"/>
          <w:lang w:val="nb-NO"/>
        </w:rPr>
        <w:t>1</w:t>
      </w:r>
      <w:r w:rsidR="00AE6EB3" w:rsidRPr="00C53640">
        <w:rPr>
          <w:sz w:val="22"/>
          <w:szCs w:val="22"/>
          <w:shd w:val="clear" w:color="auto" w:fill="C0C0C0"/>
          <w:lang w:val="nb-NO"/>
        </w:rPr>
        <w:t> </w:t>
      </w:r>
      <w:r w:rsidRPr="00C53640">
        <w:rPr>
          <w:sz w:val="22"/>
          <w:szCs w:val="22"/>
          <w:shd w:val="clear" w:color="auto" w:fill="C0C0C0"/>
          <w:lang w:val="nb-NO"/>
        </w:rPr>
        <w:t>tabletka</w:t>
      </w:r>
    </w:p>
    <w:p w14:paraId="4453EE4F" w14:textId="3E6CC587" w:rsidR="000016E2" w:rsidRPr="00C53640" w:rsidRDefault="00104CA8" w:rsidP="00F2396D">
      <w:pPr>
        <w:ind w:left="1985" w:hanging="1985"/>
        <w:rPr>
          <w:sz w:val="22"/>
          <w:szCs w:val="22"/>
          <w:shd w:val="clear" w:color="auto" w:fill="C0C0C0"/>
          <w:lang w:val="nb-NO"/>
        </w:rPr>
      </w:pPr>
      <w:r w:rsidRPr="00C53640">
        <w:rPr>
          <w:sz w:val="22"/>
          <w:szCs w:val="22"/>
          <w:shd w:val="clear" w:color="auto" w:fill="C0C0C0"/>
          <w:lang w:val="nb-NO"/>
        </w:rPr>
        <w:t>EU/1/02/213/021</w:t>
      </w:r>
      <w:r w:rsidRPr="00C53640">
        <w:rPr>
          <w:sz w:val="22"/>
          <w:szCs w:val="22"/>
          <w:shd w:val="clear" w:color="auto" w:fill="C0C0C0"/>
          <w:lang w:val="nb-NO"/>
        </w:rPr>
        <w:tab/>
        <w:t>56</w:t>
      </w:r>
      <w:r w:rsidR="00AE6EB3" w:rsidRPr="00C53640">
        <w:rPr>
          <w:sz w:val="22"/>
          <w:szCs w:val="22"/>
          <w:shd w:val="clear" w:color="auto" w:fill="C0C0C0"/>
          <w:lang w:val="nb-NO"/>
        </w:rPr>
        <w:t> </w:t>
      </w:r>
      <w:r w:rsidRPr="00C53640">
        <w:rPr>
          <w:sz w:val="22"/>
          <w:szCs w:val="22"/>
          <w:shd w:val="clear" w:color="auto" w:fill="C0C0C0"/>
          <w:lang w:val="nb-NO"/>
        </w:rPr>
        <w:t>tabletek</w:t>
      </w:r>
    </w:p>
    <w:p w14:paraId="62EA34B3" w14:textId="71E05B35" w:rsidR="000016E2" w:rsidRPr="00C53640" w:rsidRDefault="00104CA8" w:rsidP="00F2396D">
      <w:pPr>
        <w:ind w:left="1985" w:hanging="1985"/>
        <w:rPr>
          <w:sz w:val="22"/>
          <w:szCs w:val="22"/>
          <w:shd w:val="clear" w:color="auto" w:fill="C0C0C0"/>
          <w:lang w:val="nb-NO"/>
        </w:rPr>
      </w:pPr>
      <w:r w:rsidRPr="00C53640">
        <w:rPr>
          <w:sz w:val="22"/>
          <w:szCs w:val="22"/>
          <w:shd w:val="clear" w:color="auto" w:fill="C0C0C0"/>
          <w:lang w:val="nb-NO"/>
        </w:rPr>
        <w:t>EU/1/02/213/022</w:t>
      </w:r>
      <w:r w:rsidRPr="00C53640">
        <w:rPr>
          <w:sz w:val="22"/>
          <w:szCs w:val="22"/>
          <w:shd w:val="clear" w:color="auto" w:fill="C0C0C0"/>
          <w:lang w:val="nb-NO"/>
        </w:rPr>
        <w:tab/>
        <w:t>90</w:t>
      </w:r>
      <w:r w:rsidR="00AE6EB3" w:rsidRPr="00C53640">
        <w:rPr>
          <w:sz w:val="22"/>
          <w:szCs w:val="22"/>
          <w:shd w:val="clear" w:color="auto" w:fill="C0C0C0"/>
          <w:lang w:val="nb-NO"/>
        </w:rPr>
        <w:t> </w:t>
      </w:r>
      <w:r w:rsidR="003F4C93" w:rsidRPr="00C53640">
        <w:rPr>
          <w:sz w:val="22"/>
          <w:shd w:val="clear" w:color="auto" w:fill="C0C0C0"/>
          <w:lang w:val="nb-NO"/>
        </w:rPr>
        <w:t>×</w:t>
      </w:r>
      <w:r w:rsidR="00AE6EB3" w:rsidRPr="00C53640">
        <w:rPr>
          <w:sz w:val="22"/>
          <w:szCs w:val="22"/>
          <w:shd w:val="clear" w:color="auto" w:fill="C0C0C0"/>
          <w:lang w:val="nb-NO"/>
        </w:rPr>
        <w:t> </w:t>
      </w:r>
      <w:r w:rsidRPr="00C53640">
        <w:rPr>
          <w:sz w:val="22"/>
          <w:szCs w:val="22"/>
          <w:shd w:val="clear" w:color="auto" w:fill="C0C0C0"/>
          <w:lang w:val="nb-NO"/>
        </w:rPr>
        <w:t>1</w:t>
      </w:r>
      <w:r w:rsidR="00AE6EB3" w:rsidRPr="00C53640">
        <w:rPr>
          <w:sz w:val="22"/>
          <w:szCs w:val="22"/>
          <w:shd w:val="clear" w:color="auto" w:fill="C0C0C0"/>
          <w:lang w:val="nb-NO"/>
        </w:rPr>
        <w:t> </w:t>
      </w:r>
      <w:r w:rsidRPr="00C53640">
        <w:rPr>
          <w:sz w:val="22"/>
          <w:szCs w:val="22"/>
          <w:shd w:val="clear" w:color="auto" w:fill="C0C0C0"/>
          <w:lang w:val="nb-NO"/>
        </w:rPr>
        <w:t>tabletka</w:t>
      </w:r>
    </w:p>
    <w:p w14:paraId="4DF4955D" w14:textId="2197193D" w:rsidR="000016E2" w:rsidRPr="00C53640" w:rsidRDefault="00104CA8" w:rsidP="00F2396D">
      <w:pPr>
        <w:ind w:left="1985" w:hanging="1985"/>
        <w:rPr>
          <w:sz w:val="22"/>
          <w:szCs w:val="22"/>
          <w:lang w:val="nb-NO"/>
        </w:rPr>
      </w:pPr>
      <w:r w:rsidRPr="00C53640">
        <w:rPr>
          <w:sz w:val="22"/>
          <w:szCs w:val="22"/>
          <w:shd w:val="clear" w:color="auto" w:fill="C0C0C0"/>
          <w:lang w:val="nb-NO"/>
        </w:rPr>
        <w:t>EU/1/02/213/023</w:t>
      </w:r>
      <w:r w:rsidRPr="00C53640">
        <w:rPr>
          <w:sz w:val="22"/>
          <w:szCs w:val="22"/>
          <w:shd w:val="clear" w:color="auto" w:fill="C0C0C0"/>
          <w:lang w:val="nb-NO"/>
        </w:rPr>
        <w:tab/>
        <w:t>98</w:t>
      </w:r>
      <w:r w:rsidR="00AE6EB3" w:rsidRPr="00C53640">
        <w:rPr>
          <w:sz w:val="22"/>
          <w:szCs w:val="22"/>
          <w:shd w:val="clear" w:color="auto" w:fill="C0C0C0"/>
          <w:lang w:val="nb-NO"/>
        </w:rPr>
        <w:t> </w:t>
      </w:r>
      <w:r w:rsidRPr="00C53640">
        <w:rPr>
          <w:sz w:val="22"/>
          <w:szCs w:val="22"/>
          <w:shd w:val="clear" w:color="auto" w:fill="C0C0C0"/>
          <w:lang w:val="nb-NO"/>
        </w:rPr>
        <w:t>tabletek</w:t>
      </w:r>
    </w:p>
    <w:p w14:paraId="3B12DE90" w14:textId="77777777" w:rsidR="000016E2" w:rsidRPr="00C53640" w:rsidRDefault="000016E2" w:rsidP="00941FBF">
      <w:pPr>
        <w:ind w:left="540" w:hanging="540"/>
        <w:jc w:val="both"/>
        <w:rPr>
          <w:sz w:val="22"/>
          <w:szCs w:val="22"/>
          <w:lang w:val="nb-NO"/>
        </w:rPr>
      </w:pPr>
    </w:p>
    <w:p w14:paraId="5DF1029E" w14:textId="77777777" w:rsidR="000016E2" w:rsidRPr="00C53640" w:rsidRDefault="000016E2" w:rsidP="00941FBF">
      <w:pPr>
        <w:jc w:val="both"/>
        <w:rPr>
          <w:sz w:val="22"/>
          <w:szCs w:val="22"/>
          <w:lang w:val="nb-NO"/>
        </w:rPr>
      </w:pPr>
    </w:p>
    <w:p w14:paraId="01FE4C1B" w14:textId="690F5E16" w:rsidR="000016E2" w:rsidRPr="00BD22FE" w:rsidRDefault="00F2396D" w:rsidP="00F2396D">
      <w:pPr>
        <w:keepNext/>
        <w:pBdr>
          <w:top w:val="single" w:sz="4" w:space="1" w:color="auto"/>
          <w:left w:val="single" w:sz="4" w:space="4" w:color="auto"/>
          <w:bottom w:val="single" w:sz="4" w:space="1" w:color="auto"/>
          <w:right w:val="single" w:sz="4" w:space="4" w:color="auto"/>
        </w:pBdr>
        <w:ind w:left="567" w:hanging="567"/>
        <w:rPr>
          <w:b/>
          <w:sz w:val="22"/>
          <w:szCs w:val="22"/>
          <w:lang w:val="pl-PL"/>
        </w:rPr>
      </w:pPr>
      <w:r w:rsidRPr="00BD22FE">
        <w:rPr>
          <w:b/>
          <w:sz w:val="22"/>
          <w:szCs w:val="22"/>
          <w:lang w:val="pl-PL"/>
        </w:rPr>
        <w:t>13.</w:t>
      </w:r>
      <w:r w:rsidRPr="00BD22FE">
        <w:rPr>
          <w:b/>
          <w:sz w:val="22"/>
          <w:szCs w:val="22"/>
          <w:lang w:val="pl-PL"/>
        </w:rPr>
        <w:tab/>
      </w:r>
      <w:r w:rsidR="00104CA8" w:rsidRPr="00BD22FE">
        <w:rPr>
          <w:b/>
          <w:sz w:val="22"/>
          <w:szCs w:val="22"/>
          <w:lang w:val="pl-PL"/>
        </w:rPr>
        <w:t>NUMER SERII</w:t>
      </w:r>
    </w:p>
    <w:p w14:paraId="13BA6015" w14:textId="77777777" w:rsidR="000016E2" w:rsidRPr="00BD22FE" w:rsidRDefault="000016E2" w:rsidP="00F2396D">
      <w:pPr>
        <w:keepNext/>
        <w:jc w:val="both"/>
        <w:rPr>
          <w:sz w:val="22"/>
          <w:szCs w:val="22"/>
          <w:lang w:val="pl-PL"/>
        </w:rPr>
      </w:pPr>
    </w:p>
    <w:p w14:paraId="7004C8EA" w14:textId="1B155638" w:rsidR="000016E2" w:rsidRPr="00BD22FE" w:rsidRDefault="00104CA8" w:rsidP="00941FBF">
      <w:pPr>
        <w:rPr>
          <w:sz w:val="22"/>
          <w:szCs w:val="22"/>
          <w:lang w:val="pl-PL"/>
        </w:rPr>
      </w:pPr>
      <w:r w:rsidRPr="00BD22FE">
        <w:rPr>
          <w:sz w:val="22"/>
          <w:szCs w:val="22"/>
          <w:lang w:val="pl-PL"/>
        </w:rPr>
        <w:t>Nr serii:</w:t>
      </w:r>
    </w:p>
    <w:p w14:paraId="029CAE33" w14:textId="77777777" w:rsidR="000016E2" w:rsidRPr="00BD22FE" w:rsidRDefault="000016E2" w:rsidP="00941FBF">
      <w:pPr>
        <w:jc w:val="both"/>
        <w:rPr>
          <w:sz w:val="22"/>
          <w:szCs w:val="22"/>
          <w:lang w:val="pl-PL"/>
        </w:rPr>
      </w:pPr>
    </w:p>
    <w:p w14:paraId="4FD3914D" w14:textId="77777777" w:rsidR="000016E2" w:rsidRPr="00BD22FE" w:rsidRDefault="000016E2" w:rsidP="00941FBF">
      <w:pPr>
        <w:jc w:val="both"/>
        <w:rPr>
          <w:sz w:val="22"/>
          <w:szCs w:val="22"/>
          <w:lang w:val="pl-PL"/>
        </w:rPr>
      </w:pPr>
    </w:p>
    <w:p w14:paraId="027A085A" w14:textId="4D55382C" w:rsidR="000016E2" w:rsidRPr="00BD22FE" w:rsidRDefault="00F2396D" w:rsidP="00F2396D">
      <w:pPr>
        <w:keepNext/>
        <w:pBdr>
          <w:top w:val="single" w:sz="4" w:space="1" w:color="auto"/>
          <w:left w:val="single" w:sz="4" w:space="4" w:color="auto"/>
          <w:bottom w:val="single" w:sz="4" w:space="1" w:color="auto"/>
          <w:right w:val="single" w:sz="4" w:space="4" w:color="auto"/>
        </w:pBdr>
        <w:ind w:left="567" w:hanging="567"/>
        <w:rPr>
          <w:b/>
          <w:sz w:val="22"/>
          <w:szCs w:val="22"/>
          <w:lang w:val="pl-PL"/>
        </w:rPr>
      </w:pPr>
      <w:r w:rsidRPr="00BD22FE">
        <w:rPr>
          <w:b/>
          <w:sz w:val="22"/>
          <w:szCs w:val="22"/>
          <w:lang w:val="pl-PL"/>
        </w:rPr>
        <w:t>14.</w:t>
      </w:r>
      <w:r w:rsidRPr="00BD22FE">
        <w:rPr>
          <w:b/>
          <w:sz w:val="22"/>
          <w:szCs w:val="22"/>
          <w:lang w:val="pl-PL"/>
        </w:rPr>
        <w:tab/>
      </w:r>
      <w:r w:rsidR="00104CA8" w:rsidRPr="00BD22FE">
        <w:rPr>
          <w:b/>
          <w:sz w:val="22"/>
          <w:szCs w:val="22"/>
          <w:lang w:val="pl-PL"/>
        </w:rPr>
        <w:t>OGÓLNA KATEGORIA DOSTĘPNOŚCI</w:t>
      </w:r>
    </w:p>
    <w:p w14:paraId="1E9F12DA" w14:textId="77777777" w:rsidR="000016E2" w:rsidRPr="00BD22FE" w:rsidRDefault="000016E2" w:rsidP="00F2396D">
      <w:pPr>
        <w:keepNext/>
        <w:jc w:val="both"/>
        <w:rPr>
          <w:sz w:val="22"/>
          <w:szCs w:val="22"/>
          <w:lang w:val="pl-PL"/>
        </w:rPr>
      </w:pPr>
    </w:p>
    <w:p w14:paraId="57A30AD7" w14:textId="77777777" w:rsidR="000016E2" w:rsidRPr="00BD22FE" w:rsidRDefault="000016E2" w:rsidP="00941FBF">
      <w:pPr>
        <w:jc w:val="both"/>
        <w:rPr>
          <w:sz w:val="22"/>
          <w:szCs w:val="22"/>
          <w:lang w:val="pl-PL"/>
        </w:rPr>
      </w:pPr>
    </w:p>
    <w:p w14:paraId="24E3BC30" w14:textId="3CEA84D8" w:rsidR="000016E2" w:rsidRPr="00BD22FE" w:rsidRDefault="00F2396D" w:rsidP="00F2396D">
      <w:pPr>
        <w:keepNext/>
        <w:pBdr>
          <w:top w:val="single" w:sz="4" w:space="1" w:color="auto"/>
          <w:left w:val="single" w:sz="4" w:space="4" w:color="auto"/>
          <w:bottom w:val="single" w:sz="4" w:space="1" w:color="auto"/>
          <w:right w:val="single" w:sz="4" w:space="4" w:color="auto"/>
        </w:pBdr>
        <w:ind w:left="567" w:hanging="567"/>
        <w:rPr>
          <w:b/>
          <w:sz w:val="22"/>
          <w:szCs w:val="22"/>
          <w:lang w:val="pl-PL"/>
        </w:rPr>
      </w:pPr>
      <w:r w:rsidRPr="00BD22FE">
        <w:rPr>
          <w:b/>
          <w:sz w:val="22"/>
          <w:szCs w:val="22"/>
          <w:lang w:val="pl-PL"/>
        </w:rPr>
        <w:t>15.</w:t>
      </w:r>
      <w:r w:rsidRPr="00BD22FE">
        <w:rPr>
          <w:b/>
          <w:sz w:val="22"/>
          <w:szCs w:val="22"/>
          <w:lang w:val="pl-PL"/>
        </w:rPr>
        <w:tab/>
      </w:r>
      <w:r w:rsidR="00104CA8" w:rsidRPr="00BD22FE">
        <w:rPr>
          <w:b/>
          <w:sz w:val="22"/>
          <w:szCs w:val="22"/>
          <w:lang w:val="pl-PL"/>
        </w:rPr>
        <w:t>INSTRUKCJA UŻYCIA</w:t>
      </w:r>
    </w:p>
    <w:p w14:paraId="4FB74E5C" w14:textId="77777777" w:rsidR="000016E2" w:rsidRPr="00BD22FE" w:rsidRDefault="000016E2" w:rsidP="00F2396D">
      <w:pPr>
        <w:keepNext/>
        <w:jc w:val="both"/>
        <w:rPr>
          <w:sz w:val="22"/>
          <w:szCs w:val="22"/>
          <w:lang w:val="pl-PL"/>
        </w:rPr>
      </w:pPr>
    </w:p>
    <w:p w14:paraId="4645FFDB" w14:textId="77777777" w:rsidR="000016E2" w:rsidRPr="00BD22FE" w:rsidRDefault="000016E2" w:rsidP="00941FBF">
      <w:pPr>
        <w:jc w:val="both"/>
        <w:rPr>
          <w:sz w:val="22"/>
          <w:szCs w:val="22"/>
          <w:lang w:val="pl-PL"/>
        </w:rPr>
      </w:pPr>
    </w:p>
    <w:p w14:paraId="067545A3" w14:textId="5B1293B6" w:rsidR="000016E2" w:rsidRPr="00BD22FE" w:rsidRDefault="00104CA8" w:rsidP="00F2396D">
      <w:pPr>
        <w:keepNext/>
        <w:pBdr>
          <w:top w:val="single" w:sz="4" w:space="1" w:color="auto"/>
          <w:left w:val="single" w:sz="4" w:space="4" w:color="auto"/>
          <w:bottom w:val="single" w:sz="4" w:space="1" w:color="auto"/>
          <w:right w:val="single" w:sz="4" w:space="4" w:color="auto"/>
        </w:pBdr>
        <w:ind w:left="567" w:hanging="567"/>
        <w:rPr>
          <w:b/>
          <w:sz w:val="22"/>
          <w:szCs w:val="22"/>
          <w:lang w:val="pl-PL"/>
        </w:rPr>
      </w:pPr>
      <w:r w:rsidRPr="00BD22FE">
        <w:rPr>
          <w:b/>
          <w:sz w:val="22"/>
          <w:szCs w:val="22"/>
          <w:lang w:val="pl-PL"/>
        </w:rPr>
        <w:t>16.</w:t>
      </w:r>
      <w:r w:rsidRPr="00BD22FE">
        <w:rPr>
          <w:b/>
          <w:sz w:val="22"/>
          <w:szCs w:val="22"/>
          <w:lang w:val="pl-PL"/>
        </w:rPr>
        <w:tab/>
        <w:t>INFORMACJA PODANA SYSTEMEM BRAILLE’A</w:t>
      </w:r>
    </w:p>
    <w:p w14:paraId="5BFD1FDB" w14:textId="72B9A11A" w:rsidR="000016E2" w:rsidRPr="00BD22FE" w:rsidRDefault="000016E2" w:rsidP="00F2396D">
      <w:pPr>
        <w:keepNext/>
        <w:jc w:val="both"/>
        <w:rPr>
          <w:sz w:val="22"/>
          <w:szCs w:val="22"/>
          <w:lang w:val="pl-PL"/>
        </w:rPr>
      </w:pPr>
    </w:p>
    <w:p w14:paraId="18BC03C1" w14:textId="77777777" w:rsidR="000016E2" w:rsidRPr="00BD22FE" w:rsidRDefault="00104CA8" w:rsidP="00941FBF">
      <w:pPr>
        <w:rPr>
          <w:sz w:val="22"/>
          <w:szCs w:val="22"/>
          <w:lang w:val="pl-PL"/>
        </w:rPr>
      </w:pPr>
      <w:r w:rsidRPr="00BD22FE">
        <w:rPr>
          <w:sz w:val="22"/>
          <w:szCs w:val="22"/>
          <w:lang w:val="pl-PL"/>
        </w:rPr>
        <w:t>MicardisPlus 80 mg/25 mg</w:t>
      </w:r>
    </w:p>
    <w:p w14:paraId="7FE8CBDD" w14:textId="5666698A" w:rsidR="000016E2" w:rsidRPr="00BD22FE" w:rsidRDefault="000016E2" w:rsidP="00941FBF">
      <w:pPr>
        <w:ind w:left="540" w:hanging="540"/>
        <w:rPr>
          <w:sz w:val="22"/>
          <w:szCs w:val="22"/>
          <w:lang w:val="pl-PL"/>
        </w:rPr>
      </w:pPr>
    </w:p>
    <w:p w14:paraId="20E1EBCD" w14:textId="77777777" w:rsidR="000016E2" w:rsidRPr="00BD22FE" w:rsidRDefault="000016E2" w:rsidP="00941FBF">
      <w:pPr>
        <w:jc w:val="both"/>
        <w:rPr>
          <w:sz w:val="22"/>
          <w:szCs w:val="22"/>
          <w:lang w:val="pl-PL"/>
        </w:rPr>
      </w:pPr>
    </w:p>
    <w:p w14:paraId="161FDD89" w14:textId="23B96C64" w:rsidR="000016E2" w:rsidRPr="00BD22FE" w:rsidRDefault="00F2396D" w:rsidP="00F2396D">
      <w:pPr>
        <w:keepNext/>
        <w:pBdr>
          <w:top w:val="single" w:sz="4" w:space="1" w:color="auto"/>
          <w:left w:val="single" w:sz="4" w:space="4" w:color="auto"/>
          <w:bottom w:val="single" w:sz="4" w:space="1" w:color="auto"/>
          <w:right w:val="single" w:sz="4" w:space="4" w:color="auto"/>
        </w:pBdr>
        <w:ind w:left="567" w:hanging="567"/>
        <w:rPr>
          <w:b/>
          <w:sz w:val="22"/>
          <w:szCs w:val="22"/>
          <w:lang w:val="pl-PL"/>
        </w:rPr>
      </w:pPr>
      <w:r w:rsidRPr="00BD22FE">
        <w:rPr>
          <w:b/>
          <w:sz w:val="22"/>
          <w:szCs w:val="22"/>
          <w:lang w:val="pl-PL"/>
        </w:rPr>
        <w:t>17.</w:t>
      </w:r>
      <w:r w:rsidR="00104CA8" w:rsidRPr="00BD22FE">
        <w:rPr>
          <w:b/>
          <w:sz w:val="22"/>
          <w:szCs w:val="22"/>
          <w:lang w:val="pl-PL"/>
        </w:rPr>
        <w:tab/>
        <w:t>NIEPOWTARZALNY IDENTYFIKATOR – KOD 2D</w:t>
      </w:r>
    </w:p>
    <w:p w14:paraId="5F827DE0" w14:textId="77777777" w:rsidR="000016E2" w:rsidRPr="00BD22FE" w:rsidRDefault="000016E2" w:rsidP="00941FBF">
      <w:pPr>
        <w:keepNext/>
        <w:jc w:val="both"/>
        <w:rPr>
          <w:sz w:val="22"/>
          <w:szCs w:val="22"/>
          <w:lang w:val="pl-PL"/>
        </w:rPr>
      </w:pPr>
    </w:p>
    <w:p w14:paraId="2C23E18E" w14:textId="77777777" w:rsidR="000016E2" w:rsidRPr="00BD22FE" w:rsidRDefault="00104CA8" w:rsidP="00941FBF">
      <w:pPr>
        <w:jc w:val="both"/>
        <w:rPr>
          <w:sz w:val="22"/>
          <w:szCs w:val="22"/>
          <w:lang w:val="pl-PL"/>
        </w:rPr>
      </w:pPr>
      <w:r w:rsidRPr="00BD22FE">
        <w:rPr>
          <w:sz w:val="22"/>
          <w:highlight w:val="lightGray"/>
          <w:lang w:val="pl-PL"/>
        </w:rPr>
        <w:t>Obejmuje kod 2D będący nośnikiem niepowtarzalnego identyfikatora.</w:t>
      </w:r>
    </w:p>
    <w:p w14:paraId="7790BCA1" w14:textId="77777777" w:rsidR="000016E2" w:rsidRPr="00BD22FE" w:rsidRDefault="000016E2" w:rsidP="00941FBF">
      <w:pPr>
        <w:jc w:val="both"/>
        <w:rPr>
          <w:sz w:val="22"/>
          <w:szCs w:val="22"/>
          <w:lang w:val="pl-PL"/>
        </w:rPr>
      </w:pPr>
    </w:p>
    <w:p w14:paraId="06A16799" w14:textId="77777777" w:rsidR="000016E2" w:rsidRPr="00BD22FE" w:rsidRDefault="000016E2" w:rsidP="00941FBF">
      <w:pPr>
        <w:jc w:val="both"/>
        <w:rPr>
          <w:sz w:val="22"/>
          <w:szCs w:val="22"/>
          <w:lang w:val="pl-PL"/>
        </w:rPr>
      </w:pPr>
    </w:p>
    <w:p w14:paraId="79101CD7" w14:textId="31EBC028" w:rsidR="000016E2" w:rsidRPr="00BD22FE" w:rsidRDefault="00104CA8" w:rsidP="00F2396D">
      <w:pPr>
        <w:keepNext/>
        <w:pBdr>
          <w:top w:val="single" w:sz="4" w:space="1" w:color="auto"/>
          <w:left w:val="single" w:sz="4" w:space="4" w:color="auto"/>
          <w:bottom w:val="single" w:sz="4" w:space="1" w:color="auto"/>
          <w:right w:val="single" w:sz="4" w:space="4" w:color="auto"/>
        </w:pBdr>
        <w:ind w:left="567" w:hanging="567"/>
        <w:rPr>
          <w:b/>
          <w:sz w:val="22"/>
          <w:szCs w:val="22"/>
          <w:lang w:val="pl-PL"/>
        </w:rPr>
      </w:pPr>
      <w:r w:rsidRPr="00BD22FE">
        <w:rPr>
          <w:b/>
          <w:sz w:val="22"/>
          <w:szCs w:val="22"/>
          <w:lang w:val="pl-PL"/>
        </w:rPr>
        <w:lastRenderedPageBreak/>
        <w:t>18.</w:t>
      </w:r>
      <w:r w:rsidRPr="00BD22FE">
        <w:rPr>
          <w:b/>
          <w:sz w:val="22"/>
          <w:szCs w:val="22"/>
          <w:lang w:val="pl-PL"/>
        </w:rPr>
        <w:tab/>
        <w:t>NIEPOWTARZALNY IDENTYFIKATOR – DANE CZYTELNE DLA CZŁOWIEKA</w:t>
      </w:r>
    </w:p>
    <w:p w14:paraId="7A2F5026" w14:textId="77777777" w:rsidR="000016E2" w:rsidRPr="00BD22FE" w:rsidRDefault="000016E2" w:rsidP="00941FBF">
      <w:pPr>
        <w:keepNext/>
        <w:jc w:val="both"/>
        <w:rPr>
          <w:sz w:val="22"/>
          <w:szCs w:val="22"/>
          <w:lang w:val="pl-PL"/>
        </w:rPr>
      </w:pPr>
    </w:p>
    <w:p w14:paraId="0422BF50" w14:textId="3C377D06" w:rsidR="000016E2" w:rsidRPr="00BD22FE" w:rsidRDefault="00104CA8" w:rsidP="00941FBF">
      <w:pPr>
        <w:keepNext/>
        <w:rPr>
          <w:sz w:val="22"/>
          <w:szCs w:val="22"/>
          <w:lang w:val="pl-PL"/>
        </w:rPr>
      </w:pPr>
      <w:r w:rsidRPr="00BD22FE">
        <w:rPr>
          <w:sz w:val="22"/>
          <w:szCs w:val="22"/>
          <w:lang w:val="pl-PL"/>
        </w:rPr>
        <w:t>PC</w:t>
      </w:r>
    </w:p>
    <w:p w14:paraId="44121D21" w14:textId="37C41563" w:rsidR="000016E2" w:rsidRPr="00BD22FE" w:rsidRDefault="00104CA8" w:rsidP="00941FBF">
      <w:pPr>
        <w:keepNext/>
        <w:rPr>
          <w:sz w:val="22"/>
          <w:szCs w:val="22"/>
          <w:lang w:val="pl-PL"/>
        </w:rPr>
      </w:pPr>
      <w:r w:rsidRPr="00BD22FE">
        <w:rPr>
          <w:sz w:val="22"/>
          <w:szCs w:val="22"/>
          <w:lang w:val="pl-PL"/>
        </w:rPr>
        <w:t>SN</w:t>
      </w:r>
    </w:p>
    <w:p w14:paraId="05F45641" w14:textId="48CC1372" w:rsidR="000016E2" w:rsidRPr="00BD22FE" w:rsidRDefault="00104CA8" w:rsidP="00941FBF">
      <w:pPr>
        <w:rPr>
          <w:sz w:val="22"/>
          <w:szCs w:val="22"/>
          <w:lang w:val="pl-PL"/>
        </w:rPr>
      </w:pPr>
      <w:r w:rsidRPr="00BD22FE">
        <w:rPr>
          <w:sz w:val="22"/>
          <w:szCs w:val="22"/>
          <w:highlight w:val="lightGray"/>
          <w:lang w:val="pl-PL"/>
        </w:rPr>
        <w:t>NN</w:t>
      </w:r>
    </w:p>
    <w:p w14:paraId="099DB83C" w14:textId="77777777" w:rsidR="000016E2" w:rsidRPr="00BD22FE" w:rsidRDefault="000016E2" w:rsidP="00941FBF">
      <w:pPr>
        <w:rPr>
          <w:sz w:val="22"/>
          <w:szCs w:val="22"/>
          <w:lang w:val="pl-PL"/>
        </w:rPr>
      </w:pPr>
    </w:p>
    <w:p w14:paraId="6F9E7797" w14:textId="77777777" w:rsidR="000016E2" w:rsidRPr="00BD22FE" w:rsidRDefault="00104CA8" w:rsidP="00941FBF">
      <w:pPr>
        <w:rPr>
          <w:sz w:val="22"/>
          <w:szCs w:val="22"/>
          <w:lang w:val="pl-PL"/>
        </w:rPr>
      </w:pPr>
      <w:r w:rsidRPr="00BD22FE">
        <w:rPr>
          <w:sz w:val="22"/>
          <w:szCs w:val="22"/>
          <w:lang w:val="pl-PL"/>
        </w:rPr>
        <w:br w:type="page"/>
      </w:r>
    </w:p>
    <w:p w14:paraId="2D5ED7CA" w14:textId="77777777" w:rsidR="000016E2" w:rsidRPr="00BD22FE" w:rsidRDefault="00104CA8" w:rsidP="00941FBF">
      <w:pPr>
        <w:pBdr>
          <w:top w:val="single" w:sz="4" w:space="1" w:color="auto"/>
          <w:left w:val="single" w:sz="4" w:space="6" w:color="auto"/>
          <w:bottom w:val="single" w:sz="4" w:space="1" w:color="auto"/>
          <w:right w:val="single" w:sz="4" w:space="4" w:color="auto"/>
        </w:pBdr>
        <w:rPr>
          <w:b/>
          <w:sz w:val="22"/>
          <w:szCs w:val="22"/>
          <w:lang w:val="pl-PL"/>
        </w:rPr>
      </w:pPr>
      <w:r w:rsidRPr="00BD22FE">
        <w:rPr>
          <w:b/>
          <w:sz w:val="22"/>
          <w:szCs w:val="22"/>
          <w:lang w:val="pl-PL"/>
        </w:rPr>
        <w:lastRenderedPageBreak/>
        <w:t>MINIMUM INFORMACJI ZAMIESZCZANYCH NA BLISTRACH LUB OPAKOWANIACH FOLIOWYCH</w:t>
      </w:r>
    </w:p>
    <w:p w14:paraId="2A893B92" w14:textId="77777777" w:rsidR="000016E2" w:rsidRPr="00BD22FE" w:rsidRDefault="000016E2" w:rsidP="00941FBF">
      <w:pPr>
        <w:pBdr>
          <w:top w:val="single" w:sz="4" w:space="1" w:color="auto"/>
          <w:left w:val="single" w:sz="4" w:space="6" w:color="auto"/>
          <w:bottom w:val="single" w:sz="4" w:space="1" w:color="auto"/>
          <w:right w:val="single" w:sz="4" w:space="4" w:color="auto"/>
        </w:pBdr>
        <w:rPr>
          <w:sz w:val="22"/>
          <w:szCs w:val="22"/>
          <w:lang w:val="pl-PL"/>
        </w:rPr>
      </w:pPr>
    </w:p>
    <w:p w14:paraId="6DBF2C0C" w14:textId="678497DB" w:rsidR="000016E2" w:rsidRPr="00BD22FE" w:rsidRDefault="00104CA8" w:rsidP="00941FBF">
      <w:pPr>
        <w:pBdr>
          <w:top w:val="single" w:sz="4" w:space="1" w:color="auto"/>
          <w:left w:val="single" w:sz="4" w:space="6" w:color="auto"/>
          <w:bottom w:val="single" w:sz="4" w:space="1" w:color="auto"/>
          <w:right w:val="single" w:sz="4" w:space="4" w:color="auto"/>
        </w:pBdr>
        <w:rPr>
          <w:b/>
          <w:bCs/>
          <w:sz w:val="22"/>
          <w:szCs w:val="22"/>
          <w:lang w:val="pl-PL"/>
        </w:rPr>
      </w:pPr>
      <w:r w:rsidRPr="00BD22FE">
        <w:rPr>
          <w:b/>
          <w:bCs/>
          <w:sz w:val="22"/>
          <w:szCs w:val="22"/>
          <w:lang w:val="pl-PL"/>
        </w:rPr>
        <w:t>Blister z</w:t>
      </w:r>
      <w:r w:rsidR="00717A7B" w:rsidRPr="00BD22FE">
        <w:rPr>
          <w:b/>
          <w:bCs/>
          <w:sz w:val="22"/>
          <w:szCs w:val="22"/>
          <w:lang w:val="pl-PL"/>
        </w:rPr>
        <w:t> </w:t>
      </w:r>
      <w:r w:rsidRPr="00BD22FE">
        <w:rPr>
          <w:b/>
          <w:bCs/>
          <w:sz w:val="22"/>
          <w:szCs w:val="22"/>
          <w:lang w:val="pl-PL"/>
        </w:rPr>
        <w:t>7 tabletkami</w:t>
      </w:r>
    </w:p>
    <w:p w14:paraId="5A09CAA9" w14:textId="77777777" w:rsidR="000016E2" w:rsidRPr="00BD22FE" w:rsidRDefault="000016E2" w:rsidP="00941FBF">
      <w:pPr>
        <w:jc w:val="both"/>
        <w:rPr>
          <w:sz w:val="22"/>
          <w:szCs w:val="22"/>
          <w:lang w:val="pl-PL"/>
        </w:rPr>
      </w:pPr>
    </w:p>
    <w:p w14:paraId="44B08A70" w14:textId="77777777" w:rsidR="000016E2" w:rsidRPr="00BD22FE" w:rsidRDefault="000016E2" w:rsidP="00941FBF">
      <w:pPr>
        <w:jc w:val="both"/>
        <w:rPr>
          <w:sz w:val="22"/>
          <w:szCs w:val="22"/>
          <w:lang w:val="pl-PL"/>
        </w:rPr>
      </w:pPr>
    </w:p>
    <w:p w14:paraId="43BBCABF" w14:textId="3493383A" w:rsidR="000016E2" w:rsidRPr="00BD22FE" w:rsidRDefault="00441C00" w:rsidP="00441C00">
      <w:pPr>
        <w:keepNext/>
        <w:pBdr>
          <w:top w:val="single" w:sz="4" w:space="1" w:color="auto"/>
          <w:left w:val="single" w:sz="4" w:space="4" w:color="auto"/>
          <w:bottom w:val="single" w:sz="4" w:space="1" w:color="auto"/>
          <w:right w:val="single" w:sz="4" w:space="4" w:color="auto"/>
        </w:pBdr>
        <w:ind w:left="567" w:hanging="567"/>
        <w:rPr>
          <w:b/>
          <w:sz w:val="22"/>
          <w:szCs w:val="22"/>
          <w:lang w:val="pl-PL"/>
        </w:rPr>
      </w:pPr>
      <w:r w:rsidRPr="00BD22FE">
        <w:rPr>
          <w:b/>
          <w:sz w:val="22"/>
          <w:szCs w:val="22"/>
          <w:lang w:val="pl-PL"/>
        </w:rPr>
        <w:t>1.</w:t>
      </w:r>
      <w:r w:rsidR="00104CA8" w:rsidRPr="00BD22FE">
        <w:rPr>
          <w:b/>
          <w:sz w:val="22"/>
          <w:szCs w:val="22"/>
          <w:lang w:val="pl-PL"/>
        </w:rPr>
        <w:tab/>
        <w:t>NAZWA PRODUKTU LECZNICZEGO</w:t>
      </w:r>
    </w:p>
    <w:p w14:paraId="165DD5FC" w14:textId="77777777" w:rsidR="000016E2" w:rsidRPr="00BD22FE" w:rsidRDefault="000016E2" w:rsidP="00441C00">
      <w:pPr>
        <w:keepNext/>
        <w:jc w:val="both"/>
        <w:rPr>
          <w:sz w:val="22"/>
          <w:szCs w:val="22"/>
          <w:lang w:val="pl-PL"/>
        </w:rPr>
      </w:pPr>
    </w:p>
    <w:p w14:paraId="28E6DACC" w14:textId="77777777" w:rsidR="000016E2" w:rsidRPr="00BD22FE" w:rsidRDefault="00104CA8" w:rsidP="00941FBF">
      <w:pPr>
        <w:rPr>
          <w:sz w:val="22"/>
          <w:szCs w:val="22"/>
          <w:lang w:val="pl-PL"/>
        </w:rPr>
      </w:pPr>
      <w:r w:rsidRPr="00BD22FE">
        <w:rPr>
          <w:sz w:val="22"/>
          <w:szCs w:val="22"/>
          <w:lang w:val="pl-PL"/>
        </w:rPr>
        <w:t>MicardisPlus 80 mg/25 mg tabletki</w:t>
      </w:r>
    </w:p>
    <w:p w14:paraId="3B648B11" w14:textId="77777777" w:rsidR="000016E2" w:rsidRPr="00BD22FE" w:rsidRDefault="00104CA8" w:rsidP="00941FBF">
      <w:pPr>
        <w:jc w:val="both"/>
        <w:rPr>
          <w:sz w:val="22"/>
          <w:szCs w:val="22"/>
          <w:lang w:val="pl-PL"/>
        </w:rPr>
      </w:pPr>
      <w:r w:rsidRPr="00BD22FE">
        <w:rPr>
          <w:sz w:val="22"/>
          <w:szCs w:val="22"/>
          <w:lang w:val="pl-PL"/>
        </w:rPr>
        <w:t>telmisartan/hydrochlorotiazyd</w:t>
      </w:r>
    </w:p>
    <w:p w14:paraId="1B37E58B" w14:textId="77777777" w:rsidR="000016E2" w:rsidRPr="00BD22FE" w:rsidRDefault="000016E2" w:rsidP="00941FBF">
      <w:pPr>
        <w:jc w:val="both"/>
        <w:rPr>
          <w:sz w:val="22"/>
          <w:szCs w:val="22"/>
          <w:lang w:val="pl-PL"/>
        </w:rPr>
      </w:pPr>
    </w:p>
    <w:p w14:paraId="4A6DBB38" w14:textId="77777777" w:rsidR="000016E2" w:rsidRPr="00BD22FE" w:rsidRDefault="000016E2" w:rsidP="00941FBF">
      <w:pPr>
        <w:jc w:val="both"/>
        <w:rPr>
          <w:sz w:val="22"/>
          <w:szCs w:val="22"/>
          <w:lang w:val="pl-PL"/>
        </w:rPr>
      </w:pPr>
    </w:p>
    <w:p w14:paraId="6EB4363F" w14:textId="30D768EF" w:rsidR="000016E2" w:rsidRPr="00BD22FE" w:rsidRDefault="00441C00" w:rsidP="00441C00">
      <w:pPr>
        <w:keepNext/>
        <w:pBdr>
          <w:top w:val="single" w:sz="4" w:space="1" w:color="auto"/>
          <w:left w:val="single" w:sz="4" w:space="4" w:color="auto"/>
          <w:bottom w:val="single" w:sz="4" w:space="1" w:color="auto"/>
          <w:right w:val="single" w:sz="4" w:space="4" w:color="auto"/>
        </w:pBdr>
        <w:ind w:left="567" w:hanging="567"/>
        <w:rPr>
          <w:b/>
          <w:sz w:val="22"/>
          <w:szCs w:val="22"/>
          <w:lang w:val="pl-PL"/>
        </w:rPr>
      </w:pPr>
      <w:r w:rsidRPr="00BD22FE">
        <w:rPr>
          <w:b/>
          <w:sz w:val="22"/>
          <w:szCs w:val="22"/>
          <w:lang w:val="pl-PL"/>
        </w:rPr>
        <w:t>2.</w:t>
      </w:r>
      <w:r w:rsidR="00104CA8" w:rsidRPr="00BD22FE">
        <w:rPr>
          <w:b/>
          <w:sz w:val="22"/>
          <w:szCs w:val="22"/>
          <w:lang w:val="pl-PL"/>
        </w:rPr>
        <w:tab/>
        <w:t>NAZWA PODMIOTU ODPOWIEDZIALNEGO</w:t>
      </w:r>
    </w:p>
    <w:p w14:paraId="1292061A" w14:textId="77777777" w:rsidR="000016E2" w:rsidRPr="00BD22FE" w:rsidRDefault="000016E2" w:rsidP="00441C00">
      <w:pPr>
        <w:keepNext/>
        <w:jc w:val="both"/>
        <w:rPr>
          <w:sz w:val="22"/>
          <w:szCs w:val="22"/>
          <w:lang w:val="pl-PL"/>
        </w:rPr>
      </w:pPr>
    </w:p>
    <w:p w14:paraId="0700C6A0" w14:textId="77777777" w:rsidR="000016E2" w:rsidRPr="00BD22FE" w:rsidRDefault="00104CA8" w:rsidP="00941FBF">
      <w:pPr>
        <w:rPr>
          <w:sz w:val="22"/>
          <w:szCs w:val="22"/>
          <w:lang w:val="pl-PL"/>
        </w:rPr>
      </w:pPr>
      <w:r w:rsidRPr="00BD22FE">
        <w:rPr>
          <w:sz w:val="22"/>
          <w:szCs w:val="22"/>
          <w:lang w:val="pl-PL"/>
        </w:rPr>
        <w:t>Boehringer Ingelheim (</w:t>
      </w:r>
      <w:r w:rsidRPr="00BD22FE">
        <w:rPr>
          <w:sz w:val="22"/>
          <w:szCs w:val="22"/>
          <w:highlight w:val="lightGray"/>
          <w:lang w:val="pl-PL"/>
        </w:rPr>
        <w:t>Logo</w:t>
      </w:r>
      <w:r w:rsidRPr="00BD22FE">
        <w:rPr>
          <w:sz w:val="22"/>
          <w:szCs w:val="22"/>
          <w:lang w:val="pl-PL"/>
        </w:rPr>
        <w:t>)</w:t>
      </w:r>
    </w:p>
    <w:p w14:paraId="43D09DEC" w14:textId="77777777" w:rsidR="000016E2" w:rsidRPr="00BD22FE" w:rsidRDefault="000016E2" w:rsidP="00941FBF">
      <w:pPr>
        <w:jc w:val="both"/>
        <w:rPr>
          <w:sz w:val="22"/>
          <w:szCs w:val="22"/>
          <w:lang w:val="pl-PL"/>
        </w:rPr>
      </w:pPr>
    </w:p>
    <w:p w14:paraId="3547509C" w14:textId="77777777" w:rsidR="000016E2" w:rsidRPr="00BD22FE" w:rsidRDefault="000016E2" w:rsidP="00941FBF">
      <w:pPr>
        <w:jc w:val="both"/>
        <w:rPr>
          <w:sz w:val="22"/>
          <w:szCs w:val="22"/>
          <w:lang w:val="pl-PL"/>
        </w:rPr>
      </w:pPr>
    </w:p>
    <w:p w14:paraId="0BEC3D67" w14:textId="77777777" w:rsidR="000016E2" w:rsidRPr="00BD22FE" w:rsidRDefault="00104CA8" w:rsidP="00441C00">
      <w:pPr>
        <w:keepNext/>
        <w:pBdr>
          <w:top w:val="single" w:sz="4" w:space="1" w:color="auto"/>
          <w:left w:val="single" w:sz="4" w:space="4" w:color="auto"/>
          <w:bottom w:val="single" w:sz="4" w:space="1" w:color="auto"/>
          <w:right w:val="single" w:sz="4" w:space="4" w:color="auto"/>
        </w:pBdr>
        <w:ind w:left="567" w:hanging="567"/>
        <w:rPr>
          <w:b/>
          <w:sz w:val="22"/>
          <w:szCs w:val="22"/>
          <w:lang w:val="pl-PL"/>
        </w:rPr>
      </w:pPr>
      <w:r w:rsidRPr="00BD22FE">
        <w:rPr>
          <w:b/>
          <w:sz w:val="22"/>
          <w:szCs w:val="22"/>
          <w:lang w:val="pl-PL"/>
        </w:rPr>
        <w:t>3.</w:t>
      </w:r>
      <w:r w:rsidRPr="00BD22FE">
        <w:rPr>
          <w:b/>
          <w:sz w:val="22"/>
          <w:szCs w:val="22"/>
          <w:lang w:val="pl-PL"/>
        </w:rPr>
        <w:tab/>
        <w:t>TERMIN WAŻNOŚCI</w:t>
      </w:r>
    </w:p>
    <w:p w14:paraId="00FC4BE6" w14:textId="77777777" w:rsidR="000016E2" w:rsidRPr="00BD22FE" w:rsidRDefault="000016E2" w:rsidP="00441C00">
      <w:pPr>
        <w:keepNext/>
        <w:jc w:val="both"/>
        <w:rPr>
          <w:sz w:val="22"/>
          <w:szCs w:val="22"/>
          <w:lang w:val="pl-PL"/>
        </w:rPr>
      </w:pPr>
    </w:p>
    <w:p w14:paraId="69F861DC" w14:textId="39657450" w:rsidR="000016E2" w:rsidRPr="00BD22FE" w:rsidRDefault="00104CA8" w:rsidP="00941FBF">
      <w:pPr>
        <w:ind w:left="708" w:hanging="708"/>
        <w:rPr>
          <w:sz w:val="22"/>
          <w:szCs w:val="22"/>
          <w:lang w:val="pl-PL"/>
        </w:rPr>
      </w:pPr>
      <w:r w:rsidRPr="00BD22FE">
        <w:rPr>
          <w:sz w:val="22"/>
          <w:szCs w:val="22"/>
          <w:lang w:val="pl-PL"/>
        </w:rPr>
        <w:t>Termin ważności:</w:t>
      </w:r>
    </w:p>
    <w:p w14:paraId="78CF34AC" w14:textId="77777777" w:rsidR="000016E2" w:rsidRPr="00BD22FE" w:rsidRDefault="000016E2" w:rsidP="00941FBF">
      <w:pPr>
        <w:jc w:val="both"/>
        <w:rPr>
          <w:sz w:val="22"/>
          <w:szCs w:val="22"/>
          <w:lang w:val="pl-PL"/>
        </w:rPr>
      </w:pPr>
    </w:p>
    <w:p w14:paraId="4024AA8A" w14:textId="77777777" w:rsidR="000016E2" w:rsidRPr="00BD22FE" w:rsidRDefault="000016E2" w:rsidP="00941FBF">
      <w:pPr>
        <w:jc w:val="both"/>
        <w:rPr>
          <w:sz w:val="22"/>
          <w:szCs w:val="22"/>
          <w:lang w:val="pl-PL"/>
        </w:rPr>
      </w:pPr>
    </w:p>
    <w:p w14:paraId="59AF33F1" w14:textId="08198B0A" w:rsidR="000016E2" w:rsidRPr="00BD22FE" w:rsidRDefault="00104CA8" w:rsidP="00441C00">
      <w:pPr>
        <w:keepNext/>
        <w:pBdr>
          <w:top w:val="single" w:sz="4" w:space="1" w:color="auto"/>
          <w:left w:val="single" w:sz="4" w:space="4" w:color="auto"/>
          <w:bottom w:val="single" w:sz="4" w:space="1" w:color="auto"/>
          <w:right w:val="single" w:sz="4" w:space="4" w:color="auto"/>
        </w:pBdr>
        <w:ind w:left="567" w:hanging="567"/>
        <w:rPr>
          <w:b/>
          <w:sz w:val="22"/>
          <w:szCs w:val="22"/>
          <w:lang w:val="pl-PL"/>
        </w:rPr>
      </w:pPr>
      <w:r w:rsidRPr="00BD22FE">
        <w:rPr>
          <w:b/>
          <w:sz w:val="22"/>
          <w:szCs w:val="22"/>
          <w:lang w:val="pl-PL"/>
        </w:rPr>
        <w:t>4.</w:t>
      </w:r>
      <w:r w:rsidRPr="00BD22FE">
        <w:rPr>
          <w:b/>
          <w:sz w:val="22"/>
          <w:szCs w:val="22"/>
          <w:lang w:val="pl-PL"/>
        </w:rPr>
        <w:tab/>
        <w:t>NUMER SERII</w:t>
      </w:r>
    </w:p>
    <w:p w14:paraId="31688D27" w14:textId="77777777" w:rsidR="000016E2" w:rsidRPr="00BD22FE" w:rsidRDefault="000016E2" w:rsidP="00441C00">
      <w:pPr>
        <w:keepNext/>
        <w:jc w:val="both"/>
        <w:rPr>
          <w:sz w:val="22"/>
          <w:szCs w:val="22"/>
          <w:lang w:val="pl-PL"/>
        </w:rPr>
      </w:pPr>
    </w:p>
    <w:p w14:paraId="12FBDA87" w14:textId="52A5B438" w:rsidR="000016E2" w:rsidRPr="00BD22FE" w:rsidRDefault="00104CA8" w:rsidP="00941FBF">
      <w:pPr>
        <w:rPr>
          <w:sz w:val="22"/>
          <w:szCs w:val="22"/>
          <w:lang w:val="pl-PL"/>
        </w:rPr>
      </w:pPr>
      <w:r w:rsidRPr="00BD22FE">
        <w:rPr>
          <w:sz w:val="22"/>
          <w:szCs w:val="22"/>
          <w:lang w:val="pl-PL"/>
        </w:rPr>
        <w:t>Nr serii:</w:t>
      </w:r>
    </w:p>
    <w:p w14:paraId="62FB19D9" w14:textId="77777777" w:rsidR="000016E2" w:rsidRPr="00BD22FE" w:rsidRDefault="000016E2" w:rsidP="00941FBF">
      <w:pPr>
        <w:rPr>
          <w:sz w:val="22"/>
          <w:szCs w:val="22"/>
          <w:lang w:val="pl-PL"/>
        </w:rPr>
      </w:pPr>
    </w:p>
    <w:p w14:paraId="561B8B7F" w14:textId="77777777" w:rsidR="000016E2" w:rsidRPr="00BD22FE" w:rsidRDefault="000016E2" w:rsidP="00941FBF">
      <w:pPr>
        <w:rPr>
          <w:sz w:val="22"/>
          <w:szCs w:val="22"/>
          <w:lang w:val="pl-PL"/>
        </w:rPr>
      </w:pPr>
    </w:p>
    <w:p w14:paraId="79C37607" w14:textId="56F7C178" w:rsidR="000016E2" w:rsidRPr="00BD22FE" w:rsidRDefault="00104CA8" w:rsidP="00441C00">
      <w:pPr>
        <w:keepNext/>
        <w:pBdr>
          <w:top w:val="single" w:sz="4" w:space="1" w:color="auto"/>
          <w:left w:val="single" w:sz="4" w:space="4" w:color="auto"/>
          <w:bottom w:val="single" w:sz="4" w:space="1" w:color="auto"/>
          <w:right w:val="single" w:sz="4" w:space="4" w:color="auto"/>
        </w:pBdr>
        <w:ind w:left="567" w:hanging="567"/>
        <w:rPr>
          <w:b/>
          <w:sz w:val="22"/>
          <w:szCs w:val="22"/>
          <w:lang w:val="pl-PL"/>
        </w:rPr>
      </w:pPr>
      <w:r w:rsidRPr="00BD22FE">
        <w:rPr>
          <w:b/>
          <w:sz w:val="22"/>
          <w:szCs w:val="22"/>
          <w:lang w:val="pl-PL"/>
        </w:rPr>
        <w:t>5.</w:t>
      </w:r>
      <w:r w:rsidRPr="00BD22FE">
        <w:rPr>
          <w:b/>
          <w:sz w:val="22"/>
          <w:szCs w:val="22"/>
          <w:lang w:val="pl-PL"/>
        </w:rPr>
        <w:tab/>
        <w:t>INNE</w:t>
      </w:r>
    </w:p>
    <w:p w14:paraId="5A93E426" w14:textId="77777777" w:rsidR="000016E2" w:rsidRPr="00BD22FE" w:rsidRDefault="000016E2" w:rsidP="00441C00">
      <w:pPr>
        <w:keepNext/>
        <w:rPr>
          <w:sz w:val="22"/>
          <w:szCs w:val="22"/>
          <w:lang w:val="pl-PL"/>
        </w:rPr>
      </w:pPr>
    </w:p>
    <w:p w14:paraId="1F965955" w14:textId="77777777" w:rsidR="000016E2" w:rsidRPr="00BD22FE" w:rsidRDefault="00104CA8" w:rsidP="00941FBF">
      <w:pPr>
        <w:rPr>
          <w:sz w:val="22"/>
          <w:szCs w:val="22"/>
          <w:lang w:val="pl-PL"/>
        </w:rPr>
      </w:pPr>
      <w:r w:rsidRPr="00BD22FE">
        <w:rPr>
          <w:sz w:val="22"/>
          <w:szCs w:val="22"/>
          <w:lang w:val="pl-PL"/>
        </w:rPr>
        <w:t>PN</w:t>
      </w:r>
    </w:p>
    <w:p w14:paraId="65EDE187" w14:textId="77777777" w:rsidR="000016E2" w:rsidRPr="00BD22FE" w:rsidRDefault="00104CA8" w:rsidP="00941FBF">
      <w:pPr>
        <w:rPr>
          <w:sz w:val="22"/>
          <w:szCs w:val="22"/>
          <w:lang w:val="pl-PL"/>
        </w:rPr>
      </w:pPr>
      <w:r w:rsidRPr="00BD22FE">
        <w:rPr>
          <w:sz w:val="22"/>
          <w:szCs w:val="22"/>
          <w:lang w:val="pl-PL"/>
        </w:rPr>
        <w:t>WT</w:t>
      </w:r>
    </w:p>
    <w:p w14:paraId="71F1D51A" w14:textId="77777777" w:rsidR="000016E2" w:rsidRPr="00BD22FE" w:rsidRDefault="00104CA8" w:rsidP="00941FBF">
      <w:pPr>
        <w:rPr>
          <w:sz w:val="22"/>
          <w:szCs w:val="22"/>
          <w:lang w:val="pl-PL"/>
        </w:rPr>
      </w:pPr>
      <w:r w:rsidRPr="00BD22FE">
        <w:rPr>
          <w:sz w:val="22"/>
          <w:szCs w:val="22"/>
          <w:lang w:val="pl-PL"/>
        </w:rPr>
        <w:t>ŚR</w:t>
      </w:r>
    </w:p>
    <w:p w14:paraId="65893736" w14:textId="77777777" w:rsidR="000016E2" w:rsidRPr="00BD22FE" w:rsidRDefault="00104CA8" w:rsidP="00941FBF">
      <w:pPr>
        <w:rPr>
          <w:sz w:val="22"/>
          <w:szCs w:val="22"/>
          <w:lang w:val="pl-PL"/>
        </w:rPr>
      </w:pPr>
      <w:r w:rsidRPr="00BD22FE">
        <w:rPr>
          <w:sz w:val="22"/>
          <w:szCs w:val="22"/>
          <w:lang w:val="pl-PL"/>
        </w:rPr>
        <w:t>CZ</w:t>
      </w:r>
    </w:p>
    <w:p w14:paraId="5C17FAB1" w14:textId="77777777" w:rsidR="000016E2" w:rsidRPr="00BD22FE" w:rsidRDefault="00104CA8" w:rsidP="00941FBF">
      <w:pPr>
        <w:rPr>
          <w:sz w:val="22"/>
          <w:szCs w:val="22"/>
          <w:lang w:val="pl-PL"/>
        </w:rPr>
      </w:pPr>
      <w:r w:rsidRPr="00BD22FE">
        <w:rPr>
          <w:sz w:val="22"/>
          <w:szCs w:val="22"/>
          <w:lang w:val="pl-PL"/>
        </w:rPr>
        <w:t>PT</w:t>
      </w:r>
    </w:p>
    <w:p w14:paraId="1EF93D9B" w14:textId="77777777" w:rsidR="000016E2" w:rsidRPr="00BD22FE" w:rsidRDefault="00104CA8" w:rsidP="00941FBF">
      <w:pPr>
        <w:rPr>
          <w:sz w:val="22"/>
          <w:szCs w:val="22"/>
          <w:lang w:val="pl-PL"/>
        </w:rPr>
      </w:pPr>
      <w:r w:rsidRPr="00BD22FE">
        <w:rPr>
          <w:sz w:val="22"/>
          <w:szCs w:val="22"/>
          <w:lang w:val="pl-PL"/>
        </w:rPr>
        <w:t>SO</w:t>
      </w:r>
    </w:p>
    <w:p w14:paraId="5ABD2CF6" w14:textId="77777777" w:rsidR="000016E2" w:rsidRPr="00BD22FE" w:rsidRDefault="00104CA8" w:rsidP="00941FBF">
      <w:pPr>
        <w:rPr>
          <w:sz w:val="22"/>
          <w:szCs w:val="22"/>
          <w:lang w:val="pl-PL"/>
        </w:rPr>
      </w:pPr>
      <w:r w:rsidRPr="00BD22FE">
        <w:rPr>
          <w:sz w:val="22"/>
          <w:szCs w:val="22"/>
          <w:lang w:val="pl-PL"/>
        </w:rPr>
        <w:t>ND</w:t>
      </w:r>
    </w:p>
    <w:p w14:paraId="2672C86A" w14:textId="77777777" w:rsidR="000016E2" w:rsidRPr="00BD22FE" w:rsidRDefault="000016E2" w:rsidP="00941FBF">
      <w:pPr>
        <w:jc w:val="both"/>
        <w:rPr>
          <w:sz w:val="22"/>
          <w:szCs w:val="22"/>
          <w:lang w:val="pl-PL"/>
        </w:rPr>
      </w:pPr>
    </w:p>
    <w:p w14:paraId="1C7F4554" w14:textId="77777777" w:rsidR="000016E2" w:rsidRPr="00BD22FE" w:rsidRDefault="00104CA8" w:rsidP="00941FBF">
      <w:pPr>
        <w:jc w:val="both"/>
        <w:rPr>
          <w:sz w:val="22"/>
          <w:szCs w:val="22"/>
          <w:lang w:val="pl-PL"/>
        </w:rPr>
      </w:pPr>
      <w:r w:rsidRPr="00BD22FE">
        <w:rPr>
          <w:sz w:val="22"/>
          <w:szCs w:val="22"/>
          <w:lang w:val="pl-PL"/>
        </w:rPr>
        <w:br w:type="page"/>
      </w:r>
    </w:p>
    <w:p w14:paraId="5993718B" w14:textId="77777777" w:rsidR="000016E2" w:rsidRPr="00BD22FE" w:rsidRDefault="00104CA8" w:rsidP="002410FF">
      <w:pPr>
        <w:pBdr>
          <w:top w:val="single" w:sz="4" w:space="1" w:color="auto"/>
          <w:left w:val="single" w:sz="4" w:space="4" w:color="auto"/>
          <w:bottom w:val="single" w:sz="4" w:space="1" w:color="auto"/>
          <w:right w:val="single" w:sz="4" w:space="4" w:color="auto"/>
        </w:pBdr>
        <w:rPr>
          <w:b/>
          <w:sz w:val="22"/>
          <w:szCs w:val="22"/>
          <w:lang w:val="pl-PL"/>
        </w:rPr>
      </w:pPr>
      <w:r w:rsidRPr="00BD22FE">
        <w:rPr>
          <w:b/>
          <w:sz w:val="22"/>
          <w:szCs w:val="22"/>
          <w:lang w:val="pl-PL"/>
        </w:rPr>
        <w:lastRenderedPageBreak/>
        <w:t>MINIMUM INFORMACJI ZAMIESZCZANYCH NA BLISTRACH LUB OPAKOWANIACH FOLIOWYCH</w:t>
      </w:r>
    </w:p>
    <w:p w14:paraId="0877CD06" w14:textId="77777777" w:rsidR="000016E2" w:rsidRPr="00BD22FE" w:rsidRDefault="000016E2" w:rsidP="002410FF">
      <w:pPr>
        <w:pBdr>
          <w:top w:val="single" w:sz="4" w:space="1" w:color="auto"/>
          <w:left w:val="single" w:sz="4" w:space="4" w:color="auto"/>
          <w:bottom w:val="single" w:sz="4" w:space="1" w:color="auto"/>
          <w:right w:val="single" w:sz="4" w:space="4" w:color="auto"/>
        </w:pBdr>
        <w:rPr>
          <w:sz w:val="22"/>
          <w:szCs w:val="22"/>
          <w:lang w:val="pl-PL"/>
        </w:rPr>
      </w:pPr>
    </w:p>
    <w:p w14:paraId="77010564" w14:textId="119B0EAA" w:rsidR="000016E2" w:rsidRPr="00BD22FE" w:rsidRDefault="00104CA8" w:rsidP="002410FF">
      <w:pPr>
        <w:pBdr>
          <w:top w:val="single" w:sz="4" w:space="1" w:color="auto"/>
          <w:left w:val="single" w:sz="4" w:space="4" w:color="auto"/>
          <w:bottom w:val="single" w:sz="4" w:space="1" w:color="auto"/>
          <w:right w:val="single" w:sz="4" w:space="4" w:color="auto"/>
        </w:pBdr>
        <w:rPr>
          <w:b/>
          <w:bCs/>
          <w:sz w:val="22"/>
          <w:szCs w:val="22"/>
          <w:lang w:val="pl-PL"/>
        </w:rPr>
      </w:pPr>
      <w:r w:rsidRPr="00BD22FE">
        <w:rPr>
          <w:b/>
          <w:bCs/>
          <w:sz w:val="22"/>
          <w:szCs w:val="22"/>
          <w:lang w:val="pl-PL"/>
        </w:rPr>
        <w:t>Blister podzielny na dawki pojedyncze zawierający 7 lub 10</w:t>
      </w:r>
      <w:r w:rsidR="00C15D43" w:rsidRPr="00BD22FE">
        <w:rPr>
          <w:b/>
          <w:bCs/>
          <w:sz w:val="22"/>
          <w:szCs w:val="22"/>
          <w:lang w:val="pl-PL"/>
        </w:rPr>
        <w:noBreakHyphen/>
      </w:r>
      <w:r w:rsidRPr="00BD22FE">
        <w:rPr>
          <w:b/>
          <w:bCs/>
          <w:sz w:val="22"/>
          <w:szCs w:val="22"/>
          <w:lang w:val="pl-PL"/>
        </w:rPr>
        <w:t>krotność lub blister zawierający inną liczbę tabletek niż 7</w:t>
      </w:r>
    </w:p>
    <w:p w14:paraId="7D38BF97" w14:textId="77777777" w:rsidR="000016E2" w:rsidRPr="00BD22FE" w:rsidRDefault="000016E2" w:rsidP="00941FBF">
      <w:pPr>
        <w:rPr>
          <w:sz w:val="22"/>
          <w:szCs w:val="22"/>
          <w:lang w:val="pl-PL"/>
        </w:rPr>
      </w:pPr>
    </w:p>
    <w:p w14:paraId="051B0436" w14:textId="77777777" w:rsidR="000016E2" w:rsidRPr="00BD22FE" w:rsidRDefault="000016E2" w:rsidP="00941FBF">
      <w:pPr>
        <w:rPr>
          <w:sz w:val="22"/>
          <w:szCs w:val="22"/>
          <w:lang w:val="pl-PL"/>
        </w:rPr>
      </w:pPr>
    </w:p>
    <w:p w14:paraId="787D44EF" w14:textId="77777777" w:rsidR="000016E2" w:rsidRPr="00BD22FE" w:rsidRDefault="00104CA8" w:rsidP="002410FF">
      <w:pPr>
        <w:keepNext/>
        <w:pBdr>
          <w:top w:val="single" w:sz="4" w:space="1" w:color="auto"/>
          <w:left w:val="single" w:sz="4" w:space="4" w:color="auto"/>
          <w:bottom w:val="single" w:sz="4" w:space="1" w:color="auto"/>
          <w:right w:val="single" w:sz="4" w:space="4" w:color="auto"/>
        </w:pBdr>
        <w:ind w:left="567" w:hanging="567"/>
        <w:rPr>
          <w:b/>
          <w:sz w:val="22"/>
          <w:szCs w:val="22"/>
          <w:lang w:val="pl-PL"/>
        </w:rPr>
      </w:pPr>
      <w:r w:rsidRPr="00BD22FE">
        <w:rPr>
          <w:b/>
          <w:sz w:val="22"/>
          <w:szCs w:val="22"/>
          <w:lang w:val="pl-PL"/>
        </w:rPr>
        <w:t>1.</w:t>
      </w:r>
      <w:r w:rsidRPr="00BD22FE">
        <w:rPr>
          <w:b/>
          <w:sz w:val="22"/>
          <w:szCs w:val="22"/>
          <w:lang w:val="pl-PL"/>
        </w:rPr>
        <w:tab/>
        <w:t>NAZWA PRODUKTU LECZNICZEGO</w:t>
      </w:r>
    </w:p>
    <w:p w14:paraId="78CA834D" w14:textId="77777777" w:rsidR="000016E2" w:rsidRPr="00BD22FE" w:rsidRDefault="000016E2" w:rsidP="005935AD">
      <w:pPr>
        <w:keepNext/>
        <w:rPr>
          <w:sz w:val="22"/>
          <w:szCs w:val="22"/>
          <w:lang w:val="pl-PL"/>
        </w:rPr>
      </w:pPr>
    </w:p>
    <w:p w14:paraId="0C1C1231" w14:textId="77777777" w:rsidR="000016E2" w:rsidRPr="00BD22FE" w:rsidRDefault="00104CA8" w:rsidP="00941FBF">
      <w:pPr>
        <w:rPr>
          <w:sz w:val="22"/>
          <w:szCs w:val="22"/>
          <w:lang w:val="pl-PL"/>
        </w:rPr>
      </w:pPr>
      <w:r w:rsidRPr="00BD22FE">
        <w:rPr>
          <w:sz w:val="22"/>
          <w:szCs w:val="22"/>
          <w:lang w:val="pl-PL"/>
        </w:rPr>
        <w:t>MicardisPlus 80 mg/25 mg tabletki</w:t>
      </w:r>
    </w:p>
    <w:p w14:paraId="2BF2A6F6" w14:textId="77777777" w:rsidR="000016E2" w:rsidRPr="00BD22FE" w:rsidRDefault="00104CA8" w:rsidP="00941FBF">
      <w:pPr>
        <w:jc w:val="both"/>
        <w:rPr>
          <w:sz w:val="22"/>
          <w:szCs w:val="22"/>
          <w:lang w:val="pl-PL"/>
        </w:rPr>
      </w:pPr>
      <w:r w:rsidRPr="00BD22FE">
        <w:rPr>
          <w:sz w:val="22"/>
          <w:szCs w:val="22"/>
          <w:lang w:val="pl-PL"/>
        </w:rPr>
        <w:t>telmisartan/hydrochlorotiazyd</w:t>
      </w:r>
    </w:p>
    <w:p w14:paraId="16FBF7F2" w14:textId="77777777" w:rsidR="000016E2" w:rsidRPr="00BD22FE" w:rsidRDefault="000016E2" w:rsidP="00941FBF">
      <w:pPr>
        <w:rPr>
          <w:sz w:val="22"/>
          <w:szCs w:val="22"/>
          <w:lang w:val="pl-PL"/>
        </w:rPr>
      </w:pPr>
    </w:p>
    <w:p w14:paraId="5B63CAD1" w14:textId="77777777" w:rsidR="000016E2" w:rsidRPr="00BD22FE" w:rsidRDefault="000016E2" w:rsidP="00941FBF">
      <w:pPr>
        <w:rPr>
          <w:sz w:val="22"/>
          <w:szCs w:val="22"/>
          <w:lang w:val="pl-PL"/>
        </w:rPr>
      </w:pPr>
    </w:p>
    <w:p w14:paraId="1E688DD8" w14:textId="79C5F354" w:rsidR="000016E2" w:rsidRPr="00BD22FE" w:rsidRDefault="00104CA8" w:rsidP="002410FF">
      <w:pPr>
        <w:keepNext/>
        <w:pBdr>
          <w:top w:val="single" w:sz="4" w:space="1" w:color="auto"/>
          <w:left w:val="single" w:sz="4" w:space="4" w:color="auto"/>
          <w:bottom w:val="single" w:sz="4" w:space="1" w:color="auto"/>
          <w:right w:val="single" w:sz="4" w:space="4" w:color="auto"/>
        </w:pBdr>
        <w:ind w:left="567" w:hanging="567"/>
        <w:rPr>
          <w:b/>
          <w:sz w:val="22"/>
          <w:szCs w:val="22"/>
          <w:lang w:val="pl-PL"/>
        </w:rPr>
      </w:pPr>
      <w:r w:rsidRPr="00BD22FE">
        <w:rPr>
          <w:b/>
          <w:sz w:val="22"/>
          <w:szCs w:val="22"/>
          <w:lang w:val="pl-PL"/>
        </w:rPr>
        <w:t>2.</w:t>
      </w:r>
      <w:r w:rsidRPr="00BD22FE">
        <w:rPr>
          <w:b/>
          <w:sz w:val="22"/>
          <w:szCs w:val="22"/>
          <w:lang w:val="pl-PL"/>
        </w:rPr>
        <w:tab/>
        <w:t>NAZWA PODMIOTU ODPOWIEDZIALNEGO</w:t>
      </w:r>
    </w:p>
    <w:p w14:paraId="2C1649BF" w14:textId="77777777" w:rsidR="000016E2" w:rsidRPr="00BD22FE" w:rsidRDefault="000016E2" w:rsidP="005935AD">
      <w:pPr>
        <w:keepNext/>
        <w:rPr>
          <w:sz w:val="22"/>
          <w:szCs w:val="22"/>
          <w:lang w:val="pl-PL"/>
        </w:rPr>
      </w:pPr>
    </w:p>
    <w:p w14:paraId="6E17F9A7" w14:textId="77777777" w:rsidR="000016E2" w:rsidRPr="00BD22FE" w:rsidRDefault="00104CA8" w:rsidP="00941FBF">
      <w:pPr>
        <w:rPr>
          <w:sz w:val="22"/>
          <w:szCs w:val="22"/>
          <w:lang w:val="pl-PL"/>
        </w:rPr>
      </w:pPr>
      <w:r w:rsidRPr="00BD22FE">
        <w:rPr>
          <w:sz w:val="22"/>
          <w:szCs w:val="22"/>
          <w:lang w:val="pl-PL"/>
        </w:rPr>
        <w:t>Boehringer Ingelheim (</w:t>
      </w:r>
      <w:r w:rsidRPr="00BD22FE">
        <w:rPr>
          <w:sz w:val="22"/>
          <w:szCs w:val="22"/>
          <w:highlight w:val="lightGray"/>
          <w:lang w:val="pl-PL"/>
        </w:rPr>
        <w:t>Logo</w:t>
      </w:r>
      <w:r w:rsidRPr="00BD22FE">
        <w:rPr>
          <w:sz w:val="22"/>
          <w:szCs w:val="22"/>
          <w:lang w:val="pl-PL"/>
        </w:rPr>
        <w:t>)</w:t>
      </w:r>
    </w:p>
    <w:p w14:paraId="28D170A2" w14:textId="77777777" w:rsidR="000016E2" w:rsidRPr="00BD22FE" w:rsidRDefault="000016E2" w:rsidP="00941FBF">
      <w:pPr>
        <w:rPr>
          <w:sz w:val="22"/>
          <w:szCs w:val="22"/>
          <w:lang w:val="pl-PL"/>
        </w:rPr>
      </w:pPr>
    </w:p>
    <w:p w14:paraId="05DABF29" w14:textId="77777777" w:rsidR="000016E2" w:rsidRPr="00BD22FE" w:rsidRDefault="000016E2" w:rsidP="00941FBF">
      <w:pPr>
        <w:rPr>
          <w:sz w:val="22"/>
          <w:szCs w:val="22"/>
          <w:lang w:val="pl-PL"/>
        </w:rPr>
      </w:pPr>
    </w:p>
    <w:p w14:paraId="33E4463C" w14:textId="77777777" w:rsidR="000016E2" w:rsidRPr="00BD22FE" w:rsidRDefault="00104CA8" w:rsidP="002410FF">
      <w:pPr>
        <w:keepNext/>
        <w:pBdr>
          <w:top w:val="single" w:sz="4" w:space="1" w:color="auto"/>
          <w:left w:val="single" w:sz="4" w:space="4" w:color="auto"/>
          <w:bottom w:val="single" w:sz="4" w:space="1" w:color="auto"/>
          <w:right w:val="single" w:sz="4" w:space="4" w:color="auto"/>
        </w:pBdr>
        <w:ind w:left="567" w:hanging="567"/>
        <w:rPr>
          <w:b/>
          <w:sz w:val="22"/>
          <w:szCs w:val="22"/>
          <w:lang w:val="pl-PL"/>
        </w:rPr>
      </w:pPr>
      <w:r w:rsidRPr="00BD22FE">
        <w:rPr>
          <w:b/>
          <w:sz w:val="22"/>
          <w:szCs w:val="22"/>
          <w:lang w:val="pl-PL"/>
        </w:rPr>
        <w:t>3.</w:t>
      </w:r>
      <w:r w:rsidRPr="00BD22FE">
        <w:rPr>
          <w:b/>
          <w:sz w:val="22"/>
          <w:szCs w:val="22"/>
          <w:lang w:val="pl-PL"/>
        </w:rPr>
        <w:tab/>
        <w:t>TERMIN WAŻNOŚCI</w:t>
      </w:r>
    </w:p>
    <w:p w14:paraId="57674A6E" w14:textId="77777777" w:rsidR="000016E2" w:rsidRPr="00BD22FE" w:rsidRDefault="000016E2" w:rsidP="005935AD">
      <w:pPr>
        <w:keepNext/>
        <w:rPr>
          <w:sz w:val="22"/>
          <w:szCs w:val="22"/>
          <w:lang w:val="pl-PL"/>
        </w:rPr>
      </w:pPr>
    </w:p>
    <w:p w14:paraId="309F479C" w14:textId="2E17BBB8" w:rsidR="000016E2" w:rsidRPr="00BD22FE" w:rsidRDefault="00104CA8" w:rsidP="00941FBF">
      <w:pPr>
        <w:rPr>
          <w:sz w:val="22"/>
          <w:szCs w:val="22"/>
          <w:lang w:val="pl-PL"/>
        </w:rPr>
      </w:pPr>
      <w:r w:rsidRPr="00BD22FE">
        <w:rPr>
          <w:sz w:val="22"/>
          <w:szCs w:val="22"/>
          <w:lang w:val="pl-PL"/>
        </w:rPr>
        <w:t>Termin ważności:</w:t>
      </w:r>
    </w:p>
    <w:p w14:paraId="698B09DB" w14:textId="77777777" w:rsidR="000016E2" w:rsidRPr="00BD22FE" w:rsidRDefault="000016E2" w:rsidP="00941FBF">
      <w:pPr>
        <w:rPr>
          <w:sz w:val="22"/>
          <w:szCs w:val="22"/>
          <w:lang w:val="pl-PL"/>
        </w:rPr>
      </w:pPr>
    </w:p>
    <w:p w14:paraId="1605FCC3" w14:textId="77777777" w:rsidR="000016E2" w:rsidRPr="00BD22FE" w:rsidRDefault="000016E2" w:rsidP="00941FBF">
      <w:pPr>
        <w:rPr>
          <w:sz w:val="22"/>
          <w:szCs w:val="22"/>
          <w:lang w:val="pl-PL"/>
        </w:rPr>
      </w:pPr>
    </w:p>
    <w:p w14:paraId="7EBE9562" w14:textId="77777777" w:rsidR="000016E2" w:rsidRPr="00BD22FE" w:rsidRDefault="00104CA8" w:rsidP="002410FF">
      <w:pPr>
        <w:keepNext/>
        <w:pBdr>
          <w:top w:val="single" w:sz="4" w:space="1" w:color="auto"/>
          <w:left w:val="single" w:sz="4" w:space="4" w:color="auto"/>
          <w:bottom w:val="single" w:sz="4" w:space="1" w:color="auto"/>
          <w:right w:val="single" w:sz="4" w:space="4" w:color="auto"/>
        </w:pBdr>
        <w:ind w:left="567" w:hanging="567"/>
        <w:rPr>
          <w:b/>
          <w:sz w:val="22"/>
          <w:szCs w:val="22"/>
          <w:lang w:val="pl-PL"/>
        </w:rPr>
      </w:pPr>
      <w:r w:rsidRPr="00BD22FE">
        <w:rPr>
          <w:b/>
          <w:sz w:val="22"/>
          <w:szCs w:val="22"/>
          <w:lang w:val="pl-PL"/>
        </w:rPr>
        <w:t>4.</w:t>
      </w:r>
      <w:r w:rsidRPr="00BD22FE">
        <w:rPr>
          <w:b/>
          <w:sz w:val="22"/>
          <w:szCs w:val="22"/>
          <w:lang w:val="pl-PL"/>
        </w:rPr>
        <w:tab/>
        <w:t>NUMER SERII</w:t>
      </w:r>
    </w:p>
    <w:p w14:paraId="7075DAEB" w14:textId="77777777" w:rsidR="000016E2" w:rsidRPr="00BD22FE" w:rsidRDefault="000016E2" w:rsidP="005935AD">
      <w:pPr>
        <w:keepNext/>
        <w:rPr>
          <w:sz w:val="22"/>
          <w:szCs w:val="22"/>
          <w:lang w:val="pl-PL"/>
        </w:rPr>
      </w:pPr>
    </w:p>
    <w:p w14:paraId="745C4F32" w14:textId="07537D4F" w:rsidR="000016E2" w:rsidRPr="00BD22FE" w:rsidRDefault="00104CA8" w:rsidP="00941FBF">
      <w:pPr>
        <w:rPr>
          <w:sz w:val="22"/>
          <w:szCs w:val="22"/>
          <w:lang w:val="pl-PL"/>
        </w:rPr>
      </w:pPr>
      <w:r w:rsidRPr="00BD22FE">
        <w:rPr>
          <w:sz w:val="22"/>
          <w:szCs w:val="22"/>
          <w:lang w:val="pl-PL"/>
        </w:rPr>
        <w:t>Nr serii:</w:t>
      </w:r>
    </w:p>
    <w:p w14:paraId="14572BAD" w14:textId="77777777" w:rsidR="000016E2" w:rsidRPr="00BD22FE" w:rsidRDefault="000016E2" w:rsidP="00941FBF">
      <w:pPr>
        <w:rPr>
          <w:sz w:val="22"/>
          <w:szCs w:val="22"/>
          <w:lang w:val="pl-PL"/>
        </w:rPr>
      </w:pPr>
    </w:p>
    <w:p w14:paraId="6F333EB9" w14:textId="77777777" w:rsidR="000016E2" w:rsidRPr="00BD22FE" w:rsidRDefault="000016E2" w:rsidP="00941FBF">
      <w:pPr>
        <w:rPr>
          <w:sz w:val="22"/>
          <w:szCs w:val="22"/>
          <w:lang w:val="pl-PL"/>
        </w:rPr>
      </w:pPr>
    </w:p>
    <w:p w14:paraId="1BFA25DD" w14:textId="77777777" w:rsidR="000016E2" w:rsidRPr="00BD22FE" w:rsidRDefault="00104CA8" w:rsidP="002410FF">
      <w:pPr>
        <w:keepNext/>
        <w:pBdr>
          <w:top w:val="single" w:sz="4" w:space="1" w:color="auto"/>
          <w:left w:val="single" w:sz="4" w:space="4" w:color="auto"/>
          <w:bottom w:val="single" w:sz="4" w:space="1" w:color="auto"/>
          <w:right w:val="single" w:sz="4" w:space="4" w:color="auto"/>
        </w:pBdr>
        <w:ind w:left="567" w:hanging="567"/>
        <w:rPr>
          <w:b/>
          <w:sz w:val="22"/>
          <w:szCs w:val="22"/>
          <w:lang w:val="pl-PL"/>
        </w:rPr>
      </w:pPr>
      <w:r w:rsidRPr="00BD22FE">
        <w:rPr>
          <w:b/>
          <w:sz w:val="22"/>
          <w:szCs w:val="22"/>
          <w:lang w:val="pl-PL"/>
        </w:rPr>
        <w:t>5.</w:t>
      </w:r>
      <w:r w:rsidRPr="00BD22FE">
        <w:rPr>
          <w:b/>
          <w:sz w:val="22"/>
          <w:szCs w:val="22"/>
          <w:lang w:val="pl-PL"/>
        </w:rPr>
        <w:tab/>
        <w:t>INNE</w:t>
      </w:r>
    </w:p>
    <w:p w14:paraId="6DB302D9" w14:textId="77777777" w:rsidR="005935AD" w:rsidRPr="00BD22FE" w:rsidRDefault="005935AD" w:rsidP="005935AD">
      <w:pPr>
        <w:keepNext/>
        <w:rPr>
          <w:sz w:val="22"/>
          <w:szCs w:val="22"/>
          <w:lang w:val="pl-PL"/>
        </w:rPr>
      </w:pPr>
    </w:p>
    <w:p w14:paraId="078128F0" w14:textId="77777777" w:rsidR="005935AD" w:rsidRPr="00BD22FE" w:rsidRDefault="005935AD" w:rsidP="005935AD">
      <w:pPr>
        <w:rPr>
          <w:sz w:val="22"/>
          <w:szCs w:val="22"/>
          <w:lang w:val="pl-PL"/>
        </w:rPr>
      </w:pPr>
    </w:p>
    <w:p w14:paraId="668B3D10" w14:textId="77777777" w:rsidR="000016E2" w:rsidRPr="00BD22FE" w:rsidRDefault="00104CA8" w:rsidP="005935AD">
      <w:pPr>
        <w:rPr>
          <w:sz w:val="22"/>
          <w:szCs w:val="22"/>
          <w:lang w:val="pl-PL"/>
        </w:rPr>
      </w:pPr>
      <w:r w:rsidRPr="00BD22FE">
        <w:rPr>
          <w:sz w:val="22"/>
          <w:szCs w:val="22"/>
          <w:lang w:val="pl-PL"/>
        </w:rPr>
        <w:br w:type="page"/>
      </w:r>
    </w:p>
    <w:p w14:paraId="06B28E58" w14:textId="77777777" w:rsidR="000016E2" w:rsidRPr="00BD22FE" w:rsidRDefault="000016E2" w:rsidP="00941FBF">
      <w:pPr>
        <w:jc w:val="center"/>
        <w:rPr>
          <w:sz w:val="22"/>
          <w:szCs w:val="22"/>
          <w:lang w:val="pl-PL"/>
        </w:rPr>
      </w:pPr>
    </w:p>
    <w:p w14:paraId="0B0B7F4B" w14:textId="77777777" w:rsidR="000016E2" w:rsidRPr="00BD22FE" w:rsidRDefault="000016E2" w:rsidP="00941FBF">
      <w:pPr>
        <w:jc w:val="center"/>
        <w:rPr>
          <w:sz w:val="22"/>
          <w:szCs w:val="22"/>
          <w:lang w:val="pl-PL"/>
        </w:rPr>
      </w:pPr>
    </w:p>
    <w:p w14:paraId="531F11FF" w14:textId="77777777" w:rsidR="000016E2" w:rsidRPr="00BD22FE" w:rsidRDefault="000016E2" w:rsidP="00941FBF">
      <w:pPr>
        <w:jc w:val="center"/>
        <w:rPr>
          <w:sz w:val="22"/>
          <w:szCs w:val="22"/>
          <w:lang w:val="pl-PL"/>
        </w:rPr>
      </w:pPr>
    </w:p>
    <w:p w14:paraId="6A0254DA" w14:textId="77777777" w:rsidR="000016E2" w:rsidRPr="00BD22FE" w:rsidRDefault="000016E2" w:rsidP="00941FBF">
      <w:pPr>
        <w:jc w:val="center"/>
        <w:rPr>
          <w:sz w:val="22"/>
          <w:szCs w:val="22"/>
          <w:lang w:val="pl-PL"/>
        </w:rPr>
      </w:pPr>
    </w:p>
    <w:p w14:paraId="767E1AA4" w14:textId="77777777" w:rsidR="000016E2" w:rsidRPr="00BD22FE" w:rsidRDefault="000016E2" w:rsidP="00941FBF">
      <w:pPr>
        <w:jc w:val="center"/>
        <w:rPr>
          <w:sz w:val="22"/>
          <w:szCs w:val="22"/>
          <w:lang w:val="pl-PL"/>
        </w:rPr>
      </w:pPr>
    </w:p>
    <w:p w14:paraId="5ED0F18C" w14:textId="77777777" w:rsidR="000016E2" w:rsidRPr="00BD22FE" w:rsidRDefault="000016E2" w:rsidP="00941FBF">
      <w:pPr>
        <w:jc w:val="center"/>
        <w:rPr>
          <w:sz w:val="22"/>
          <w:szCs w:val="22"/>
          <w:lang w:val="pl-PL"/>
        </w:rPr>
      </w:pPr>
    </w:p>
    <w:p w14:paraId="10CF7E53" w14:textId="77777777" w:rsidR="000016E2" w:rsidRPr="00BD22FE" w:rsidRDefault="000016E2" w:rsidP="00941FBF">
      <w:pPr>
        <w:jc w:val="center"/>
        <w:rPr>
          <w:sz w:val="22"/>
          <w:szCs w:val="22"/>
          <w:lang w:val="pl-PL"/>
        </w:rPr>
      </w:pPr>
    </w:p>
    <w:p w14:paraId="032DF04D" w14:textId="77777777" w:rsidR="000016E2" w:rsidRPr="00BD22FE" w:rsidRDefault="000016E2" w:rsidP="00941FBF">
      <w:pPr>
        <w:jc w:val="center"/>
        <w:rPr>
          <w:sz w:val="22"/>
          <w:szCs w:val="22"/>
          <w:lang w:val="pl-PL"/>
        </w:rPr>
      </w:pPr>
    </w:p>
    <w:p w14:paraId="14686BA7" w14:textId="77777777" w:rsidR="000016E2" w:rsidRPr="00BD22FE" w:rsidRDefault="000016E2" w:rsidP="00941FBF">
      <w:pPr>
        <w:jc w:val="center"/>
        <w:rPr>
          <w:sz w:val="22"/>
          <w:szCs w:val="22"/>
          <w:lang w:val="pl-PL"/>
        </w:rPr>
      </w:pPr>
    </w:p>
    <w:p w14:paraId="04F6A98F" w14:textId="77777777" w:rsidR="000016E2" w:rsidRPr="00BD22FE" w:rsidRDefault="000016E2" w:rsidP="00941FBF">
      <w:pPr>
        <w:jc w:val="center"/>
        <w:rPr>
          <w:sz w:val="22"/>
          <w:szCs w:val="22"/>
          <w:lang w:val="pl-PL"/>
        </w:rPr>
      </w:pPr>
    </w:p>
    <w:p w14:paraId="05D38CCC" w14:textId="77777777" w:rsidR="000016E2" w:rsidRPr="00BD22FE" w:rsidRDefault="000016E2" w:rsidP="00941FBF">
      <w:pPr>
        <w:jc w:val="center"/>
        <w:rPr>
          <w:sz w:val="22"/>
          <w:szCs w:val="22"/>
          <w:lang w:val="pl-PL"/>
        </w:rPr>
      </w:pPr>
    </w:p>
    <w:p w14:paraId="1FCD2A47" w14:textId="77777777" w:rsidR="000016E2" w:rsidRPr="00BD22FE" w:rsidRDefault="000016E2" w:rsidP="00941FBF">
      <w:pPr>
        <w:jc w:val="center"/>
        <w:rPr>
          <w:sz w:val="22"/>
          <w:szCs w:val="22"/>
          <w:lang w:val="pl-PL"/>
        </w:rPr>
      </w:pPr>
    </w:p>
    <w:p w14:paraId="1CDBBA2A" w14:textId="77777777" w:rsidR="000016E2" w:rsidRPr="00BD22FE" w:rsidRDefault="000016E2" w:rsidP="00941FBF">
      <w:pPr>
        <w:jc w:val="center"/>
        <w:rPr>
          <w:sz w:val="22"/>
          <w:szCs w:val="22"/>
          <w:lang w:val="pl-PL"/>
        </w:rPr>
      </w:pPr>
    </w:p>
    <w:p w14:paraId="3481A4F7" w14:textId="77777777" w:rsidR="000016E2" w:rsidRPr="00BD22FE" w:rsidRDefault="000016E2" w:rsidP="00941FBF">
      <w:pPr>
        <w:jc w:val="center"/>
        <w:rPr>
          <w:sz w:val="22"/>
          <w:szCs w:val="22"/>
          <w:lang w:val="pl-PL"/>
        </w:rPr>
      </w:pPr>
    </w:p>
    <w:p w14:paraId="6CA26B0C" w14:textId="77777777" w:rsidR="000016E2" w:rsidRPr="00BD22FE" w:rsidRDefault="000016E2" w:rsidP="00941FBF">
      <w:pPr>
        <w:jc w:val="center"/>
        <w:rPr>
          <w:sz w:val="22"/>
          <w:szCs w:val="22"/>
          <w:lang w:val="pl-PL"/>
        </w:rPr>
      </w:pPr>
    </w:p>
    <w:p w14:paraId="2DF1AAF7" w14:textId="77777777" w:rsidR="000016E2" w:rsidRPr="00BD22FE" w:rsidRDefault="000016E2" w:rsidP="00941FBF">
      <w:pPr>
        <w:jc w:val="center"/>
        <w:rPr>
          <w:sz w:val="22"/>
          <w:szCs w:val="22"/>
          <w:lang w:val="pl-PL"/>
        </w:rPr>
      </w:pPr>
    </w:p>
    <w:p w14:paraId="2B388618" w14:textId="77777777" w:rsidR="000016E2" w:rsidRPr="00BD22FE" w:rsidRDefault="000016E2" w:rsidP="00941FBF">
      <w:pPr>
        <w:jc w:val="center"/>
        <w:rPr>
          <w:sz w:val="22"/>
          <w:szCs w:val="22"/>
          <w:lang w:val="pl-PL"/>
        </w:rPr>
      </w:pPr>
    </w:p>
    <w:p w14:paraId="327D21AF" w14:textId="77777777" w:rsidR="000016E2" w:rsidRPr="00BD22FE" w:rsidRDefault="000016E2" w:rsidP="00941FBF">
      <w:pPr>
        <w:jc w:val="center"/>
        <w:rPr>
          <w:sz w:val="22"/>
          <w:szCs w:val="22"/>
          <w:lang w:val="pl-PL"/>
        </w:rPr>
      </w:pPr>
    </w:p>
    <w:p w14:paraId="0581FDAF" w14:textId="77777777" w:rsidR="000016E2" w:rsidRPr="00BD22FE" w:rsidRDefault="000016E2" w:rsidP="00941FBF">
      <w:pPr>
        <w:jc w:val="center"/>
        <w:rPr>
          <w:sz w:val="22"/>
          <w:szCs w:val="22"/>
          <w:lang w:val="pl-PL"/>
        </w:rPr>
      </w:pPr>
    </w:p>
    <w:p w14:paraId="66EDE482" w14:textId="77777777" w:rsidR="000016E2" w:rsidRPr="00BD22FE" w:rsidRDefault="000016E2" w:rsidP="00941FBF">
      <w:pPr>
        <w:jc w:val="center"/>
        <w:rPr>
          <w:sz w:val="22"/>
          <w:szCs w:val="22"/>
          <w:lang w:val="pl-PL"/>
        </w:rPr>
      </w:pPr>
    </w:p>
    <w:p w14:paraId="4F64496F" w14:textId="77777777" w:rsidR="000016E2" w:rsidRPr="00BD22FE" w:rsidRDefault="000016E2" w:rsidP="00941FBF">
      <w:pPr>
        <w:jc w:val="center"/>
        <w:rPr>
          <w:sz w:val="22"/>
          <w:szCs w:val="22"/>
          <w:lang w:val="pl-PL"/>
        </w:rPr>
      </w:pPr>
    </w:p>
    <w:p w14:paraId="55620AFA" w14:textId="77777777" w:rsidR="000016E2" w:rsidRPr="00BD22FE" w:rsidRDefault="000016E2" w:rsidP="00941FBF">
      <w:pPr>
        <w:jc w:val="center"/>
        <w:rPr>
          <w:sz w:val="22"/>
          <w:szCs w:val="22"/>
          <w:lang w:val="pl-PL"/>
        </w:rPr>
      </w:pPr>
    </w:p>
    <w:p w14:paraId="2D4C08FD" w14:textId="77777777" w:rsidR="000016E2" w:rsidRPr="00BD22FE" w:rsidRDefault="000016E2" w:rsidP="00941FBF">
      <w:pPr>
        <w:jc w:val="center"/>
        <w:rPr>
          <w:sz w:val="22"/>
          <w:szCs w:val="22"/>
          <w:lang w:val="pl-PL"/>
        </w:rPr>
      </w:pPr>
    </w:p>
    <w:p w14:paraId="5901A887" w14:textId="6FD6CC56" w:rsidR="000016E2" w:rsidRPr="00BD22FE" w:rsidRDefault="00104CA8" w:rsidP="00941FBF">
      <w:pPr>
        <w:pStyle w:val="QRD1"/>
        <w:rPr>
          <w:lang w:val="pl-PL"/>
        </w:rPr>
      </w:pPr>
      <w:r w:rsidRPr="00BD22FE">
        <w:rPr>
          <w:lang w:val="pl-PL"/>
        </w:rPr>
        <w:t>B. ULOTKA DLA PACJENTA</w:t>
      </w:r>
      <w:r w:rsidR="00C15F79" w:rsidRPr="00BD22FE">
        <w:rPr>
          <w:lang w:val="pl-PL"/>
        </w:rPr>
        <w:fldChar w:fldCharType="begin"/>
      </w:r>
      <w:r w:rsidR="00C15F79" w:rsidRPr="00BD22FE">
        <w:rPr>
          <w:lang w:val="pl-PL"/>
        </w:rPr>
        <w:instrText xml:space="preserve"> DOCVARIABLE VAULT_ND_08a15635-2c37-451d-b6c3-4727d69d8e62 \* MERGEFORMAT </w:instrText>
      </w:r>
      <w:r w:rsidR="00C15F79" w:rsidRPr="00BD22FE">
        <w:rPr>
          <w:lang w:val="pl-PL"/>
        </w:rPr>
        <w:fldChar w:fldCharType="separate"/>
      </w:r>
      <w:r w:rsidR="00C15F79" w:rsidRPr="00BD22FE">
        <w:rPr>
          <w:lang w:val="pl-PL"/>
        </w:rPr>
        <w:t xml:space="preserve"> </w:t>
      </w:r>
      <w:r w:rsidR="00C15F79" w:rsidRPr="00BD22FE">
        <w:rPr>
          <w:lang w:val="pl-PL"/>
        </w:rPr>
        <w:fldChar w:fldCharType="end"/>
      </w:r>
    </w:p>
    <w:p w14:paraId="2FAB1BFC" w14:textId="77777777" w:rsidR="000016E2" w:rsidRPr="00BD22FE" w:rsidRDefault="00104CA8" w:rsidP="00941FBF">
      <w:pPr>
        <w:jc w:val="both"/>
        <w:rPr>
          <w:sz w:val="22"/>
          <w:szCs w:val="22"/>
          <w:lang w:val="pl-PL"/>
        </w:rPr>
      </w:pPr>
      <w:r w:rsidRPr="00BD22FE">
        <w:rPr>
          <w:b/>
          <w:sz w:val="22"/>
          <w:szCs w:val="22"/>
          <w:lang w:val="pl-PL"/>
        </w:rPr>
        <w:br w:type="page"/>
      </w:r>
    </w:p>
    <w:p w14:paraId="654EEDA5" w14:textId="4717F48B" w:rsidR="003A7E3D" w:rsidRPr="00BD22FE" w:rsidRDefault="00104CA8" w:rsidP="00A610E1">
      <w:pPr>
        <w:pStyle w:val="BodyText"/>
        <w:spacing w:line="240" w:lineRule="auto"/>
        <w:jc w:val="center"/>
        <w:rPr>
          <w:b/>
          <w:sz w:val="22"/>
          <w:szCs w:val="22"/>
          <w:lang w:val="pl-PL" w:bidi="bn-IN"/>
        </w:rPr>
      </w:pPr>
      <w:r w:rsidRPr="00BD7B14">
        <w:rPr>
          <w:b/>
          <w:sz w:val="22"/>
          <w:szCs w:val="22"/>
          <w:lang w:val="pl-PL" w:bidi="bn-IN"/>
        </w:rPr>
        <w:lastRenderedPageBreak/>
        <w:t xml:space="preserve">Ulotka dołączona do opakowania: informacja dla </w:t>
      </w:r>
      <w:r w:rsidR="000F432B" w:rsidRPr="00BD7B14">
        <w:rPr>
          <w:b/>
          <w:sz w:val="22"/>
          <w:szCs w:val="22"/>
          <w:lang w:val="pl-PL" w:bidi="bn-IN"/>
        </w:rPr>
        <w:t>użytkownika</w:t>
      </w:r>
    </w:p>
    <w:p w14:paraId="62D21DA1" w14:textId="54CD5BFD" w:rsidR="000016E2" w:rsidRPr="00BD22FE" w:rsidRDefault="000016E2" w:rsidP="00A610E1">
      <w:pPr>
        <w:pStyle w:val="BodyText"/>
        <w:spacing w:line="240" w:lineRule="auto"/>
        <w:jc w:val="center"/>
        <w:rPr>
          <w:sz w:val="22"/>
          <w:szCs w:val="22"/>
          <w:lang w:val="pl-PL"/>
        </w:rPr>
      </w:pPr>
    </w:p>
    <w:p w14:paraId="31C79995" w14:textId="77777777" w:rsidR="000016E2" w:rsidRPr="00BD22FE" w:rsidRDefault="00104CA8" w:rsidP="00A610E1">
      <w:pPr>
        <w:pStyle w:val="BodyText"/>
        <w:spacing w:line="240" w:lineRule="auto"/>
        <w:jc w:val="center"/>
        <w:rPr>
          <w:b/>
          <w:sz w:val="22"/>
          <w:szCs w:val="22"/>
          <w:lang w:val="pl-PL"/>
        </w:rPr>
      </w:pPr>
      <w:r w:rsidRPr="00BD22FE">
        <w:rPr>
          <w:b/>
          <w:sz w:val="22"/>
          <w:szCs w:val="22"/>
          <w:lang w:val="pl-PL"/>
        </w:rPr>
        <w:t>MicardisPlus 40 mg/12,5 mg tabletki</w:t>
      </w:r>
    </w:p>
    <w:p w14:paraId="515BB8C7" w14:textId="77777777" w:rsidR="000016E2" w:rsidRPr="00BD22FE" w:rsidRDefault="00104CA8" w:rsidP="00A610E1">
      <w:pPr>
        <w:pStyle w:val="BodyText"/>
        <w:spacing w:line="240" w:lineRule="auto"/>
        <w:jc w:val="center"/>
        <w:rPr>
          <w:sz w:val="22"/>
          <w:szCs w:val="22"/>
          <w:lang w:val="pl-PL"/>
        </w:rPr>
      </w:pPr>
      <w:r w:rsidRPr="00BD22FE">
        <w:rPr>
          <w:sz w:val="22"/>
          <w:szCs w:val="22"/>
          <w:lang w:val="pl-PL"/>
        </w:rPr>
        <w:t>telmisartan/hydrochlorotiazyd</w:t>
      </w:r>
    </w:p>
    <w:p w14:paraId="46CC875B" w14:textId="77777777" w:rsidR="000016E2" w:rsidRPr="00BD22FE" w:rsidRDefault="000016E2" w:rsidP="00A610E1">
      <w:pPr>
        <w:pStyle w:val="BodyText"/>
        <w:spacing w:line="240" w:lineRule="auto"/>
        <w:jc w:val="left"/>
        <w:rPr>
          <w:sz w:val="22"/>
          <w:szCs w:val="22"/>
          <w:lang w:val="pl-PL"/>
        </w:rPr>
      </w:pPr>
    </w:p>
    <w:p w14:paraId="2F717877" w14:textId="1AC98DC2" w:rsidR="000016E2" w:rsidRPr="00BD22FE" w:rsidRDefault="00104CA8" w:rsidP="00A610E1">
      <w:pPr>
        <w:keepNext/>
        <w:rPr>
          <w:b/>
          <w:sz w:val="22"/>
          <w:szCs w:val="22"/>
          <w:lang w:val="pl-PL" w:bidi="bn-IN"/>
        </w:rPr>
      </w:pPr>
      <w:r w:rsidRPr="00BD22FE">
        <w:rPr>
          <w:b/>
          <w:sz w:val="22"/>
          <w:szCs w:val="22"/>
          <w:lang w:val="pl-PL" w:bidi="bn-IN"/>
        </w:rPr>
        <w:t>Należy uważnie zapoznać się z</w:t>
      </w:r>
      <w:r w:rsidR="00717A7B" w:rsidRPr="00BD22FE">
        <w:rPr>
          <w:b/>
          <w:sz w:val="22"/>
          <w:szCs w:val="22"/>
          <w:lang w:val="pl-PL" w:bidi="bn-IN"/>
        </w:rPr>
        <w:t> </w:t>
      </w:r>
      <w:r w:rsidRPr="00BD22FE">
        <w:rPr>
          <w:b/>
          <w:sz w:val="22"/>
          <w:szCs w:val="22"/>
          <w:lang w:val="pl-PL" w:bidi="bn-IN"/>
        </w:rPr>
        <w:t>treścią ulotki przed zażyciem leku, ponieważ zawiera ona informacje ważne dla pacjenta.</w:t>
      </w:r>
    </w:p>
    <w:p w14:paraId="2F272EDE" w14:textId="34FA680E" w:rsidR="000016E2" w:rsidRPr="00BD22FE" w:rsidRDefault="00104CA8" w:rsidP="00A610E1">
      <w:pPr>
        <w:numPr>
          <w:ilvl w:val="0"/>
          <w:numId w:val="12"/>
        </w:numPr>
        <w:ind w:left="567" w:hanging="567"/>
        <w:rPr>
          <w:sz w:val="22"/>
          <w:szCs w:val="22"/>
          <w:lang w:val="pl-PL" w:bidi="bn-IN"/>
        </w:rPr>
      </w:pPr>
      <w:r w:rsidRPr="00BD22FE">
        <w:rPr>
          <w:sz w:val="22"/>
          <w:szCs w:val="22"/>
          <w:lang w:val="pl-PL" w:bidi="bn-IN"/>
        </w:rPr>
        <w:t>Należy zachować tę ulotkę, aby w</w:t>
      </w:r>
      <w:r w:rsidR="00717A7B" w:rsidRPr="00BD22FE">
        <w:rPr>
          <w:sz w:val="22"/>
          <w:szCs w:val="22"/>
          <w:lang w:val="pl-PL" w:bidi="bn-IN"/>
        </w:rPr>
        <w:t> </w:t>
      </w:r>
      <w:r w:rsidRPr="00BD22FE">
        <w:rPr>
          <w:sz w:val="22"/>
          <w:szCs w:val="22"/>
          <w:lang w:val="pl-PL" w:bidi="bn-IN"/>
        </w:rPr>
        <w:t>razie potrzeby móc ją ponownie przeczytać.</w:t>
      </w:r>
    </w:p>
    <w:p w14:paraId="0D3DD8FD" w14:textId="35A076C6" w:rsidR="000016E2" w:rsidRPr="00BD22FE" w:rsidRDefault="00104CA8" w:rsidP="00A610E1">
      <w:pPr>
        <w:numPr>
          <w:ilvl w:val="0"/>
          <w:numId w:val="12"/>
        </w:numPr>
        <w:ind w:left="567" w:hanging="567"/>
        <w:rPr>
          <w:sz w:val="22"/>
          <w:szCs w:val="22"/>
          <w:lang w:val="pl-PL" w:bidi="bn-IN"/>
        </w:rPr>
      </w:pPr>
      <w:r w:rsidRPr="00BD22FE">
        <w:rPr>
          <w:sz w:val="22"/>
          <w:szCs w:val="22"/>
          <w:lang w:val="pl-PL" w:bidi="bn-IN"/>
        </w:rPr>
        <w:t>W</w:t>
      </w:r>
      <w:r w:rsidR="00717A7B" w:rsidRPr="00BD22FE">
        <w:rPr>
          <w:sz w:val="22"/>
          <w:szCs w:val="22"/>
          <w:lang w:val="pl-PL" w:bidi="bn-IN"/>
        </w:rPr>
        <w:t> </w:t>
      </w:r>
      <w:r w:rsidRPr="00BD22FE">
        <w:rPr>
          <w:sz w:val="22"/>
          <w:szCs w:val="22"/>
          <w:lang w:val="pl-PL" w:bidi="bn-IN"/>
        </w:rPr>
        <w:t>razie jakichkolwiek wątpliwości należy zwrócić się do lekarza lub farmaceuty.</w:t>
      </w:r>
    </w:p>
    <w:p w14:paraId="18BA0953" w14:textId="33C1E492" w:rsidR="000016E2" w:rsidRPr="00BD22FE" w:rsidRDefault="00104CA8" w:rsidP="00A610E1">
      <w:pPr>
        <w:numPr>
          <w:ilvl w:val="0"/>
          <w:numId w:val="12"/>
        </w:numPr>
        <w:ind w:left="567" w:hanging="567"/>
        <w:rPr>
          <w:sz w:val="22"/>
          <w:szCs w:val="22"/>
          <w:lang w:val="pl-PL" w:bidi="bn-IN"/>
        </w:rPr>
      </w:pPr>
      <w:r w:rsidRPr="00BD22FE">
        <w:rPr>
          <w:sz w:val="22"/>
          <w:szCs w:val="22"/>
          <w:lang w:val="pl-PL" w:bidi="bn-IN"/>
        </w:rPr>
        <w:t>Lek ten przepisano ściśle określonej osobie. Nie należy go przekazywać innym. Lek może zaszkodzić innej osobie, nawet jeśli objawy jej choroby są takie same.</w:t>
      </w:r>
    </w:p>
    <w:p w14:paraId="306A8A89" w14:textId="176AAB41" w:rsidR="0043737C" w:rsidRPr="00BD22FE" w:rsidRDefault="0043737C" w:rsidP="00A610E1">
      <w:pPr>
        <w:numPr>
          <w:ilvl w:val="0"/>
          <w:numId w:val="12"/>
        </w:numPr>
        <w:ind w:left="567" w:hanging="567"/>
        <w:rPr>
          <w:sz w:val="22"/>
          <w:szCs w:val="22"/>
          <w:lang w:val="pl-PL" w:bidi="bn-IN"/>
        </w:rPr>
      </w:pPr>
      <w:r w:rsidRPr="00BD22FE">
        <w:rPr>
          <w:sz w:val="22"/>
          <w:szCs w:val="22"/>
          <w:lang w:val="pl-PL" w:bidi="bn-IN"/>
        </w:rPr>
        <w:t>Jeśli u</w:t>
      </w:r>
      <w:r w:rsidR="00717A7B" w:rsidRPr="00BD22FE">
        <w:rPr>
          <w:sz w:val="22"/>
          <w:szCs w:val="22"/>
          <w:lang w:val="pl-PL" w:bidi="bn-IN"/>
        </w:rPr>
        <w:t> </w:t>
      </w:r>
      <w:r w:rsidRPr="00BD22FE">
        <w:rPr>
          <w:sz w:val="22"/>
          <w:szCs w:val="22"/>
          <w:lang w:val="pl-PL" w:bidi="bn-IN"/>
        </w:rPr>
        <w:t>pacjenta wystąpią jakiekolwiek objawy niepożądane, w</w:t>
      </w:r>
      <w:r w:rsidR="00717A7B" w:rsidRPr="00BD22FE">
        <w:rPr>
          <w:sz w:val="22"/>
          <w:szCs w:val="22"/>
          <w:lang w:val="pl-PL" w:bidi="bn-IN"/>
        </w:rPr>
        <w:t> </w:t>
      </w:r>
      <w:r w:rsidRPr="00BD22FE">
        <w:rPr>
          <w:sz w:val="22"/>
          <w:szCs w:val="22"/>
          <w:lang w:val="pl-PL" w:bidi="bn-IN"/>
        </w:rPr>
        <w:t>tym wszelkie objawy niepożądane niewymienione w</w:t>
      </w:r>
      <w:r w:rsidR="00717A7B" w:rsidRPr="00BD22FE">
        <w:rPr>
          <w:sz w:val="22"/>
          <w:szCs w:val="22"/>
          <w:lang w:val="pl-PL" w:bidi="bn-IN"/>
        </w:rPr>
        <w:t> </w:t>
      </w:r>
      <w:r w:rsidRPr="00BD22FE">
        <w:rPr>
          <w:sz w:val="22"/>
          <w:szCs w:val="22"/>
          <w:lang w:val="pl-PL" w:bidi="bn-IN"/>
        </w:rPr>
        <w:t>tej ulotce, należy powiedzieć o</w:t>
      </w:r>
      <w:r w:rsidR="00717A7B" w:rsidRPr="00BD22FE">
        <w:rPr>
          <w:sz w:val="22"/>
          <w:szCs w:val="22"/>
          <w:lang w:val="pl-PL" w:bidi="bn-IN"/>
        </w:rPr>
        <w:t> </w:t>
      </w:r>
      <w:r w:rsidRPr="00BD22FE">
        <w:rPr>
          <w:sz w:val="22"/>
          <w:szCs w:val="22"/>
          <w:lang w:val="pl-PL" w:bidi="bn-IN"/>
        </w:rPr>
        <w:t>tym lekarzowi lub farmaceucie.</w:t>
      </w:r>
      <w:r w:rsidRPr="00BD22FE">
        <w:rPr>
          <w:lang w:val="pl-PL"/>
        </w:rPr>
        <w:t xml:space="preserve"> </w:t>
      </w:r>
      <w:r w:rsidRPr="00BD22FE">
        <w:rPr>
          <w:sz w:val="22"/>
          <w:szCs w:val="22"/>
          <w:lang w:val="pl-PL" w:bidi="bn-IN"/>
        </w:rPr>
        <w:t>Patrz punkt 4.</w:t>
      </w:r>
    </w:p>
    <w:p w14:paraId="2B4DD636" w14:textId="77777777" w:rsidR="000016E2" w:rsidRPr="00BD22FE" w:rsidRDefault="000016E2" w:rsidP="00A610E1">
      <w:pPr>
        <w:pStyle w:val="BodyText"/>
        <w:spacing w:line="240" w:lineRule="auto"/>
        <w:jc w:val="left"/>
        <w:rPr>
          <w:sz w:val="22"/>
          <w:szCs w:val="22"/>
          <w:lang w:val="pl-PL"/>
        </w:rPr>
      </w:pPr>
    </w:p>
    <w:p w14:paraId="641F8DE3" w14:textId="77777777" w:rsidR="000016E2" w:rsidRPr="00BD22FE" w:rsidRDefault="00104CA8" w:rsidP="00A610E1">
      <w:pPr>
        <w:pStyle w:val="BodyText"/>
        <w:keepNext/>
        <w:spacing w:line="240" w:lineRule="auto"/>
        <w:jc w:val="left"/>
        <w:rPr>
          <w:b/>
          <w:sz w:val="22"/>
          <w:szCs w:val="22"/>
          <w:lang w:val="pl-PL"/>
        </w:rPr>
      </w:pPr>
      <w:r w:rsidRPr="00BD22FE">
        <w:rPr>
          <w:b/>
          <w:sz w:val="22"/>
          <w:szCs w:val="22"/>
          <w:lang w:val="pl-PL"/>
        </w:rPr>
        <w:t>Spis treści ulotki</w:t>
      </w:r>
    </w:p>
    <w:p w14:paraId="2993271E" w14:textId="77777777" w:rsidR="000016E2" w:rsidRPr="00BD22FE" w:rsidRDefault="000016E2" w:rsidP="00A610E1">
      <w:pPr>
        <w:pStyle w:val="BodyText"/>
        <w:keepNext/>
        <w:spacing w:line="240" w:lineRule="auto"/>
        <w:jc w:val="left"/>
        <w:rPr>
          <w:sz w:val="22"/>
          <w:szCs w:val="22"/>
          <w:lang w:val="pl-PL"/>
        </w:rPr>
      </w:pPr>
    </w:p>
    <w:p w14:paraId="0D5061B9" w14:textId="03997A5C" w:rsidR="000016E2" w:rsidRPr="00BD22FE" w:rsidRDefault="00104CA8" w:rsidP="00A610E1">
      <w:pPr>
        <w:pStyle w:val="BodyText"/>
        <w:spacing w:line="240" w:lineRule="auto"/>
        <w:ind w:left="567" w:hanging="567"/>
        <w:jc w:val="left"/>
        <w:rPr>
          <w:sz w:val="22"/>
          <w:szCs w:val="22"/>
          <w:lang w:val="pl-PL"/>
        </w:rPr>
      </w:pPr>
      <w:r w:rsidRPr="00BD22FE">
        <w:rPr>
          <w:sz w:val="22"/>
          <w:szCs w:val="22"/>
          <w:lang w:val="pl-PL"/>
        </w:rPr>
        <w:t>1.</w:t>
      </w:r>
      <w:r w:rsidRPr="00BD22FE">
        <w:rPr>
          <w:sz w:val="22"/>
          <w:szCs w:val="22"/>
          <w:lang w:val="pl-PL"/>
        </w:rPr>
        <w:tab/>
        <w:t>Co to jest lek MicardisPlus i</w:t>
      </w:r>
      <w:r w:rsidR="00717A7B" w:rsidRPr="00BD22FE">
        <w:rPr>
          <w:sz w:val="22"/>
          <w:szCs w:val="22"/>
          <w:lang w:val="pl-PL"/>
        </w:rPr>
        <w:t> </w:t>
      </w:r>
      <w:r w:rsidRPr="00BD22FE">
        <w:rPr>
          <w:sz w:val="22"/>
          <w:szCs w:val="22"/>
          <w:lang w:val="pl-PL"/>
        </w:rPr>
        <w:t>w</w:t>
      </w:r>
      <w:r w:rsidR="00717A7B" w:rsidRPr="00BD22FE">
        <w:rPr>
          <w:sz w:val="22"/>
          <w:szCs w:val="22"/>
          <w:lang w:val="pl-PL"/>
        </w:rPr>
        <w:t> </w:t>
      </w:r>
      <w:r w:rsidRPr="00BD22FE">
        <w:rPr>
          <w:sz w:val="22"/>
          <w:szCs w:val="22"/>
          <w:lang w:val="pl-PL"/>
        </w:rPr>
        <w:t>jakim celu się go stosuje</w:t>
      </w:r>
    </w:p>
    <w:p w14:paraId="5FC1B60B" w14:textId="003CB394" w:rsidR="000016E2" w:rsidRPr="00BD22FE" w:rsidRDefault="00104CA8" w:rsidP="00A610E1">
      <w:pPr>
        <w:pStyle w:val="BodyText"/>
        <w:spacing w:line="240" w:lineRule="auto"/>
        <w:ind w:left="567" w:hanging="567"/>
        <w:jc w:val="left"/>
        <w:rPr>
          <w:sz w:val="22"/>
          <w:szCs w:val="22"/>
          <w:lang w:val="pl-PL"/>
        </w:rPr>
      </w:pPr>
      <w:r w:rsidRPr="00BD22FE">
        <w:rPr>
          <w:sz w:val="22"/>
          <w:szCs w:val="22"/>
          <w:lang w:val="pl-PL"/>
        </w:rPr>
        <w:t>2.</w:t>
      </w:r>
      <w:r w:rsidRPr="00BD22FE">
        <w:rPr>
          <w:sz w:val="22"/>
          <w:szCs w:val="22"/>
          <w:lang w:val="pl-PL"/>
        </w:rPr>
        <w:tab/>
        <w:t>Informacje ważne przed przyjęciem leku MicardisPlus</w:t>
      </w:r>
    </w:p>
    <w:p w14:paraId="344E445F" w14:textId="77777777" w:rsidR="003A7E3D" w:rsidRPr="00BD22FE" w:rsidRDefault="00104CA8" w:rsidP="00A610E1">
      <w:pPr>
        <w:pStyle w:val="BodyText"/>
        <w:spacing w:line="240" w:lineRule="auto"/>
        <w:ind w:left="567" w:hanging="567"/>
        <w:jc w:val="left"/>
        <w:rPr>
          <w:sz w:val="22"/>
          <w:szCs w:val="22"/>
          <w:vertAlign w:val="superscript"/>
          <w:lang w:val="pl-PL"/>
        </w:rPr>
      </w:pPr>
      <w:r w:rsidRPr="00BD22FE">
        <w:rPr>
          <w:sz w:val="22"/>
          <w:szCs w:val="22"/>
          <w:lang w:val="pl-PL"/>
        </w:rPr>
        <w:t>3.</w:t>
      </w:r>
      <w:r w:rsidRPr="00BD22FE">
        <w:rPr>
          <w:sz w:val="22"/>
          <w:szCs w:val="22"/>
          <w:lang w:val="pl-PL"/>
        </w:rPr>
        <w:tab/>
        <w:t>Jak przyjmować lek MicardisPlus</w:t>
      </w:r>
    </w:p>
    <w:p w14:paraId="171C3A3D" w14:textId="1FFFD2FF" w:rsidR="000016E2" w:rsidRPr="00BD22FE" w:rsidRDefault="00104CA8" w:rsidP="00A610E1">
      <w:pPr>
        <w:pStyle w:val="BodyText"/>
        <w:spacing w:line="240" w:lineRule="auto"/>
        <w:ind w:left="567" w:hanging="567"/>
        <w:jc w:val="left"/>
        <w:rPr>
          <w:sz w:val="22"/>
          <w:szCs w:val="22"/>
          <w:lang w:val="pl-PL"/>
        </w:rPr>
      </w:pPr>
      <w:r w:rsidRPr="00BD22FE">
        <w:rPr>
          <w:sz w:val="22"/>
          <w:szCs w:val="22"/>
          <w:lang w:val="pl-PL"/>
        </w:rPr>
        <w:t>4.</w:t>
      </w:r>
      <w:r w:rsidRPr="00BD22FE">
        <w:rPr>
          <w:sz w:val="22"/>
          <w:szCs w:val="22"/>
          <w:lang w:val="pl-PL"/>
        </w:rPr>
        <w:tab/>
        <w:t>Możliwe działania niepożądane</w:t>
      </w:r>
    </w:p>
    <w:p w14:paraId="1007A2EC" w14:textId="77777777" w:rsidR="003A7E3D" w:rsidRPr="00BD22FE" w:rsidRDefault="00104CA8" w:rsidP="00A610E1">
      <w:pPr>
        <w:pStyle w:val="BodyText"/>
        <w:spacing w:line="240" w:lineRule="auto"/>
        <w:ind w:left="567" w:hanging="567"/>
        <w:jc w:val="left"/>
        <w:rPr>
          <w:sz w:val="22"/>
          <w:szCs w:val="22"/>
          <w:lang w:val="pl-PL"/>
        </w:rPr>
      </w:pPr>
      <w:r w:rsidRPr="00BD22FE">
        <w:rPr>
          <w:sz w:val="22"/>
          <w:szCs w:val="22"/>
          <w:lang w:val="pl-PL"/>
        </w:rPr>
        <w:t>5.</w:t>
      </w:r>
      <w:r w:rsidRPr="00BD22FE">
        <w:rPr>
          <w:sz w:val="22"/>
          <w:szCs w:val="22"/>
          <w:lang w:val="pl-PL"/>
        </w:rPr>
        <w:tab/>
        <w:t>Jak przechowywać lek MicardisPlus</w:t>
      </w:r>
    </w:p>
    <w:p w14:paraId="73C00F73" w14:textId="0A44E52E" w:rsidR="000016E2" w:rsidRPr="00BD22FE" w:rsidRDefault="00104CA8" w:rsidP="00A610E1">
      <w:pPr>
        <w:pStyle w:val="BodyText"/>
        <w:spacing w:line="240" w:lineRule="auto"/>
        <w:ind w:left="567" w:hanging="567"/>
        <w:jc w:val="left"/>
        <w:rPr>
          <w:sz w:val="22"/>
          <w:szCs w:val="22"/>
          <w:lang w:val="pl-PL"/>
        </w:rPr>
      </w:pPr>
      <w:r w:rsidRPr="00BD22FE">
        <w:rPr>
          <w:sz w:val="22"/>
          <w:szCs w:val="22"/>
          <w:lang w:val="pl-PL"/>
        </w:rPr>
        <w:t>6.</w:t>
      </w:r>
      <w:r w:rsidRPr="00BD22FE">
        <w:rPr>
          <w:sz w:val="22"/>
          <w:szCs w:val="22"/>
          <w:lang w:val="pl-PL"/>
        </w:rPr>
        <w:tab/>
      </w:r>
      <w:r w:rsidRPr="00BD22FE">
        <w:rPr>
          <w:sz w:val="22"/>
          <w:szCs w:val="22"/>
          <w:lang w:val="pl-PL" w:bidi="bn-IN"/>
        </w:rPr>
        <w:t>Zawartość opakowania i</w:t>
      </w:r>
      <w:r w:rsidR="00717A7B" w:rsidRPr="00BD22FE">
        <w:rPr>
          <w:sz w:val="22"/>
          <w:szCs w:val="22"/>
          <w:lang w:val="pl-PL" w:bidi="bn-IN"/>
        </w:rPr>
        <w:t> </w:t>
      </w:r>
      <w:r w:rsidRPr="00BD22FE">
        <w:rPr>
          <w:sz w:val="22"/>
          <w:szCs w:val="22"/>
          <w:lang w:val="pl-PL" w:bidi="bn-IN"/>
        </w:rPr>
        <w:t>inne informacje</w:t>
      </w:r>
    </w:p>
    <w:p w14:paraId="2A1DAF95" w14:textId="77777777" w:rsidR="000016E2" w:rsidRPr="00BD22FE" w:rsidRDefault="000016E2" w:rsidP="00A610E1">
      <w:pPr>
        <w:pStyle w:val="BodyText"/>
        <w:spacing w:line="240" w:lineRule="auto"/>
        <w:jc w:val="left"/>
        <w:rPr>
          <w:sz w:val="22"/>
          <w:szCs w:val="22"/>
          <w:lang w:val="pl-PL"/>
        </w:rPr>
      </w:pPr>
    </w:p>
    <w:p w14:paraId="4FE5A3E5" w14:textId="77777777" w:rsidR="000016E2" w:rsidRPr="00BD22FE" w:rsidRDefault="000016E2" w:rsidP="00A610E1">
      <w:pPr>
        <w:pStyle w:val="BodyText"/>
        <w:spacing w:line="240" w:lineRule="auto"/>
        <w:jc w:val="left"/>
        <w:rPr>
          <w:sz w:val="22"/>
          <w:szCs w:val="22"/>
          <w:lang w:val="pl-PL"/>
        </w:rPr>
      </w:pPr>
    </w:p>
    <w:p w14:paraId="37CD6DF2" w14:textId="1FAB623E" w:rsidR="000016E2" w:rsidRPr="00BD22FE" w:rsidRDefault="00104CA8" w:rsidP="00A610E1">
      <w:pPr>
        <w:pStyle w:val="BodyText"/>
        <w:keepNext/>
        <w:spacing w:line="240" w:lineRule="auto"/>
        <w:ind w:left="567" w:hanging="567"/>
        <w:jc w:val="left"/>
        <w:rPr>
          <w:b/>
          <w:sz w:val="22"/>
          <w:szCs w:val="22"/>
          <w:lang w:val="pl-PL"/>
        </w:rPr>
      </w:pPr>
      <w:r w:rsidRPr="00BD22FE">
        <w:rPr>
          <w:b/>
          <w:sz w:val="22"/>
          <w:szCs w:val="22"/>
          <w:lang w:val="pl-PL"/>
        </w:rPr>
        <w:t>1.</w:t>
      </w:r>
      <w:r w:rsidRPr="00BD22FE">
        <w:rPr>
          <w:b/>
          <w:sz w:val="22"/>
          <w:szCs w:val="22"/>
          <w:lang w:val="pl-PL"/>
        </w:rPr>
        <w:tab/>
        <w:t>Co to jest lek MicardisPlus i</w:t>
      </w:r>
      <w:r w:rsidR="00717A7B" w:rsidRPr="00BD22FE">
        <w:rPr>
          <w:b/>
          <w:sz w:val="22"/>
          <w:szCs w:val="22"/>
          <w:lang w:val="pl-PL"/>
        </w:rPr>
        <w:t> </w:t>
      </w:r>
      <w:r w:rsidRPr="00BD22FE">
        <w:rPr>
          <w:b/>
          <w:sz w:val="22"/>
          <w:szCs w:val="22"/>
          <w:lang w:val="pl-PL"/>
        </w:rPr>
        <w:t>w</w:t>
      </w:r>
      <w:r w:rsidR="00717A7B" w:rsidRPr="00BD22FE">
        <w:rPr>
          <w:b/>
          <w:sz w:val="22"/>
          <w:szCs w:val="22"/>
          <w:lang w:val="pl-PL"/>
        </w:rPr>
        <w:t> </w:t>
      </w:r>
      <w:r w:rsidRPr="00BD22FE">
        <w:rPr>
          <w:b/>
          <w:sz w:val="22"/>
          <w:szCs w:val="22"/>
          <w:lang w:val="pl-PL"/>
        </w:rPr>
        <w:t>jakim celu się go stosuje</w:t>
      </w:r>
    </w:p>
    <w:p w14:paraId="5EFFAA04" w14:textId="77777777" w:rsidR="000016E2" w:rsidRPr="00BD22FE" w:rsidRDefault="000016E2" w:rsidP="00A610E1">
      <w:pPr>
        <w:pStyle w:val="BodyText"/>
        <w:keepNext/>
        <w:spacing w:line="240" w:lineRule="auto"/>
        <w:jc w:val="left"/>
        <w:rPr>
          <w:sz w:val="22"/>
          <w:szCs w:val="22"/>
          <w:lang w:val="pl-PL"/>
        </w:rPr>
      </w:pPr>
    </w:p>
    <w:p w14:paraId="112A31C6" w14:textId="384C0DD0" w:rsidR="000016E2" w:rsidRPr="00BD22FE" w:rsidRDefault="00104CA8" w:rsidP="00A610E1">
      <w:pPr>
        <w:pStyle w:val="BodyText"/>
        <w:spacing w:line="240" w:lineRule="auto"/>
        <w:jc w:val="left"/>
        <w:rPr>
          <w:sz w:val="22"/>
          <w:szCs w:val="22"/>
          <w:lang w:val="pl-PL"/>
        </w:rPr>
      </w:pPr>
      <w:r w:rsidRPr="00BD22FE">
        <w:rPr>
          <w:sz w:val="22"/>
          <w:szCs w:val="22"/>
          <w:lang w:val="pl-PL"/>
        </w:rPr>
        <w:t>MicardisPlus jest lekiem złożonym, zawierającym dwie substancje czynne, telmisartan i</w:t>
      </w:r>
      <w:r w:rsidR="0043737C" w:rsidRPr="00BD22FE">
        <w:rPr>
          <w:sz w:val="22"/>
          <w:szCs w:val="22"/>
          <w:lang w:val="pl-PL"/>
        </w:rPr>
        <w:t> </w:t>
      </w:r>
      <w:r w:rsidRPr="00BD22FE">
        <w:rPr>
          <w:sz w:val="22"/>
          <w:szCs w:val="22"/>
          <w:lang w:val="pl-PL"/>
        </w:rPr>
        <w:t>hydrochlorotiazyd w</w:t>
      </w:r>
      <w:r w:rsidR="00717A7B" w:rsidRPr="00BD22FE">
        <w:rPr>
          <w:sz w:val="22"/>
          <w:szCs w:val="22"/>
          <w:lang w:val="pl-PL"/>
        </w:rPr>
        <w:t> </w:t>
      </w:r>
      <w:r w:rsidRPr="00BD22FE">
        <w:rPr>
          <w:sz w:val="22"/>
          <w:szCs w:val="22"/>
          <w:lang w:val="pl-PL"/>
        </w:rPr>
        <w:t>jednej tabletce. Obie substancje wspomagają kontrolę wysokiego ciśnienia tętniczego krwi.</w:t>
      </w:r>
    </w:p>
    <w:p w14:paraId="1AC43600" w14:textId="77777777" w:rsidR="000016E2" w:rsidRPr="00BD22FE" w:rsidRDefault="000016E2" w:rsidP="00A610E1">
      <w:pPr>
        <w:pStyle w:val="BodyText"/>
        <w:spacing w:line="240" w:lineRule="auto"/>
        <w:jc w:val="left"/>
        <w:rPr>
          <w:sz w:val="22"/>
          <w:szCs w:val="22"/>
          <w:lang w:val="pl-PL"/>
        </w:rPr>
      </w:pPr>
    </w:p>
    <w:p w14:paraId="339B1472" w14:textId="664D6416" w:rsidR="003A7E3D" w:rsidRPr="00BD22FE" w:rsidRDefault="00104CA8" w:rsidP="00A610E1">
      <w:pPr>
        <w:pStyle w:val="BodyText"/>
        <w:numPr>
          <w:ilvl w:val="0"/>
          <w:numId w:val="6"/>
        </w:numPr>
        <w:tabs>
          <w:tab w:val="clear" w:pos="2520"/>
        </w:tabs>
        <w:spacing w:line="240" w:lineRule="auto"/>
        <w:ind w:left="567" w:hanging="567"/>
        <w:jc w:val="left"/>
        <w:rPr>
          <w:sz w:val="22"/>
          <w:szCs w:val="22"/>
          <w:lang w:val="pl-PL"/>
        </w:rPr>
      </w:pPr>
      <w:r w:rsidRPr="00BD22FE">
        <w:rPr>
          <w:sz w:val="22"/>
          <w:szCs w:val="22"/>
          <w:lang w:val="pl-PL"/>
        </w:rPr>
        <w:t>Telmisartan należy do grupy leków zwanych blokerami receptora angiotensyny</w:t>
      </w:r>
      <w:r w:rsidR="001E0877" w:rsidRPr="00BD22FE">
        <w:rPr>
          <w:sz w:val="22"/>
          <w:szCs w:val="22"/>
          <w:lang w:val="pl-PL"/>
        </w:rPr>
        <w:t> </w:t>
      </w:r>
      <w:r w:rsidRPr="00BD22FE">
        <w:rPr>
          <w:sz w:val="22"/>
          <w:szCs w:val="22"/>
          <w:lang w:val="pl-PL"/>
        </w:rPr>
        <w:t>II. Angiotensyna</w:t>
      </w:r>
      <w:r w:rsidR="001E0877" w:rsidRPr="00BD22FE">
        <w:rPr>
          <w:sz w:val="22"/>
          <w:szCs w:val="22"/>
          <w:lang w:val="pl-PL"/>
        </w:rPr>
        <w:t> </w:t>
      </w:r>
      <w:r w:rsidRPr="00BD22FE">
        <w:rPr>
          <w:sz w:val="22"/>
          <w:szCs w:val="22"/>
          <w:lang w:val="pl-PL"/>
        </w:rPr>
        <w:t xml:space="preserve">II jest substancją wytwarzaną </w:t>
      </w:r>
      <w:r w:rsidR="00766956" w:rsidRPr="00BD22FE">
        <w:rPr>
          <w:sz w:val="22"/>
          <w:szCs w:val="22"/>
          <w:lang w:val="pl-PL"/>
        </w:rPr>
        <w:t>przez </w:t>
      </w:r>
      <w:r w:rsidRPr="00BD22FE">
        <w:rPr>
          <w:sz w:val="22"/>
          <w:szCs w:val="22"/>
          <w:lang w:val="pl-PL"/>
        </w:rPr>
        <w:t xml:space="preserve">organizm, </w:t>
      </w:r>
      <w:r w:rsidR="00766956" w:rsidRPr="00BD22FE">
        <w:rPr>
          <w:sz w:val="22"/>
          <w:szCs w:val="22"/>
          <w:lang w:val="pl-PL"/>
        </w:rPr>
        <w:t xml:space="preserve">która </w:t>
      </w:r>
      <w:r w:rsidRPr="00BD22FE">
        <w:rPr>
          <w:sz w:val="22"/>
          <w:szCs w:val="22"/>
          <w:lang w:val="pl-PL"/>
        </w:rPr>
        <w:t>powoduj</w:t>
      </w:r>
      <w:r w:rsidR="00766956" w:rsidRPr="00BD22FE">
        <w:rPr>
          <w:sz w:val="22"/>
          <w:szCs w:val="22"/>
          <w:lang w:val="pl-PL"/>
        </w:rPr>
        <w:t>e</w:t>
      </w:r>
      <w:r w:rsidRPr="00BD22FE">
        <w:rPr>
          <w:sz w:val="22"/>
          <w:szCs w:val="22"/>
          <w:lang w:val="pl-PL"/>
        </w:rPr>
        <w:t xml:space="preserve"> zwężenie naczyń krwionośnych, </w:t>
      </w:r>
      <w:r w:rsidR="000C2E97" w:rsidRPr="00BD22FE">
        <w:rPr>
          <w:sz w:val="22"/>
          <w:szCs w:val="22"/>
          <w:lang w:val="pl-PL"/>
        </w:rPr>
        <w:t xml:space="preserve">co prowadzi do zwiększenia </w:t>
      </w:r>
      <w:r w:rsidRPr="00BD22FE">
        <w:rPr>
          <w:sz w:val="22"/>
          <w:szCs w:val="22"/>
          <w:lang w:val="pl-PL"/>
        </w:rPr>
        <w:t>ciśnieni</w:t>
      </w:r>
      <w:r w:rsidR="000C2E97" w:rsidRPr="00BD22FE">
        <w:rPr>
          <w:sz w:val="22"/>
          <w:szCs w:val="22"/>
          <w:lang w:val="pl-PL"/>
        </w:rPr>
        <w:t>a</w:t>
      </w:r>
      <w:r w:rsidRPr="00BD22FE">
        <w:rPr>
          <w:sz w:val="22"/>
          <w:szCs w:val="22"/>
          <w:lang w:val="pl-PL"/>
        </w:rPr>
        <w:t xml:space="preserve"> tętnicze</w:t>
      </w:r>
      <w:r w:rsidR="000C2E97" w:rsidRPr="00BD22FE">
        <w:rPr>
          <w:sz w:val="22"/>
          <w:szCs w:val="22"/>
          <w:lang w:val="pl-PL"/>
        </w:rPr>
        <w:t>go krwi</w:t>
      </w:r>
      <w:r w:rsidRPr="00BD22FE">
        <w:rPr>
          <w:sz w:val="22"/>
          <w:szCs w:val="22"/>
          <w:lang w:val="pl-PL"/>
        </w:rPr>
        <w:t xml:space="preserve">. Telmisartan </w:t>
      </w:r>
      <w:r w:rsidR="000C2E97" w:rsidRPr="00BD22FE">
        <w:rPr>
          <w:sz w:val="22"/>
          <w:szCs w:val="22"/>
          <w:lang w:val="pl-PL"/>
        </w:rPr>
        <w:t xml:space="preserve">hamuje </w:t>
      </w:r>
      <w:r w:rsidRPr="00BD22FE">
        <w:rPr>
          <w:sz w:val="22"/>
          <w:szCs w:val="22"/>
          <w:lang w:val="pl-PL"/>
        </w:rPr>
        <w:t>działanie angiotensyny</w:t>
      </w:r>
      <w:r w:rsidR="001E0877" w:rsidRPr="00BD22FE">
        <w:rPr>
          <w:sz w:val="22"/>
          <w:szCs w:val="22"/>
          <w:lang w:val="pl-PL"/>
        </w:rPr>
        <w:t> </w:t>
      </w:r>
      <w:r w:rsidRPr="00BD22FE">
        <w:rPr>
          <w:sz w:val="22"/>
          <w:szCs w:val="22"/>
          <w:lang w:val="pl-PL"/>
        </w:rPr>
        <w:t xml:space="preserve">II, </w:t>
      </w:r>
      <w:r w:rsidR="000C2E97" w:rsidRPr="00BD22FE">
        <w:rPr>
          <w:sz w:val="22"/>
          <w:szCs w:val="22"/>
          <w:lang w:val="pl-PL"/>
        </w:rPr>
        <w:t>dzięki czemu</w:t>
      </w:r>
      <w:r w:rsidRPr="00BD22FE">
        <w:rPr>
          <w:sz w:val="22"/>
          <w:szCs w:val="22"/>
          <w:lang w:val="pl-PL"/>
        </w:rPr>
        <w:t xml:space="preserve"> naczynia krwionośne </w:t>
      </w:r>
      <w:r w:rsidR="000C2E97" w:rsidRPr="00BD22FE">
        <w:rPr>
          <w:sz w:val="22"/>
          <w:szCs w:val="22"/>
          <w:lang w:val="pl-PL"/>
        </w:rPr>
        <w:t>się</w:t>
      </w:r>
      <w:r w:rsidR="00824064" w:rsidRPr="00BD22FE">
        <w:rPr>
          <w:sz w:val="22"/>
          <w:szCs w:val="22"/>
          <w:lang w:val="pl-PL"/>
        </w:rPr>
        <w:t> </w:t>
      </w:r>
      <w:r w:rsidR="00270A39" w:rsidRPr="00BD22FE">
        <w:rPr>
          <w:sz w:val="22"/>
          <w:szCs w:val="22"/>
          <w:lang w:val="pl-PL"/>
        </w:rPr>
        <w:t>roz</w:t>
      </w:r>
      <w:r w:rsidR="000C2E97" w:rsidRPr="00BD22FE">
        <w:rPr>
          <w:sz w:val="22"/>
          <w:szCs w:val="22"/>
          <w:lang w:val="pl-PL"/>
        </w:rPr>
        <w:t>kurczają</w:t>
      </w:r>
      <w:r w:rsidRPr="00BD22FE">
        <w:rPr>
          <w:sz w:val="22"/>
          <w:szCs w:val="22"/>
          <w:lang w:val="pl-PL"/>
        </w:rPr>
        <w:t>, a</w:t>
      </w:r>
      <w:r w:rsidR="00717A7B" w:rsidRPr="00BD22FE">
        <w:rPr>
          <w:sz w:val="22"/>
          <w:szCs w:val="22"/>
          <w:lang w:val="pl-PL"/>
        </w:rPr>
        <w:t> </w:t>
      </w:r>
      <w:r w:rsidRPr="00BD22FE">
        <w:rPr>
          <w:sz w:val="22"/>
          <w:szCs w:val="22"/>
          <w:lang w:val="pl-PL"/>
        </w:rPr>
        <w:t xml:space="preserve">ciśnienie tętnicze </w:t>
      </w:r>
      <w:r w:rsidR="000C2E97" w:rsidRPr="00BD22FE">
        <w:rPr>
          <w:sz w:val="22"/>
          <w:szCs w:val="22"/>
          <w:lang w:val="pl-PL"/>
        </w:rPr>
        <w:t xml:space="preserve">krwi ulega </w:t>
      </w:r>
      <w:r w:rsidRPr="00BD22FE">
        <w:rPr>
          <w:sz w:val="22"/>
          <w:szCs w:val="22"/>
          <w:lang w:val="pl-PL"/>
        </w:rPr>
        <w:t>obniż</w:t>
      </w:r>
      <w:r w:rsidR="000C2E97" w:rsidRPr="00BD22FE">
        <w:rPr>
          <w:sz w:val="22"/>
          <w:szCs w:val="22"/>
          <w:lang w:val="pl-PL"/>
        </w:rPr>
        <w:t>eniu</w:t>
      </w:r>
      <w:r w:rsidRPr="00BD22FE">
        <w:rPr>
          <w:sz w:val="22"/>
          <w:szCs w:val="22"/>
          <w:lang w:val="pl-PL"/>
        </w:rPr>
        <w:t>.</w:t>
      </w:r>
    </w:p>
    <w:p w14:paraId="7B712488" w14:textId="73707E1E" w:rsidR="000016E2" w:rsidRPr="00BD22FE" w:rsidRDefault="000016E2" w:rsidP="00A610E1">
      <w:pPr>
        <w:pStyle w:val="BodyText"/>
        <w:spacing w:line="240" w:lineRule="auto"/>
        <w:ind w:left="540" w:hanging="540"/>
        <w:jc w:val="left"/>
        <w:rPr>
          <w:sz w:val="22"/>
          <w:szCs w:val="22"/>
          <w:lang w:val="pl-PL"/>
        </w:rPr>
      </w:pPr>
    </w:p>
    <w:p w14:paraId="72ECA410" w14:textId="41F45306" w:rsidR="003A7E3D" w:rsidRPr="00BD22FE" w:rsidRDefault="00104CA8" w:rsidP="00A610E1">
      <w:pPr>
        <w:pStyle w:val="BodyText"/>
        <w:numPr>
          <w:ilvl w:val="0"/>
          <w:numId w:val="6"/>
        </w:numPr>
        <w:tabs>
          <w:tab w:val="clear" w:pos="2520"/>
        </w:tabs>
        <w:spacing w:line="240" w:lineRule="auto"/>
        <w:ind w:left="567" w:hanging="567"/>
        <w:jc w:val="left"/>
        <w:rPr>
          <w:sz w:val="22"/>
          <w:szCs w:val="22"/>
          <w:lang w:val="pl-PL"/>
        </w:rPr>
      </w:pPr>
      <w:r w:rsidRPr="00BD22FE">
        <w:rPr>
          <w:sz w:val="22"/>
          <w:szCs w:val="22"/>
          <w:lang w:val="pl-PL"/>
        </w:rPr>
        <w:t>Hydrochlorotiazyd należy do grupy leków zwanych tiazydowymi lekami moczopędnymi, zwiększa wydalanie moczu, co prowadzi do obniżenia ciśnienia tętniczego</w:t>
      </w:r>
      <w:r w:rsidR="004A67B0" w:rsidRPr="00BD22FE">
        <w:rPr>
          <w:sz w:val="22"/>
          <w:szCs w:val="22"/>
          <w:lang w:val="pl-PL"/>
        </w:rPr>
        <w:t xml:space="preserve"> krwi</w:t>
      </w:r>
      <w:r w:rsidRPr="00BD22FE">
        <w:rPr>
          <w:sz w:val="22"/>
          <w:szCs w:val="22"/>
          <w:lang w:val="pl-PL"/>
        </w:rPr>
        <w:t>.</w:t>
      </w:r>
    </w:p>
    <w:p w14:paraId="39C8F6C8" w14:textId="548E5200" w:rsidR="000016E2" w:rsidRPr="00BD22FE" w:rsidRDefault="000016E2" w:rsidP="00A610E1">
      <w:pPr>
        <w:pStyle w:val="BodyText"/>
        <w:spacing w:line="240" w:lineRule="auto"/>
        <w:jc w:val="left"/>
        <w:rPr>
          <w:sz w:val="22"/>
          <w:szCs w:val="22"/>
          <w:lang w:val="pl-PL"/>
        </w:rPr>
      </w:pPr>
    </w:p>
    <w:p w14:paraId="6DB02F12" w14:textId="6B57D57A" w:rsidR="000016E2" w:rsidRPr="00BD22FE" w:rsidRDefault="00104CA8" w:rsidP="00A610E1">
      <w:pPr>
        <w:pStyle w:val="BodyText"/>
        <w:spacing w:line="240" w:lineRule="auto"/>
        <w:jc w:val="left"/>
        <w:rPr>
          <w:sz w:val="22"/>
          <w:szCs w:val="22"/>
          <w:lang w:val="pl-PL"/>
        </w:rPr>
      </w:pPr>
      <w:r w:rsidRPr="00BD22FE">
        <w:rPr>
          <w:sz w:val="22"/>
          <w:szCs w:val="22"/>
          <w:lang w:val="pl-PL"/>
        </w:rPr>
        <w:t xml:space="preserve">Nieleczone </w:t>
      </w:r>
      <w:r w:rsidR="001D5E4A" w:rsidRPr="00BD22FE">
        <w:rPr>
          <w:sz w:val="22"/>
          <w:szCs w:val="22"/>
          <w:lang w:val="pl-PL"/>
        </w:rPr>
        <w:t xml:space="preserve">wysokie </w:t>
      </w:r>
      <w:r w:rsidRPr="00BD22FE">
        <w:rPr>
          <w:sz w:val="22"/>
          <w:szCs w:val="22"/>
          <w:lang w:val="pl-PL"/>
        </w:rPr>
        <w:t xml:space="preserve">ciśnienie tętnicze </w:t>
      </w:r>
      <w:r w:rsidR="001D5E4A" w:rsidRPr="00BD22FE">
        <w:rPr>
          <w:sz w:val="22"/>
          <w:szCs w:val="22"/>
          <w:lang w:val="pl-PL"/>
        </w:rPr>
        <w:t xml:space="preserve">krwi </w:t>
      </w:r>
      <w:r w:rsidRPr="00BD22FE">
        <w:rPr>
          <w:sz w:val="22"/>
          <w:szCs w:val="22"/>
          <w:lang w:val="pl-PL"/>
        </w:rPr>
        <w:t>może powodować uszkodzenie naczyń krwionośnych w </w:t>
      </w:r>
      <w:r w:rsidR="001D5E4A" w:rsidRPr="00BD22FE">
        <w:rPr>
          <w:sz w:val="22"/>
          <w:szCs w:val="22"/>
          <w:lang w:val="pl-PL"/>
        </w:rPr>
        <w:t xml:space="preserve">różnych </w:t>
      </w:r>
      <w:r w:rsidRPr="00BD22FE">
        <w:rPr>
          <w:sz w:val="22"/>
          <w:szCs w:val="22"/>
          <w:lang w:val="pl-PL"/>
        </w:rPr>
        <w:t xml:space="preserve">narządach, </w:t>
      </w:r>
      <w:r w:rsidR="001D5E4A" w:rsidRPr="00BD22FE">
        <w:rPr>
          <w:sz w:val="22"/>
          <w:szCs w:val="22"/>
          <w:lang w:val="pl-PL"/>
        </w:rPr>
        <w:t>co niekiedy</w:t>
      </w:r>
      <w:r w:rsidRPr="00BD22FE">
        <w:rPr>
          <w:sz w:val="22"/>
          <w:szCs w:val="22"/>
          <w:lang w:val="pl-PL"/>
        </w:rPr>
        <w:t xml:space="preserve"> może </w:t>
      </w:r>
      <w:r w:rsidR="001D5E4A" w:rsidRPr="00BD22FE">
        <w:rPr>
          <w:sz w:val="22"/>
          <w:szCs w:val="22"/>
          <w:lang w:val="pl-PL"/>
        </w:rPr>
        <w:t>prowadzić do</w:t>
      </w:r>
      <w:r w:rsidRPr="00BD22FE">
        <w:rPr>
          <w:sz w:val="22"/>
          <w:szCs w:val="22"/>
          <w:lang w:val="pl-PL"/>
        </w:rPr>
        <w:t xml:space="preserve"> zawał</w:t>
      </w:r>
      <w:r w:rsidR="001D5E4A" w:rsidRPr="00BD22FE">
        <w:rPr>
          <w:sz w:val="22"/>
          <w:szCs w:val="22"/>
          <w:lang w:val="pl-PL"/>
        </w:rPr>
        <w:t>u</w:t>
      </w:r>
      <w:r w:rsidRPr="00BD22FE">
        <w:rPr>
          <w:sz w:val="22"/>
          <w:szCs w:val="22"/>
          <w:lang w:val="pl-PL"/>
        </w:rPr>
        <w:t xml:space="preserve"> serca, niewydolnoś</w:t>
      </w:r>
      <w:r w:rsidR="001D5E4A" w:rsidRPr="00BD22FE">
        <w:rPr>
          <w:sz w:val="22"/>
          <w:szCs w:val="22"/>
          <w:lang w:val="pl-PL"/>
        </w:rPr>
        <w:t>ci</w:t>
      </w:r>
      <w:r w:rsidRPr="00BD22FE">
        <w:rPr>
          <w:sz w:val="22"/>
          <w:szCs w:val="22"/>
          <w:lang w:val="pl-PL"/>
        </w:rPr>
        <w:t xml:space="preserve"> serca lub nerek, udar</w:t>
      </w:r>
      <w:r w:rsidR="001D5E4A" w:rsidRPr="00BD22FE">
        <w:rPr>
          <w:sz w:val="22"/>
          <w:szCs w:val="22"/>
          <w:lang w:val="pl-PL"/>
        </w:rPr>
        <w:t>u</w:t>
      </w:r>
      <w:r w:rsidRPr="00BD22FE">
        <w:rPr>
          <w:sz w:val="22"/>
          <w:szCs w:val="22"/>
          <w:lang w:val="pl-PL"/>
        </w:rPr>
        <w:t xml:space="preserve"> lub utrat</w:t>
      </w:r>
      <w:r w:rsidR="001D5E4A" w:rsidRPr="00BD22FE">
        <w:rPr>
          <w:sz w:val="22"/>
          <w:szCs w:val="22"/>
          <w:lang w:val="pl-PL"/>
        </w:rPr>
        <w:t>y</w:t>
      </w:r>
      <w:r w:rsidRPr="00BD22FE">
        <w:rPr>
          <w:sz w:val="22"/>
          <w:szCs w:val="22"/>
          <w:lang w:val="pl-PL"/>
        </w:rPr>
        <w:t xml:space="preserve"> wzroku. </w:t>
      </w:r>
      <w:r w:rsidR="001D5E4A" w:rsidRPr="00BD22FE">
        <w:rPr>
          <w:sz w:val="22"/>
          <w:szCs w:val="22"/>
          <w:lang w:val="pl-PL"/>
        </w:rPr>
        <w:t xml:space="preserve">Zwykle </w:t>
      </w:r>
      <w:r w:rsidRPr="00BD22FE">
        <w:rPr>
          <w:sz w:val="22"/>
          <w:szCs w:val="22"/>
          <w:lang w:val="pl-PL"/>
        </w:rPr>
        <w:t xml:space="preserve">przed pojawieniem się powyższych powikłań nie obserwuje się żadnych objawów </w:t>
      </w:r>
      <w:r w:rsidR="001D5E4A" w:rsidRPr="00BD22FE">
        <w:rPr>
          <w:sz w:val="22"/>
          <w:szCs w:val="22"/>
          <w:lang w:val="pl-PL"/>
        </w:rPr>
        <w:t xml:space="preserve">wysokiego </w:t>
      </w:r>
      <w:r w:rsidRPr="00BD22FE">
        <w:rPr>
          <w:sz w:val="22"/>
          <w:szCs w:val="22"/>
          <w:lang w:val="pl-PL"/>
        </w:rPr>
        <w:t>ciśnienia</w:t>
      </w:r>
      <w:r w:rsidR="001D5E4A" w:rsidRPr="00BD22FE">
        <w:rPr>
          <w:sz w:val="22"/>
          <w:szCs w:val="22"/>
          <w:lang w:val="pl-PL"/>
        </w:rPr>
        <w:t xml:space="preserve"> tętniczego</w:t>
      </w:r>
      <w:r w:rsidRPr="00BD22FE">
        <w:rPr>
          <w:sz w:val="22"/>
          <w:szCs w:val="22"/>
          <w:lang w:val="pl-PL"/>
        </w:rPr>
        <w:t xml:space="preserve"> krwi. Z</w:t>
      </w:r>
      <w:r w:rsidR="00717A7B" w:rsidRPr="00BD22FE">
        <w:rPr>
          <w:sz w:val="22"/>
          <w:szCs w:val="22"/>
          <w:lang w:val="pl-PL"/>
        </w:rPr>
        <w:t> </w:t>
      </w:r>
      <w:r w:rsidRPr="00BD22FE">
        <w:rPr>
          <w:sz w:val="22"/>
          <w:szCs w:val="22"/>
          <w:lang w:val="pl-PL"/>
        </w:rPr>
        <w:t>tego względu ważne jest, aby regularnie mierzyć ciśnienie tętnicze krwi, żeby sprawdz</w:t>
      </w:r>
      <w:r w:rsidR="00F52775" w:rsidRPr="00BD22FE">
        <w:rPr>
          <w:sz w:val="22"/>
          <w:szCs w:val="22"/>
          <w:lang w:val="pl-PL"/>
        </w:rPr>
        <w:t>i</w:t>
      </w:r>
      <w:r w:rsidRPr="00BD22FE">
        <w:rPr>
          <w:sz w:val="22"/>
          <w:szCs w:val="22"/>
          <w:lang w:val="pl-PL"/>
        </w:rPr>
        <w:t>ć, czy mieści się on</w:t>
      </w:r>
      <w:r w:rsidR="001D5E4A" w:rsidRPr="00BD22FE">
        <w:rPr>
          <w:sz w:val="22"/>
          <w:szCs w:val="22"/>
          <w:lang w:val="pl-PL"/>
        </w:rPr>
        <w:t>o</w:t>
      </w:r>
      <w:r w:rsidRPr="00BD22FE">
        <w:rPr>
          <w:sz w:val="22"/>
          <w:szCs w:val="22"/>
          <w:lang w:val="pl-PL"/>
        </w:rPr>
        <w:t xml:space="preserve"> w</w:t>
      </w:r>
      <w:r w:rsidR="00717A7B" w:rsidRPr="00BD22FE">
        <w:rPr>
          <w:sz w:val="22"/>
          <w:szCs w:val="22"/>
          <w:lang w:val="pl-PL"/>
        </w:rPr>
        <w:t> </w:t>
      </w:r>
      <w:r w:rsidR="001D5E4A" w:rsidRPr="00BD22FE">
        <w:rPr>
          <w:sz w:val="22"/>
          <w:szCs w:val="22"/>
          <w:lang w:val="pl-PL"/>
        </w:rPr>
        <w:t xml:space="preserve">zakresie wartości </w:t>
      </w:r>
      <w:r w:rsidRPr="00BD22FE">
        <w:rPr>
          <w:sz w:val="22"/>
          <w:szCs w:val="22"/>
          <w:lang w:val="pl-PL"/>
        </w:rPr>
        <w:t>prawidłowy</w:t>
      </w:r>
      <w:r w:rsidR="00930FB6" w:rsidRPr="00BD22FE">
        <w:rPr>
          <w:sz w:val="22"/>
          <w:szCs w:val="22"/>
          <w:lang w:val="pl-PL"/>
        </w:rPr>
        <w:t>ch</w:t>
      </w:r>
      <w:r w:rsidRPr="00BD22FE">
        <w:rPr>
          <w:sz w:val="22"/>
          <w:szCs w:val="22"/>
          <w:lang w:val="pl-PL"/>
        </w:rPr>
        <w:t>.</w:t>
      </w:r>
    </w:p>
    <w:p w14:paraId="1B0AAC45" w14:textId="77777777" w:rsidR="000016E2" w:rsidRPr="00BD22FE" w:rsidRDefault="000016E2" w:rsidP="00A610E1">
      <w:pPr>
        <w:pStyle w:val="BodyText"/>
        <w:spacing w:line="240" w:lineRule="auto"/>
        <w:jc w:val="left"/>
        <w:rPr>
          <w:sz w:val="22"/>
          <w:szCs w:val="22"/>
          <w:lang w:val="pl-PL"/>
        </w:rPr>
      </w:pPr>
    </w:p>
    <w:p w14:paraId="037F87BF" w14:textId="23A59E6F" w:rsidR="000016E2" w:rsidRPr="00BD22FE" w:rsidRDefault="00104CA8" w:rsidP="00A610E1">
      <w:pPr>
        <w:pStyle w:val="BodyText"/>
        <w:spacing w:line="240" w:lineRule="auto"/>
        <w:jc w:val="left"/>
        <w:rPr>
          <w:rFonts w:eastAsia="MS Mincho"/>
          <w:sz w:val="22"/>
          <w:szCs w:val="22"/>
          <w:lang w:val="pl-PL" w:eastAsia="ja-JP"/>
        </w:rPr>
      </w:pPr>
      <w:r w:rsidRPr="009D16CE">
        <w:rPr>
          <w:rFonts w:eastAsia="MS Mincho"/>
          <w:bCs/>
          <w:sz w:val="22"/>
          <w:szCs w:val="22"/>
          <w:lang w:val="pl-PL" w:eastAsia="ja-JP"/>
        </w:rPr>
        <w:t>Lek MicardisPlus jest stosowany</w:t>
      </w:r>
      <w:r w:rsidRPr="00BD22FE">
        <w:rPr>
          <w:rFonts w:eastAsia="MS Mincho"/>
          <w:sz w:val="22"/>
          <w:szCs w:val="22"/>
          <w:lang w:val="pl-PL" w:eastAsia="ja-JP"/>
        </w:rPr>
        <w:t xml:space="preserve"> w</w:t>
      </w:r>
      <w:r w:rsidR="00717A7B" w:rsidRPr="00BD22FE">
        <w:rPr>
          <w:rFonts w:eastAsia="MS Mincho"/>
          <w:sz w:val="22"/>
          <w:szCs w:val="22"/>
          <w:lang w:val="pl-PL" w:eastAsia="ja-JP"/>
        </w:rPr>
        <w:t> </w:t>
      </w:r>
      <w:r w:rsidRPr="00BD22FE">
        <w:rPr>
          <w:rFonts w:eastAsia="MS Mincho"/>
          <w:sz w:val="22"/>
          <w:szCs w:val="22"/>
          <w:lang w:val="pl-PL" w:eastAsia="ja-JP"/>
        </w:rPr>
        <w:t>leczeniu wysokiego ciśnienia tętniczego (samoistnego nadciśnienia tętniczego) u</w:t>
      </w:r>
      <w:r w:rsidR="00717A7B" w:rsidRPr="00BD22FE">
        <w:rPr>
          <w:rFonts w:eastAsia="MS Mincho"/>
          <w:sz w:val="22"/>
          <w:szCs w:val="22"/>
          <w:lang w:val="pl-PL" w:eastAsia="ja-JP"/>
        </w:rPr>
        <w:t> </w:t>
      </w:r>
      <w:r w:rsidRPr="00BD22FE">
        <w:rPr>
          <w:rFonts w:eastAsia="MS Mincho"/>
          <w:sz w:val="22"/>
          <w:szCs w:val="22"/>
          <w:lang w:val="pl-PL" w:eastAsia="ja-JP"/>
        </w:rPr>
        <w:t>dorosłych, u</w:t>
      </w:r>
      <w:r w:rsidR="00717A7B" w:rsidRPr="00BD22FE">
        <w:rPr>
          <w:rFonts w:eastAsia="MS Mincho"/>
          <w:sz w:val="22"/>
          <w:szCs w:val="22"/>
          <w:lang w:val="pl-PL" w:eastAsia="ja-JP"/>
        </w:rPr>
        <w:t> </w:t>
      </w:r>
      <w:r w:rsidRPr="00BD22FE">
        <w:rPr>
          <w:rFonts w:eastAsia="MS Mincho"/>
          <w:sz w:val="22"/>
          <w:szCs w:val="22"/>
          <w:lang w:val="pl-PL" w:eastAsia="ja-JP"/>
        </w:rPr>
        <w:t>których ciśnienie tętnicze</w:t>
      </w:r>
      <w:r w:rsidR="00451FB0" w:rsidRPr="00BD22FE">
        <w:rPr>
          <w:rFonts w:eastAsia="MS Mincho"/>
          <w:sz w:val="22"/>
          <w:szCs w:val="22"/>
          <w:lang w:val="pl-PL" w:eastAsia="ja-JP"/>
        </w:rPr>
        <w:t xml:space="preserve"> krwi</w:t>
      </w:r>
      <w:r w:rsidRPr="00BD22FE">
        <w:rPr>
          <w:rFonts w:eastAsia="MS Mincho"/>
          <w:sz w:val="22"/>
          <w:szCs w:val="22"/>
          <w:lang w:val="pl-PL" w:eastAsia="ja-JP"/>
        </w:rPr>
        <w:t xml:space="preserve"> nie jest wystarczająco kontrolowane przez telmisartan lub hydrochlorotiazyd stosowany oddzielnie.</w:t>
      </w:r>
    </w:p>
    <w:p w14:paraId="4E875219" w14:textId="77777777" w:rsidR="000016E2" w:rsidRPr="00BD22FE" w:rsidRDefault="000016E2" w:rsidP="00A610E1">
      <w:pPr>
        <w:pStyle w:val="BodyText"/>
        <w:spacing w:line="240" w:lineRule="auto"/>
        <w:jc w:val="left"/>
        <w:rPr>
          <w:sz w:val="22"/>
          <w:szCs w:val="22"/>
          <w:lang w:val="pl-PL"/>
        </w:rPr>
      </w:pPr>
    </w:p>
    <w:p w14:paraId="38656D43" w14:textId="77777777" w:rsidR="000016E2" w:rsidRPr="00BD22FE" w:rsidRDefault="000016E2" w:rsidP="00A610E1">
      <w:pPr>
        <w:pStyle w:val="BodyText"/>
        <w:spacing w:line="240" w:lineRule="auto"/>
        <w:jc w:val="left"/>
        <w:rPr>
          <w:sz w:val="22"/>
          <w:szCs w:val="22"/>
          <w:lang w:val="pl-PL"/>
        </w:rPr>
      </w:pPr>
    </w:p>
    <w:p w14:paraId="01D3296F" w14:textId="77777777" w:rsidR="003A7E3D" w:rsidRPr="00BD22FE" w:rsidRDefault="00104CA8" w:rsidP="005E756D">
      <w:pPr>
        <w:pStyle w:val="BodyText"/>
        <w:keepNext/>
        <w:spacing w:line="240" w:lineRule="auto"/>
        <w:ind w:left="567" w:hanging="567"/>
        <w:jc w:val="left"/>
        <w:rPr>
          <w:b/>
          <w:sz w:val="22"/>
          <w:szCs w:val="22"/>
          <w:lang w:val="pl-PL"/>
        </w:rPr>
      </w:pPr>
      <w:r w:rsidRPr="00BD22FE">
        <w:rPr>
          <w:b/>
          <w:sz w:val="22"/>
          <w:szCs w:val="22"/>
          <w:lang w:val="pl-PL"/>
        </w:rPr>
        <w:t>2.</w:t>
      </w:r>
      <w:r w:rsidRPr="00BD22FE">
        <w:rPr>
          <w:b/>
          <w:sz w:val="22"/>
          <w:szCs w:val="22"/>
          <w:lang w:val="pl-PL"/>
        </w:rPr>
        <w:tab/>
        <w:t>Informacje ważne przed przyjęciem leku MicardisPlus</w:t>
      </w:r>
    </w:p>
    <w:p w14:paraId="53808915" w14:textId="7B5EE063" w:rsidR="000016E2" w:rsidRPr="00BD22FE" w:rsidRDefault="000016E2" w:rsidP="00941FBF">
      <w:pPr>
        <w:pStyle w:val="BodyText"/>
        <w:keepNext/>
        <w:spacing w:line="240" w:lineRule="auto"/>
        <w:jc w:val="left"/>
        <w:rPr>
          <w:sz w:val="22"/>
          <w:szCs w:val="22"/>
          <w:lang w:val="pl-PL"/>
        </w:rPr>
      </w:pPr>
    </w:p>
    <w:p w14:paraId="0517C632" w14:textId="77777777" w:rsidR="000016E2" w:rsidRPr="00BD22FE" w:rsidRDefault="00104CA8" w:rsidP="00941FBF">
      <w:pPr>
        <w:pStyle w:val="BodyText"/>
        <w:keepNext/>
        <w:spacing w:line="240" w:lineRule="auto"/>
        <w:jc w:val="left"/>
        <w:rPr>
          <w:b/>
          <w:sz w:val="22"/>
          <w:szCs w:val="22"/>
          <w:lang w:val="pl-PL"/>
        </w:rPr>
      </w:pPr>
      <w:r w:rsidRPr="00BD22FE">
        <w:rPr>
          <w:b/>
          <w:sz w:val="22"/>
          <w:szCs w:val="22"/>
          <w:lang w:val="pl-PL"/>
        </w:rPr>
        <w:t>Kiedy nie przyjmować leku MicardisPlus</w:t>
      </w:r>
    </w:p>
    <w:p w14:paraId="7C1B1E4A" w14:textId="6ABA0010" w:rsidR="000016E2" w:rsidRPr="00BD22FE" w:rsidRDefault="00104CA8" w:rsidP="006717CD">
      <w:pPr>
        <w:numPr>
          <w:ilvl w:val="0"/>
          <w:numId w:val="13"/>
        </w:numPr>
        <w:tabs>
          <w:tab w:val="clear" w:pos="567"/>
        </w:tabs>
        <w:rPr>
          <w:sz w:val="22"/>
          <w:szCs w:val="22"/>
          <w:lang w:val="pl-PL" w:bidi="bn-IN"/>
        </w:rPr>
      </w:pPr>
      <w:r w:rsidRPr="00BD22FE">
        <w:rPr>
          <w:sz w:val="22"/>
          <w:szCs w:val="22"/>
          <w:lang w:val="pl-PL"/>
        </w:rPr>
        <w:t>jeśli pacjent ma uczulenie na telmisartan lub którykolwiek z</w:t>
      </w:r>
      <w:r w:rsidR="00717A7B" w:rsidRPr="00BD22FE">
        <w:rPr>
          <w:sz w:val="22"/>
          <w:szCs w:val="22"/>
          <w:lang w:val="pl-PL"/>
        </w:rPr>
        <w:t> </w:t>
      </w:r>
      <w:r w:rsidRPr="00BD22FE">
        <w:rPr>
          <w:sz w:val="22"/>
          <w:szCs w:val="22"/>
          <w:lang w:val="pl-PL"/>
        </w:rPr>
        <w:t xml:space="preserve">pozostałych składników </w:t>
      </w:r>
      <w:r w:rsidRPr="00BD22FE">
        <w:rPr>
          <w:sz w:val="22"/>
          <w:szCs w:val="22"/>
          <w:lang w:val="pl-PL" w:bidi="bn-IN"/>
        </w:rPr>
        <w:t>tego leku (wymienionych w</w:t>
      </w:r>
      <w:r w:rsidR="00717A7B" w:rsidRPr="00BD22FE">
        <w:rPr>
          <w:sz w:val="22"/>
          <w:szCs w:val="22"/>
          <w:lang w:val="pl-PL" w:bidi="bn-IN"/>
        </w:rPr>
        <w:t> </w:t>
      </w:r>
      <w:r w:rsidRPr="00BD22FE">
        <w:rPr>
          <w:sz w:val="22"/>
          <w:szCs w:val="22"/>
          <w:lang w:val="pl-PL" w:bidi="bn-IN"/>
        </w:rPr>
        <w:t>punkcie 6);</w:t>
      </w:r>
    </w:p>
    <w:p w14:paraId="3765EA94" w14:textId="0EBB1234" w:rsidR="000016E2" w:rsidRPr="00BD22FE" w:rsidRDefault="00104CA8" w:rsidP="006717CD">
      <w:pPr>
        <w:numPr>
          <w:ilvl w:val="0"/>
          <w:numId w:val="7"/>
        </w:numPr>
        <w:tabs>
          <w:tab w:val="clear" w:pos="720"/>
        </w:tabs>
        <w:ind w:left="567" w:hanging="567"/>
        <w:rPr>
          <w:sz w:val="22"/>
          <w:szCs w:val="22"/>
          <w:lang w:val="pl-PL"/>
        </w:rPr>
      </w:pPr>
      <w:r w:rsidRPr="00BD22FE">
        <w:rPr>
          <w:sz w:val="22"/>
          <w:szCs w:val="22"/>
          <w:lang w:val="pl-PL"/>
        </w:rPr>
        <w:lastRenderedPageBreak/>
        <w:t xml:space="preserve">jeśli pacjent ma uczulenie na hydrochlorotiazyd lub </w:t>
      </w:r>
      <w:r w:rsidR="004E14B0" w:rsidRPr="00BD22FE">
        <w:rPr>
          <w:sz w:val="22"/>
          <w:szCs w:val="22"/>
          <w:lang w:val="pl-PL"/>
        </w:rPr>
        <w:t xml:space="preserve">którekolwiek </w:t>
      </w:r>
      <w:r w:rsidRPr="00BD22FE">
        <w:rPr>
          <w:sz w:val="22"/>
          <w:szCs w:val="22"/>
          <w:lang w:val="pl-PL"/>
        </w:rPr>
        <w:t>pochodne sulfonamidów;</w:t>
      </w:r>
    </w:p>
    <w:p w14:paraId="5BE5069B" w14:textId="79563D22" w:rsidR="000016E2" w:rsidRPr="00BD22FE" w:rsidRDefault="00104CA8" w:rsidP="006717CD">
      <w:pPr>
        <w:pStyle w:val="BodyText"/>
        <w:numPr>
          <w:ilvl w:val="0"/>
          <w:numId w:val="7"/>
        </w:numPr>
        <w:tabs>
          <w:tab w:val="clear" w:pos="720"/>
        </w:tabs>
        <w:spacing w:line="240" w:lineRule="auto"/>
        <w:ind w:left="567" w:hanging="567"/>
        <w:jc w:val="left"/>
        <w:rPr>
          <w:sz w:val="22"/>
          <w:szCs w:val="22"/>
          <w:lang w:val="pl-PL"/>
        </w:rPr>
      </w:pPr>
      <w:r w:rsidRPr="00BD22FE">
        <w:rPr>
          <w:sz w:val="22"/>
          <w:szCs w:val="22"/>
          <w:lang w:val="pl-PL"/>
        </w:rPr>
        <w:t xml:space="preserve">po </w:t>
      </w:r>
      <w:r w:rsidR="00FA2E0E" w:rsidRPr="00BD22FE">
        <w:rPr>
          <w:sz w:val="22"/>
          <w:szCs w:val="22"/>
          <w:lang w:val="pl-PL"/>
        </w:rPr>
        <w:t>3. </w:t>
      </w:r>
      <w:r w:rsidRPr="00BD22FE">
        <w:rPr>
          <w:sz w:val="22"/>
          <w:szCs w:val="22"/>
          <w:lang w:val="pl-PL"/>
        </w:rPr>
        <w:t>miesiącu ciąży (Również należy unikać stosowania leku MicardisPlus we wczesnym okresie ciąży – patrz punkt „Ciąża”);</w:t>
      </w:r>
    </w:p>
    <w:p w14:paraId="7C3B5626" w14:textId="623D74D1" w:rsidR="000016E2" w:rsidRPr="00BD22FE" w:rsidRDefault="00104CA8" w:rsidP="006717CD">
      <w:pPr>
        <w:pStyle w:val="BodyText"/>
        <w:numPr>
          <w:ilvl w:val="0"/>
          <w:numId w:val="7"/>
        </w:numPr>
        <w:tabs>
          <w:tab w:val="clear" w:pos="720"/>
        </w:tabs>
        <w:spacing w:line="240" w:lineRule="auto"/>
        <w:ind w:left="567" w:hanging="567"/>
        <w:jc w:val="left"/>
        <w:rPr>
          <w:sz w:val="22"/>
          <w:szCs w:val="22"/>
          <w:lang w:val="pl-PL"/>
        </w:rPr>
      </w:pPr>
      <w:r w:rsidRPr="00BD22FE">
        <w:rPr>
          <w:sz w:val="22"/>
          <w:szCs w:val="22"/>
          <w:lang w:val="pl-PL"/>
        </w:rPr>
        <w:t>jeśli u</w:t>
      </w:r>
      <w:r w:rsidR="00717A7B" w:rsidRPr="00BD22FE">
        <w:rPr>
          <w:sz w:val="22"/>
          <w:szCs w:val="22"/>
          <w:lang w:val="pl-PL"/>
        </w:rPr>
        <w:t> </w:t>
      </w:r>
      <w:r w:rsidRPr="00BD22FE">
        <w:rPr>
          <w:sz w:val="22"/>
          <w:szCs w:val="22"/>
          <w:lang w:val="pl-PL"/>
        </w:rPr>
        <w:t>pacjenta występuj</w:t>
      </w:r>
      <w:r w:rsidR="00380ECE" w:rsidRPr="00BD22FE">
        <w:rPr>
          <w:sz w:val="22"/>
          <w:szCs w:val="22"/>
          <w:lang w:val="pl-PL"/>
        </w:rPr>
        <w:t>ą</w:t>
      </w:r>
      <w:r w:rsidRPr="00BD22FE">
        <w:rPr>
          <w:sz w:val="22"/>
          <w:szCs w:val="22"/>
          <w:lang w:val="pl-PL"/>
        </w:rPr>
        <w:t xml:space="preserve"> ciężk</w:t>
      </w:r>
      <w:r w:rsidR="00380ECE" w:rsidRPr="00BD22FE">
        <w:rPr>
          <w:sz w:val="22"/>
          <w:szCs w:val="22"/>
          <w:lang w:val="pl-PL"/>
        </w:rPr>
        <w:t>ie</w:t>
      </w:r>
      <w:r w:rsidRPr="00BD22FE">
        <w:rPr>
          <w:sz w:val="22"/>
          <w:szCs w:val="22"/>
          <w:lang w:val="pl-PL"/>
        </w:rPr>
        <w:t xml:space="preserve"> </w:t>
      </w:r>
      <w:r w:rsidR="00380ECE" w:rsidRPr="00BD22FE">
        <w:rPr>
          <w:sz w:val="22"/>
          <w:szCs w:val="22"/>
          <w:lang w:val="pl-PL"/>
        </w:rPr>
        <w:t xml:space="preserve">zaburzenia czynności </w:t>
      </w:r>
      <w:r w:rsidRPr="00BD22FE">
        <w:rPr>
          <w:sz w:val="22"/>
          <w:szCs w:val="22"/>
          <w:lang w:val="pl-PL"/>
        </w:rPr>
        <w:t>wątroby, tak</w:t>
      </w:r>
      <w:r w:rsidR="008C79A8" w:rsidRPr="00BD22FE">
        <w:rPr>
          <w:sz w:val="22"/>
          <w:szCs w:val="22"/>
          <w:lang w:val="pl-PL"/>
        </w:rPr>
        <w:t>ie</w:t>
      </w:r>
      <w:r w:rsidRPr="00BD22FE">
        <w:rPr>
          <w:sz w:val="22"/>
          <w:szCs w:val="22"/>
          <w:lang w:val="pl-PL"/>
        </w:rPr>
        <w:t xml:space="preserve"> jak zastój żółci lub zwężenie </w:t>
      </w:r>
      <w:r w:rsidR="008C79A8" w:rsidRPr="00BD22FE">
        <w:rPr>
          <w:sz w:val="22"/>
          <w:szCs w:val="22"/>
          <w:lang w:val="pl-PL"/>
        </w:rPr>
        <w:t>drogi jej odpływu</w:t>
      </w:r>
      <w:r w:rsidRPr="00BD22FE">
        <w:rPr>
          <w:sz w:val="22"/>
          <w:szCs w:val="22"/>
          <w:lang w:val="pl-PL"/>
        </w:rPr>
        <w:t xml:space="preserve"> (</w:t>
      </w:r>
      <w:r w:rsidR="008C79A8" w:rsidRPr="00BD22FE">
        <w:rPr>
          <w:sz w:val="22"/>
          <w:szCs w:val="22"/>
          <w:lang w:val="pl-PL"/>
        </w:rPr>
        <w:t>problemy z </w:t>
      </w:r>
      <w:r w:rsidRPr="00BD22FE">
        <w:rPr>
          <w:sz w:val="22"/>
          <w:szCs w:val="22"/>
          <w:lang w:val="pl-PL"/>
        </w:rPr>
        <w:t>odpływ</w:t>
      </w:r>
      <w:r w:rsidR="008C79A8" w:rsidRPr="00BD22FE">
        <w:rPr>
          <w:sz w:val="22"/>
          <w:szCs w:val="22"/>
          <w:lang w:val="pl-PL"/>
        </w:rPr>
        <w:t>em</w:t>
      </w:r>
      <w:r w:rsidRPr="00BD22FE">
        <w:rPr>
          <w:sz w:val="22"/>
          <w:szCs w:val="22"/>
          <w:lang w:val="pl-PL"/>
        </w:rPr>
        <w:t xml:space="preserve"> żółci z</w:t>
      </w:r>
      <w:r w:rsidR="00717A7B" w:rsidRPr="00BD22FE">
        <w:rPr>
          <w:sz w:val="22"/>
          <w:szCs w:val="22"/>
          <w:lang w:val="pl-PL"/>
        </w:rPr>
        <w:t> </w:t>
      </w:r>
      <w:r w:rsidRPr="00BD22FE">
        <w:rPr>
          <w:sz w:val="22"/>
          <w:szCs w:val="22"/>
          <w:lang w:val="pl-PL"/>
        </w:rPr>
        <w:t>wątroby i</w:t>
      </w:r>
      <w:r w:rsidR="00717A7B" w:rsidRPr="00BD22FE">
        <w:rPr>
          <w:sz w:val="22"/>
          <w:szCs w:val="22"/>
          <w:lang w:val="pl-PL"/>
        </w:rPr>
        <w:t> </w:t>
      </w:r>
      <w:r w:rsidRPr="00BD22FE">
        <w:rPr>
          <w:sz w:val="22"/>
          <w:szCs w:val="22"/>
          <w:lang w:val="pl-PL"/>
        </w:rPr>
        <w:t>pęcherzyka żółciowego) lub jakakolwiek inna ciężka choroba wątroby;</w:t>
      </w:r>
    </w:p>
    <w:p w14:paraId="0B64FAF3" w14:textId="77777777" w:rsidR="000016E2" w:rsidRPr="00BD22FE" w:rsidRDefault="00104CA8" w:rsidP="006717CD">
      <w:pPr>
        <w:pStyle w:val="BodyText"/>
        <w:numPr>
          <w:ilvl w:val="0"/>
          <w:numId w:val="7"/>
        </w:numPr>
        <w:tabs>
          <w:tab w:val="clear" w:pos="720"/>
        </w:tabs>
        <w:spacing w:line="240" w:lineRule="auto"/>
        <w:ind w:left="567" w:hanging="567"/>
        <w:jc w:val="left"/>
        <w:rPr>
          <w:sz w:val="22"/>
          <w:szCs w:val="22"/>
          <w:lang w:val="pl-PL"/>
        </w:rPr>
      </w:pPr>
      <w:r w:rsidRPr="00BD22FE">
        <w:rPr>
          <w:sz w:val="22"/>
          <w:szCs w:val="22"/>
          <w:lang w:val="pl-PL"/>
        </w:rPr>
        <w:t>jeśli pacjent ma ciężką chorobę nerek lub bezmocz (mniej niż 100 ml moczu na dobę);</w:t>
      </w:r>
    </w:p>
    <w:p w14:paraId="3BFBFB98" w14:textId="77777777" w:rsidR="000016E2" w:rsidRPr="00BD22FE" w:rsidRDefault="00104CA8" w:rsidP="006717CD">
      <w:pPr>
        <w:pStyle w:val="BodyText"/>
        <w:numPr>
          <w:ilvl w:val="0"/>
          <w:numId w:val="7"/>
        </w:numPr>
        <w:tabs>
          <w:tab w:val="clear" w:pos="720"/>
        </w:tabs>
        <w:spacing w:line="240" w:lineRule="auto"/>
        <w:ind w:left="567" w:hanging="567"/>
        <w:jc w:val="left"/>
        <w:rPr>
          <w:sz w:val="22"/>
          <w:szCs w:val="22"/>
          <w:lang w:val="pl-PL"/>
        </w:rPr>
      </w:pPr>
      <w:r w:rsidRPr="00BD22FE">
        <w:rPr>
          <w:sz w:val="22"/>
          <w:szCs w:val="22"/>
          <w:lang w:val="pl-PL"/>
        </w:rPr>
        <w:t>jeśli lekarz stwierdzi występowanie małego stężenia potasu lub dużego stężenia wapnia we krwi, które nie ulegają poprawie na skutek leczenia;</w:t>
      </w:r>
    </w:p>
    <w:p w14:paraId="4CEFBC5A" w14:textId="5F2D71B6" w:rsidR="000016E2" w:rsidRPr="00BD22FE" w:rsidRDefault="00104CA8" w:rsidP="006717CD">
      <w:pPr>
        <w:numPr>
          <w:ilvl w:val="0"/>
          <w:numId w:val="7"/>
        </w:numPr>
        <w:tabs>
          <w:tab w:val="clear" w:pos="720"/>
        </w:tabs>
        <w:ind w:left="567" w:hanging="567"/>
        <w:rPr>
          <w:sz w:val="22"/>
          <w:szCs w:val="22"/>
          <w:lang w:val="pl-PL"/>
        </w:rPr>
      </w:pPr>
      <w:r w:rsidRPr="00BD22FE">
        <w:rPr>
          <w:sz w:val="22"/>
          <w:szCs w:val="22"/>
          <w:lang w:val="pl-PL"/>
        </w:rPr>
        <w:t>jeśli pacjent ma cukrzycę lub zaburzenia czynności nerek i</w:t>
      </w:r>
      <w:r w:rsidR="00717A7B" w:rsidRPr="00BD22FE">
        <w:rPr>
          <w:sz w:val="22"/>
          <w:szCs w:val="22"/>
          <w:lang w:val="pl-PL"/>
        </w:rPr>
        <w:t> </w:t>
      </w:r>
      <w:r w:rsidRPr="00BD22FE">
        <w:rPr>
          <w:sz w:val="22"/>
          <w:szCs w:val="22"/>
          <w:lang w:val="pl-PL"/>
        </w:rPr>
        <w:t xml:space="preserve">jest leczony lekiem obniżającym ciśnienie </w:t>
      </w:r>
      <w:r w:rsidR="00B25D4B" w:rsidRPr="00BD22FE">
        <w:rPr>
          <w:sz w:val="22"/>
          <w:szCs w:val="22"/>
          <w:lang w:val="pl-PL"/>
        </w:rPr>
        <w:t xml:space="preserve">tętnicze </w:t>
      </w:r>
      <w:r w:rsidRPr="00BD22FE">
        <w:rPr>
          <w:sz w:val="22"/>
          <w:szCs w:val="22"/>
          <w:lang w:val="pl-PL"/>
        </w:rPr>
        <w:t>krwi zawierającym aliskiren.</w:t>
      </w:r>
    </w:p>
    <w:p w14:paraId="2419A323" w14:textId="77777777" w:rsidR="000016E2" w:rsidRPr="00BD22FE" w:rsidRDefault="000016E2" w:rsidP="00941FBF">
      <w:pPr>
        <w:pStyle w:val="BodyText"/>
        <w:spacing w:line="240" w:lineRule="auto"/>
        <w:jc w:val="left"/>
        <w:rPr>
          <w:sz w:val="22"/>
          <w:szCs w:val="22"/>
          <w:lang w:val="pl-PL"/>
        </w:rPr>
      </w:pPr>
    </w:p>
    <w:p w14:paraId="06943269" w14:textId="17D4A8D9" w:rsidR="000016E2" w:rsidRPr="00BD22FE" w:rsidRDefault="00104CA8" w:rsidP="00941FBF">
      <w:pPr>
        <w:pStyle w:val="BodyText"/>
        <w:spacing w:line="240" w:lineRule="auto"/>
        <w:jc w:val="left"/>
        <w:rPr>
          <w:sz w:val="22"/>
          <w:szCs w:val="22"/>
          <w:lang w:val="pl-PL"/>
        </w:rPr>
      </w:pPr>
      <w:r w:rsidRPr="00BD22FE">
        <w:rPr>
          <w:sz w:val="22"/>
          <w:szCs w:val="22"/>
          <w:lang w:val="pl-PL"/>
        </w:rPr>
        <w:t xml:space="preserve">Jeżeli którakolwiek powyższa sytuacja dotyczy pacjenta, należy poinformować lekarza lub farmaceutę przed </w:t>
      </w:r>
      <w:r w:rsidR="004D4FAD" w:rsidRPr="00BD22FE">
        <w:rPr>
          <w:sz w:val="22"/>
          <w:szCs w:val="22"/>
          <w:lang w:val="pl-PL"/>
        </w:rPr>
        <w:t xml:space="preserve">przyjęciem </w:t>
      </w:r>
      <w:r w:rsidRPr="00BD22FE">
        <w:rPr>
          <w:sz w:val="22"/>
          <w:szCs w:val="22"/>
          <w:lang w:val="pl-PL"/>
        </w:rPr>
        <w:t>leku MicardisPlus.</w:t>
      </w:r>
    </w:p>
    <w:p w14:paraId="7E5E9E90" w14:textId="77777777" w:rsidR="000016E2" w:rsidRPr="00BD22FE" w:rsidRDefault="000016E2" w:rsidP="00A610E1">
      <w:pPr>
        <w:pStyle w:val="BodyText"/>
        <w:spacing w:line="240" w:lineRule="auto"/>
        <w:jc w:val="left"/>
        <w:rPr>
          <w:sz w:val="22"/>
          <w:szCs w:val="22"/>
          <w:lang w:val="pl-PL"/>
        </w:rPr>
      </w:pPr>
    </w:p>
    <w:p w14:paraId="0EF5F1E7" w14:textId="618169E3" w:rsidR="000016E2" w:rsidRPr="00BD22FE" w:rsidRDefault="00104CA8" w:rsidP="00A610E1">
      <w:pPr>
        <w:keepNext/>
        <w:rPr>
          <w:b/>
          <w:sz w:val="22"/>
          <w:szCs w:val="22"/>
          <w:lang w:val="pl-PL" w:bidi="bn-IN"/>
        </w:rPr>
      </w:pPr>
      <w:r w:rsidRPr="00BD22FE">
        <w:rPr>
          <w:b/>
          <w:sz w:val="22"/>
          <w:szCs w:val="22"/>
          <w:lang w:val="pl-PL" w:bidi="bn-IN"/>
        </w:rPr>
        <w:t>Ostrzeżenia i</w:t>
      </w:r>
      <w:r w:rsidR="00717A7B" w:rsidRPr="00BD22FE">
        <w:rPr>
          <w:b/>
          <w:sz w:val="22"/>
          <w:szCs w:val="22"/>
          <w:lang w:val="pl-PL" w:bidi="bn-IN"/>
        </w:rPr>
        <w:t> </w:t>
      </w:r>
      <w:r w:rsidRPr="00BD22FE">
        <w:rPr>
          <w:b/>
          <w:sz w:val="22"/>
          <w:szCs w:val="22"/>
          <w:lang w:val="pl-PL" w:bidi="bn-IN"/>
        </w:rPr>
        <w:t>środki ostrożności</w:t>
      </w:r>
    </w:p>
    <w:p w14:paraId="39FD6219" w14:textId="5FDA7D40" w:rsidR="003A7E3D" w:rsidRPr="00BD22FE" w:rsidRDefault="00104CA8" w:rsidP="00A610E1">
      <w:pPr>
        <w:pStyle w:val="BodyText"/>
        <w:keepNext/>
        <w:spacing w:line="240" w:lineRule="auto"/>
        <w:jc w:val="left"/>
        <w:rPr>
          <w:sz w:val="22"/>
          <w:szCs w:val="22"/>
          <w:lang w:val="pl-PL"/>
        </w:rPr>
      </w:pPr>
      <w:r w:rsidRPr="00BD22FE">
        <w:rPr>
          <w:sz w:val="22"/>
          <w:szCs w:val="22"/>
          <w:lang w:val="pl-PL"/>
        </w:rPr>
        <w:t>Przed rozpoczęciem przyjmowania leku MicardisPlus należy omówić to z</w:t>
      </w:r>
      <w:r w:rsidR="00717A7B" w:rsidRPr="00BD22FE">
        <w:rPr>
          <w:sz w:val="22"/>
          <w:szCs w:val="22"/>
          <w:lang w:val="pl-PL"/>
        </w:rPr>
        <w:t> </w:t>
      </w:r>
      <w:r w:rsidRPr="00BD22FE">
        <w:rPr>
          <w:sz w:val="22"/>
          <w:szCs w:val="22"/>
          <w:lang w:val="pl-PL"/>
        </w:rPr>
        <w:t>lekarzem, jeśli u</w:t>
      </w:r>
      <w:r w:rsidR="00717A7B" w:rsidRPr="00BD22FE">
        <w:rPr>
          <w:sz w:val="22"/>
          <w:szCs w:val="22"/>
          <w:lang w:val="pl-PL"/>
        </w:rPr>
        <w:t> </w:t>
      </w:r>
      <w:r w:rsidRPr="00BD22FE">
        <w:rPr>
          <w:sz w:val="22"/>
          <w:szCs w:val="22"/>
          <w:lang w:val="pl-PL"/>
        </w:rPr>
        <w:t>pacjenta występują lub występowały którekolwiek z</w:t>
      </w:r>
      <w:r w:rsidR="00717A7B" w:rsidRPr="00BD22FE">
        <w:rPr>
          <w:sz w:val="22"/>
          <w:szCs w:val="22"/>
          <w:lang w:val="pl-PL"/>
        </w:rPr>
        <w:t> </w:t>
      </w:r>
      <w:r w:rsidRPr="00BD22FE">
        <w:rPr>
          <w:sz w:val="22"/>
          <w:szCs w:val="22"/>
          <w:lang w:val="pl-PL"/>
        </w:rPr>
        <w:t>poniższych stanów lub chorób:</w:t>
      </w:r>
    </w:p>
    <w:p w14:paraId="0B82B7D8" w14:textId="77777777" w:rsidR="004D4FAD" w:rsidRPr="00BD22FE" w:rsidRDefault="004D4FAD" w:rsidP="00A610E1">
      <w:pPr>
        <w:pStyle w:val="BodyText"/>
        <w:keepNext/>
        <w:spacing w:line="240" w:lineRule="auto"/>
        <w:jc w:val="left"/>
        <w:rPr>
          <w:sz w:val="22"/>
          <w:szCs w:val="22"/>
          <w:lang w:val="pl-PL"/>
        </w:rPr>
      </w:pPr>
    </w:p>
    <w:p w14:paraId="21C42117" w14:textId="5E595CE7" w:rsidR="000016E2" w:rsidRPr="00BD22FE" w:rsidRDefault="00104CA8" w:rsidP="00A610E1">
      <w:pPr>
        <w:pStyle w:val="BodyText"/>
        <w:numPr>
          <w:ilvl w:val="0"/>
          <w:numId w:val="8"/>
        </w:numPr>
        <w:tabs>
          <w:tab w:val="clear" w:pos="567"/>
        </w:tabs>
        <w:spacing w:line="240" w:lineRule="auto"/>
        <w:jc w:val="left"/>
        <w:rPr>
          <w:rFonts w:eastAsia="MS Mincho"/>
          <w:sz w:val="22"/>
          <w:szCs w:val="22"/>
          <w:lang w:val="pl-PL" w:eastAsia="ja-JP"/>
        </w:rPr>
      </w:pPr>
      <w:r w:rsidRPr="00BD22FE">
        <w:rPr>
          <w:rFonts w:eastAsia="MS Mincho"/>
          <w:sz w:val="22"/>
          <w:szCs w:val="22"/>
          <w:lang w:val="pl-PL" w:eastAsia="ja-JP"/>
        </w:rPr>
        <w:t>niskie ciśnienie tętnicze krwi (niedociśnienie), którego prawdopodobieństwo wystąpienia jest większe, jeśli pacjent jest odwodniony (nadmiern</w:t>
      </w:r>
      <w:r w:rsidR="00E35F30" w:rsidRPr="00BD22FE">
        <w:rPr>
          <w:rFonts w:eastAsia="MS Mincho"/>
          <w:sz w:val="22"/>
          <w:szCs w:val="22"/>
          <w:lang w:val="pl-PL" w:eastAsia="ja-JP"/>
        </w:rPr>
        <w:t>a</w:t>
      </w:r>
      <w:r w:rsidRPr="00BD22FE">
        <w:rPr>
          <w:rFonts w:eastAsia="MS Mincho"/>
          <w:sz w:val="22"/>
          <w:szCs w:val="22"/>
          <w:lang w:val="pl-PL" w:eastAsia="ja-JP"/>
        </w:rPr>
        <w:t xml:space="preserve"> utrat</w:t>
      </w:r>
      <w:r w:rsidR="00E35F30" w:rsidRPr="00BD22FE">
        <w:rPr>
          <w:rFonts w:eastAsia="MS Mincho"/>
          <w:sz w:val="22"/>
          <w:szCs w:val="22"/>
          <w:lang w:val="pl-PL" w:eastAsia="ja-JP"/>
        </w:rPr>
        <w:t>a</w:t>
      </w:r>
      <w:r w:rsidRPr="00BD22FE">
        <w:rPr>
          <w:rFonts w:eastAsia="MS Mincho"/>
          <w:sz w:val="22"/>
          <w:szCs w:val="22"/>
          <w:lang w:val="pl-PL" w:eastAsia="ja-JP"/>
        </w:rPr>
        <w:t xml:space="preserve"> wody z</w:t>
      </w:r>
      <w:r w:rsidR="00717A7B" w:rsidRPr="00BD22FE">
        <w:rPr>
          <w:rFonts w:eastAsia="MS Mincho"/>
          <w:sz w:val="22"/>
          <w:szCs w:val="22"/>
          <w:lang w:val="pl-PL" w:eastAsia="ja-JP"/>
        </w:rPr>
        <w:t> </w:t>
      </w:r>
      <w:r w:rsidRPr="00BD22FE">
        <w:rPr>
          <w:rFonts w:eastAsia="MS Mincho"/>
          <w:sz w:val="22"/>
          <w:szCs w:val="22"/>
          <w:lang w:val="pl-PL" w:eastAsia="ja-JP"/>
        </w:rPr>
        <w:t>organizmu) lub ma niedobór soli z</w:t>
      </w:r>
      <w:r w:rsidR="00717A7B" w:rsidRPr="00BD22FE">
        <w:rPr>
          <w:rFonts w:eastAsia="MS Mincho"/>
          <w:sz w:val="22"/>
          <w:szCs w:val="22"/>
          <w:lang w:val="pl-PL" w:eastAsia="ja-JP"/>
        </w:rPr>
        <w:t> </w:t>
      </w:r>
      <w:r w:rsidRPr="00BD22FE">
        <w:rPr>
          <w:rFonts w:eastAsia="MS Mincho"/>
          <w:sz w:val="22"/>
          <w:szCs w:val="22"/>
          <w:lang w:val="pl-PL" w:eastAsia="ja-JP"/>
        </w:rPr>
        <w:t>powodu stosowania leków moczopędnych (tabletek odwadniających), diety ubogosolnej, biegunki, wymiotów lub hemofiltracji;</w:t>
      </w:r>
    </w:p>
    <w:p w14:paraId="7C3638DB" w14:textId="39060EAF" w:rsidR="000016E2" w:rsidRPr="00BD22FE" w:rsidRDefault="00104CA8" w:rsidP="00A610E1">
      <w:pPr>
        <w:pStyle w:val="BodyText"/>
        <w:numPr>
          <w:ilvl w:val="0"/>
          <w:numId w:val="8"/>
        </w:numPr>
        <w:tabs>
          <w:tab w:val="clear" w:pos="567"/>
        </w:tabs>
        <w:spacing w:line="240" w:lineRule="auto"/>
        <w:jc w:val="left"/>
        <w:rPr>
          <w:rFonts w:eastAsia="MS Mincho"/>
          <w:sz w:val="22"/>
          <w:szCs w:val="22"/>
          <w:lang w:val="pl-PL" w:eastAsia="ja-JP"/>
        </w:rPr>
      </w:pPr>
      <w:r w:rsidRPr="00BD22FE">
        <w:rPr>
          <w:rFonts w:eastAsia="MS Mincho"/>
          <w:sz w:val="22"/>
          <w:szCs w:val="22"/>
          <w:lang w:val="pl-PL" w:eastAsia="ja-JP"/>
        </w:rPr>
        <w:t xml:space="preserve">choroba nerek lub </w:t>
      </w:r>
      <w:r w:rsidR="00880845" w:rsidRPr="00BD22FE">
        <w:rPr>
          <w:rFonts w:eastAsia="MS Mincho"/>
          <w:sz w:val="22"/>
          <w:szCs w:val="22"/>
          <w:lang w:val="pl-PL" w:eastAsia="ja-JP"/>
        </w:rPr>
        <w:t>stan po </w:t>
      </w:r>
      <w:r w:rsidRPr="00BD22FE">
        <w:rPr>
          <w:rFonts w:eastAsia="MS Mincho"/>
          <w:sz w:val="22"/>
          <w:szCs w:val="22"/>
          <w:lang w:val="pl-PL" w:eastAsia="ja-JP"/>
        </w:rPr>
        <w:t>przeszczep</w:t>
      </w:r>
      <w:r w:rsidR="00880845" w:rsidRPr="00BD22FE">
        <w:rPr>
          <w:rFonts w:eastAsia="MS Mincho"/>
          <w:sz w:val="22"/>
          <w:szCs w:val="22"/>
          <w:lang w:val="pl-PL" w:eastAsia="ja-JP"/>
        </w:rPr>
        <w:t>ieniu</w:t>
      </w:r>
      <w:r w:rsidRPr="00BD22FE">
        <w:rPr>
          <w:rFonts w:eastAsia="MS Mincho"/>
          <w:sz w:val="22"/>
          <w:szCs w:val="22"/>
          <w:lang w:val="pl-PL" w:eastAsia="ja-JP"/>
        </w:rPr>
        <w:t xml:space="preserve"> nerki;</w:t>
      </w:r>
    </w:p>
    <w:p w14:paraId="47303107" w14:textId="1BD5B883" w:rsidR="000016E2" w:rsidRPr="00BD22FE" w:rsidRDefault="00104CA8" w:rsidP="00A610E1">
      <w:pPr>
        <w:pStyle w:val="BodyText"/>
        <w:numPr>
          <w:ilvl w:val="0"/>
          <w:numId w:val="8"/>
        </w:numPr>
        <w:tabs>
          <w:tab w:val="clear" w:pos="567"/>
        </w:tabs>
        <w:spacing w:line="240" w:lineRule="auto"/>
        <w:jc w:val="left"/>
        <w:rPr>
          <w:rFonts w:eastAsia="MS Mincho"/>
          <w:sz w:val="22"/>
          <w:szCs w:val="22"/>
          <w:lang w:val="pl-PL" w:eastAsia="ja-JP"/>
        </w:rPr>
      </w:pPr>
      <w:r w:rsidRPr="00BD22FE">
        <w:rPr>
          <w:rFonts w:eastAsia="MS Mincho"/>
          <w:sz w:val="22"/>
          <w:szCs w:val="22"/>
          <w:lang w:val="pl-PL" w:eastAsia="ja-JP"/>
        </w:rPr>
        <w:t xml:space="preserve">zwężenie tętnicy nerkowej (zwężenie naczyń krwionośnych </w:t>
      </w:r>
      <w:r w:rsidR="00977128" w:rsidRPr="00BD22FE">
        <w:rPr>
          <w:rFonts w:eastAsia="MS Mincho"/>
          <w:sz w:val="22"/>
          <w:szCs w:val="22"/>
          <w:lang w:val="pl-PL" w:eastAsia="ja-JP"/>
        </w:rPr>
        <w:t xml:space="preserve">zaopatrujących </w:t>
      </w:r>
      <w:r w:rsidRPr="00BD22FE">
        <w:rPr>
          <w:rFonts w:eastAsia="MS Mincho"/>
          <w:sz w:val="22"/>
          <w:szCs w:val="22"/>
          <w:lang w:val="pl-PL" w:eastAsia="ja-JP"/>
        </w:rPr>
        <w:t>jed</w:t>
      </w:r>
      <w:r w:rsidR="00977128" w:rsidRPr="00BD22FE">
        <w:rPr>
          <w:rFonts w:eastAsia="MS Mincho"/>
          <w:sz w:val="22"/>
          <w:szCs w:val="22"/>
          <w:lang w:val="pl-PL" w:eastAsia="ja-JP"/>
        </w:rPr>
        <w:t>ną</w:t>
      </w:r>
      <w:r w:rsidRPr="00BD22FE">
        <w:rPr>
          <w:rFonts w:eastAsia="MS Mincho"/>
          <w:sz w:val="22"/>
          <w:szCs w:val="22"/>
          <w:lang w:val="pl-PL" w:eastAsia="ja-JP"/>
        </w:rPr>
        <w:t xml:space="preserve"> lub ob</w:t>
      </w:r>
      <w:r w:rsidR="00977128" w:rsidRPr="00BD22FE">
        <w:rPr>
          <w:rFonts w:eastAsia="MS Mincho"/>
          <w:sz w:val="22"/>
          <w:szCs w:val="22"/>
          <w:lang w:val="pl-PL" w:eastAsia="ja-JP"/>
        </w:rPr>
        <w:t>ydwie</w:t>
      </w:r>
      <w:r w:rsidRPr="00BD22FE">
        <w:rPr>
          <w:rFonts w:eastAsia="MS Mincho"/>
          <w:sz w:val="22"/>
          <w:szCs w:val="22"/>
          <w:lang w:val="pl-PL" w:eastAsia="ja-JP"/>
        </w:rPr>
        <w:t xml:space="preserve"> ner</w:t>
      </w:r>
      <w:r w:rsidR="00977128" w:rsidRPr="00BD22FE">
        <w:rPr>
          <w:rFonts w:eastAsia="MS Mincho"/>
          <w:sz w:val="22"/>
          <w:szCs w:val="22"/>
          <w:lang w:val="pl-PL" w:eastAsia="ja-JP"/>
        </w:rPr>
        <w:t>ki</w:t>
      </w:r>
      <w:r w:rsidRPr="00BD22FE">
        <w:rPr>
          <w:rFonts w:eastAsia="MS Mincho"/>
          <w:sz w:val="22"/>
          <w:szCs w:val="22"/>
          <w:lang w:val="pl-PL" w:eastAsia="ja-JP"/>
        </w:rPr>
        <w:t>)</w:t>
      </w:r>
      <w:r w:rsidR="00687DD8" w:rsidRPr="00BD22FE">
        <w:rPr>
          <w:rFonts w:eastAsia="MS Mincho"/>
          <w:sz w:val="22"/>
          <w:szCs w:val="22"/>
          <w:lang w:val="pl-PL" w:eastAsia="ja-JP"/>
        </w:rPr>
        <w:t>;</w:t>
      </w:r>
    </w:p>
    <w:p w14:paraId="1ED5C2F8" w14:textId="77777777" w:rsidR="000016E2" w:rsidRPr="00BD22FE" w:rsidRDefault="00104CA8" w:rsidP="00A610E1">
      <w:pPr>
        <w:pStyle w:val="BodyText"/>
        <w:numPr>
          <w:ilvl w:val="0"/>
          <w:numId w:val="8"/>
        </w:numPr>
        <w:tabs>
          <w:tab w:val="clear" w:pos="567"/>
        </w:tabs>
        <w:spacing w:line="240" w:lineRule="auto"/>
        <w:jc w:val="left"/>
        <w:rPr>
          <w:rFonts w:eastAsia="MS Mincho"/>
          <w:sz w:val="22"/>
          <w:szCs w:val="22"/>
          <w:lang w:val="pl-PL" w:eastAsia="ja-JP"/>
        </w:rPr>
      </w:pPr>
      <w:r w:rsidRPr="00BD22FE">
        <w:rPr>
          <w:rFonts w:eastAsia="MS Mincho"/>
          <w:sz w:val="22"/>
          <w:szCs w:val="22"/>
          <w:lang w:val="pl-PL" w:eastAsia="ja-JP"/>
        </w:rPr>
        <w:t>choroba wątroby;</w:t>
      </w:r>
    </w:p>
    <w:p w14:paraId="09A56D61" w14:textId="711449FC" w:rsidR="000016E2" w:rsidRPr="00BD22FE" w:rsidRDefault="001B553B" w:rsidP="00A610E1">
      <w:pPr>
        <w:pStyle w:val="BodyText"/>
        <w:numPr>
          <w:ilvl w:val="0"/>
          <w:numId w:val="8"/>
        </w:numPr>
        <w:tabs>
          <w:tab w:val="clear" w:pos="567"/>
        </w:tabs>
        <w:spacing w:line="240" w:lineRule="auto"/>
        <w:jc w:val="left"/>
        <w:rPr>
          <w:rFonts w:eastAsia="MS Mincho"/>
          <w:sz w:val="22"/>
          <w:szCs w:val="22"/>
          <w:lang w:val="pl-PL" w:eastAsia="ja-JP"/>
        </w:rPr>
      </w:pPr>
      <w:r w:rsidRPr="00BD22FE">
        <w:rPr>
          <w:sz w:val="22"/>
          <w:szCs w:val="22"/>
          <w:lang w:val="pl-PL"/>
        </w:rPr>
        <w:t>zaburzenia dotyczące</w:t>
      </w:r>
      <w:r w:rsidR="00104CA8" w:rsidRPr="00BD22FE">
        <w:rPr>
          <w:rFonts w:eastAsia="MS Mincho"/>
          <w:sz w:val="22"/>
          <w:szCs w:val="22"/>
          <w:lang w:val="pl-PL" w:eastAsia="ja-JP"/>
        </w:rPr>
        <w:t xml:space="preserve"> serca;</w:t>
      </w:r>
    </w:p>
    <w:p w14:paraId="2A61C814" w14:textId="77777777" w:rsidR="000016E2" w:rsidRPr="00BD22FE" w:rsidRDefault="00104CA8" w:rsidP="00A610E1">
      <w:pPr>
        <w:pStyle w:val="BodyText"/>
        <w:numPr>
          <w:ilvl w:val="0"/>
          <w:numId w:val="8"/>
        </w:numPr>
        <w:tabs>
          <w:tab w:val="clear" w:pos="567"/>
        </w:tabs>
        <w:spacing w:line="240" w:lineRule="auto"/>
        <w:jc w:val="left"/>
        <w:rPr>
          <w:rFonts w:eastAsia="MS Mincho"/>
          <w:sz w:val="22"/>
          <w:szCs w:val="22"/>
          <w:lang w:val="pl-PL" w:eastAsia="ja-JP"/>
        </w:rPr>
      </w:pPr>
      <w:r w:rsidRPr="00BD22FE">
        <w:rPr>
          <w:rFonts w:eastAsia="MS Mincho"/>
          <w:sz w:val="22"/>
          <w:szCs w:val="22"/>
          <w:lang w:val="pl-PL" w:eastAsia="ja-JP"/>
        </w:rPr>
        <w:t>cukrzyca;</w:t>
      </w:r>
    </w:p>
    <w:p w14:paraId="044576B2" w14:textId="77777777" w:rsidR="000016E2" w:rsidRPr="00BD22FE" w:rsidRDefault="00104CA8" w:rsidP="00A610E1">
      <w:pPr>
        <w:pStyle w:val="BodyText"/>
        <w:numPr>
          <w:ilvl w:val="0"/>
          <w:numId w:val="8"/>
        </w:numPr>
        <w:tabs>
          <w:tab w:val="clear" w:pos="567"/>
        </w:tabs>
        <w:spacing w:line="240" w:lineRule="auto"/>
        <w:jc w:val="left"/>
        <w:rPr>
          <w:rFonts w:eastAsia="MS Mincho"/>
          <w:sz w:val="22"/>
          <w:szCs w:val="22"/>
          <w:lang w:val="pl-PL" w:eastAsia="ja-JP"/>
        </w:rPr>
      </w:pPr>
      <w:r w:rsidRPr="00BD22FE">
        <w:rPr>
          <w:rFonts w:eastAsia="MS Mincho"/>
          <w:sz w:val="22"/>
          <w:szCs w:val="22"/>
          <w:lang w:val="pl-PL" w:eastAsia="ja-JP"/>
        </w:rPr>
        <w:t>dna moczanowa;</w:t>
      </w:r>
    </w:p>
    <w:p w14:paraId="77E72C74" w14:textId="5113AD02" w:rsidR="000016E2" w:rsidRPr="00BD22FE" w:rsidRDefault="00104CA8" w:rsidP="00A610E1">
      <w:pPr>
        <w:pStyle w:val="BodyText"/>
        <w:numPr>
          <w:ilvl w:val="0"/>
          <w:numId w:val="8"/>
        </w:numPr>
        <w:tabs>
          <w:tab w:val="clear" w:pos="567"/>
        </w:tabs>
        <w:spacing w:line="240" w:lineRule="auto"/>
        <w:jc w:val="left"/>
        <w:rPr>
          <w:rFonts w:eastAsia="MS Mincho"/>
          <w:sz w:val="22"/>
          <w:szCs w:val="22"/>
          <w:lang w:val="pl-PL" w:eastAsia="ja-JP"/>
        </w:rPr>
      </w:pPr>
      <w:r w:rsidRPr="00BD22FE">
        <w:rPr>
          <w:rFonts w:eastAsia="MS Mincho"/>
          <w:sz w:val="22"/>
          <w:szCs w:val="22"/>
          <w:lang w:val="pl-PL" w:eastAsia="ja-JP"/>
        </w:rPr>
        <w:t>zwiększone stężenie aldosteronu (zatrzymanie wody i</w:t>
      </w:r>
      <w:r w:rsidR="00717A7B" w:rsidRPr="00BD22FE">
        <w:rPr>
          <w:rFonts w:eastAsia="MS Mincho"/>
          <w:sz w:val="22"/>
          <w:szCs w:val="22"/>
          <w:lang w:val="pl-PL" w:eastAsia="ja-JP"/>
        </w:rPr>
        <w:t> </w:t>
      </w:r>
      <w:r w:rsidRPr="00BD22FE">
        <w:rPr>
          <w:rFonts w:eastAsia="MS Mincho"/>
          <w:sz w:val="22"/>
          <w:szCs w:val="22"/>
          <w:lang w:val="pl-PL" w:eastAsia="ja-JP"/>
        </w:rPr>
        <w:t>soli w</w:t>
      </w:r>
      <w:r w:rsidR="00717A7B" w:rsidRPr="00BD22FE">
        <w:rPr>
          <w:rFonts w:eastAsia="MS Mincho"/>
          <w:sz w:val="22"/>
          <w:szCs w:val="22"/>
          <w:lang w:val="pl-PL" w:eastAsia="ja-JP"/>
        </w:rPr>
        <w:t> </w:t>
      </w:r>
      <w:r w:rsidRPr="00BD22FE">
        <w:rPr>
          <w:rFonts w:eastAsia="MS Mincho"/>
          <w:sz w:val="22"/>
          <w:szCs w:val="22"/>
          <w:lang w:val="pl-PL" w:eastAsia="ja-JP"/>
        </w:rPr>
        <w:t>organizmie</w:t>
      </w:r>
      <w:r w:rsidR="001B553B" w:rsidRPr="00BD22FE">
        <w:rPr>
          <w:rFonts w:eastAsia="MS Mincho"/>
          <w:sz w:val="22"/>
          <w:szCs w:val="22"/>
          <w:lang w:val="pl-PL" w:eastAsia="ja-JP"/>
        </w:rPr>
        <w:t>,</w:t>
      </w:r>
      <w:r w:rsidRPr="00BD22FE">
        <w:rPr>
          <w:rFonts w:eastAsia="MS Mincho"/>
          <w:sz w:val="22"/>
          <w:szCs w:val="22"/>
          <w:lang w:val="pl-PL" w:eastAsia="ja-JP"/>
        </w:rPr>
        <w:t xml:space="preserve"> </w:t>
      </w:r>
      <w:r w:rsidR="001B553B" w:rsidRPr="00BD22FE">
        <w:rPr>
          <w:sz w:val="22"/>
          <w:szCs w:val="22"/>
          <w:lang w:val="pl-PL"/>
        </w:rPr>
        <w:t xml:space="preserve">któremu towarzyszą </w:t>
      </w:r>
      <w:r w:rsidRPr="00BD22FE">
        <w:rPr>
          <w:rFonts w:eastAsia="MS Mincho"/>
          <w:sz w:val="22"/>
          <w:szCs w:val="22"/>
          <w:lang w:val="pl-PL" w:eastAsia="ja-JP"/>
        </w:rPr>
        <w:t>zaburzeni</w:t>
      </w:r>
      <w:r w:rsidR="001B553B" w:rsidRPr="00BD22FE">
        <w:rPr>
          <w:rFonts w:eastAsia="MS Mincho"/>
          <w:sz w:val="22"/>
          <w:szCs w:val="22"/>
          <w:lang w:val="pl-PL" w:eastAsia="ja-JP"/>
        </w:rPr>
        <w:t>a</w:t>
      </w:r>
      <w:r w:rsidRPr="00BD22FE">
        <w:rPr>
          <w:rFonts w:eastAsia="MS Mincho"/>
          <w:sz w:val="22"/>
          <w:szCs w:val="22"/>
          <w:lang w:val="pl-PL" w:eastAsia="ja-JP"/>
        </w:rPr>
        <w:t xml:space="preserve"> równowagi </w:t>
      </w:r>
      <w:r w:rsidR="001B553B" w:rsidRPr="00BD22FE">
        <w:rPr>
          <w:sz w:val="22"/>
          <w:szCs w:val="22"/>
          <w:lang w:val="pl-PL"/>
        </w:rPr>
        <w:t>różnych składników mineralnych we krwi</w:t>
      </w:r>
      <w:r w:rsidRPr="00BD22FE">
        <w:rPr>
          <w:rFonts w:eastAsia="MS Mincho"/>
          <w:sz w:val="22"/>
          <w:szCs w:val="22"/>
          <w:lang w:val="pl-PL" w:eastAsia="ja-JP"/>
        </w:rPr>
        <w:t>);</w:t>
      </w:r>
    </w:p>
    <w:p w14:paraId="7AA15B45" w14:textId="6C87A40D" w:rsidR="000016E2" w:rsidRPr="00BD22FE" w:rsidRDefault="00104CA8" w:rsidP="00A610E1">
      <w:pPr>
        <w:pStyle w:val="BodyText"/>
        <w:numPr>
          <w:ilvl w:val="0"/>
          <w:numId w:val="8"/>
        </w:numPr>
        <w:tabs>
          <w:tab w:val="clear" w:pos="567"/>
        </w:tabs>
        <w:spacing w:line="240" w:lineRule="auto"/>
        <w:jc w:val="left"/>
        <w:rPr>
          <w:rFonts w:eastAsia="MS Mincho"/>
          <w:sz w:val="22"/>
          <w:szCs w:val="22"/>
          <w:lang w:val="pl-PL" w:eastAsia="ja-JP"/>
        </w:rPr>
      </w:pPr>
      <w:r w:rsidRPr="00BD22FE">
        <w:rPr>
          <w:rFonts w:eastAsia="MS Mincho"/>
          <w:sz w:val="22"/>
          <w:szCs w:val="22"/>
          <w:lang w:val="pl-PL" w:eastAsia="ja-JP"/>
        </w:rPr>
        <w:t>toczeń rumieniowaty układowy (zwany również „toczniem” lub „SLE”), choroba, w</w:t>
      </w:r>
      <w:r w:rsidR="00717A7B" w:rsidRPr="00BD22FE">
        <w:rPr>
          <w:rFonts w:eastAsia="MS Mincho"/>
          <w:sz w:val="22"/>
          <w:szCs w:val="22"/>
          <w:lang w:val="pl-PL" w:eastAsia="ja-JP"/>
        </w:rPr>
        <w:t> </w:t>
      </w:r>
      <w:r w:rsidRPr="00BD22FE">
        <w:rPr>
          <w:rFonts w:eastAsia="MS Mincho"/>
          <w:sz w:val="22"/>
          <w:szCs w:val="22"/>
          <w:lang w:val="pl-PL" w:eastAsia="ja-JP"/>
        </w:rPr>
        <w:t>przebiegu której układ odpornościowy atakuje własny organizm;</w:t>
      </w:r>
    </w:p>
    <w:p w14:paraId="1B374D18" w14:textId="2A65CEAD" w:rsidR="000016E2" w:rsidRPr="00BD22FE" w:rsidRDefault="00104CA8" w:rsidP="00A610E1">
      <w:pPr>
        <w:pStyle w:val="BodyText"/>
        <w:numPr>
          <w:ilvl w:val="0"/>
          <w:numId w:val="8"/>
        </w:numPr>
        <w:tabs>
          <w:tab w:val="clear" w:pos="567"/>
        </w:tabs>
        <w:spacing w:line="240" w:lineRule="auto"/>
        <w:jc w:val="left"/>
        <w:rPr>
          <w:rFonts w:eastAsia="MS Mincho"/>
          <w:sz w:val="22"/>
          <w:szCs w:val="22"/>
          <w:lang w:val="pl-PL" w:eastAsia="ja-JP"/>
        </w:rPr>
      </w:pPr>
      <w:r w:rsidRPr="00BD22FE">
        <w:rPr>
          <w:rFonts w:eastAsia="MS Mincho"/>
          <w:sz w:val="22"/>
          <w:szCs w:val="22"/>
          <w:lang w:val="pl-PL" w:eastAsia="ja-JP"/>
        </w:rPr>
        <w:t>substancja czynna hydrochlorotiazyd może powodować rzadkie reakcje powodujące ograniczenie widzenia i</w:t>
      </w:r>
      <w:r w:rsidR="00717A7B" w:rsidRPr="00BD22FE">
        <w:rPr>
          <w:rFonts w:eastAsia="MS Mincho"/>
          <w:sz w:val="22"/>
          <w:szCs w:val="22"/>
          <w:lang w:val="pl-PL" w:eastAsia="ja-JP"/>
        </w:rPr>
        <w:t> </w:t>
      </w:r>
      <w:r w:rsidRPr="00BD22FE">
        <w:rPr>
          <w:rFonts w:eastAsia="MS Mincho"/>
          <w:sz w:val="22"/>
          <w:szCs w:val="22"/>
          <w:lang w:val="pl-PL" w:eastAsia="ja-JP"/>
        </w:rPr>
        <w:t>ból oczu. Mogą to być objawy gromadzenia się płynu w</w:t>
      </w:r>
      <w:r w:rsidR="00717A7B" w:rsidRPr="00BD22FE">
        <w:rPr>
          <w:rFonts w:eastAsia="MS Mincho"/>
          <w:sz w:val="22"/>
          <w:szCs w:val="22"/>
          <w:lang w:val="pl-PL" w:eastAsia="ja-JP"/>
        </w:rPr>
        <w:t> </w:t>
      </w:r>
      <w:r w:rsidRPr="00BD22FE">
        <w:rPr>
          <w:rFonts w:eastAsia="MS Mincho"/>
          <w:sz w:val="22"/>
          <w:szCs w:val="22"/>
          <w:lang w:val="pl-PL" w:eastAsia="ja-JP"/>
        </w:rPr>
        <w:t>unaczynionej błonie otaczającej oko (nadmiernego nagromadzenia płynu między naczyniówką a</w:t>
      </w:r>
      <w:r w:rsidR="00717A7B" w:rsidRPr="00BD22FE">
        <w:rPr>
          <w:rFonts w:eastAsia="MS Mincho"/>
          <w:sz w:val="22"/>
          <w:szCs w:val="22"/>
          <w:lang w:val="pl-PL" w:eastAsia="ja-JP"/>
        </w:rPr>
        <w:t> </w:t>
      </w:r>
      <w:r w:rsidRPr="00BD22FE">
        <w:rPr>
          <w:rFonts w:eastAsia="MS Mincho"/>
          <w:sz w:val="22"/>
          <w:szCs w:val="22"/>
          <w:lang w:val="pl-PL" w:eastAsia="ja-JP"/>
        </w:rPr>
        <w:t>twardówką) lub zwiększonego ciśnienia w</w:t>
      </w:r>
      <w:r w:rsidR="00717A7B" w:rsidRPr="00BD22FE">
        <w:rPr>
          <w:rFonts w:eastAsia="MS Mincho"/>
          <w:sz w:val="22"/>
          <w:szCs w:val="22"/>
          <w:lang w:val="pl-PL" w:eastAsia="ja-JP"/>
        </w:rPr>
        <w:t> </w:t>
      </w:r>
      <w:r w:rsidRPr="00BD22FE">
        <w:rPr>
          <w:rFonts w:eastAsia="MS Mincho"/>
          <w:sz w:val="22"/>
          <w:szCs w:val="22"/>
          <w:lang w:val="pl-PL" w:eastAsia="ja-JP"/>
        </w:rPr>
        <w:t>gałce ocznej, które mogą się pojawić w</w:t>
      </w:r>
      <w:r w:rsidR="00717A7B" w:rsidRPr="00BD22FE">
        <w:rPr>
          <w:rFonts w:eastAsia="MS Mincho"/>
          <w:sz w:val="22"/>
          <w:szCs w:val="22"/>
          <w:lang w:val="pl-PL" w:eastAsia="ja-JP"/>
        </w:rPr>
        <w:t> </w:t>
      </w:r>
      <w:r w:rsidRPr="00BD22FE">
        <w:rPr>
          <w:rFonts w:eastAsia="MS Mincho"/>
          <w:sz w:val="22"/>
          <w:szCs w:val="22"/>
          <w:lang w:val="pl-PL" w:eastAsia="ja-JP"/>
        </w:rPr>
        <w:t>ciągu kilku godzin do kilku tygodni od przyjęcia leku MicardisPlus. Nieleczone mogą prowadzić do trwałego zaburzenia wzroku.</w:t>
      </w:r>
    </w:p>
    <w:p w14:paraId="33956245" w14:textId="668B9E79" w:rsidR="000016E2" w:rsidRPr="00BD22FE" w:rsidRDefault="00104CA8" w:rsidP="00A610E1">
      <w:pPr>
        <w:pStyle w:val="BodyText"/>
        <w:numPr>
          <w:ilvl w:val="0"/>
          <w:numId w:val="8"/>
        </w:numPr>
        <w:tabs>
          <w:tab w:val="clear" w:pos="567"/>
        </w:tabs>
        <w:spacing w:line="240" w:lineRule="auto"/>
        <w:jc w:val="left"/>
        <w:rPr>
          <w:rFonts w:eastAsia="MS Mincho"/>
          <w:sz w:val="22"/>
          <w:szCs w:val="22"/>
          <w:lang w:val="pl-PL" w:eastAsia="ja-JP"/>
        </w:rPr>
      </w:pPr>
      <w:r w:rsidRPr="00BD22FE">
        <w:rPr>
          <w:sz w:val="22"/>
          <w:szCs w:val="22"/>
          <w:lang w:val="pl-PL"/>
        </w:rPr>
        <w:t>jeśli w</w:t>
      </w:r>
      <w:r w:rsidR="00717A7B" w:rsidRPr="00BD22FE">
        <w:rPr>
          <w:sz w:val="22"/>
          <w:szCs w:val="22"/>
          <w:lang w:val="pl-PL"/>
        </w:rPr>
        <w:t> </w:t>
      </w:r>
      <w:r w:rsidRPr="00BD22FE">
        <w:rPr>
          <w:sz w:val="22"/>
          <w:szCs w:val="22"/>
          <w:lang w:val="pl-PL"/>
        </w:rPr>
        <w:t>przeszłości u</w:t>
      </w:r>
      <w:r w:rsidR="00717A7B" w:rsidRPr="00BD22FE">
        <w:rPr>
          <w:sz w:val="22"/>
          <w:szCs w:val="22"/>
          <w:lang w:val="pl-PL"/>
        </w:rPr>
        <w:t> </w:t>
      </w:r>
      <w:r w:rsidRPr="00BD22FE">
        <w:rPr>
          <w:sz w:val="22"/>
          <w:szCs w:val="22"/>
          <w:lang w:val="pl-PL"/>
        </w:rPr>
        <w:t>pacjenta wystąpił nowotwór złośliwy skóry lub jeśli w</w:t>
      </w:r>
      <w:r w:rsidR="00717A7B" w:rsidRPr="00BD22FE">
        <w:rPr>
          <w:sz w:val="22"/>
          <w:szCs w:val="22"/>
          <w:lang w:val="pl-PL"/>
        </w:rPr>
        <w:t> </w:t>
      </w:r>
      <w:r w:rsidRPr="00BD22FE">
        <w:rPr>
          <w:sz w:val="22"/>
          <w:szCs w:val="22"/>
          <w:lang w:val="pl-PL"/>
        </w:rPr>
        <w:t>trakcie leczenia pojawi się nieoczekiwana zmiana skórna. Leczenie hydrochlorotiazydem, zwłaszcza dużymi dawkami przez dłuższy czas, może zwiększyć ryzyko niektórych rodzajów nowotworów złośliwych skóry i</w:t>
      </w:r>
      <w:r w:rsidR="00717A7B" w:rsidRPr="00BD22FE">
        <w:rPr>
          <w:sz w:val="22"/>
          <w:szCs w:val="22"/>
          <w:lang w:val="pl-PL"/>
        </w:rPr>
        <w:t> </w:t>
      </w:r>
      <w:r w:rsidRPr="00BD22FE">
        <w:rPr>
          <w:sz w:val="22"/>
          <w:szCs w:val="22"/>
          <w:lang w:val="pl-PL"/>
        </w:rPr>
        <w:t>warg (nieczerniakowy nowotwór złośliwy skóry). Podczas przyjmowania leku MicardisPlus należy chronić skórę przed działaniem światła słonecznego i promieniowaniem UV.</w:t>
      </w:r>
    </w:p>
    <w:p w14:paraId="04E7AEA9" w14:textId="77777777" w:rsidR="000016E2" w:rsidRPr="00BD22FE" w:rsidRDefault="000016E2" w:rsidP="00A610E1">
      <w:pPr>
        <w:rPr>
          <w:sz w:val="22"/>
          <w:szCs w:val="22"/>
          <w:lang w:val="pl-PL"/>
        </w:rPr>
      </w:pPr>
    </w:p>
    <w:p w14:paraId="472448B5" w14:textId="0D8560A4" w:rsidR="000016E2" w:rsidRPr="00BD22FE" w:rsidRDefault="00104CA8" w:rsidP="00A610E1">
      <w:pPr>
        <w:keepNext/>
        <w:rPr>
          <w:sz w:val="22"/>
          <w:szCs w:val="22"/>
          <w:lang w:val="pl-PL"/>
        </w:rPr>
      </w:pPr>
      <w:r w:rsidRPr="00BD22FE">
        <w:rPr>
          <w:sz w:val="22"/>
          <w:szCs w:val="22"/>
          <w:lang w:val="pl-PL"/>
        </w:rPr>
        <w:t>Przed rozpoczęciem przyjmowania leku MicardisPlus należy omówić to z</w:t>
      </w:r>
      <w:r w:rsidR="00717A7B" w:rsidRPr="00BD22FE">
        <w:rPr>
          <w:sz w:val="22"/>
          <w:szCs w:val="22"/>
          <w:lang w:val="pl-PL"/>
        </w:rPr>
        <w:t> </w:t>
      </w:r>
      <w:r w:rsidRPr="00BD22FE">
        <w:rPr>
          <w:sz w:val="22"/>
          <w:szCs w:val="22"/>
          <w:lang w:val="pl-PL"/>
        </w:rPr>
        <w:t>lekarzem:</w:t>
      </w:r>
    </w:p>
    <w:p w14:paraId="56063440" w14:textId="0B863E9C" w:rsidR="000016E2" w:rsidRPr="00BD22FE" w:rsidRDefault="00104CA8" w:rsidP="00A610E1">
      <w:pPr>
        <w:keepNext/>
        <w:numPr>
          <w:ilvl w:val="0"/>
          <w:numId w:val="16"/>
        </w:numPr>
        <w:ind w:left="567" w:hanging="567"/>
        <w:rPr>
          <w:sz w:val="22"/>
          <w:szCs w:val="22"/>
          <w:lang w:val="pl-PL"/>
        </w:rPr>
      </w:pPr>
      <w:r w:rsidRPr="00BD22FE">
        <w:rPr>
          <w:sz w:val="22"/>
          <w:szCs w:val="22"/>
          <w:lang w:val="pl-PL"/>
        </w:rPr>
        <w:t>jeśli pacjent przyjmuje którykolwiek z</w:t>
      </w:r>
      <w:r w:rsidR="00717A7B" w:rsidRPr="00BD22FE">
        <w:rPr>
          <w:sz w:val="22"/>
          <w:szCs w:val="22"/>
          <w:lang w:val="pl-PL"/>
        </w:rPr>
        <w:t> </w:t>
      </w:r>
      <w:r w:rsidRPr="00BD22FE">
        <w:rPr>
          <w:sz w:val="22"/>
          <w:szCs w:val="22"/>
          <w:lang w:val="pl-PL"/>
        </w:rPr>
        <w:t>poniższych leków stosowanych w</w:t>
      </w:r>
      <w:r w:rsidR="00717A7B" w:rsidRPr="00BD22FE">
        <w:rPr>
          <w:sz w:val="22"/>
          <w:szCs w:val="22"/>
          <w:lang w:val="pl-PL"/>
        </w:rPr>
        <w:t> </w:t>
      </w:r>
      <w:r w:rsidRPr="00BD22FE">
        <w:rPr>
          <w:sz w:val="22"/>
          <w:szCs w:val="22"/>
          <w:lang w:val="pl-PL"/>
        </w:rPr>
        <w:t xml:space="preserve">leczeniu wysokiego ciśnienia </w:t>
      </w:r>
      <w:r w:rsidR="00E723AB" w:rsidRPr="00BD22FE">
        <w:rPr>
          <w:sz w:val="22"/>
          <w:szCs w:val="22"/>
          <w:lang w:val="pl-PL"/>
        </w:rPr>
        <w:t xml:space="preserve">tętniczego </w:t>
      </w:r>
      <w:r w:rsidRPr="00BD22FE">
        <w:rPr>
          <w:sz w:val="22"/>
          <w:szCs w:val="22"/>
          <w:lang w:val="pl-PL"/>
        </w:rPr>
        <w:t>krwi:</w:t>
      </w:r>
    </w:p>
    <w:p w14:paraId="470F55B0" w14:textId="2687FA87" w:rsidR="000016E2" w:rsidRPr="00BD22FE" w:rsidRDefault="00104CA8" w:rsidP="00A610E1">
      <w:pPr>
        <w:ind w:left="567"/>
        <w:rPr>
          <w:sz w:val="22"/>
          <w:szCs w:val="22"/>
          <w:lang w:val="pl-PL"/>
        </w:rPr>
      </w:pPr>
      <w:r w:rsidRPr="00BD22FE">
        <w:rPr>
          <w:sz w:val="22"/>
          <w:szCs w:val="22"/>
          <w:lang w:val="pl-PL"/>
        </w:rPr>
        <w:t>- inhibitor konwertazy angiotensyny (ang. Angiotensin Converting Enzyme Inhibitors, ACE) (na przykład enalapryl, lizynopryl, ramipryl), w</w:t>
      </w:r>
      <w:r w:rsidR="00717A7B" w:rsidRPr="00BD22FE">
        <w:rPr>
          <w:sz w:val="22"/>
          <w:szCs w:val="22"/>
          <w:lang w:val="pl-PL"/>
        </w:rPr>
        <w:t> </w:t>
      </w:r>
      <w:r w:rsidRPr="00BD22FE">
        <w:rPr>
          <w:sz w:val="22"/>
          <w:szCs w:val="22"/>
          <w:lang w:val="pl-PL"/>
        </w:rPr>
        <w:t>szczególności jeśli pacjent ma zaburzenia czynności nerek związane z</w:t>
      </w:r>
      <w:r w:rsidR="00717A7B" w:rsidRPr="00BD22FE">
        <w:rPr>
          <w:sz w:val="22"/>
          <w:szCs w:val="22"/>
          <w:lang w:val="pl-PL"/>
        </w:rPr>
        <w:t> </w:t>
      </w:r>
      <w:r w:rsidRPr="00BD22FE">
        <w:rPr>
          <w:sz w:val="22"/>
          <w:szCs w:val="22"/>
          <w:lang w:val="pl-PL"/>
        </w:rPr>
        <w:t>cukrzycą.</w:t>
      </w:r>
    </w:p>
    <w:p w14:paraId="325723FE" w14:textId="553AC0F2" w:rsidR="000016E2" w:rsidRPr="00BD22FE" w:rsidRDefault="00104CA8" w:rsidP="00A610E1">
      <w:pPr>
        <w:ind w:left="567"/>
        <w:rPr>
          <w:sz w:val="22"/>
          <w:szCs w:val="22"/>
          <w:lang w:val="pl-PL"/>
        </w:rPr>
      </w:pPr>
      <w:r w:rsidRPr="00BD22FE">
        <w:rPr>
          <w:sz w:val="22"/>
          <w:szCs w:val="22"/>
          <w:lang w:val="pl-PL"/>
        </w:rPr>
        <w:t>- aliskiren.</w:t>
      </w:r>
    </w:p>
    <w:p w14:paraId="540CA60F" w14:textId="49A2DB31" w:rsidR="000016E2" w:rsidRPr="00BD22FE" w:rsidRDefault="00104CA8" w:rsidP="00A610E1">
      <w:pPr>
        <w:ind w:left="567"/>
        <w:rPr>
          <w:sz w:val="22"/>
          <w:szCs w:val="22"/>
          <w:lang w:val="pl-PL"/>
        </w:rPr>
      </w:pPr>
      <w:r w:rsidRPr="00BD22FE">
        <w:rPr>
          <w:sz w:val="22"/>
          <w:szCs w:val="22"/>
          <w:lang w:val="pl-PL"/>
        </w:rPr>
        <w:t xml:space="preserve">Lekarz prowadzący może monitorować czynność nerek, ciśnienie </w:t>
      </w:r>
      <w:r w:rsidR="00D13A29" w:rsidRPr="00BD22FE">
        <w:rPr>
          <w:sz w:val="22"/>
          <w:szCs w:val="22"/>
          <w:lang w:val="pl-PL"/>
        </w:rPr>
        <w:t xml:space="preserve">tętnicze </w:t>
      </w:r>
      <w:r w:rsidRPr="00BD22FE">
        <w:rPr>
          <w:sz w:val="22"/>
          <w:szCs w:val="22"/>
          <w:lang w:val="pl-PL"/>
        </w:rPr>
        <w:t>krwi oraz stężenie elektrolitów (np. potasu) we krwi w</w:t>
      </w:r>
      <w:r w:rsidR="00717A7B" w:rsidRPr="00BD22FE">
        <w:rPr>
          <w:sz w:val="22"/>
          <w:szCs w:val="22"/>
          <w:lang w:val="pl-PL"/>
        </w:rPr>
        <w:t> </w:t>
      </w:r>
      <w:r w:rsidRPr="00BD22FE">
        <w:rPr>
          <w:sz w:val="22"/>
          <w:szCs w:val="22"/>
          <w:lang w:val="pl-PL"/>
        </w:rPr>
        <w:t xml:space="preserve">regularnych odstępach czasu. Patrz także </w:t>
      </w:r>
      <w:r w:rsidR="00177239" w:rsidRPr="00BD22FE">
        <w:rPr>
          <w:sz w:val="22"/>
          <w:szCs w:val="22"/>
          <w:lang w:val="pl-PL"/>
        </w:rPr>
        <w:t>podpunkt</w:t>
      </w:r>
      <w:r w:rsidRPr="00BD22FE">
        <w:rPr>
          <w:sz w:val="22"/>
          <w:szCs w:val="22"/>
          <w:lang w:val="pl-PL"/>
        </w:rPr>
        <w:t xml:space="preserve"> „Kiedy nie przyjmować leku MicardisPlus”.</w:t>
      </w:r>
    </w:p>
    <w:p w14:paraId="044B5EAD" w14:textId="77777777" w:rsidR="000016E2" w:rsidRPr="00BD22FE" w:rsidRDefault="00104CA8" w:rsidP="00A610E1">
      <w:pPr>
        <w:numPr>
          <w:ilvl w:val="0"/>
          <w:numId w:val="16"/>
        </w:numPr>
        <w:ind w:left="567" w:hanging="567"/>
        <w:rPr>
          <w:sz w:val="22"/>
          <w:szCs w:val="22"/>
          <w:lang w:val="pl-PL"/>
        </w:rPr>
      </w:pPr>
      <w:r w:rsidRPr="00BD22FE">
        <w:rPr>
          <w:sz w:val="22"/>
          <w:szCs w:val="22"/>
          <w:lang w:val="pl-PL"/>
        </w:rPr>
        <w:lastRenderedPageBreak/>
        <w:t>jeśli pacjent przyjmuje digoksynę.</w:t>
      </w:r>
    </w:p>
    <w:p w14:paraId="5A7BC26D" w14:textId="7AE2A3F7" w:rsidR="000016E2" w:rsidRPr="00BD22FE" w:rsidRDefault="00104CA8" w:rsidP="00A610E1">
      <w:pPr>
        <w:numPr>
          <w:ilvl w:val="0"/>
          <w:numId w:val="16"/>
        </w:numPr>
        <w:ind w:left="567" w:hanging="567"/>
        <w:rPr>
          <w:sz w:val="22"/>
          <w:szCs w:val="22"/>
          <w:lang w:val="pl-PL"/>
        </w:rPr>
      </w:pPr>
      <w:r w:rsidRPr="00BD22FE">
        <w:rPr>
          <w:sz w:val="22"/>
          <w:szCs w:val="22"/>
          <w:lang w:val="pl-PL"/>
        </w:rPr>
        <w:t>jeśli w</w:t>
      </w:r>
      <w:r w:rsidR="00717A7B" w:rsidRPr="00BD22FE">
        <w:rPr>
          <w:sz w:val="22"/>
          <w:szCs w:val="22"/>
          <w:lang w:val="pl-PL"/>
        </w:rPr>
        <w:t> </w:t>
      </w:r>
      <w:r w:rsidRPr="00BD22FE">
        <w:rPr>
          <w:sz w:val="22"/>
          <w:szCs w:val="22"/>
          <w:lang w:val="pl-PL"/>
        </w:rPr>
        <w:t>przeszłości po przyjęciu hydrochlorotiazydu u</w:t>
      </w:r>
      <w:r w:rsidR="00717A7B" w:rsidRPr="00BD22FE">
        <w:rPr>
          <w:sz w:val="22"/>
          <w:szCs w:val="22"/>
          <w:lang w:val="pl-PL"/>
        </w:rPr>
        <w:t> </w:t>
      </w:r>
      <w:r w:rsidRPr="00BD22FE">
        <w:rPr>
          <w:sz w:val="22"/>
          <w:szCs w:val="22"/>
          <w:lang w:val="pl-PL"/>
        </w:rPr>
        <w:t>pacjenta występowały problemy z</w:t>
      </w:r>
      <w:r w:rsidR="00717A7B" w:rsidRPr="00BD22FE">
        <w:rPr>
          <w:sz w:val="22"/>
          <w:szCs w:val="22"/>
          <w:lang w:val="pl-PL"/>
        </w:rPr>
        <w:t> </w:t>
      </w:r>
      <w:r w:rsidRPr="00BD22FE">
        <w:rPr>
          <w:sz w:val="22"/>
          <w:szCs w:val="22"/>
          <w:lang w:val="pl-PL"/>
        </w:rPr>
        <w:t>oddychaniem lub płucami (w</w:t>
      </w:r>
      <w:r w:rsidR="00717A7B" w:rsidRPr="00BD22FE">
        <w:rPr>
          <w:sz w:val="22"/>
          <w:szCs w:val="22"/>
          <w:lang w:val="pl-PL"/>
        </w:rPr>
        <w:t> </w:t>
      </w:r>
      <w:r w:rsidRPr="00BD22FE">
        <w:rPr>
          <w:sz w:val="22"/>
          <w:szCs w:val="22"/>
          <w:lang w:val="pl-PL"/>
        </w:rPr>
        <w:t>tym zapalenie płuc lub gromadzenie się płynu w</w:t>
      </w:r>
      <w:r w:rsidR="00717A7B" w:rsidRPr="00BD22FE">
        <w:rPr>
          <w:sz w:val="22"/>
          <w:szCs w:val="22"/>
          <w:lang w:val="pl-PL"/>
        </w:rPr>
        <w:t> </w:t>
      </w:r>
      <w:r w:rsidRPr="00BD22FE">
        <w:rPr>
          <w:sz w:val="22"/>
          <w:szCs w:val="22"/>
          <w:lang w:val="pl-PL"/>
        </w:rPr>
        <w:t>płucach). Jeśli po przyjęciu leku MicardisPlus u</w:t>
      </w:r>
      <w:r w:rsidR="00717A7B" w:rsidRPr="00BD22FE">
        <w:rPr>
          <w:sz w:val="22"/>
          <w:szCs w:val="22"/>
          <w:lang w:val="pl-PL"/>
        </w:rPr>
        <w:t> </w:t>
      </w:r>
      <w:r w:rsidRPr="00BD22FE">
        <w:rPr>
          <w:sz w:val="22"/>
          <w:szCs w:val="22"/>
          <w:lang w:val="pl-PL"/>
        </w:rPr>
        <w:t>pacjenta wystąpi ciężka duszność lub trudności z</w:t>
      </w:r>
      <w:r w:rsidR="00717A7B" w:rsidRPr="00BD22FE">
        <w:rPr>
          <w:sz w:val="22"/>
          <w:szCs w:val="22"/>
          <w:lang w:val="pl-PL"/>
        </w:rPr>
        <w:t> </w:t>
      </w:r>
      <w:r w:rsidRPr="00BD22FE">
        <w:rPr>
          <w:sz w:val="22"/>
          <w:szCs w:val="22"/>
          <w:lang w:val="pl-PL"/>
        </w:rPr>
        <w:t>oddychaniem, należy niezwłocznie zwrócić się o</w:t>
      </w:r>
      <w:r w:rsidR="00717A7B" w:rsidRPr="00BD22FE">
        <w:rPr>
          <w:sz w:val="22"/>
          <w:szCs w:val="22"/>
          <w:lang w:val="pl-PL"/>
        </w:rPr>
        <w:t> </w:t>
      </w:r>
      <w:r w:rsidRPr="00BD22FE">
        <w:rPr>
          <w:sz w:val="22"/>
          <w:szCs w:val="22"/>
          <w:lang w:val="pl-PL"/>
        </w:rPr>
        <w:t>pomoc medyczną.</w:t>
      </w:r>
    </w:p>
    <w:p w14:paraId="58DEB68C" w14:textId="77777777" w:rsidR="000016E2" w:rsidRPr="00BD22FE" w:rsidRDefault="000016E2" w:rsidP="00A610E1">
      <w:pPr>
        <w:pStyle w:val="BodyText"/>
        <w:spacing w:line="240" w:lineRule="auto"/>
        <w:jc w:val="left"/>
        <w:rPr>
          <w:sz w:val="22"/>
          <w:szCs w:val="22"/>
          <w:lang w:val="pl-PL"/>
        </w:rPr>
      </w:pPr>
    </w:p>
    <w:p w14:paraId="46D5ADF8" w14:textId="13F8B996" w:rsidR="002049D2" w:rsidRPr="00BD22FE" w:rsidRDefault="002049D2" w:rsidP="002049D2">
      <w:pPr>
        <w:rPr>
          <w:sz w:val="22"/>
          <w:szCs w:val="22"/>
          <w:lang w:val="pl-PL"/>
        </w:rPr>
      </w:pPr>
      <w:r w:rsidRPr="00BD22FE">
        <w:rPr>
          <w:sz w:val="22"/>
          <w:szCs w:val="22"/>
          <w:lang w:val="pl-PL"/>
        </w:rPr>
        <w:t>Jeśli po przyjęciu leku MicardisPlus u pacjenta wystąpi ból brzucha, nudności, wymioty lub biegunka, należy omówić to z lekarzem. Lekarz podejmie decyzję o dalszym leczeniu. Nie należy samodzielnie podejmować decyzji o przerwaniu przyjmowania leku MicardisPlus.</w:t>
      </w:r>
    </w:p>
    <w:p w14:paraId="0E7FEF12" w14:textId="77777777" w:rsidR="002049D2" w:rsidRPr="00BD22FE" w:rsidRDefault="002049D2" w:rsidP="002049D2">
      <w:pPr>
        <w:pStyle w:val="BodyText"/>
        <w:spacing w:line="240" w:lineRule="auto"/>
        <w:jc w:val="left"/>
        <w:rPr>
          <w:sz w:val="22"/>
          <w:szCs w:val="22"/>
          <w:lang w:val="pl-PL"/>
        </w:rPr>
      </w:pPr>
    </w:p>
    <w:p w14:paraId="1B5E9894" w14:textId="5C04E6E6" w:rsidR="003A7E3D" w:rsidRPr="00BD22FE" w:rsidRDefault="00104CA8" w:rsidP="00A610E1">
      <w:pPr>
        <w:pStyle w:val="BodyText"/>
        <w:spacing w:line="240" w:lineRule="auto"/>
        <w:jc w:val="left"/>
        <w:rPr>
          <w:rFonts w:eastAsia="MS Mincho"/>
          <w:sz w:val="22"/>
          <w:szCs w:val="22"/>
          <w:lang w:val="pl-PL" w:eastAsia="ja-JP"/>
        </w:rPr>
      </w:pPr>
      <w:r w:rsidRPr="00BD22FE">
        <w:rPr>
          <w:sz w:val="22"/>
          <w:szCs w:val="22"/>
          <w:lang w:val="pl-PL"/>
        </w:rPr>
        <w:t>Należy poinformować lekarza o</w:t>
      </w:r>
      <w:r w:rsidR="00717A7B" w:rsidRPr="00BD22FE">
        <w:rPr>
          <w:sz w:val="22"/>
          <w:szCs w:val="22"/>
          <w:lang w:val="pl-PL"/>
        </w:rPr>
        <w:t> </w:t>
      </w:r>
      <w:r w:rsidRPr="00BD22FE">
        <w:rPr>
          <w:sz w:val="22"/>
          <w:szCs w:val="22"/>
          <w:lang w:val="pl-PL"/>
        </w:rPr>
        <w:t>podejrzeniu (</w:t>
      </w:r>
      <w:r w:rsidRPr="00BD22FE">
        <w:rPr>
          <w:sz w:val="22"/>
          <w:szCs w:val="22"/>
          <w:u w:val="single"/>
          <w:lang w:val="pl-PL"/>
        </w:rPr>
        <w:t>lub planowaniu</w:t>
      </w:r>
      <w:r w:rsidRPr="00BD22FE">
        <w:rPr>
          <w:sz w:val="22"/>
          <w:szCs w:val="22"/>
          <w:lang w:val="pl-PL"/>
        </w:rPr>
        <w:t>) ciąży. Nie zaleca się stosowania leku MicardisPlus we wczesnym okresie ciąży</w:t>
      </w:r>
      <w:r w:rsidR="00215544" w:rsidRPr="00BD22FE">
        <w:rPr>
          <w:sz w:val="22"/>
          <w:szCs w:val="22"/>
          <w:lang w:val="pl-PL"/>
        </w:rPr>
        <w:t xml:space="preserve"> oraz</w:t>
      </w:r>
      <w:r w:rsidR="007C5AAA" w:rsidRPr="00BD22FE">
        <w:rPr>
          <w:sz w:val="22"/>
          <w:szCs w:val="22"/>
          <w:lang w:val="pl-PL"/>
        </w:rPr>
        <w:t> </w:t>
      </w:r>
      <w:r w:rsidRPr="00BD22FE">
        <w:rPr>
          <w:rFonts w:eastAsia="MS Mincho"/>
          <w:sz w:val="22"/>
          <w:szCs w:val="22"/>
          <w:lang w:val="pl-PL" w:eastAsia="ja-JP"/>
        </w:rPr>
        <w:t>nie wolno go przyjmować</w:t>
      </w:r>
      <w:r w:rsidR="007C5AAA" w:rsidRPr="00BD22FE">
        <w:rPr>
          <w:rFonts w:eastAsia="MS Mincho"/>
          <w:sz w:val="22"/>
          <w:szCs w:val="22"/>
          <w:lang w:val="pl-PL" w:eastAsia="ja-JP"/>
        </w:rPr>
        <w:t>, jeśli pacjentka jest w ciąży dłużej niż 3 </w:t>
      </w:r>
      <w:r w:rsidRPr="00BD22FE">
        <w:rPr>
          <w:rFonts w:eastAsia="MS Mincho"/>
          <w:sz w:val="22"/>
          <w:szCs w:val="22"/>
          <w:lang w:val="pl-PL" w:eastAsia="ja-JP"/>
        </w:rPr>
        <w:t>miesiąc</w:t>
      </w:r>
      <w:r w:rsidR="00A71735" w:rsidRPr="00BD22FE">
        <w:rPr>
          <w:rFonts w:eastAsia="MS Mincho"/>
          <w:sz w:val="22"/>
          <w:szCs w:val="22"/>
          <w:lang w:val="pl-PL" w:eastAsia="ja-JP"/>
        </w:rPr>
        <w:t>e</w:t>
      </w:r>
      <w:r w:rsidRPr="00BD22FE">
        <w:rPr>
          <w:rFonts w:eastAsia="MS Mincho"/>
          <w:sz w:val="22"/>
          <w:szCs w:val="22"/>
          <w:lang w:val="pl-PL" w:eastAsia="ja-JP"/>
        </w:rPr>
        <w:t>, ponieważ stosowany w</w:t>
      </w:r>
      <w:r w:rsidR="00717A7B" w:rsidRPr="00BD22FE">
        <w:rPr>
          <w:rFonts w:eastAsia="MS Mincho"/>
          <w:sz w:val="22"/>
          <w:szCs w:val="22"/>
          <w:lang w:val="pl-PL" w:eastAsia="ja-JP"/>
        </w:rPr>
        <w:t> </w:t>
      </w:r>
      <w:r w:rsidRPr="00BD22FE">
        <w:rPr>
          <w:rFonts w:eastAsia="MS Mincho"/>
          <w:sz w:val="22"/>
          <w:szCs w:val="22"/>
          <w:lang w:val="pl-PL" w:eastAsia="ja-JP"/>
        </w:rPr>
        <w:t>tym okresie może poważnie zaszkodzić dziecku (patrz punkt „Ciąża”).</w:t>
      </w:r>
    </w:p>
    <w:p w14:paraId="7C71A8AD" w14:textId="48A920DD" w:rsidR="000016E2" w:rsidRPr="00BD22FE" w:rsidRDefault="000016E2" w:rsidP="00A610E1">
      <w:pPr>
        <w:pStyle w:val="BodyText"/>
        <w:spacing w:line="240" w:lineRule="auto"/>
        <w:jc w:val="left"/>
        <w:rPr>
          <w:sz w:val="22"/>
          <w:szCs w:val="22"/>
          <w:lang w:val="pl-PL"/>
        </w:rPr>
      </w:pPr>
    </w:p>
    <w:p w14:paraId="2F60DE46" w14:textId="431AFC17" w:rsidR="000016E2" w:rsidRPr="00BD22FE" w:rsidRDefault="00104CA8" w:rsidP="00A610E1">
      <w:pPr>
        <w:pStyle w:val="BodyText"/>
        <w:spacing w:line="240" w:lineRule="auto"/>
        <w:jc w:val="left"/>
        <w:rPr>
          <w:sz w:val="22"/>
          <w:szCs w:val="22"/>
          <w:lang w:val="pl-PL"/>
        </w:rPr>
      </w:pPr>
      <w:r w:rsidRPr="00BD22FE">
        <w:rPr>
          <w:sz w:val="22"/>
          <w:szCs w:val="22"/>
          <w:lang w:val="pl-PL"/>
        </w:rPr>
        <w:t>Leczenie hydrochlorotiazydem może prowadzić do zaburzenia równowagi elektrolitów w</w:t>
      </w:r>
      <w:r w:rsidR="00717A7B" w:rsidRPr="00BD22FE">
        <w:rPr>
          <w:sz w:val="22"/>
          <w:szCs w:val="22"/>
          <w:lang w:val="pl-PL"/>
        </w:rPr>
        <w:t> </w:t>
      </w:r>
      <w:r w:rsidRPr="00BD22FE">
        <w:rPr>
          <w:sz w:val="22"/>
          <w:szCs w:val="22"/>
          <w:lang w:val="pl-PL"/>
        </w:rPr>
        <w:t>organizmie. Typowe objawy zaburzenia gospodarki płynowej lub elektrolitowej obejmują suchość błony śluzowej w</w:t>
      </w:r>
      <w:r w:rsidR="00717A7B" w:rsidRPr="00BD22FE">
        <w:rPr>
          <w:sz w:val="22"/>
          <w:szCs w:val="22"/>
          <w:lang w:val="pl-PL"/>
        </w:rPr>
        <w:t> </w:t>
      </w:r>
      <w:r w:rsidRPr="00BD22FE">
        <w:rPr>
          <w:sz w:val="22"/>
          <w:szCs w:val="22"/>
          <w:lang w:val="pl-PL"/>
        </w:rPr>
        <w:t>jamie ustnej, osłabienie, letarg, senność, niepokój, bóle lub skurcze mięśniowe, nudności (mdłości), wymioty, zmęczenie mięśni oraz nieprawidłowo przyspieszone tętno (szybciej niż 100 uderzeń na minutę). W</w:t>
      </w:r>
      <w:r w:rsidR="00717A7B" w:rsidRPr="00BD22FE">
        <w:rPr>
          <w:sz w:val="22"/>
          <w:szCs w:val="22"/>
          <w:lang w:val="pl-PL"/>
        </w:rPr>
        <w:t> </w:t>
      </w:r>
      <w:r w:rsidRPr="00BD22FE">
        <w:rPr>
          <w:sz w:val="22"/>
          <w:szCs w:val="22"/>
          <w:lang w:val="pl-PL"/>
        </w:rPr>
        <w:t>przypadku wystąpienia któregokolwiek z</w:t>
      </w:r>
      <w:r w:rsidR="00717A7B" w:rsidRPr="00BD22FE">
        <w:rPr>
          <w:sz w:val="22"/>
          <w:szCs w:val="22"/>
          <w:lang w:val="pl-PL"/>
        </w:rPr>
        <w:t> </w:t>
      </w:r>
      <w:r w:rsidR="00114D16" w:rsidRPr="00BD22FE">
        <w:rPr>
          <w:sz w:val="22"/>
          <w:szCs w:val="22"/>
          <w:lang w:val="pl-PL"/>
        </w:rPr>
        <w:t>t</w:t>
      </w:r>
      <w:r w:rsidRPr="00BD22FE">
        <w:rPr>
          <w:sz w:val="22"/>
          <w:szCs w:val="22"/>
          <w:lang w:val="pl-PL"/>
        </w:rPr>
        <w:t>ych objawów należy poinformować lekarza.</w:t>
      </w:r>
    </w:p>
    <w:p w14:paraId="323BECC9" w14:textId="77777777" w:rsidR="000016E2" w:rsidRPr="00BD22FE" w:rsidRDefault="000016E2" w:rsidP="00A610E1">
      <w:pPr>
        <w:pStyle w:val="BodyText"/>
        <w:spacing w:line="240" w:lineRule="auto"/>
        <w:jc w:val="left"/>
        <w:rPr>
          <w:sz w:val="22"/>
          <w:szCs w:val="22"/>
          <w:lang w:val="pl-PL"/>
        </w:rPr>
      </w:pPr>
    </w:p>
    <w:p w14:paraId="3FF7AE31" w14:textId="439B1B55" w:rsidR="000016E2" w:rsidRPr="00BD22FE" w:rsidRDefault="00104CA8" w:rsidP="00A610E1">
      <w:pPr>
        <w:pStyle w:val="BodyText"/>
        <w:spacing w:line="240" w:lineRule="auto"/>
        <w:jc w:val="left"/>
        <w:rPr>
          <w:sz w:val="22"/>
          <w:szCs w:val="22"/>
          <w:lang w:val="pl-PL"/>
        </w:rPr>
      </w:pPr>
      <w:r w:rsidRPr="00BD22FE">
        <w:rPr>
          <w:sz w:val="22"/>
          <w:szCs w:val="22"/>
          <w:lang w:val="pl-PL"/>
        </w:rPr>
        <w:t>Należy również poinformować lekarza o</w:t>
      </w:r>
      <w:r w:rsidR="00717A7B" w:rsidRPr="00BD22FE">
        <w:rPr>
          <w:sz w:val="22"/>
          <w:szCs w:val="22"/>
          <w:lang w:val="pl-PL"/>
        </w:rPr>
        <w:t> </w:t>
      </w:r>
      <w:r w:rsidRPr="00BD22FE">
        <w:rPr>
          <w:sz w:val="22"/>
          <w:szCs w:val="22"/>
          <w:lang w:val="pl-PL"/>
        </w:rPr>
        <w:t xml:space="preserve">wystąpieniu </w:t>
      </w:r>
      <w:r w:rsidR="00C1220A" w:rsidRPr="00BD22FE">
        <w:rPr>
          <w:sz w:val="22"/>
          <w:szCs w:val="22"/>
          <w:lang w:val="pl-PL"/>
        </w:rPr>
        <w:t xml:space="preserve">zwiększonej wrażliwości </w:t>
      </w:r>
      <w:r w:rsidRPr="00BD22FE">
        <w:rPr>
          <w:sz w:val="22"/>
          <w:szCs w:val="22"/>
          <w:lang w:val="pl-PL"/>
        </w:rPr>
        <w:t>skóry na światło słoneczne</w:t>
      </w:r>
      <w:r w:rsidR="00C1220A" w:rsidRPr="00BD22FE">
        <w:rPr>
          <w:sz w:val="22"/>
          <w:szCs w:val="22"/>
          <w:lang w:val="pl-PL"/>
        </w:rPr>
        <w:t xml:space="preserve"> z objawami</w:t>
      </w:r>
      <w:r w:rsidRPr="00BD22FE">
        <w:rPr>
          <w:sz w:val="22"/>
          <w:szCs w:val="22"/>
          <w:lang w:val="pl-PL"/>
        </w:rPr>
        <w:t xml:space="preserve"> oparze</w:t>
      </w:r>
      <w:r w:rsidR="00F87102" w:rsidRPr="00BD22FE">
        <w:rPr>
          <w:sz w:val="22"/>
          <w:szCs w:val="22"/>
          <w:lang w:val="pl-PL"/>
        </w:rPr>
        <w:t>nia</w:t>
      </w:r>
      <w:r w:rsidRPr="00BD22FE">
        <w:rPr>
          <w:sz w:val="22"/>
          <w:szCs w:val="22"/>
          <w:lang w:val="pl-PL"/>
        </w:rPr>
        <w:t xml:space="preserve"> słoneczn</w:t>
      </w:r>
      <w:r w:rsidR="00F87102" w:rsidRPr="00BD22FE">
        <w:rPr>
          <w:sz w:val="22"/>
          <w:szCs w:val="22"/>
          <w:lang w:val="pl-PL"/>
        </w:rPr>
        <w:t>ego</w:t>
      </w:r>
      <w:r w:rsidRPr="00BD22FE">
        <w:rPr>
          <w:sz w:val="22"/>
          <w:szCs w:val="22"/>
          <w:lang w:val="pl-PL"/>
        </w:rPr>
        <w:t xml:space="preserve"> (</w:t>
      </w:r>
      <w:r w:rsidR="00264CE2" w:rsidRPr="00BD22FE">
        <w:rPr>
          <w:sz w:val="22"/>
          <w:szCs w:val="22"/>
          <w:lang w:val="pl-PL"/>
        </w:rPr>
        <w:t>takimi jak</w:t>
      </w:r>
      <w:r w:rsidRPr="00BD22FE">
        <w:rPr>
          <w:sz w:val="22"/>
          <w:szCs w:val="22"/>
          <w:lang w:val="pl-PL"/>
        </w:rPr>
        <w:t xml:space="preserve"> zaczerwienienie, swędzenie, obrzęk, powstawanie pęcherzy) pojawiający</w:t>
      </w:r>
      <w:r w:rsidR="0043074C" w:rsidRPr="00BD22FE">
        <w:rPr>
          <w:sz w:val="22"/>
          <w:szCs w:val="22"/>
          <w:lang w:val="pl-PL"/>
        </w:rPr>
        <w:t>mi</w:t>
      </w:r>
      <w:r w:rsidRPr="00BD22FE">
        <w:rPr>
          <w:sz w:val="22"/>
          <w:szCs w:val="22"/>
          <w:lang w:val="pl-PL"/>
        </w:rPr>
        <w:t xml:space="preserve"> się szybciej niż zazwyczaj.</w:t>
      </w:r>
    </w:p>
    <w:p w14:paraId="1BE2591B" w14:textId="77777777" w:rsidR="000016E2" w:rsidRPr="00BD22FE" w:rsidRDefault="000016E2" w:rsidP="00A610E1">
      <w:pPr>
        <w:pStyle w:val="BodyText"/>
        <w:spacing w:line="240" w:lineRule="auto"/>
        <w:jc w:val="left"/>
        <w:rPr>
          <w:sz w:val="22"/>
          <w:szCs w:val="22"/>
          <w:lang w:val="pl-PL"/>
        </w:rPr>
      </w:pPr>
    </w:p>
    <w:p w14:paraId="55812957" w14:textId="601608D7" w:rsidR="000016E2" w:rsidRPr="00BD22FE" w:rsidRDefault="00104CA8" w:rsidP="00A610E1">
      <w:pPr>
        <w:pStyle w:val="BodyText"/>
        <w:spacing w:line="240" w:lineRule="auto"/>
        <w:jc w:val="left"/>
        <w:rPr>
          <w:rFonts w:eastAsia="MS Mincho"/>
          <w:sz w:val="22"/>
          <w:szCs w:val="22"/>
          <w:lang w:val="pl-PL" w:eastAsia="ja-JP"/>
        </w:rPr>
      </w:pPr>
      <w:r w:rsidRPr="00BD22FE">
        <w:rPr>
          <w:rFonts w:eastAsia="MS Mincho"/>
          <w:sz w:val="22"/>
          <w:szCs w:val="22"/>
          <w:lang w:val="pl-PL" w:eastAsia="ja-JP"/>
        </w:rPr>
        <w:t>W</w:t>
      </w:r>
      <w:r w:rsidR="00717A7B" w:rsidRPr="00BD22FE">
        <w:rPr>
          <w:rFonts w:eastAsia="MS Mincho"/>
          <w:sz w:val="22"/>
          <w:szCs w:val="22"/>
          <w:lang w:val="pl-PL" w:eastAsia="ja-JP"/>
        </w:rPr>
        <w:t> </w:t>
      </w:r>
      <w:r w:rsidRPr="00BD22FE">
        <w:rPr>
          <w:rFonts w:eastAsia="MS Mincho"/>
          <w:sz w:val="22"/>
          <w:szCs w:val="22"/>
          <w:lang w:val="pl-PL" w:eastAsia="ja-JP"/>
        </w:rPr>
        <w:t>przypadku planowanego zabiegu chirurgicznego lub znieczulenia należy poinformować lekarza o przyjmowaniu leku MicardisPlus.</w:t>
      </w:r>
    </w:p>
    <w:p w14:paraId="571BC1DA" w14:textId="77777777" w:rsidR="000016E2" w:rsidRPr="00BD22FE" w:rsidRDefault="000016E2" w:rsidP="00A610E1">
      <w:pPr>
        <w:rPr>
          <w:sz w:val="22"/>
          <w:szCs w:val="22"/>
          <w:lang w:val="pl-PL"/>
        </w:rPr>
      </w:pPr>
    </w:p>
    <w:p w14:paraId="5EE89A77" w14:textId="3D1E57F0" w:rsidR="000016E2" w:rsidRPr="00BD22FE" w:rsidRDefault="00104CA8" w:rsidP="00A610E1">
      <w:pPr>
        <w:rPr>
          <w:sz w:val="22"/>
          <w:szCs w:val="22"/>
          <w:lang w:val="pl-PL"/>
        </w:rPr>
      </w:pPr>
      <w:r w:rsidRPr="00BD22FE">
        <w:rPr>
          <w:sz w:val="22"/>
          <w:szCs w:val="22"/>
          <w:lang w:val="pl-PL"/>
        </w:rPr>
        <w:t xml:space="preserve">Lek MicardisPlus może mniej skutecznie obniżać ciśnienie tętnicze </w:t>
      </w:r>
      <w:r w:rsidR="00DD21D1" w:rsidRPr="00BD22FE">
        <w:rPr>
          <w:sz w:val="22"/>
          <w:szCs w:val="22"/>
          <w:lang w:val="pl-PL"/>
        </w:rPr>
        <w:t xml:space="preserve">krwi </w:t>
      </w:r>
      <w:r w:rsidRPr="00BD22FE">
        <w:rPr>
          <w:sz w:val="22"/>
          <w:szCs w:val="22"/>
          <w:lang w:val="pl-PL"/>
        </w:rPr>
        <w:t>u</w:t>
      </w:r>
      <w:r w:rsidR="00717A7B" w:rsidRPr="00BD22FE">
        <w:rPr>
          <w:sz w:val="22"/>
          <w:szCs w:val="22"/>
          <w:lang w:val="pl-PL"/>
        </w:rPr>
        <w:t> </w:t>
      </w:r>
      <w:r w:rsidRPr="00BD22FE">
        <w:rPr>
          <w:sz w:val="22"/>
          <w:szCs w:val="22"/>
          <w:lang w:val="pl-PL"/>
        </w:rPr>
        <w:t>osób rasy czarnej.</w:t>
      </w:r>
    </w:p>
    <w:p w14:paraId="1C7AB201" w14:textId="77777777" w:rsidR="000016E2" w:rsidRPr="00BD22FE" w:rsidRDefault="000016E2" w:rsidP="00A610E1">
      <w:pPr>
        <w:rPr>
          <w:rFonts w:eastAsia="MS Mincho"/>
          <w:sz w:val="22"/>
          <w:szCs w:val="22"/>
          <w:lang w:val="pl-PL" w:eastAsia="ja-JP"/>
        </w:rPr>
      </w:pPr>
    </w:p>
    <w:p w14:paraId="2A0BA3FC" w14:textId="5CBEC26A" w:rsidR="000016E2" w:rsidRPr="00BD22FE" w:rsidRDefault="00104CA8" w:rsidP="007F07E6">
      <w:pPr>
        <w:keepNext/>
        <w:rPr>
          <w:sz w:val="22"/>
          <w:szCs w:val="22"/>
          <w:lang w:val="pl-PL" w:bidi="bn-IN"/>
        </w:rPr>
      </w:pPr>
      <w:r w:rsidRPr="00BD22FE">
        <w:rPr>
          <w:b/>
          <w:sz w:val="22"/>
          <w:szCs w:val="22"/>
          <w:lang w:val="pl-PL" w:bidi="bn-IN"/>
        </w:rPr>
        <w:t>Dzieci i</w:t>
      </w:r>
      <w:r w:rsidR="00717A7B" w:rsidRPr="00BD22FE">
        <w:rPr>
          <w:b/>
          <w:sz w:val="22"/>
          <w:szCs w:val="22"/>
          <w:lang w:val="pl-PL" w:bidi="bn-IN"/>
        </w:rPr>
        <w:t> </w:t>
      </w:r>
      <w:r w:rsidRPr="00BD22FE">
        <w:rPr>
          <w:b/>
          <w:sz w:val="22"/>
          <w:szCs w:val="22"/>
          <w:lang w:val="pl-PL" w:bidi="bn-IN"/>
        </w:rPr>
        <w:t>młodzież</w:t>
      </w:r>
    </w:p>
    <w:p w14:paraId="1B9EC94D" w14:textId="769A2148" w:rsidR="000016E2" w:rsidRPr="00BD22FE" w:rsidRDefault="00104CA8" w:rsidP="00941FBF">
      <w:pPr>
        <w:pStyle w:val="BodyText"/>
        <w:spacing w:line="240" w:lineRule="auto"/>
        <w:jc w:val="left"/>
        <w:rPr>
          <w:sz w:val="22"/>
          <w:szCs w:val="22"/>
          <w:lang w:val="pl-PL"/>
        </w:rPr>
      </w:pPr>
      <w:r w:rsidRPr="00BD22FE">
        <w:rPr>
          <w:sz w:val="22"/>
          <w:szCs w:val="22"/>
          <w:lang w:val="pl-PL"/>
        </w:rPr>
        <w:t>Stosowanie leku MicardisPlus u</w:t>
      </w:r>
      <w:r w:rsidR="00717A7B" w:rsidRPr="00BD22FE">
        <w:rPr>
          <w:sz w:val="22"/>
          <w:szCs w:val="22"/>
          <w:lang w:val="pl-PL"/>
        </w:rPr>
        <w:t> </w:t>
      </w:r>
      <w:r w:rsidRPr="00BD22FE">
        <w:rPr>
          <w:sz w:val="22"/>
          <w:szCs w:val="22"/>
          <w:lang w:val="pl-PL"/>
        </w:rPr>
        <w:t>dzieci i</w:t>
      </w:r>
      <w:r w:rsidR="00717A7B" w:rsidRPr="00BD22FE">
        <w:rPr>
          <w:sz w:val="22"/>
          <w:szCs w:val="22"/>
          <w:lang w:val="pl-PL"/>
        </w:rPr>
        <w:t> </w:t>
      </w:r>
      <w:r w:rsidRPr="00BD22FE">
        <w:rPr>
          <w:sz w:val="22"/>
          <w:szCs w:val="22"/>
          <w:lang w:val="pl-PL"/>
        </w:rPr>
        <w:t>młodzieży w</w:t>
      </w:r>
      <w:r w:rsidR="00717A7B" w:rsidRPr="00BD22FE">
        <w:rPr>
          <w:sz w:val="22"/>
          <w:szCs w:val="22"/>
          <w:lang w:val="pl-PL"/>
        </w:rPr>
        <w:t> </w:t>
      </w:r>
      <w:r w:rsidRPr="00BD22FE">
        <w:rPr>
          <w:sz w:val="22"/>
          <w:szCs w:val="22"/>
          <w:lang w:val="pl-PL"/>
        </w:rPr>
        <w:t>wieku do 18 lat nie jest zalecane.</w:t>
      </w:r>
    </w:p>
    <w:p w14:paraId="359D3EC7" w14:textId="77777777" w:rsidR="000016E2" w:rsidRPr="00BD22FE" w:rsidRDefault="000016E2" w:rsidP="00941FBF">
      <w:pPr>
        <w:pStyle w:val="BodyText"/>
        <w:spacing w:line="240" w:lineRule="auto"/>
        <w:jc w:val="left"/>
        <w:rPr>
          <w:sz w:val="22"/>
          <w:szCs w:val="22"/>
          <w:lang w:val="pl-PL"/>
        </w:rPr>
      </w:pPr>
    </w:p>
    <w:p w14:paraId="6C7E2DC9" w14:textId="02B74AA0" w:rsidR="000016E2" w:rsidRPr="00BD22FE" w:rsidRDefault="00104CA8" w:rsidP="00941FBF">
      <w:pPr>
        <w:pStyle w:val="BodyText"/>
        <w:keepNext/>
        <w:spacing w:line="240" w:lineRule="auto"/>
        <w:jc w:val="left"/>
        <w:rPr>
          <w:b/>
          <w:sz w:val="22"/>
          <w:szCs w:val="22"/>
          <w:lang w:val="pl-PL"/>
        </w:rPr>
      </w:pPr>
      <w:r w:rsidRPr="00BD22FE">
        <w:rPr>
          <w:b/>
          <w:sz w:val="22"/>
          <w:szCs w:val="22"/>
          <w:lang w:val="pl-PL" w:bidi="bn-IN"/>
        </w:rPr>
        <w:t>Lek MicardisPlus a</w:t>
      </w:r>
      <w:r w:rsidR="00717A7B" w:rsidRPr="00BD22FE">
        <w:rPr>
          <w:b/>
          <w:sz w:val="22"/>
          <w:szCs w:val="22"/>
          <w:lang w:val="pl-PL" w:bidi="bn-IN"/>
        </w:rPr>
        <w:t> </w:t>
      </w:r>
      <w:r w:rsidRPr="00BD22FE">
        <w:rPr>
          <w:b/>
          <w:sz w:val="22"/>
          <w:szCs w:val="22"/>
          <w:lang w:val="pl-PL" w:bidi="bn-IN"/>
        </w:rPr>
        <w:t>inne leki</w:t>
      </w:r>
    </w:p>
    <w:p w14:paraId="5EF01957" w14:textId="30746F16" w:rsidR="003A7E3D" w:rsidRPr="00BD22FE" w:rsidRDefault="00104CA8" w:rsidP="007F07E6">
      <w:pPr>
        <w:pStyle w:val="BodyText"/>
        <w:keepNext/>
        <w:spacing w:line="240" w:lineRule="auto"/>
        <w:jc w:val="left"/>
        <w:rPr>
          <w:sz w:val="22"/>
          <w:szCs w:val="22"/>
          <w:lang w:val="pl-PL"/>
        </w:rPr>
      </w:pPr>
      <w:r w:rsidRPr="00BD22FE">
        <w:rPr>
          <w:sz w:val="22"/>
          <w:szCs w:val="22"/>
          <w:lang w:val="pl-PL" w:bidi="bn-IN"/>
        </w:rPr>
        <w:t>Należy powiedzieć lekarzowi lub farmaceucie o</w:t>
      </w:r>
      <w:r w:rsidR="00717A7B" w:rsidRPr="00BD22FE">
        <w:rPr>
          <w:sz w:val="22"/>
          <w:szCs w:val="22"/>
          <w:lang w:val="pl-PL" w:bidi="bn-IN"/>
        </w:rPr>
        <w:t> </w:t>
      </w:r>
      <w:r w:rsidRPr="00BD22FE">
        <w:rPr>
          <w:sz w:val="22"/>
          <w:szCs w:val="22"/>
          <w:lang w:val="pl-PL" w:bidi="bn-IN"/>
        </w:rPr>
        <w:t>wszystkich lekach przyjmowanych przez pacjenta obecnie lub ostatnio, a</w:t>
      </w:r>
      <w:r w:rsidR="00717A7B" w:rsidRPr="00BD22FE">
        <w:rPr>
          <w:sz w:val="22"/>
          <w:szCs w:val="22"/>
          <w:lang w:val="pl-PL" w:bidi="bn-IN"/>
        </w:rPr>
        <w:t> </w:t>
      </w:r>
      <w:r w:rsidRPr="00BD22FE">
        <w:rPr>
          <w:sz w:val="22"/>
          <w:szCs w:val="22"/>
          <w:lang w:val="pl-PL" w:bidi="bn-IN"/>
        </w:rPr>
        <w:t>także o</w:t>
      </w:r>
      <w:r w:rsidR="00717A7B" w:rsidRPr="00BD22FE">
        <w:rPr>
          <w:sz w:val="22"/>
          <w:szCs w:val="22"/>
          <w:lang w:val="pl-PL" w:bidi="bn-IN"/>
        </w:rPr>
        <w:t> </w:t>
      </w:r>
      <w:r w:rsidRPr="00BD22FE">
        <w:rPr>
          <w:sz w:val="22"/>
          <w:szCs w:val="22"/>
          <w:lang w:val="pl-PL" w:bidi="bn-IN"/>
        </w:rPr>
        <w:t xml:space="preserve">lekach, które pacjent planuje przyjmować. </w:t>
      </w:r>
      <w:r w:rsidRPr="00BD22FE">
        <w:rPr>
          <w:sz w:val="22"/>
          <w:szCs w:val="22"/>
          <w:lang w:val="pl-PL"/>
        </w:rPr>
        <w:t>Lekarz może zdecydować o</w:t>
      </w:r>
      <w:r w:rsidR="00717A7B" w:rsidRPr="00BD22FE">
        <w:rPr>
          <w:sz w:val="22"/>
          <w:szCs w:val="22"/>
          <w:lang w:val="pl-PL"/>
        </w:rPr>
        <w:t> </w:t>
      </w:r>
      <w:r w:rsidRPr="00BD22FE">
        <w:rPr>
          <w:sz w:val="22"/>
          <w:szCs w:val="22"/>
          <w:lang w:val="pl-PL"/>
        </w:rPr>
        <w:t>zmianie dawki tych leków lub o</w:t>
      </w:r>
      <w:r w:rsidR="00717A7B" w:rsidRPr="00BD22FE">
        <w:rPr>
          <w:sz w:val="22"/>
          <w:szCs w:val="22"/>
          <w:lang w:val="pl-PL"/>
        </w:rPr>
        <w:t> </w:t>
      </w:r>
      <w:r w:rsidRPr="00BD22FE">
        <w:rPr>
          <w:sz w:val="22"/>
          <w:szCs w:val="22"/>
          <w:lang w:val="pl-PL"/>
        </w:rPr>
        <w:t>podjęciu innych środków ostrożności. W</w:t>
      </w:r>
      <w:r w:rsidR="00717A7B" w:rsidRPr="00BD22FE">
        <w:rPr>
          <w:sz w:val="22"/>
          <w:szCs w:val="22"/>
          <w:lang w:val="pl-PL"/>
        </w:rPr>
        <w:t> </w:t>
      </w:r>
      <w:r w:rsidRPr="00BD22FE">
        <w:rPr>
          <w:sz w:val="22"/>
          <w:szCs w:val="22"/>
          <w:lang w:val="pl-PL"/>
        </w:rPr>
        <w:t xml:space="preserve">niektórych przypadkach konieczne może być </w:t>
      </w:r>
      <w:r w:rsidR="008873C8" w:rsidRPr="00BD22FE">
        <w:rPr>
          <w:sz w:val="22"/>
          <w:szCs w:val="22"/>
          <w:lang w:val="pl-PL"/>
        </w:rPr>
        <w:t>przerwanie przyjmowania</w:t>
      </w:r>
      <w:r w:rsidRPr="00BD22FE">
        <w:rPr>
          <w:sz w:val="22"/>
          <w:szCs w:val="22"/>
          <w:lang w:val="pl-PL"/>
        </w:rPr>
        <w:t xml:space="preserve"> któregoś z</w:t>
      </w:r>
      <w:r w:rsidR="00717A7B" w:rsidRPr="00BD22FE">
        <w:rPr>
          <w:sz w:val="22"/>
          <w:szCs w:val="22"/>
          <w:lang w:val="pl-PL"/>
        </w:rPr>
        <w:t> </w:t>
      </w:r>
      <w:r w:rsidRPr="00BD22FE">
        <w:rPr>
          <w:sz w:val="22"/>
          <w:szCs w:val="22"/>
          <w:lang w:val="pl-PL"/>
        </w:rPr>
        <w:t>leków. Dotyczy to zwłaszcza jednoczesnego przyjmowania razem z</w:t>
      </w:r>
      <w:r w:rsidR="00717A7B" w:rsidRPr="00BD22FE">
        <w:rPr>
          <w:sz w:val="22"/>
          <w:szCs w:val="22"/>
          <w:lang w:val="pl-PL"/>
        </w:rPr>
        <w:t> </w:t>
      </w:r>
      <w:r w:rsidRPr="00BD22FE">
        <w:rPr>
          <w:sz w:val="22"/>
          <w:szCs w:val="22"/>
          <w:lang w:val="pl-PL"/>
        </w:rPr>
        <w:t>lekiem MicardisPlus niżej wymienionych leków:</w:t>
      </w:r>
    </w:p>
    <w:p w14:paraId="455705E9" w14:textId="17101486" w:rsidR="000016E2" w:rsidRPr="00BD22FE" w:rsidRDefault="000016E2" w:rsidP="007F07E6">
      <w:pPr>
        <w:pStyle w:val="BodyText"/>
        <w:keepNext/>
        <w:spacing w:line="240" w:lineRule="auto"/>
        <w:jc w:val="left"/>
        <w:rPr>
          <w:sz w:val="22"/>
          <w:szCs w:val="22"/>
          <w:lang w:val="pl-PL"/>
        </w:rPr>
      </w:pPr>
    </w:p>
    <w:p w14:paraId="368A9A81" w14:textId="4AD621B0" w:rsidR="000016E2" w:rsidRPr="00BD22FE" w:rsidRDefault="00904A45" w:rsidP="006717CD">
      <w:pPr>
        <w:pStyle w:val="BodyText"/>
        <w:numPr>
          <w:ilvl w:val="0"/>
          <w:numId w:val="29"/>
        </w:numPr>
        <w:spacing w:line="240" w:lineRule="auto"/>
        <w:ind w:left="567" w:hanging="567"/>
        <w:jc w:val="left"/>
        <w:rPr>
          <w:sz w:val="22"/>
          <w:szCs w:val="22"/>
          <w:lang w:val="pl-PL"/>
        </w:rPr>
      </w:pPr>
      <w:r w:rsidRPr="00BD22FE">
        <w:rPr>
          <w:sz w:val="22"/>
          <w:szCs w:val="22"/>
          <w:lang w:val="pl-PL"/>
        </w:rPr>
        <w:t>leków zawierających</w:t>
      </w:r>
      <w:r w:rsidR="00104CA8" w:rsidRPr="00BD22FE">
        <w:rPr>
          <w:sz w:val="22"/>
          <w:szCs w:val="22"/>
          <w:lang w:val="pl-PL"/>
        </w:rPr>
        <w:t xml:space="preserve"> lit, stosowan</w:t>
      </w:r>
      <w:r w:rsidRPr="00BD22FE">
        <w:rPr>
          <w:sz w:val="22"/>
          <w:szCs w:val="22"/>
          <w:lang w:val="pl-PL"/>
        </w:rPr>
        <w:t>ych</w:t>
      </w:r>
      <w:r w:rsidR="00104CA8" w:rsidRPr="00BD22FE">
        <w:rPr>
          <w:sz w:val="22"/>
          <w:szCs w:val="22"/>
          <w:lang w:val="pl-PL"/>
        </w:rPr>
        <w:t xml:space="preserve"> w</w:t>
      </w:r>
      <w:r w:rsidR="00717A7B" w:rsidRPr="00BD22FE">
        <w:rPr>
          <w:sz w:val="22"/>
          <w:szCs w:val="22"/>
          <w:lang w:val="pl-PL"/>
        </w:rPr>
        <w:t> </w:t>
      </w:r>
      <w:r w:rsidR="00104CA8" w:rsidRPr="00BD22FE">
        <w:rPr>
          <w:sz w:val="22"/>
          <w:szCs w:val="22"/>
          <w:lang w:val="pl-PL"/>
        </w:rPr>
        <w:t>leczeniu niektórych rodzajów depresji;</w:t>
      </w:r>
    </w:p>
    <w:p w14:paraId="7E561F0D" w14:textId="13D74AC9" w:rsidR="000016E2" w:rsidRPr="00BD22FE" w:rsidRDefault="00104CA8" w:rsidP="006717CD">
      <w:pPr>
        <w:pStyle w:val="BodyText"/>
        <w:numPr>
          <w:ilvl w:val="0"/>
          <w:numId w:val="29"/>
        </w:numPr>
        <w:spacing w:line="240" w:lineRule="auto"/>
        <w:ind w:left="567" w:hanging="567"/>
        <w:jc w:val="left"/>
        <w:rPr>
          <w:rFonts w:eastAsia="MS Mincho"/>
          <w:sz w:val="22"/>
          <w:szCs w:val="22"/>
          <w:lang w:val="pl-PL" w:eastAsia="ja-JP"/>
        </w:rPr>
      </w:pPr>
      <w:r w:rsidRPr="00BD22FE">
        <w:rPr>
          <w:rFonts w:eastAsia="MS Mincho"/>
          <w:sz w:val="22"/>
          <w:szCs w:val="22"/>
          <w:lang w:val="pl-PL" w:eastAsia="ja-JP"/>
        </w:rPr>
        <w:t>leki związane z</w:t>
      </w:r>
      <w:r w:rsidR="00717A7B" w:rsidRPr="00BD22FE">
        <w:rPr>
          <w:rFonts w:eastAsia="MS Mincho"/>
          <w:sz w:val="22"/>
          <w:szCs w:val="22"/>
          <w:lang w:val="pl-PL" w:eastAsia="ja-JP"/>
        </w:rPr>
        <w:t> </w:t>
      </w:r>
      <w:r w:rsidRPr="00BD22FE">
        <w:rPr>
          <w:rFonts w:eastAsia="MS Mincho"/>
          <w:sz w:val="22"/>
          <w:szCs w:val="22"/>
          <w:lang w:val="pl-PL" w:eastAsia="ja-JP"/>
        </w:rPr>
        <w:t>występowaniem małego stężenia potasu we krwi (hipokaliemia), takie jak inne leki moczopędne (tabletki odwadniające), leki przeczyszczające (np. olej rycynowy), kortykosteroidy (np. prednizolon), ACTH (hormon), amfoterycyna (lek przeciwgrzybiczy), karbenoksolon (stosowany w</w:t>
      </w:r>
      <w:r w:rsidR="00717A7B" w:rsidRPr="00BD22FE">
        <w:rPr>
          <w:rFonts w:eastAsia="MS Mincho"/>
          <w:sz w:val="22"/>
          <w:szCs w:val="22"/>
          <w:lang w:val="pl-PL" w:eastAsia="ja-JP"/>
        </w:rPr>
        <w:t> </w:t>
      </w:r>
      <w:r w:rsidRPr="00BD22FE">
        <w:rPr>
          <w:rFonts w:eastAsia="MS Mincho"/>
          <w:sz w:val="22"/>
          <w:szCs w:val="22"/>
          <w:lang w:val="pl-PL" w:eastAsia="ja-JP"/>
        </w:rPr>
        <w:t>leczeniu owrzodzeń jamy ustnej), sól sodowa penicyliny</w:t>
      </w:r>
      <w:r w:rsidR="00F118DD" w:rsidRPr="00BD22FE">
        <w:rPr>
          <w:rFonts w:eastAsia="MS Mincho"/>
          <w:sz w:val="22"/>
          <w:szCs w:val="22"/>
          <w:lang w:val="pl-PL" w:eastAsia="ja-JP"/>
        </w:rPr>
        <w:t> </w:t>
      </w:r>
      <w:r w:rsidRPr="00BD22FE">
        <w:rPr>
          <w:rFonts w:eastAsia="MS Mincho"/>
          <w:sz w:val="22"/>
          <w:szCs w:val="22"/>
          <w:lang w:val="pl-PL" w:eastAsia="ja-JP"/>
        </w:rPr>
        <w:t>G (antybiotyk), kwas salicylowy oraz jego pochodne;</w:t>
      </w:r>
    </w:p>
    <w:p w14:paraId="48F22DE8" w14:textId="77777777" w:rsidR="000016E2" w:rsidRPr="00BD22FE" w:rsidRDefault="00104CA8" w:rsidP="006717CD">
      <w:pPr>
        <w:pStyle w:val="BodyText"/>
        <w:numPr>
          <w:ilvl w:val="0"/>
          <w:numId w:val="29"/>
        </w:numPr>
        <w:spacing w:line="240" w:lineRule="auto"/>
        <w:ind w:left="567" w:hanging="567"/>
        <w:jc w:val="left"/>
        <w:rPr>
          <w:rFonts w:eastAsia="MS Mincho"/>
          <w:sz w:val="22"/>
          <w:szCs w:val="22"/>
          <w:lang w:val="pl-PL" w:eastAsia="ja-JP"/>
        </w:rPr>
      </w:pPr>
      <w:bookmarkStart w:id="13" w:name="_Hlk151620830"/>
      <w:r w:rsidRPr="00BD22FE">
        <w:rPr>
          <w:rFonts w:eastAsia="MS Mincho"/>
          <w:sz w:val="22"/>
          <w:szCs w:val="22"/>
          <w:lang w:val="pl-PL" w:eastAsia="ja-JP"/>
        </w:rPr>
        <w:t>jodowy środek kontrastowy stosowany do badania obrazowego</w:t>
      </w:r>
      <w:bookmarkEnd w:id="13"/>
      <w:r w:rsidRPr="00BD22FE">
        <w:rPr>
          <w:rFonts w:eastAsia="MS Mincho"/>
          <w:sz w:val="22"/>
          <w:szCs w:val="22"/>
          <w:lang w:val="pl-PL" w:eastAsia="ja-JP"/>
        </w:rPr>
        <w:t>;</w:t>
      </w:r>
    </w:p>
    <w:p w14:paraId="0DD8049C" w14:textId="1228EAEE" w:rsidR="000016E2" w:rsidRPr="00BD22FE" w:rsidRDefault="00104CA8" w:rsidP="006717CD">
      <w:pPr>
        <w:pStyle w:val="BodyText"/>
        <w:numPr>
          <w:ilvl w:val="0"/>
          <w:numId w:val="29"/>
        </w:numPr>
        <w:spacing w:line="240" w:lineRule="auto"/>
        <w:ind w:left="567" w:hanging="567"/>
        <w:jc w:val="left"/>
        <w:rPr>
          <w:rFonts w:eastAsia="MS Mincho"/>
          <w:sz w:val="22"/>
          <w:szCs w:val="22"/>
          <w:lang w:val="pl-PL" w:eastAsia="ja-JP"/>
        </w:rPr>
      </w:pPr>
      <w:r w:rsidRPr="00BD22FE">
        <w:rPr>
          <w:rFonts w:eastAsia="MS Mincho"/>
          <w:sz w:val="22"/>
          <w:szCs w:val="22"/>
          <w:lang w:val="pl-PL" w:eastAsia="ja-JP"/>
        </w:rPr>
        <w:t xml:space="preserve">leki mogące podwyższać stężenie potasu we krwi, </w:t>
      </w:r>
      <w:r w:rsidR="00F118DD" w:rsidRPr="00BD22FE">
        <w:rPr>
          <w:rFonts w:eastAsia="MS Mincho"/>
          <w:sz w:val="22"/>
          <w:szCs w:val="22"/>
          <w:lang w:val="pl-PL" w:eastAsia="ja-JP"/>
        </w:rPr>
        <w:t>takie jak</w:t>
      </w:r>
      <w:r w:rsidRPr="00BD22FE">
        <w:rPr>
          <w:rFonts w:eastAsia="MS Mincho"/>
          <w:sz w:val="22"/>
          <w:szCs w:val="22"/>
          <w:lang w:val="pl-PL" w:eastAsia="ja-JP"/>
        </w:rPr>
        <w:t xml:space="preserve"> leki moczopędne oszczędzające potas, suplementy potasu, substytuty soli zawierające potas, inhibitory ACE, cyklosporyna (lek immunosupresyjny) i</w:t>
      </w:r>
      <w:r w:rsidR="00717A7B" w:rsidRPr="00BD22FE">
        <w:rPr>
          <w:rFonts w:eastAsia="MS Mincho"/>
          <w:sz w:val="22"/>
          <w:szCs w:val="22"/>
          <w:lang w:val="pl-PL" w:eastAsia="ja-JP"/>
        </w:rPr>
        <w:t> </w:t>
      </w:r>
      <w:r w:rsidRPr="00BD22FE">
        <w:rPr>
          <w:rFonts w:eastAsia="MS Mincho"/>
          <w:sz w:val="22"/>
          <w:szCs w:val="22"/>
          <w:lang w:val="pl-PL" w:eastAsia="ja-JP"/>
        </w:rPr>
        <w:t xml:space="preserve">inne produkty lecznicze, </w:t>
      </w:r>
      <w:r w:rsidR="005C7363" w:rsidRPr="00BD22FE">
        <w:rPr>
          <w:rFonts w:eastAsia="MS Mincho"/>
          <w:sz w:val="22"/>
          <w:szCs w:val="22"/>
          <w:lang w:val="pl-PL" w:eastAsia="ja-JP"/>
        </w:rPr>
        <w:t>takie jak</w:t>
      </w:r>
      <w:r w:rsidRPr="00BD22FE">
        <w:rPr>
          <w:rFonts w:eastAsia="MS Mincho"/>
          <w:sz w:val="22"/>
          <w:szCs w:val="22"/>
          <w:lang w:val="pl-PL" w:eastAsia="ja-JP"/>
        </w:rPr>
        <w:t xml:space="preserve"> heparyna sodowa (lek przeciwzakrzepowy);</w:t>
      </w:r>
    </w:p>
    <w:p w14:paraId="33359AA8" w14:textId="450190FE" w:rsidR="000016E2" w:rsidRPr="00BD22FE" w:rsidRDefault="00104CA8" w:rsidP="00A610E1">
      <w:pPr>
        <w:pStyle w:val="BodyText"/>
        <w:numPr>
          <w:ilvl w:val="0"/>
          <w:numId w:val="29"/>
        </w:numPr>
        <w:spacing w:line="240" w:lineRule="auto"/>
        <w:ind w:left="567" w:hanging="567"/>
        <w:jc w:val="left"/>
        <w:rPr>
          <w:sz w:val="22"/>
          <w:szCs w:val="22"/>
          <w:lang w:val="pl-PL"/>
        </w:rPr>
      </w:pPr>
      <w:r w:rsidRPr="00BD22FE">
        <w:rPr>
          <w:rFonts w:eastAsia="MS Mincho"/>
          <w:sz w:val="22"/>
          <w:szCs w:val="22"/>
          <w:lang w:val="pl-PL" w:eastAsia="ja-JP"/>
        </w:rPr>
        <w:t>leki, na które wpływają zmiany stężenia potasu we krwi, takie jak leki nasercowe (np.</w:t>
      </w:r>
      <w:r w:rsidR="00647DB9" w:rsidRPr="00BD22FE">
        <w:rPr>
          <w:rFonts w:eastAsia="MS Mincho"/>
          <w:sz w:val="22"/>
          <w:szCs w:val="22"/>
          <w:lang w:val="pl-PL" w:eastAsia="ja-JP"/>
        </w:rPr>
        <w:t> </w:t>
      </w:r>
      <w:r w:rsidRPr="00BD22FE">
        <w:rPr>
          <w:rFonts w:eastAsia="MS Mincho"/>
          <w:sz w:val="22"/>
          <w:szCs w:val="22"/>
          <w:lang w:val="pl-PL" w:eastAsia="ja-JP"/>
        </w:rPr>
        <w:t>digoksyna) czy też leki regulujące częstość akcji serca (np. chinidyna, dyzopiramid, amiodaron, sotalol), leki używane w</w:t>
      </w:r>
      <w:r w:rsidR="00717A7B" w:rsidRPr="00BD22FE">
        <w:rPr>
          <w:rFonts w:eastAsia="MS Mincho"/>
          <w:sz w:val="22"/>
          <w:szCs w:val="22"/>
          <w:lang w:val="pl-PL" w:eastAsia="ja-JP"/>
        </w:rPr>
        <w:t> </w:t>
      </w:r>
      <w:r w:rsidRPr="00BD22FE">
        <w:rPr>
          <w:rFonts w:eastAsia="MS Mincho"/>
          <w:sz w:val="22"/>
          <w:szCs w:val="22"/>
          <w:lang w:val="pl-PL" w:eastAsia="ja-JP"/>
        </w:rPr>
        <w:t>leczeniu zaburzeń psychicznych (np. tiorydazyna, chloropromazyna, lewomepromazyna) oraz inne leki, takie jak niektóre antybiotyki (np.</w:t>
      </w:r>
      <w:r w:rsidR="007C5AAA" w:rsidRPr="00BD22FE">
        <w:rPr>
          <w:rFonts w:eastAsia="MS Mincho"/>
          <w:sz w:val="22"/>
          <w:szCs w:val="22"/>
          <w:lang w:val="pl-PL" w:eastAsia="ja-JP"/>
        </w:rPr>
        <w:t xml:space="preserve"> </w:t>
      </w:r>
      <w:r w:rsidRPr="00BD22FE">
        <w:rPr>
          <w:rFonts w:eastAsia="MS Mincho"/>
          <w:sz w:val="22"/>
          <w:szCs w:val="22"/>
          <w:lang w:val="pl-PL" w:eastAsia="ja-JP"/>
        </w:rPr>
        <w:t>sparfloksacyna, pentamidyna) lub pewne leki stosowane w</w:t>
      </w:r>
      <w:r w:rsidR="00717A7B" w:rsidRPr="00BD22FE">
        <w:rPr>
          <w:rFonts w:eastAsia="MS Mincho"/>
          <w:sz w:val="22"/>
          <w:szCs w:val="22"/>
          <w:lang w:val="pl-PL" w:eastAsia="ja-JP"/>
        </w:rPr>
        <w:t> </w:t>
      </w:r>
      <w:r w:rsidRPr="00BD22FE">
        <w:rPr>
          <w:rFonts w:eastAsia="MS Mincho"/>
          <w:sz w:val="22"/>
          <w:szCs w:val="22"/>
          <w:lang w:val="pl-PL" w:eastAsia="ja-JP"/>
        </w:rPr>
        <w:t>terapii odczynów (reakcji) alergicznych (np. terfenadyna);</w:t>
      </w:r>
    </w:p>
    <w:p w14:paraId="2A7AEB89" w14:textId="37569EC6" w:rsidR="000016E2" w:rsidRPr="00BD22FE" w:rsidRDefault="00104CA8" w:rsidP="00A610E1">
      <w:pPr>
        <w:pStyle w:val="BodyText"/>
        <w:numPr>
          <w:ilvl w:val="0"/>
          <w:numId w:val="29"/>
        </w:numPr>
        <w:spacing w:line="240" w:lineRule="auto"/>
        <w:ind w:left="567" w:hanging="567"/>
        <w:jc w:val="left"/>
        <w:rPr>
          <w:sz w:val="22"/>
          <w:szCs w:val="22"/>
          <w:lang w:val="pl-PL"/>
        </w:rPr>
      </w:pPr>
      <w:r w:rsidRPr="00BD22FE">
        <w:rPr>
          <w:sz w:val="22"/>
          <w:szCs w:val="22"/>
          <w:lang w:val="pl-PL"/>
        </w:rPr>
        <w:lastRenderedPageBreak/>
        <w:t>leki stosowane w</w:t>
      </w:r>
      <w:r w:rsidR="00717A7B" w:rsidRPr="00BD22FE">
        <w:rPr>
          <w:sz w:val="22"/>
          <w:szCs w:val="22"/>
          <w:lang w:val="pl-PL"/>
        </w:rPr>
        <w:t> </w:t>
      </w:r>
      <w:r w:rsidR="00E301D5" w:rsidRPr="00BD22FE">
        <w:rPr>
          <w:sz w:val="22"/>
          <w:szCs w:val="22"/>
          <w:lang w:val="pl-PL"/>
        </w:rPr>
        <w:t xml:space="preserve">leczeniu </w:t>
      </w:r>
      <w:r w:rsidRPr="00BD22FE">
        <w:rPr>
          <w:sz w:val="22"/>
          <w:szCs w:val="22"/>
          <w:lang w:val="pl-PL"/>
        </w:rPr>
        <w:t>cukrzycy (insulina lub leki doustne takie jak metformina);</w:t>
      </w:r>
    </w:p>
    <w:p w14:paraId="48AAABB4" w14:textId="19BEDD8D" w:rsidR="000016E2" w:rsidRPr="00BD22FE" w:rsidRDefault="00104CA8" w:rsidP="00A610E1">
      <w:pPr>
        <w:pStyle w:val="BodyText"/>
        <w:numPr>
          <w:ilvl w:val="0"/>
          <w:numId w:val="29"/>
        </w:numPr>
        <w:spacing w:line="240" w:lineRule="auto"/>
        <w:ind w:left="567" w:hanging="567"/>
        <w:jc w:val="left"/>
        <w:rPr>
          <w:sz w:val="22"/>
          <w:szCs w:val="22"/>
          <w:lang w:val="pl-PL"/>
        </w:rPr>
      </w:pPr>
      <w:r w:rsidRPr="00BD22FE">
        <w:rPr>
          <w:sz w:val="22"/>
          <w:szCs w:val="22"/>
          <w:lang w:val="pl-PL"/>
        </w:rPr>
        <w:t>kolestyramina i</w:t>
      </w:r>
      <w:r w:rsidR="00717A7B" w:rsidRPr="00BD22FE">
        <w:rPr>
          <w:sz w:val="22"/>
          <w:szCs w:val="22"/>
          <w:lang w:val="pl-PL"/>
        </w:rPr>
        <w:t> </w:t>
      </w:r>
      <w:r w:rsidRPr="00BD22FE">
        <w:rPr>
          <w:sz w:val="22"/>
          <w:szCs w:val="22"/>
          <w:lang w:val="pl-PL"/>
        </w:rPr>
        <w:t>kolestypol, leki obniżające stężenie tłuszczów we krwi;</w:t>
      </w:r>
    </w:p>
    <w:p w14:paraId="5689F66D" w14:textId="3613872A" w:rsidR="000016E2" w:rsidRPr="00BD22FE" w:rsidRDefault="00104CA8" w:rsidP="00A610E1">
      <w:pPr>
        <w:pStyle w:val="BodyText"/>
        <w:numPr>
          <w:ilvl w:val="0"/>
          <w:numId w:val="29"/>
        </w:numPr>
        <w:spacing w:line="240" w:lineRule="auto"/>
        <w:ind w:left="567" w:hanging="567"/>
        <w:jc w:val="left"/>
        <w:rPr>
          <w:sz w:val="22"/>
          <w:szCs w:val="22"/>
          <w:lang w:val="pl-PL"/>
        </w:rPr>
      </w:pPr>
      <w:r w:rsidRPr="00BD22FE">
        <w:rPr>
          <w:sz w:val="22"/>
          <w:szCs w:val="22"/>
          <w:lang w:val="pl-PL"/>
        </w:rPr>
        <w:t xml:space="preserve">leki podwyższające ciśnienie </w:t>
      </w:r>
      <w:r w:rsidR="002E6143" w:rsidRPr="00BD22FE">
        <w:rPr>
          <w:sz w:val="22"/>
          <w:szCs w:val="22"/>
          <w:lang w:val="pl-PL"/>
        </w:rPr>
        <w:t xml:space="preserve">tętnicze </w:t>
      </w:r>
      <w:r w:rsidRPr="00BD22FE">
        <w:rPr>
          <w:sz w:val="22"/>
          <w:szCs w:val="22"/>
          <w:lang w:val="pl-PL"/>
        </w:rPr>
        <w:t>krwi takie jak noradrenalina;</w:t>
      </w:r>
    </w:p>
    <w:p w14:paraId="05BF8BDE" w14:textId="77777777" w:rsidR="000016E2" w:rsidRPr="00BD22FE" w:rsidRDefault="00104CA8" w:rsidP="00A610E1">
      <w:pPr>
        <w:pStyle w:val="BodyText"/>
        <w:numPr>
          <w:ilvl w:val="0"/>
          <w:numId w:val="29"/>
        </w:numPr>
        <w:spacing w:line="240" w:lineRule="auto"/>
        <w:ind w:left="567" w:hanging="567"/>
        <w:jc w:val="left"/>
        <w:rPr>
          <w:sz w:val="22"/>
          <w:szCs w:val="22"/>
          <w:lang w:val="pl-PL"/>
        </w:rPr>
      </w:pPr>
      <w:r w:rsidRPr="00BD22FE">
        <w:rPr>
          <w:sz w:val="22"/>
          <w:szCs w:val="22"/>
          <w:lang w:val="pl-PL"/>
        </w:rPr>
        <w:t>leki zwiotczające mięśnie takie jak tubokuraryna;</w:t>
      </w:r>
    </w:p>
    <w:p w14:paraId="20657614" w14:textId="6DDAB08B" w:rsidR="000016E2" w:rsidRPr="00BD22FE" w:rsidRDefault="00104CA8" w:rsidP="00A610E1">
      <w:pPr>
        <w:pStyle w:val="BodyText"/>
        <w:numPr>
          <w:ilvl w:val="0"/>
          <w:numId w:val="29"/>
        </w:numPr>
        <w:spacing w:line="240" w:lineRule="auto"/>
        <w:ind w:left="567" w:hanging="567"/>
        <w:jc w:val="left"/>
        <w:rPr>
          <w:sz w:val="22"/>
          <w:szCs w:val="22"/>
          <w:lang w:val="pl-PL"/>
        </w:rPr>
      </w:pPr>
      <w:r w:rsidRPr="00BD22FE">
        <w:rPr>
          <w:sz w:val="22"/>
          <w:szCs w:val="22"/>
          <w:lang w:val="pl-PL"/>
        </w:rPr>
        <w:t>suplementy wapnia i</w:t>
      </w:r>
      <w:r w:rsidR="00B15C46" w:rsidRPr="00BD22FE">
        <w:rPr>
          <w:sz w:val="22"/>
          <w:szCs w:val="22"/>
          <w:lang w:val="pl-PL"/>
        </w:rPr>
        <w:t> </w:t>
      </w:r>
      <w:r w:rsidRPr="00BD22FE">
        <w:rPr>
          <w:sz w:val="22"/>
          <w:szCs w:val="22"/>
          <w:lang w:val="pl-PL"/>
        </w:rPr>
        <w:t>(lub) witaminy</w:t>
      </w:r>
      <w:r w:rsidR="001E0877" w:rsidRPr="00BD22FE">
        <w:rPr>
          <w:sz w:val="22"/>
          <w:szCs w:val="22"/>
          <w:lang w:val="pl-PL"/>
        </w:rPr>
        <w:t> </w:t>
      </w:r>
      <w:r w:rsidRPr="00BD22FE">
        <w:rPr>
          <w:sz w:val="22"/>
          <w:szCs w:val="22"/>
          <w:lang w:val="pl-PL"/>
        </w:rPr>
        <w:t>D;</w:t>
      </w:r>
    </w:p>
    <w:p w14:paraId="6F6F9A1B" w14:textId="46C96BA0" w:rsidR="000016E2" w:rsidRPr="00BD22FE" w:rsidRDefault="00104CA8" w:rsidP="00A610E1">
      <w:pPr>
        <w:pStyle w:val="BodyText"/>
        <w:numPr>
          <w:ilvl w:val="0"/>
          <w:numId w:val="29"/>
        </w:numPr>
        <w:spacing w:line="240" w:lineRule="auto"/>
        <w:ind w:left="567" w:hanging="567"/>
        <w:jc w:val="left"/>
        <w:rPr>
          <w:sz w:val="22"/>
          <w:szCs w:val="22"/>
          <w:lang w:val="pl-PL"/>
        </w:rPr>
      </w:pPr>
      <w:r w:rsidRPr="00BD22FE">
        <w:rPr>
          <w:sz w:val="22"/>
          <w:szCs w:val="22"/>
          <w:lang w:val="pl-PL"/>
        </w:rPr>
        <w:t>leki o</w:t>
      </w:r>
      <w:r w:rsidR="00717A7B" w:rsidRPr="00BD22FE">
        <w:rPr>
          <w:sz w:val="22"/>
          <w:szCs w:val="22"/>
          <w:lang w:val="pl-PL"/>
        </w:rPr>
        <w:t> </w:t>
      </w:r>
      <w:r w:rsidRPr="00BD22FE">
        <w:rPr>
          <w:sz w:val="22"/>
          <w:szCs w:val="22"/>
          <w:lang w:val="pl-PL"/>
        </w:rPr>
        <w:t>działaniu antycholinergicznym (stosowane w</w:t>
      </w:r>
      <w:r w:rsidR="00717A7B" w:rsidRPr="00BD22FE">
        <w:rPr>
          <w:sz w:val="22"/>
          <w:szCs w:val="22"/>
          <w:lang w:val="pl-PL"/>
        </w:rPr>
        <w:t> </w:t>
      </w:r>
      <w:r w:rsidRPr="00BD22FE">
        <w:rPr>
          <w:sz w:val="22"/>
          <w:szCs w:val="22"/>
          <w:lang w:val="pl-PL"/>
        </w:rPr>
        <w:t>leczeniu szeregu zaburzeń, takich jak stany skurczowe w</w:t>
      </w:r>
      <w:r w:rsidR="00717A7B" w:rsidRPr="00BD22FE">
        <w:rPr>
          <w:sz w:val="22"/>
          <w:szCs w:val="22"/>
          <w:lang w:val="pl-PL"/>
        </w:rPr>
        <w:t> </w:t>
      </w:r>
      <w:r w:rsidRPr="00BD22FE">
        <w:rPr>
          <w:sz w:val="22"/>
          <w:szCs w:val="22"/>
          <w:lang w:val="pl-PL"/>
        </w:rPr>
        <w:t>obrębie przewodu pokarmowego, skurcze pęcherza moczowego, astma, choroba lokomocyjna, skurcze mięśni, choroba Parkinsona</w:t>
      </w:r>
      <w:r w:rsidR="005106B6" w:rsidRPr="00BD22FE">
        <w:rPr>
          <w:sz w:val="22"/>
          <w:szCs w:val="22"/>
          <w:lang w:val="pl-PL"/>
        </w:rPr>
        <w:t xml:space="preserve"> </w:t>
      </w:r>
      <w:r w:rsidRPr="00BD22FE">
        <w:rPr>
          <w:sz w:val="22"/>
          <w:szCs w:val="22"/>
          <w:lang w:val="pl-PL"/>
        </w:rPr>
        <w:t>oraz wspomagająco przy znieczuleniu), takie jak atropina i</w:t>
      </w:r>
      <w:r w:rsidR="00717A7B" w:rsidRPr="00BD22FE">
        <w:rPr>
          <w:sz w:val="22"/>
          <w:szCs w:val="22"/>
          <w:lang w:val="pl-PL"/>
        </w:rPr>
        <w:t> </w:t>
      </w:r>
      <w:r w:rsidRPr="00BD22FE">
        <w:rPr>
          <w:sz w:val="22"/>
          <w:szCs w:val="22"/>
          <w:lang w:val="pl-PL"/>
        </w:rPr>
        <w:t>biperyden;</w:t>
      </w:r>
    </w:p>
    <w:p w14:paraId="2777EA88" w14:textId="6450D8F8" w:rsidR="000016E2" w:rsidRPr="00BD22FE" w:rsidRDefault="00104CA8" w:rsidP="00A610E1">
      <w:pPr>
        <w:pStyle w:val="BodyText"/>
        <w:numPr>
          <w:ilvl w:val="0"/>
          <w:numId w:val="29"/>
        </w:numPr>
        <w:spacing w:line="240" w:lineRule="auto"/>
        <w:ind w:left="567" w:hanging="567"/>
        <w:jc w:val="left"/>
        <w:rPr>
          <w:sz w:val="22"/>
          <w:szCs w:val="22"/>
          <w:lang w:val="pl-PL"/>
        </w:rPr>
      </w:pPr>
      <w:r w:rsidRPr="00BD22FE">
        <w:rPr>
          <w:sz w:val="22"/>
          <w:szCs w:val="22"/>
          <w:lang w:val="pl-PL"/>
        </w:rPr>
        <w:t>amantadyna (lek stosowany w</w:t>
      </w:r>
      <w:r w:rsidR="00717A7B" w:rsidRPr="00BD22FE">
        <w:rPr>
          <w:sz w:val="22"/>
          <w:szCs w:val="22"/>
          <w:lang w:val="pl-PL"/>
        </w:rPr>
        <w:t> </w:t>
      </w:r>
      <w:r w:rsidRPr="00BD22FE">
        <w:rPr>
          <w:sz w:val="22"/>
          <w:szCs w:val="22"/>
          <w:lang w:val="pl-PL"/>
        </w:rPr>
        <w:t>chorobie Parkinsona, a</w:t>
      </w:r>
      <w:r w:rsidR="00717A7B" w:rsidRPr="00BD22FE">
        <w:rPr>
          <w:sz w:val="22"/>
          <w:szCs w:val="22"/>
          <w:lang w:val="pl-PL"/>
        </w:rPr>
        <w:t> </w:t>
      </w:r>
      <w:r w:rsidRPr="00BD22FE">
        <w:rPr>
          <w:sz w:val="22"/>
          <w:szCs w:val="22"/>
          <w:lang w:val="pl-PL"/>
        </w:rPr>
        <w:t>także w</w:t>
      </w:r>
      <w:r w:rsidR="00717A7B" w:rsidRPr="00BD22FE">
        <w:rPr>
          <w:sz w:val="22"/>
          <w:szCs w:val="22"/>
          <w:lang w:val="pl-PL"/>
        </w:rPr>
        <w:t> </w:t>
      </w:r>
      <w:r w:rsidRPr="00BD22FE">
        <w:rPr>
          <w:sz w:val="22"/>
          <w:szCs w:val="22"/>
          <w:lang w:val="pl-PL"/>
        </w:rPr>
        <w:t>leczeniu lub zapobieganiu pewnych chorób wirusowych</w:t>
      </w:r>
      <w:r w:rsidR="005453AA" w:rsidRPr="00BD22FE">
        <w:rPr>
          <w:sz w:val="22"/>
          <w:szCs w:val="22"/>
          <w:lang w:val="pl-PL"/>
        </w:rPr>
        <w:t>)</w:t>
      </w:r>
      <w:r w:rsidRPr="00BD22FE">
        <w:rPr>
          <w:sz w:val="22"/>
          <w:szCs w:val="22"/>
          <w:lang w:val="pl-PL"/>
        </w:rPr>
        <w:t>;</w:t>
      </w:r>
    </w:p>
    <w:p w14:paraId="3E6D2C76" w14:textId="3832B7AF" w:rsidR="000016E2" w:rsidRPr="00BD22FE" w:rsidRDefault="00104CA8" w:rsidP="00A610E1">
      <w:pPr>
        <w:pStyle w:val="BodyText"/>
        <w:numPr>
          <w:ilvl w:val="0"/>
          <w:numId w:val="29"/>
        </w:numPr>
        <w:spacing w:line="240" w:lineRule="auto"/>
        <w:ind w:left="567" w:hanging="567"/>
        <w:jc w:val="left"/>
        <w:rPr>
          <w:sz w:val="22"/>
          <w:szCs w:val="22"/>
          <w:lang w:val="pl-PL"/>
        </w:rPr>
      </w:pPr>
      <w:r w:rsidRPr="00BD22FE">
        <w:rPr>
          <w:sz w:val="22"/>
          <w:szCs w:val="22"/>
          <w:lang w:val="pl-PL"/>
        </w:rPr>
        <w:t>pozostałe leki stosowane w</w:t>
      </w:r>
      <w:r w:rsidR="00717A7B" w:rsidRPr="00BD22FE">
        <w:rPr>
          <w:sz w:val="22"/>
          <w:szCs w:val="22"/>
          <w:lang w:val="pl-PL"/>
        </w:rPr>
        <w:t> </w:t>
      </w:r>
      <w:r w:rsidRPr="00BD22FE">
        <w:rPr>
          <w:sz w:val="22"/>
          <w:szCs w:val="22"/>
          <w:lang w:val="pl-PL"/>
        </w:rPr>
        <w:t xml:space="preserve">leczeniu </w:t>
      </w:r>
      <w:r w:rsidR="008E0CC3" w:rsidRPr="00BD22FE">
        <w:rPr>
          <w:sz w:val="22"/>
          <w:szCs w:val="22"/>
          <w:lang w:val="pl-PL"/>
        </w:rPr>
        <w:t xml:space="preserve">wysokiego </w:t>
      </w:r>
      <w:r w:rsidRPr="00BD22FE">
        <w:rPr>
          <w:sz w:val="22"/>
          <w:szCs w:val="22"/>
          <w:lang w:val="pl-PL"/>
        </w:rPr>
        <w:t>ciśnienia</w:t>
      </w:r>
      <w:r w:rsidR="008E0CC3" w:rsidRPr="00BD22FE">
        <w:rPr>
          <w:sz w:val="22"/>
          <w:szCs w:val="22"/>
          <w:lang w:val="pl-PL"/>
        </w:rPr>
        <w:t xml:space="preserve"> tętniczego krwi</w:t>
      </w:r>
      <w:r w:rsidRPr="00BD22FE">
        <w:rPr>
          <w:sz w:val="22"/>
          <w:szCs w:val="22"/>
          <w:lang w:val="pl-PL"/>
        </w:rPr>
        <w:t>, kortykosteroidy, leki przeciwbólowe (np. niesteroidowe leki przeciwzapalne, NLPZ), leki stosowane w</w:t>
      </w:r>
      <w:r w:rsidR="00717A7B" w:rsidRPr="00BD22FE">
        <w:rPr>
          <w:sz w:val="22"/>
          <w:szCs w:val="22"/>
          <w:lang w:val="pl-PL"/>
        </w:rPr>
        <w:t> </w:t>
      </w:r>
      <w:r w:rsidRPr="00BD22FE">
        <w:rPr>
          <w:sz w:val="22"/>
          <w:szCs w:val="22"/>
          <w:lang w:val="pl-PL"/>
        </w:rPr>
        <w:t>leczeniu nowotworów, dny moczanowej lub zapalenia stawów;</w:t>
      </w:r>
    </w:p>
    <w:p w14:paraId="7D4F8886" w14:textId="60607AEB" w:rsidR="000016E2" w:rsidRPr="00BD22FE" w:rsidRDefault="00104CA8" w:rsidP="00A610E1">
      <w:pPr>
        <w:pStyle w:val="PlainText"/>
        <w:numPr>
          <w:ilvl w:val="0"/>
          <w:numId w:val="29"/>
        </w:numPr>
        <w:ind w:left="567" w:hanging="567"/>
        <w:rPr>
          <w:rFonts w:ascii="Times New Roman" w:eastAsia="Times New Roman" w:hAnsi="Times New Roman"/>
          <w:bCs/>
          <w:iCs/>
          <w:sz w:val="22"/>
          <w:lang w:val="pl-PL"/>
        </w:rPr>
      </w:pPr>
      <w:r w:rsidRPr="00BD22FE">
        <w:rPr>
          <w:rFonts w:ascii="Times New Roman" w:hAnsi="Times New Roman"/>
          <w:sz w:val="22"/>
          <w:szCs w:val="22"/>
          <w:lang w:val="pl-PL"/>
        </w:rPr>
        <w:t xml:space="preserve">przyjmowanie inhibitora ACE lub aliskirenu (patrz także informacje </w:t>
      </w:r>
      <w:r w:rsidR="007C5AAA" w:rsidRPr="00BD22FE">
        <w:rPr>
          <w:rFonts w:ascii="Times New Roman" w:hAnsi="Times New Roman"/>
          <w:sz w:val="22"/>
          <w:szCs w:val="22"/>
          <w:lang w:val="pl-PL"/>
        </w:rPr>
        <w:t xml:space="preserve">w podpunkcie </w:t>
      </w:r>
      <w:r w:rsidRPr="00BD22FE">
        <w:rPr>
          <w:rFonts w:ascii="Times New Roman" w:hAnsi="Times New Roman"/>
          <w:sz w:val="22"/>
          <w:szCs w:val="22"/>
          <w:lang w:val="pl-PL"/>
        </w:rPr>
        <w:t>„Kiedy nie przyjmować leku MicardisPlus” oraz „Ostrzeżenia i</w:t>
      </w:r>
      <w:r w:rsidR="00717A7B" w:rsidRPr="00BD22FE">
        <w:rPr>
          <w:rFonts w:ascii="Times New Roman" w:hAnsi="Times New Roman"/>
          <w:sz w:val="22"/>
          <w:szCs w:val="22"/>
          <w:lang w:val="pl-PL"/>
        </w:rPr>
        <w:t> </w:t>
      </w:r>
      <w:r w:rsidRPr="00BD22FE">
        <w:rPr>
          <w:rFonts w:ascii="Times New Roman" w:hAnsi="Times New Roman"/>
          <w:sz w:val="22"/>
          <w:szCs w:val="22"/>
          <w:lang w:val="pl-PL"/>
        </w:rPr>
        <w:t>środki ostrożności”);</w:t>
      </w:r>
    </w:p>
    <w:p w14:paraId="6F357ED4" w14:textId="53485190" w:rsidR="000016E2" w:rsidRPr="00BD22FE" w:rsidRDefault="00104CA8" w:rsidP="00A610E1">
      <w:pPr>
        <w:pStyle w:val="PlainText"/>
        <w:numPr>
          <w:ilvl w:val="0"/>
          <w:numId w:val="29"/>
        </w:numPr>
        <w:ind w:left="567" w:hanging="567"/>
        <w:rPr>
          <w:rFonts w:ascii="Times New Roman" w:eastAsia="Times New Roman" w:hAnsi="Times New Roman"/>
          <w:bCs/>
          <w:iCs/>
          <w:sz w:val="22"/>
          <w:lang w:val="pl-PL"/>
        </w:rPr>
      </w:pPr>
      <w:r w:rsidRPr="00BD22FE">
        <w:rPr>
          <w:rFonts w:ascii="Times New Roman" w:eastAsia="Times New Roman" w:hAnsi="Times New Roman"/>
          <w:bCs/>
          <w:iCs/>
          <w:sz w:val="22"/>
          <w:lang w:val="pl-PL"/>
        </w:rPr>
        <w:t>digoksyna.</w:t>
      </w:r>
    </w:p>
    <w:p w14:paraId="724F787C" w14:textId="77777777" w:rsidR="000016E2" w:rsidRPr="00BD22FE" w:rsidRDefault="000016E2" w:rsidP="00A610E1">
      <w:pPr>
        <w:pStyle w:val="BodyText"/>
        <w:spacing w:line="240" w:lineRule="auto"/>
        <w:jc w:val="left"/>
        <w:rPr>
          <w:bCs/>
          <w:iCs/>
          <w:sz w:val="22"/>
          <w:szCs w:val="21"/>
          <w:lang w:val="pl-PL"/>
        </w:rPr>
      </w:pPr>
    </w:p>
    <w:p w14:paraId="6DCE156B" w14:textId="4BC57EEE" w:rsidR="000016E2" w:rsidRPr="00BD22FE" w:rsidRDefault="00104CA8" w:rsidP="00A610E1">
      <w:pPr>
        <w:autoSpaceDE w:val="0"/>
        <w:autoSpaceDN w:val="0"/>
        <w:adjustRightInd w:val="0"/>
        <w:rPr>
          <w:rStyle w:val="hps"/>
          <w:sz w:val="22"/>
          <w:szCs w:val="22"/>
          <w:lang w:val="pl-PL"/>
        </w:rPr>
      </w:pPr>
      <w:r w:rsidRPr="00BD22FE">
        <w:rPr>
          <w:bCs/>
          <w:iCs/>
          <w:sz w:val="22"/>
          <w:szCs w:val="21"/>
          <w:lang w:val="pl-PL"/>
        </w:rPr>
        <w:t xml:space="preserve">Lek MicardisPlus może nasilać działanie obniżające ciśnienie </w:t>
      </w:r>
      <w:r w:rsidR="0040106D" w:rsidRPr="00BD22FE">
        <w:rPr>
          <w:bCs/>
          <w:iCs/>
          <w:sz w:val="22"/>
          <w:szCs w:val="21"/>
          <w:lang w:val="pl-PL"/>
        </w:rPr>
        <w:t xml:space="preserve">tętnicze </w:t>
      </w:r>
      <w:r w:rsidRPr="00BD22FE">
        <w:rPr>
          <w:bCs/>
          <w:iCs/>
          <w:sz w:val="22"/>
          <w:szCs w:val="21"/>
          <w:lang w:val="pl-PL"/>
        </w:rPr>
        <w:t>krwi innych leków</w:t>
      </w:r>
      <w:r w:rsidRPr="00BD22FE">
        <w:rPr>
          <w:rStyle w:val="hps"/>
          <w:sz w:val="22"/>
          <w:szCs w:val="22"/>
          <w:lang w:val="pl-PL"/>
        </w:rPr>
        <w:t xml:space="preserve"> stosowanych w</w:t>
      </w:r>
      <w:r w:rsidR="00717A7B" w:rsidRPr="00BD22FE">
        <w:rPr>
          <w:rStyle w:val="hps"/>
          <w:sz w:val="22"/>
          <w:szCs w:val="22"/>
          <w:lang w:val="pl-PL"/>
        </w:rPr>
        <w:t> </w:t>
      </w:r>
      <w:r w:rsidRPr="00BD22FE">
        <w:rPr>
          <w:rStyle w:val="hps"/>
          <w:sz w:val="22"/>
          <w:szCs w:val="22"/>
          <w:lang w:val="pl-PL"/>
        </w:rPr>
        <w:t>leczeniu nadciśnienia</w:t>
      </w:r>
      <w:r w:rsidR="001F24EC" w:rsidRPr="00BD22FE">
        <w:rPr>
          <w:rStyle w:val="hps"/>
          <w:sz w:val="22"/>
          <w:szCs w:val="22"/>
          <w:lang w:val="pl-PL"/>
        </w:rPr>
        <w:t xml:space="preserve"> tętniczego</w:t>
      </w:r>
      <w:r w:rsidRPr="00BD22FE">
        <w:rPr>
          <w:rStyle w:val="hps"/>
          <w:sz w:val="22"/>
          <w:szCs w:val="22"/>
          <w:lang w:val="pl-PL"/>
        </w:rPr>
        <w:t xml:space="preserve"> lub</w:t>
      </w:r>
      <w:r w:rsidRPr="00BD22FE">
        <w:rPr>
          <w:sz w:val="22"/>
          <w:szCs w:val="22"/>
          <w:lang w:val="pl-PL"/>
        </w:rPr>
        <w:t xml:space="preserve"> </w:t>
      </w:r>
      <w:r w:rsidRPr="00BD22FE">
        <w:rPr>
          <w:rStyle w:val="hps"/>
          <w:sz w:val="22"/>
          <w:szCs w:val="22"/>
          <w:lang w:val="pl-PL"/>
        </w:rPr>
        <w:t>leków, które mogą</w:t>
      </w:r>
      <w:r w:rsidRPr="00BD22FE">
        <w:rPr>
          <w:sz w:val="22"/>
          <w:szCs w:val="22"/>
          <w:lang w:val="pl-PL"/>
        </w:rPr>
        <w:t xml:space="preserve"> wywołać </w:t>
      </w:r>
      <w:r w:rsidRPr="00BD22FE">
        <w:rPr>
          <w:rStyle w:val="hps"/>
          <w:sz w:val="22"/>
          <w:szCs w:val="22"/>
          <w:lang w:val="pl-PL"/>
        </w:rPr>
        <w:t xml:space="preserve">zmniejszenie ciśnienia </w:t>
      </w:r>
      <w:r w:rsidR="001F24EC" w:rsidRPr="00BD22FE">
        <w:rPr>
          <w:rStyle w:val="hps"/>
          <w:sz w:val="22"/>
          <w:szCs w:val="22"/>
          <w:lang w:val="pl-PL"/>
        </w:rPr>
        <w:t xml:space="preserve">tętniczego </w:t>
      </w:r>
      <w:r w:rsidRPr="00BD22FE">
        <w:rPr>
          <w:rStyle w:val="hps"/>
          <w:sz w:val="22"/>
          <w:szCs w:val="22"/>
          <w:lang w:val="pl-PL"/>
        </w:rPr>
        <w:t>krwi</w:t>
      </w:r>
      <w:r w:rsidRPr="00BD22FE">
        <w:rPr>
          <w:sz w:val="22"/>
          <w:szCs w:val="22"/>
          <w:lang w:val="pl-PL"/>
        </w:rPr>
        <w:t xml:space="preserve"> </w:t>
      </w:r>
      <w:r w:rsidRPr="00BD22FE">
        <w:rPr>
          <w:rStyle w:val="hps"/>
          <w:sz w:val="22"/>
          <w:szCs w:val="22"/>
          <w:lang w:val="pl-PL"/>
        </w:rPr>
        <w:t>(np.</w:t>
      </w:r>
      <w:r w:rsidRPr="00BD22FE">
        <w:rPr>
          <w:sz w:val="22"/>
          <w:szCs w:val="22"/>
          <w:lang w:val="pl-PL"/>
        </w:rPr>
        <w:t xml:space="preserve"> </w:t>
      </w:r>
      <w:r w:rsidRPr="00BD22FE">
        <w:rPr>
          <w:rStyle w:val="hps"/>
          <w:sz w:val="22"/>
          <w:szCs w:val="22"/>
          <w:lang w:val="pl-PL"/>
        </w:rPr>
        <w:t>baklofen</w:t>
      </w:r>
      <w:r w:rsidRPr="00BD22FE">
        <w:rPr>
          <w:sz w:val="22"/>
          <w:szCs w:val="22"/>
          <w:lang w:val="pl-PL"/>
        </w:rPr>
        <w:t xml:space="preserve">, </w:t>
      </w:r>
      <w:r w:rsidRPr="00BD22FE">
        <w:rPr>
          <w:rStyle w:val="hps"/>
          <w:sz w:val="22"/>
          <w:szCs w:val="22"/>
          <w:lang w:val="pl-PL"/>
        </w:rPr>
        <w:t>amifostyna</w:t>
      </w:r>
      <w:r w:rsidRPr="00BD22FE">
        <w:rPr>
          <w:sz w:val="22"/>
          <w:szCs w:val="22"/>
          <w:lang w:val="pl-PL"/>
        </w:rPr>
        <w:t xml:space="preserve">). </w:t>
      </w:r>
      <w:r w:rsidRPr="00BD22FE">
        <w:rPr>
          <w:rStyle w:val="hps"/>
          <w:sz w:val="22"/>
          <w:szCs w:val="22"/>
          <w:lang w:val="pl-PL"/>
        </w:rPr>
        <w:t>Ponadto</w:t>
      </w:r>
      <w:r w:rsidRPr="00BD22FE">
        <w:rPr>
          <w:sz w:val="22"/>
          <w:szCs w:val="22"/>
          <w:lang w:val="pl-PL"/>
        </w:rPr>
        <w:t xml:space="preserve"> niskie ciśnienie </w:t>
      </w:r>
      <w:r w:rsidR="00A20CD7" w:rsidRPr="00BD22FE">
        <w:rPr>
          <w:rStyle w:val="hps"/>
          <w:sz w:val="22"/>
          <w:szCs w:val="22"/>
          <w:lang w:val="pl-PL"/>
        </w:rPr>
        <w:t>tętnicze</w:t>
      </w:r>
      <w:r w:rsidR="00A20CD7" w:rsidRPr="00BD22FE">
        <w:rPr>
          <w:sz w:val="22"/>
          <w:szCs w:val="22"/>
          <w:lang w:val="pl-PL"/>
        </w:rPr>
        <w:t xml:space="preserve"> </w:t>
      </w:r>
      <w:r w:rsidRPr="00BD22FE">
        <w:rPr>
          <w:sz w:val="22"/>
          <w:szCs w:val="22"/>
          <w:lang w:val="pl-PL"/>
        </w:rPr>
        <w:t xml:space="preserve">krwi </w:t>
      </w:r>
      <w:r w:rsidRPr="00BD22FE">
        <w:rPr>
          <w:rStyle w:val="hps"/>
          <w:sz w:val="22"/>
          <w:szCs w:val="22"/>
          <w:lang w:val="pl-PL"/>
        </w:rPr>
        <w:t>mogą dodatkowo zmniejszyć:</w:t>
      </w:r>
      <w:r w:rsidRPr="00BD22FE">
        <w:rPr>
          <w:sz w:val="22"/>
          <w:szCs w:val="22"/>
          <w:lang w:val="pl-PL"/>
        </w:rPr>
        <w:t xml:space="preserve"> </w:t>
      </w:r>
      <w:r w:rsidRPr="00BD22FE">
        <w:rPr>
          <w:rStyle w:val="hps"/>
          <w:sz w:val="22"/>
          <w:szCs w:val="22"/>
          <w:lang w:val="pl-PL"/>
        </w:rPr>
        <w:t>alkohol, barbiturany,</w:t>
      </w:r>
      <w:r w:rsidRPr="00BD22FE">
        <w:rPr>
          <w:sz w:val="22"/>
          <w:szCs w:val="22"/>
          <w:lang w:val="pl-PL"/>
        </w:rPr>
        <w:t xml:space="preserve"> </w:t>
      </w:r>
      <w:r w:rsidRPr="00BD22FE">
        <w:rPr>
          <w:rStyle w:val="hps"/>
          <w:sz w:val="22"/>
          <w:szCs w:val="22"/>
          <w:lang w:val="pl-PL"/>
        </w:rPr>
        <w:t>narkotyki lub</w:t>
      </w:r>
      <w:r w:rsidRPr="00BD22FE">
        <w:rPr>
          <w:sz w:val="22"/>
          <w:szCs w:val="22"/>
          <w:lang w:val="pl-PL"/>
        </w:rPr>
        <w:t xml:space="preserve"> </w:t>
      </w:r>
      <w:r w:rsidRPr="00BD22FE">
        <w:rPr>
          <w:rStyle w:val="hps"/>
          <w:sz w:val="22"/>
          <w:szCs w:val="22"/>
          <w:lang w:val="pl-PL"/>
        </w:rPr>
        <w:t>leki przeciwdepresyjne</w:t>
      </w:r>
      <w:r w:rsidRPr="00BD22FE">
        <w:rPr>
          <w:sz w:val="22"/>
          <w:szCs w:val="22"/>
          <w:lang w:val="pl-PL"/>
        </w:rPr>
        <w:t xml:space="preserve">. </w:t>
      </w:r>
      <w:r w:rsidRPr="00BD22FE">
        <w:rPr>
          <w:rStyle w:val="hps"/>
          <w:sz w:val="22"/>
          <w:szCs w:val="22"/>
          <w:lang w:val="pl-PL"/>
        </w:rPr>
        <w:t>Objawem są zawroty głowy</w:t>
      </w:r>
      <w:r w:rsidRPr="00BD22FE">
        <w:rPr>
          <w:sz w:val="22"/>
          <w:szCs w:val="22"/>
          <w:lang w:val="pl-PL"/>
        </w:rPr>
        <w:t xml:space="preserve"> </w:t>
      </w:r>
      <w:r w:rsidRPr="00BD22FE">
        <w:rPr>
          <w:rStyle w:val="hps"/>
          <w:sz w:val="22"/>
          <w:szCs w:val="22"/>
          <w:lang w:val="pl-PL"/>
        </w:rPr>
        <w:t>przy wstawaniu</w:t>
      </w:r>
      <w:r w:rsidRPr="00BD22FE">
        <w:rPr>
          <w:sz w:val="22"/>
          <w:szCs w:val="22"/>
          <w:lang w:val="pl-PL"/>
        </w:rPr>
        <w:t>. W</w:t>
      </w:r>
      <w:r w:rsidR="00717A7B" w:rsidRPr="00BD22FE">
        <w:rPr>
          <w:sz w:val="22"/>
          <w:szCs w:val="22"/>
          <w:lang w:val="pl-PL"/>
        </w:rPr>
        <w:t> </w:t>
      </w:r>
      <w:r w:rsidRPr="00BD22FE">
        <w:rPr>
          <w:sz w:val="22"/>
          <w:szCs w:val="22"/>
          <w:lang w:val="pl-PL"/>
        </w:rPr>
        <w:t>razie potrzeby dostosowania dawki innego leku przyjmowan</w:t>
      </w:r>
      <w:r w:rsidR="00A20CD7" w:rsidRPr="00BD22FE">
        <w:rPr>
          <w:sz w:val="22"/>
          <w:szCs w:val="22"/>
          <w:lang w:val="pl-PL"/>
        </w:rPr>
        <w:t>ego</w:t>
      </w:r>
      <w:r w:rsidRPr="00BD22FE">
        <w:rPr>
          <w:sz w:val="22"/>
          <w:szCs w:val="22"/>
          <w:lang w:val="pl-PL"/>
        </w:rPr>
        <w:t xml:space="preserve"> </w:t>
      </w:r>
      <w:r w:rsidR="00A20CD7" w:rsidRPr="00BD22FE">
        <w:rPr>
          <w:sz w:val="22"/>
          <w:szCs w:val="22"/>
          <w:lang w:val="pl-PL"/>
        </w:rPr>
        <w:t xml:space="preserve">przez pacjenta podczas przyjmowania </w:t>
      </w:r>
      <w:r w:rsidRPr="00BD22FE">
        <w:rPr>
          <w:sz w:val="22"/>
          <w:szCs w:val="22"/>
          <w:lang w:val="pl-PL"/>
        </w:rPr>
        <w:t>leku MicardisPlus</w:t>
      </w:r>
      <w:r w:rsidR="00A20CD7" w:rsidRPr="00BD22FE">
        <w:rPr>
          <w:sz w:val="22"/>
          <w:szCs w:val="22"/>
          <w:lang w:val="pl-PL"/>
        </w:rPr>
        <w:t xml:space="preserve"> należy poradzić się lekarza</w:t>
      </w:r>
      <w:r w:rsidRPr="00BD22FE">
        <w:rPr>
          <w:sz w:val="22"/>
          <w:szCs w:val="22"/>
          <w:lang w:val="pl-PL"/>
        </w:rPr>
        <w:t>.</w:t>
      </w:r>
    </w:p>
    <w:p w14:paraId="1618AB20" w14:textId="77777777" w:rsidR="000016E2" w:rsidRPr="00BD22FE" w:rsidRDefault="000016E2" w:rsidP="00A610E1">
      <w:pPr>
        <w:rPr>
          <w:sz w:val="22"/>
          <w:szCs w:val="22"/>
          <w:lang w:val="pl-PL"/>
        </w:rPr>
      </w:pPr>
    </w:p>
    <w:p w14:paraId="4B69AAD7" w14:textId="7B3B769A" w:rsidR="000016E2" w:rsidRPr="00BD22FE" w:rsidRDefault="00104CA8" w:rsidP="00A610E1">
      <w:pPr>
        <w:pStyle w:val="BodyText"/>
        <w:spacing w:line="240" w:lineRule="auto"/>
        <w:jc w:val="left"/>
        <w:rPr>
          <w:iCs/>
          <w:sz w:val="22"/>
          <w:szCs w:val="22"/>
          <w:lang w:val="pl-PL"/>
        </w:rPr>
      </w:pPr>
      <w:r w:rsidRPr="00BD22FE">
        <w:rPr>
          <w:iCs/>
          <w:sz w:val="22"/>
          <w:szCs w:val="22"/>
          <w:lang w:val="pl-PL"/>
        </w:rPr>
        <w:t>Działanie leku MicardisPlus może być osłabione w</w:t>
      </w:r>
      <w:r w:rsidR="00717A7B" w:rsidRPr="00BD22FE">
        <w:rPr>
          <w:iCs/>
          <w:sz w:val="22"/>
          <w:szCs w:val="22"/>
          <w:lang w:val="pl-PL"/>
        </w:rPr>
        <w:t> </w:t>
      </w:r>
      <w:r w:rsidRPr="00BD22FE">
        <w:rPr>
          <w:iCs/>
          <w:sz w:val="22"/>
          <w:szCs w:val="22"/>
          <w:lang w:val="pl-PL"/>
        </w:rPr>
        <w:t xml:space="preserve">przypadku </w:t>
      </w:r>
      <w:r w:rsidR="00DD0F39" w:rsidRPr="00BD22FE">
        <w:rPr>
          <w:iCs/>
          <w:sz w:val="22"/>
          <w:szCs w:val="22"/>
          <w:lang w:val="pl-PL"/>
        </w:rPr>
        <w:t>przyjmowania</w:t>
      </w:r>
      <w:r w:rsidRPr="00BD22FE">
        <w:rPr>
          <w:iCs/>
          <w:sz w:val="22"/>
          <w:szCs w:val="22"/>
          <w:lang w:val="pl-PL"/>
        </w:rPr>
        <w:t xml:space="preserve"> NLPZ (niesteroidowych leków przeciwzapalnych, np.</w:t>
      </w:r>
      <w:r w:rsidR="00DA64C3" w:rsidRPr="00BD22FE">
        <w:rPr>
          <w:iCs/>
          <w:sz w:val="22"/>
          <w:szCs w:val="22"/>
          <w:lang w:val="pl-PL"/>
        </w:rPr>
        <w:t xml:space="preserve"> </w:t>
      </w:r>
      <w:r w:rsidR="00DD0F39" w:rsidRPr="00BD22FE">
        <w:rPr>
          <w:iCs/>
          <w:sz w:val="22"/>
          <w:szCs w:val="22"/>
          <w:lang w:val="pl-PL"/>
        </w:rPr>
        <w:t>aspiryny</w:t>
      </w:r>
      <w:r w:rsidRPr="00BD22FE">
        <w:rPr>
          <w:iCs/>
          <w:sz w:val="22"/>
          <w:szCs w:val="22"/>
          <w:lang w:val="pl-PL"/>
        </w:rPr>
        <w:t xml:space="preserve"> lub ibuprofenu).</w:t>
      </w:r>
    </w:p>
    <w:p w14:paraId="2FCBC722" w14:textId="77777777" w:rsidR="000016E2" w:rsidRPr="00BD22FE" w:rsidRDefault="000016E2" w:rsidP="00A610E1">
      <w:pPr>
        <w:pStyle w:val="BodyText"/>
        <w:spacing w:line="240" w:lineRule="auto"/>
        <w:jc w:val="left"/>
        <w:rPr>
          <w:iCs/>
          <w:sz w:val="22"/>
          <w:szCs w:val="22"/>
          <w:lang w:val="pl-PL"/>
        </w:rPr>
      </w:pPr>
    </w:p>
    <w:p w14:paraId="37A332B4" w14:textId="064E8957" w:rsidR="000016E2" w:rsidRPr="00BD22FE" w:rsidRDefault="00104CA8" w:rsidP="00A610E1">
      <w:pPr>
        <w:pStyle w:val="BodyText"/>
        <w:keepNext/>
        <w:spacing w:line="240" w:lineRule="auto"/>
        <w:jc w:val="left"/>
        <w:rPr>
          <w:b/>
          <w:iCs/>
          <w:sz w:val="22"/>
          <w:szCs w:val="22"/>
          <w:lang w:val="pl-PL"/>
        </w:rPr>
      </w:pPr>
      <w:r w:rsidRPr="00BD22FE">
        <w:rPr>
          <w:b/>
          <w:iCs/>
          <w:sz w:val="22"/>
          <w:szCs w:val="22"/>
          <w:lang w:val="pl-PL"/>
        </w:rPr>
        <w:t>Stosowanie leku MicardisPlus z</w:t>
      </w:r>
      <w:r w:rsidR="00717A7B" w:rsidRPr="00BD22FE">
        <w:rPr>
          <w:b/>
          <w:iCs/>
          <w:sz w:val="22"/>
          <w:szCs w:val="22"/>
          <w:lang w:val="pl-PL"/>
        </w:rPr>
        <w:t> </w:t>
      </w:r>
      <w:r w:rsidRPr="00BD22FE">
        <w:rPr>
          <w:b/>
          <w:iCs/>
          <w:sz w:val="22"/>
          <w:szCs w:val="22"/>
          <w:lang w:val="pl-PL"/>
        </w:rPr>
        <w:t>jedzeniem i</w:t>
      </w:r>
      <w:r w:rsidR="00717A7B" w:rsidRPr="00BD22FE">
        <w:rPr>
          <w:b/>
          <w:iCs/>
          <w:sz w:val="22"/>
          <w:szCs w:val="22"/>
          <w:lang w:val="pl-PL"/>
        </w:rPr>
        <w:t> </w:t>
      </w:r>
      <w:r w:rsidRPr="00BD22FE">
        <w:rPr>
          <w:b/>
          <w:iCs/>
          <w:sz w:val="22"/>
          <w:szCs w:val="22"/>
          <w:lang w:val="pl-PL"/>
        </w:rPr>
        <w:t>alkoholem</w:t>
      </w:r>
    </w:p>
    <w:p w14:paraId="43886D09" w14:textId="3341E782" w:rsidR="003A7E3D" w:rsidRPr="00BD22FE" w:rsidRDefault="00104CA8" w:rsidP="00A610E1">
      <w:pPr>
        <w:pStyle w:val="BodyText"/>
        <w:spacing w:line="240" w:lineRule="auto"/>
        <w:jc w:val="left"/>
        <w:rPr>
          <w:iCs/>
          <w:sz w:val="22"/>
          <w:szCs w:val="22"/>
          <w:lang w:val="pl-PL"/>
        </w:rPr>
      </w:pPr>
      <w:r w:rsidRPr="00BD22FE">
        <w:rPr>
          <w:iCs/>
          <w:sz w:val="22"/>
          <w:szCs w:val="22"/>
          <w:lang w:val="pl-PL"/>
        </w:rPr>
        <w:t>Lek MicardisPlus można przyjmować z</w:t>
      </w:r>
      <w:r w:rsidR="00717A7B" w:rsidRPr="00BD22FE">
        <w:rPr>
          <w:iCs/>
          <w:sz w:val="22"/>
          <w:szCs w:val="22"/>
          <w:lang w:val="pl-PL"/>
        </w:rPr>
        <w:t> </w:t>
      </w:r>
      <w:r w:rsidR="0020041E" w:rsidRPr="00BD22FE">
        <w:rPr>
          <w:iCs/>
          <w:sz w:val="22"/>
          <w:szCs w:val="22"/>
          <w:lang w:val="pl-PL"/>
        </w:rPr>
        <w:t>posiłk</w:t>
      </w:r>
      <w:r w:rsidRPr="00BD22FE">
        <w:rPr>
          <w:iCs/>
          <w:sz w:val="22"/>
          <w:szCs w:val="22"/>
          <w:lang w:val="pl-PL"/>
        </w:rPr>
        <w:t>iem lub niezależnie od posiłków.</w:t>
      </w:r>
    </w:p>
    <w:p w14:paraId="5739DCA7" w14:textId="0D6980C4" w:rsidR="000016E2" w:rsidRPr="00BD22FE" w:rsidRDefault="00104CA8" w:rsidP="00A610E1">
      <w:pPr>
        <w:pStyle w:val="BodyText"/>
        <w:spacing w:line="240" w:lineRule="auto"/>
        <w:jc w:val="left"/>
        <w:rPr>
          <w:iCs/>
          <w:sz w:val="22"/>
          <w:szCs w:val="22"/>
          <w:lang w:val="pl-PL"/>
        </w:rPr>
      </w:pPr>
      <w:r w:rsidRPr="00BD22FE">
        <w:rPr>
          <w:iCs/>
          <w:sz w:val="22"/>
          <w:szCs w:val="22"/>
          <w:lang w:val="pl-PL"/>
        </w:rPr>
        <w:t>Należy unikać alkoholu do czasu rozmowy z</w:t>
      </w:r>
      <w:r w:rsidR="00717A7B" w:rsidRPr="00BD22FE">
        <w:rPr>
          <w:iCs/>
          <w:sz w:val="22"/>
          <w:szCs w:val="22"/>
          <w:lang w:val="pl-PL"/>
        </w:rPr>
        <w:t> </w:t>
      </w:r>
      <w:r w:rsidRPr="00BD22FE">
        <w:rPr>
          <w:iCs/>
          <w:sz w:val="22"/>
          <w:szCs w:val="22"/>
          <w:lang w:val="pl-PL"/>
        </w:rPr>
        <w:t xml:space="preserve">lekarzem. Alkohol może dodatkowo obniżyć ciśnienie </w:t>
      </w:r>
      <w:r w:rsidR="00676610" w:rsidRPr="00BD22FE">
        <w:rPr>
          <w:iCs/>
          <w:sz w:val="22"/>
          <w:szCs w:val="22"/>
          <w:lang w:val="pl-PL"/>
        </w:rPr>
        <w:t xml:space="preserve">tętnicze </w:t>
      </w:r>
      <w:r w:rsidRPr="00BD22FE">
        <w:rPr>
          <w:iCs/>
          <w:sz w:val="22"/>
          <w:szCs w:val="22"/>
          <w:lang w:val="pl-PL"/>
        </w:rPr>
        <w:t>krwi i</w:t>
      </w:r>
      <w:r w:rsidR="00B15C46" w:rsidRPr="00BD22FE">
        <w:rPr>
          <w:iCs/>
          <w:sz w:val="22"/>
          <w:szCs w:val="22"/>
          <w:lang w:val="pl-PL"/>
        </w:rPr>
        <w:t> </w:t>
      </w:r>
      <w:r w:rsidRPr="00BD22FE">
        <w:rPr>
          <w:iCs/>
          <w:sz w:val="22"/>
          <w:szCs w:val="22"/>
          <w:lang w:val="pl-PL"/>
        </w:rPr>
        <w:t>(lub) nasilić ryzyko zawrotów głowy lub omdlenia.</w:t>
      </w:r>
    </w:p>
    <w:p w14:paraId="61D2D92B" w14:textId="77777777" w:rsidR="000016E2" w:rsidRPr="00BD22FE" w:rsidRDefault="000016E2" w:rsidP="00A610E1">
      <w:pPr>
        <w:pStyle w:val="BodyText"/>
        <w:spacing w:line="240" w:lineRule="auto"/>
        <w:jc w:val="left"/>
        <w:rPr>
          <w:sz w:val="22"/>
          <w:szCs w:val="22"/>
          <w:lang w:val="pl-PL"/>
        </w:rPr>
      </w:pPr>
    </w:p>
    <w:p w14:paraId="70E2330A" w14:textId="40976125" w:rsidR="000016E2" w:rsidRPr="00BD22FE" w:rsidRDefault="00104CA8" w:rsidP="00A610E1">
      <w:pPr>
        <w:pStyle w:val="BodyText"/>
        <w:keepNext/>
        <w:spacing w:line="240" w:lineRule="auto"/>
        <w:jc w:val="left"/>
        <w:rPr>
          <w:b/>
          <w:sz w:val="22"/>
          <w:szCs w:val="22"/>
          <w:lang w:val="pl-PL"/>
        </w:rPr>
      </w:pPr>
      <w:r w:rsidRPr="00BD22FE">
        <w:rPr>
          <w:b/>
          <w:sz w:val="22"/>
          <w:szCs w:val="22"/>
          <w:lang w:val="pl-PL"/>
        </w:rPr>
        <w:t>Ciąża i</w:t>
      </w:r>
      <w:r w:rsidR="00717A7B" w:rsidRPr="00BD22FE">
        <w:rPr>
          <w:b/>
          <w:sz w:val="22"/>
          <w:szCs w:val="22"/>
          <w:lang w:val="pl-PL"/>
        </w:rPr>
        <w:t> </w:t>
      </w:r>
      <w:r w:rsidRPr="00BD22FE">
        <w:rPr>
          <w:b/>
          <w:sz w:val="22"/>
          <w:szCs w:val="22"/>
          <w:lang w:val="pl-PL"/>
        </w:rPr>
        <w:t>karmienie piersią</w:t>
      </w:r>
    </w:p>
    <w:p w14:paraId="30CD0078" w14:textId="77777777" w:rsidR="000016E2" w:rsidRPr="00BD22FE" w:rsidRDefault="00104CA8" w:rsidP="00A610E1">
      <w:pPr>
        <w:pStyle w:val="BodyText"/>
        <w:keepNext/>
        <w:spacing w:line="240" w:lineRule="auto"/>
        <w:jc w:val="left"/>
        <w:rPr>
          <w:sz w:val="22"/>
          <w:szCs w:val="22"/>
          <w:u w:val="single"/>
          <w:lang w:val="pl-PL"/>
        </w:rPr>
      </w:pPr>
      <w:r w:rsidRPr="00BD22FE">
        <w:rPr>
          <w:sz w:val="22"/>
          <w:szCs w:val="22"/>
          <w:u w:val="single"/>
          <w:lang w:val="pl-PL"/>
        </w:rPr>
        <w:t>Ciąża</w:t>
      </w:r>
    </w:p>
    <w:p w14:paraId="4A30D356" w14:textId="696C3DBC" w:rsidR="003A7E3D" w:rsidRPr="00BD22FE" w:rsidRDefault="00104CA8" w:rsidP="00A610E1">
      <w:pPr>
        <w:pStyle w:val="BodyText"/>
        <w:spacing w:line="240" w:lineRule="auto"/>
        <w:jc w:val="left"/>
        <w:rPr>
          <w:sz w:val="22"/>
          <w:szCs w:val="22"/>
          <w:lang w:val="pl-PL"/>
        </w:rPr>
      </w:pPr>
      <w:r w:rsidRPr="00BD22FE">
        <w:rPr>
          <w:sz w:val="22"/>
          <w:szCs w:val="22"/>
          <w:lang w:val="pl-PL"/>
        </w:rPr>
        <w:t>Należy poinformować lekarza o</w:t>
      </w:r>
      <w:r w:rsidR="00717A7B" w:rsidRPr="00BD22FE">
        <w:rPr>
          <w:sz w:val="22"/>
          <w:szCs w:val="22"/>
          <w:lang w:val="pl-PL"/>
        </w:rPr>
        <w:t> </w:t>
      </w:r>
      <w:r w:rsidRPr="00BD22FE">
        <w:rPr>
          <w:sz w:val="22"/>
          <w:szCs w:val="22"/>
          <w:lang w:val="pl-PL"/>
        </w:rPr>
        <w:t>podejrzeniu (</w:t>
      </w:r>
      <w:r w:rsidRPr="00BD22FE">
        <w:rPr>
          <w:sz w:val="22"/>
          <w:szCs w:val="22"/>
          <w:u w:val="single"/>
          <w:lang w:val="pl-PL"/>
        </w:rPr>
        <w:t>lub planowaniu)</w:t>
      </w:r>
      <w:r w:rsidRPr="00BD22FE">
        <w:rPr>
          <w:sz w:val="22"/>
          <w:szCs w:val="22"/>
          <w:lang w:val="pl-PL"/>
        </w:rPr>
        <w:t xml:space="preserve"> ciąży.</w:t>
      </w:r>
      <w:r w:rsidR="005A0778" w:rsidRPr="00BD22FE">
        <w:rPr>
          <w:sz w:val="22"/>
          <w:szCs w:val="22"/>
          <w:lang w:val="pl-PL"/>
        </w:rPr>
        <w:t xml:space="preserve"> </w:t>
      </w:r>
      <w:r w:rsidRPr="00BD22FE">
        <w:rPr>
          <w:sz w:val="22"/>
          <w:szCs w:val="22"/>
          <w:lang w:val="pl-PL"/>
        </w:rPr>
        <w:t xml:space="preserve">Zazwyczaj lekarz zaleci zaprzestanie </w:t>
      </w:r>
      <w:r w:rsidR="00B9164E" w:rsidRPr="00BD22FE">
        <w:rPr>
          <w:sz w:val="22"/>
          <w:szCs w:val="22"/>
          <w:lang w:val="pl-PL"/>
        </w:rPr>
        <w:t>przyjmo</w:t>
      </w:r>
      <w:r w:rsidRPr="00BD22FE">
        <w:rPr>
          <w:sz w:val="22"/>
          <w:szCs w:val="22"/>
          <w:lang w:val="pl-PL"/>
        </w:rPr>
        <w:t>wania leku MicardisPlus przed planowaną ciążą lub natychmiast po stwierdzeniu ciąży i</w:t>
      </w:r>
      <w:r w:rsidR="00717A7B" w:rsidRPr="00BD22FE">
        <w:rPr>
          <w:sz w:val="22"/>
          <w:szCs w:val="22"/>
          <w:lang w:val="pl-PL"/>
        </w:rPr>
        <w:t> </w:t>
      </w:r>
      <w:r w:rsidRPr="00BD22FE">
        <w:rPr>
          <w:sz w:val="22"/>
          <w:szCs w:val="22"/>
          <w:lang w:val="pl-PL"/>
        </w:rPr>
        <w:t xml:space="preserve">zaleci </w:t>
      </w:r>
      <w:r w:rsidR="00B9164E" w:rsidRPr="00BD22FE">
        <w:rPr>
          <w:sz w:val="22"/>
          <w:szCs w:val="22"/>
          <w:lang w:val="pl-PL"/>
        </w:rPr>
        <w:t xml:space="preserve">przyjmowanie </w:t>
      </w:r>
      <w:r w:rsidRPr="00BD22FE">
        <w:rPr>
          <w:sz w:val="22"/>
          <w:szCs w:val="22"/>
          <w:lang w:val="pl-PL"/>
        </w:rPr>
        <w:t>inn</w:t>
      </w:r>
      <w:r w:rsidR="00B9164E" w:rsidRPr="00BD22FE">
        <w:rPr>
          <w:sz w:val="22"/>
          <w:szCs w:val="22"/>
          <w:lang w:val="pl-PL"/>
        </w:rPr>
        <w:t>ego</w:t>
      </w:r>
      <w:r w:rsidRPr="00BD22FE">
        <w:rPr>
          <w:sz w:val="22"/>
          <w:szCs w:val="22"/>
          <w:lang w:val="pl-PL"/>
        </w:rPr>
        <w:t xml:space="preserve"> lek</w:t>
      </w:r>
      <w:r w:rsidR="00B9164E" w:rsidRPr="00BD22FE">
        <w:rPr>
          <w:sz w:val="22"/>
          <w:szCs w:val="22"/>
          <w:lang w:val="pl-PL"/>
        </w:rPr>
        <w:t>u</w:t>
      </w:r>
      <w:r w:rsidRPr="00BD22FE">
        <w:rPr>
          <w:sz w:val="22"/>
          <w:szCs w:val="22"/>
          <w:lang w:val="pl-PL"/>
        </w:rPr>
        <w:t xml:space="preserve"> zamiast leku MicardisPlus. Lek MicardisPlus nie jest zalecany do stosowania w okresie ciąży i</w:t>
      </w:r>
      <w:r w:rsidR="00717A7B" w:rsidRPr="00BD22FE">
        <w:rPr>
          <w:sz w:val="22"/>
          <w:szCs w:val="22"/>
          <w:lang w:val="pl-PL"/>
        </w:rPr>
        <w:t> </w:t>
      </w:r>
      <w:r w:rsidRPr="00BD22FE">
        <w:rPr>
          <w:sz w:val="22"/>
          <w:szCs w:val="22"/>
          <w:lang w:val="pl-PL"/>
        </w:rPr>
        <w:t xml:space="preserve">nie wolno go </w:t>
      </w:r>
      <w:r w:rsidR="006A6553" w:rsidRPr="00BD22FE">
        <w:rPr>
          <w:sz w:val="22"/>
          <w:szCs w:val="22"/>
          <w:lang w:val="pl-PL"/>
        </w:rPr>
        <w:t>przyjmo</w:t>
      </w:r>
      <w:r w:rsidRPr="00BD22FE">
        <w:rPr>
          <w:sz w:val="22"/>
          <w:szCs w:val="22"/>
          <w:lang w:val="pl-PL"/>
        </w:rPr>
        <w:t xml:space="preserve">wać po </w:t>
      </w:r>
      <w:r w:rsidR="006A6553" w:rsidRPr="00BD22FE">
        <w:rPr>
          <w:sz w:val="22"/>
          <w:szCs w:val="22"/>
          <w:lang w:val="pl-PL"/>
        </w:rPr>
        <w:t>3 </w:t>
      </w:r>
      <w:r w:rsidRPr="00BD22FE">
        <w:rPr>
          <w:sz w:val="22"/>
          <w:szCs w:val="22"/>
          <w:lang w:val="pl-PL"/>
        </w:rPr>
        <w:t xml:space="preserve">miesiącu ciąży, ponieważ może poważnie zaszkodzić dziecku, jeśli jest stosowany po </w:t>
      </w:r>
      <w:r w:rsidR="006A6553" w:rsidRPr="00BD22FE">
        <w:rPr>
          <w:sz w:val="22"/>
          <w:szCs w:val="22"/>
          <w:lang w:val="pl-PL"/>
        </w:rPr>
        <w:t xml:space="preserve">trzecim </w:t>
      </w:r>
      <w:r w:rsidRPr="00BD22FE">
        <w:rPr>
          <w:sz w:val="22"/>
          <w:szCs w:val="22"/>
          <w:lang w:val="pl-PL"/>
        </w:rPr>
        <w:t>miesiącu ciąży.</w:t>
      </w:r>
    </w:p>
    <w:p w14:paraId="661DC053" w14:textId="3C029592" w:rsidR="000016E2" w:rsidRPr="00BD22FE" w:rsidRDefault="000016E2" w:rsidP="00A610E1">
      <w:pPr>
        <w:pStyle w:val="BodyText"/>
        <w:spacing w:line="240" w:lineRule="auto"/>
        <w:jc w:val="left"/>
        <w:rPr>
          <w:sz w:val="22"/>
          <w:szCs w:val="22"/>
          <w:lang w:val="pl-PL"/>
        </w:rPr>
      </w:pPr>
    </w:p>
    <w:p w14:paraId="1E681B74" w14:textId="77777777" w:rsidR="000016E2" w:rsidRPr="00BD22FE" w:rsidRDefault="00104CA8" w:rsidP="00A610E1">
      <w:pPr>
        <w:pStyle w:val="BodyText"/>
        <w:keepNext/>
        <w:spacing w:line="240" w:lineRule="auto"/>
        <w:jc w:val="left"/>
        <w:rPr>
          <w:sz w:val="22"/>
          <w:szCs w:val="22"/>
          <w:u w:val="single"/>
          <w:lang w:val="pl-PL"/>
        </w:rPr>
      </w:pPr>
      <w:r w:rsidRPr="00BD22FE">
        <w:rPr>
          <w:sz w:val="22"/>
          <w:szCs w:val="22"/>
          <w:u w:val="single"/>
          <w:lang w:val="pl-PL"/>
        </w:rPr>
        <w:t>Karmienie piersią</w:t>
      </w:r>
    </w:p>
    <w:p w14:paraId="1AF1E8D1" w14:textId="30C6BF11" w:rsidR="000016E2" w:rsidRPr="00BD22FE" w:rsidRDefault="00104CA8" w:rsidP="00A610E1">
      <w:pPr>
        <w:pStyle w:val="BodyText"/>
        <w:spacing w:line="240" w:lineRule="auto"/>
        <w:jc w:val="left"/>
        <w:rPr>
          <w:sz w:val="22"/>
          <w:szCs w:val="22"/>
          <w:lang w:val="pl-PL"/>
        </w:rPr>
      </w:pPr>
      <w:r w:rsidRPr="00BD22FE">
        <w:rPr>
          <w:sz w:val="22"/>
          <w:szCs w:val="22"/>
          <w:lang w:val="pl-PL"/>
        </w:rPr>
        <w:t>Należy powiedzieć lekarzowi o</w:t>
      </w:r>
      <w:r w:rsidR="00717A7B" w:rsidRPr="00BD22FE">
        <w:rPr>
          <w:sz w:val="22"/>
          <w:szCs w:val="22"/>
          <w:lang w:val="pl-PL"/>
        </w:rPr>
        <w:t> </w:t>
      </w:r>
      <w:r w:rsidRPr="00BD22FE">
        <w:rPr>
          <w:sz w:val="22"/>
          <w:szCs w:val="22"/>
          <w:lang w:val="pl-PL"/>
        </w:rPr>
        <w:t>karmieniu piersią lub zamiarze karmienia piersią. Lek MicardisPlus nie jest zalecany do stosowania podczas karmienia piersią. Lekarz może wybrać inne leczenie podczas karmienia piersią.</w:t>
      </w:r>
    </w:p>
    <w:p w14:paraId="4D7D4BD4" w14:textId="77777777" w:rsidR="000016E2" w:rsidRPr="00BD22FE" w:rsidRDefault="000016E2" w:rsidP="00A610E1">
      <w:pPr>
        <w:pStyle w:val="BodyText"/>
        <w:spacing w:line="240" w:lineRule="auto"/>
        <w:jc w:val="left"/>
        <w:rPr>
          <w:sz w:val="22"/>
          <w:szCs w:val="22"/>
          <w:lang w:val="pl-PL"/>
        </w:rPr>
      </w:pPr>
    </w:p>
    <w:p w14:paraId="5AD2DCCE" w14:textId="40A79253" w:rsidR="000016E2" w:rsidRPr="00BD22FE" w:rsidRDefault="00104CA8" w:rsidP="00A610E1">
      <w:pPr>
        <w:pStyle w:val="BodyText"/>
        <w:keepNext/>
        <w:spacing w:line="240" w:lineRule="auto"/>
        <w:jc w:val="left"/>
        <w:rPr>
          <w:b/>
          <w:sz w:val="22"/>
          <w:szCs w:val="22"/>
          <w:lang w:val="pl-PL"/>
        </w:rPr>
      </w:pPr>
      <w:r w:rsidRPr="00BD22FE">
        <w:rPr>
          <w:b/>
          <w:sz w:val="22"/>
          <w:szCs w:val="22"/>
          <w:lang w:val="pl-PL"/>
        </w:rPr>
        <w:t>Prowadzenie pojazdów i</w:t>
      </w:r>
      <w:r w:rsidR="00717A7B" w:rsidRPr="00BD22FE">
        <w:rPr>
          <w:b/>
          <w:sz w:val="22"/>
          <w:szCs w:val="22"/>
          <w:lang w:val="pl-PL"/>
        </w:rPr>
        <w:t> </w:t>
      </w:r>
      <w:r w:rsidRPr="00BD22FE">
        <w:rPr>
          <w:b/>
          <w:sz w:val="22"/>
          <w:szCs w:val="22"/>
          <w:lang w:val="pl-PL"/>
        </w:rPr>
        <w:t>obsługiwanie maszyn</w:t>
      </w:r>
    </w:p>
    <w:p w14:paraId="666DAE0A" w14:textId="1B82F53C" w:rsidR="000016E2" w:rsidRPr="00BD22FE" w:rsidRDefault="00104CA8" w:rsidP="00A610E1">
      <w:pPr>
        <w:rPr>
          <w:sz w:val="22"/>
          <w:szCs w:val="22"/>
          <w:lang w:val="pl-PL"/>
        </w:rPr>
      </w:pPr>
      <w:r w:rsidRPr="00BD22FE">
        <w:rPr>
          <w:sz w:val="22"/>
          <w:szCs w:val="22"/>
          <w:lang w:val="pl-PL"/>
        </w:rPr>
        <w:t>Niektórzy pacjenci przyjmujący lek MicardisPlus mogą odczuwać zawroty głowy, zemdleć lub mieć uczucie wirowania. W</w:t>
      </w:r>
      <w:r w:rsidR="00717A7B" w:rsidRPr="00BD22FE">
        <w:rPr>
          <w:sz w:val="22"/>
          <w:szCs w:val="22"/>
          <w:lang w:val="pl-PL"/>
        </w:rPr>
        <w:t> </w:t>
      </w:r>
      <w:r w:rsidRPr="00BD22FE">
        <w:rPr>
          <w:sz w:val="22"/>
          <w:szCs w:val="22"/>
          <w:lang w:val="pl-PL"/>
        </w:rPr>
        <w:t>przypadku wystąpienia takich działań niepożądanych nie należy prowadzić pojazdów ani obsługiwać maszyn.</w:t>
      </w:r>
    </w:p>
    <w:p w14:paraId="18BAA25B" w14:textId="77777777" w:rsidR="000016E2" w:rsidRPr="00BD22FE" w:rsidRDefault="000016E2" w:rsidP="00A610E1">
      <w:pPr>
        <w:pStyle w:val="BodyText"/>
        <w:spacing w:line="240" w:lineRule="auto"/>
        <w:jc w:val="left"/>
        <w:rPr>
          <w:sz w:val="22"/>
          <w:szCs w:val="22"/>
          <w:lang w:val="pl-PL"/>
        </w:rPr>
      </w:pPr>
    </w:p>
    <w:p w14:paraId="4AF3460A" w14:textId="77777777" w:rsidR="000016E2" w:rsidRPr="00BD22FE" w:rsidRDefault="00104CA8" w:rsidP="00A610E1">
      <w:pPr>
        <w:pStyle w:val="BodyText"/>
        <w:keepNext/>
        <w:spacing w:line="240" w:lineRule="auto"/>
        <w:jc w:val="left"/>
        <w:rPr>
          <w:b/>
          <w:sz w:val="22"/>
          <w:szCs w:val="22"/>
          <w:lang w:val="pl-PL"/>
        </w:rPr>
      </w:pPr>
      <w:r w:rsidRPr="00BD22FE">
        <w:rPr>
          <w:b/>
          <w:sz w:val="22"/>
          <w:szCs w:val="22"/>
          <w:lang w:val="pl-PL"/>
        </w:rPr>
        <w:t>Lek MicardisPlus zawiera sód</w:t>
      </w:r>
    </w:p>
    <w:p w14:paraId="71D2C452" w14:textId="77777777" w:rsidR="000016E2" w:rsidRPr="00BD22FE" w:rsidRDefault="00104CA8" w:rsidP="00A610E1">
      <w:pPr>
        <w:pStyle w:val="BodyText"/>
        <w:spacing w:line="240" w:lineRule="auto"/>
        <w:jc w:val="left"/>
        <w:rPr>
          <w:bCs/>
          <w:sz w:val="22"/>
          <w:szCs w:val="22"/>
          <w:lang w:val="pl-PL"/>
        </w:rPr>
      </w:pPr>
      <w:r w:rsidRPr="00BD22FE">
        <w:rPr>
          <w:bCs/>
          <w:sz w:val="22"/>
          <w:szCs w:val="22"/>
          <w:lang w:val="pl-PL"/>
        </w:rPr>
        <w:t xml:space="preserve">Lek zawiera mniej niż 1 mmol (23 mg) sodu na tabletkę, </w:t>
      </w:r>
      <w:r w:rsidRPr="00BD22FE">
        <w:rPr>
          <w:sz w:val="22"/>
          <w:szCs w:val="22"/>
          <w:lang w:val="pl-PL"/>
        </w:rPr>
        <w:t>to znaczy lek uznaje się za „wolny od sodu”.</w:t>
      </w:r>
    </w:p>
    <w:p w14:paraId="3DC28410" w14:textId="77777777" w:rsidR="000016E2" w:rsidRPr="00BD22FE" w:rsidRDefault="000016E2" w:rsidP="00A610E1">
      <w:pPr>
        <w:pStyle w:val="BodyText"/>
        <w:spacing w:line="240" w:lineRule="auto"/>
        <w:jc w:val="left"/>
        <w:rPr>
          <w:sz w:val="22"/>
          <w:szCs w:val="22"/>
          <w:lang w:val="pl-PL"/>
        </w:rPr>
      </w:pPr>
    </w:p>
    <w:p w14:paraId="6A512078" w14:textId="77777777" w:rsidR="000016E2" w:rsidRPr="00BD22FE" w:rsidRDefault="00104CA8" w:rsidP="00A610E1">
      <w:pPr>
        <w:pStyle w:val="BodyText"/>
        <w:keepNext/>
        <w:spacing w:line="240" w:lineRule="auto"/>
        <w:jc w:val="left"/>
        <w:rPr>
          <w:b/>
          <w:sz w:val="22"/>
          <w:szCs w:val="22"/>
          <w:lang w:val="pl-PL"/>
        </w:rPr>
      </w:pPr>
      <w:r w:rsidRPr="00BD22FE">
        <w:rPr>
          <w:b/>
          <w:sz w:val="22"/>
          <w:szCs w:val="22"/>
          <w:lang w:val="pl-PL"/>
        </w:rPr>
        <w:t>Lek MicardisPlus zawiera cukier (laktozę)</w:t>
      </w:r>
    </w:p>
    <w:p w14:paraId="45578072" w14:textId="6006E689" w:rsidR="000016E2" w:rsidRPr="00BD22FE" w:rsidRDefault="00104CA8" w:rsidP="00A610E1">
      <w:pPr>
        <w:pStyle w:val="BodyText"/>
        <w:spacing w:line="240" w:lineRule="auto"/>
        <w:jc w:val="left"/>
        <w:rPr>
          <w:bCs/>
          <w:sz w:val="22"/>
          <w:szCs w:val="22"/>
          <w:lang w:val="pl-PL"/>
        </w:rPr>
      </w:pPr>
      <w:r w:rsidRPr="00BD22FE">
        <w:rPr>
          <w:bCs/>
          <w:sz w:val="22"/>
          <w:szCs w:val="22"/>
          <w:lang w:val="pl-PL"/>
        </w:rPr>
        <w:t xml:space="preserve">Jeżeli stwierdzono wcześniej u pacjenta nietolerancję niektórych cukrów, pacjent powinien skontaktować się z lekarzem przed przyjęciem </w:t>
      </w:r>
      <w:r w:rsidR="00A34606" w:rsidRPr="00BD22FE">
        <w:rPr>
          <w:bCs/>
          <w:sz w:val="22"/>
          <w:szCs w:val="22"/>
          <w:lang w:val="pl-PL"/>
        </w:rPr>
        <w:t xml:space="preserve">tego </w:t>
      </w:r>
      <w:r w:rsidRPr="00BD22FE">
        <w:rPr>
          <w:bCs/>
          <w:sz w:val="22"/>
          <w:szCs w:val="22"/>
          <w:lang w:val="pl-PL"/>
        </w:rPr>
        <w:t>leku.</w:t>
      </w:r>
    </w:p>
    <w:p w14:paraId="48E781FC" w14:textId="77777777" w:rsidR="000016E2" w:rsidRPr="00BD22FE" w:rsidRDefault="000016E2" w:rsidP="00A610E1">
      <w:pPr>
        <w:pStyle w:val="BodyText"/>
        <w:spacing w:line="240" w:lineRule="auto"/>
        <w:jc w:val="left"/>
        <w:rPr>
          <w:sz w:val="22"/>
          <w:szCs w:val="22"/>
          <w:lang w:val="pl-PL"/>
        </w:rPr>
      </w:pPr>
    </w:p>
    <w:p w14:paraId="747281F3" w14:textId="77777777" w:rsidR="000016E2" w:rsidRPr="00BD22FE" w:rsidRDefault="00104CA8" w:rsidP="00A610E1">
      <w:pPr>
        <w:pStyle w:val="BodyText"/>
        <w:keepNext/>
        <w:spacing w:line="240" w:lineRule="auto"/>
        <w:jc w:val="left"/>
        <w:rPr>
          <w:sz w:val="22"/>
          <w:szCs w:val="22"/>
          <w:lang w:val="pl-PL"/>
        </w:rPr>
      </w:pPr>
      <w:r w:rsidRPr="00BD22FE">
        <w:rPr>
          <w:b/>
          <w:sz w:val="22"/>
          <w:szCs w:val="22"/>
          <w:lang w:val="pl-PL"/>
        </w:rPr>
        <w:t>Lek MicardisPlus zawiera sorbitol</w:t>
      </w:r>
    </w:p>
    <w:p w14:paraId="67F04C93" w14:textId="77777777" w:rsidR="000016E2" w:rsidRPr="00BD22FE" w:rsidRDefault="00104CA8" w:rsidP="00A610E1">
      <w:pPr>
        <w:pStyle w:val="BodyText"/>
        <w:spacing w:line="240" w:lineRule="auto"/>
        <w:jc w:val="left"/>
        <w:rPr>
          <w:sz w:val="22"/>
          <w:szCs w:val="22"/>
          <w:lang w:val="pl-PL"/>
        </w:rPr>
      </w:pPr>
      <w:r w:rsidRPr="00BD22FE">
        <w:rPr>
          <w:sz w:val="22"/>
          <w:szCs w:val="22"/>
          <w:lang w:val="pl-PL"/>
        </w:rPr>
        <w:t>Lek zawiera 169 mg sorbitolu w każdej tabletce.</w:t>
      </w:r>
    </w:p>
    <w:p w14:paraId="08B682A4" w14:textId="77777777" w:rsidR="000016E2" w:rsidRPr="00BD22FE" w:rsidRDefault="000016E2" w:rsidP="00A610E1">
      <w:pPr>
        <w:pStyle w:val="BodyText"/>
        <w:spacing w:line="240" w:lineRule="auto"/>
        <w:jc w:val="left"/>
        <w:rPr>
          <w:sz w:val="22"/>
          <w:szCs w:val="22"/>
          <w:lang w:val="pl-PL"/>
        </w:rPr>
      </w:pPr>
    </w:p>
    <w:p w14:paraId="5CBE7BE2" w14:textId="77777777" w:rsidR="000016E2" w:rsidRPr="00BD22FE" w:rsidRDefault="000016E2" w:rsidP="00A610E1">
      <w:pPr>
        <w:pStyle w:val="BodyText"/>
        <w:spacing w:line="240" w:lineRule="auto"/>
        <w:jc w:val="left"/>
        <w:rPr>
          <w:sz w:val="22"/>
          <w:szCs w:val="22"/>
          <w:lang w:val="pl-PL"/>
        </w:rPr>
      </w:pPr>
    </w:p>
    <w:p w14:paraId="7F0A25FF" w14:textId="77777777" w:rsidR="003A7E3D" w:rsidRPr="00BD22FE" w:rsidRDefault="00104CA8" w:rsidP="00A610E1">
      <w:pPr>
        <w:pStyle w:val="BodyText"/>
        <w:keepNext/>
        <w:spacing w:line="240" w:lineRule="auto"/>
        <w:ind w:left="567" w:hanging="567"/>
        <w:jc w:val="left"/>
        <w:rPr>
          <w:b/>
          <w:sz w:val="22"/>
          <w:szCs w:val="22"/>
          <w:lang w:val="pl-PL"/>
        </w:rPr>
      </w:pPr>
      <w:r w:rsidRPr="00BD22FE">
        <w:rPr>
          <w:b/>
          <w:sz w:val="22"/>
          <w:szCs w:val="22"/>
          <w:lang w:val="pl-PL"/>
        </w:rPr>
        <w:t>3.</w:t>
      </w:r>
      <w:r w:rsidRPr="00BD22FE">
        <w:rPr>
          <w:b/>
          <w:sz w:val="22"/>
          <w:szCs w:val="22"/>
          <w:lang w:val="pl-PL"/>
        </w:rPr>
        <w:tab/>
        <w:t>Jak przyjmować lek MicardisPlus</w:t>
      </w:r>
    </w:p>
    <w:p w14:paraId="2326AC6A" w14:textId="4E286727" w:rsidR="000016E2" w:rsidRPr="00BD22FE" w:rsidRDefault="000016E2" w:rsidP="00A610E1">
      <w:pPr>
        <w:pStyle w:val="BodyText"/>
        <w:keepNext/>
        <w:spacing w:line="240" w:lineRule="auto"/>
        <w:jc w:val="left"/>
        <w:rPr>
          <w:sz w:val="22"/>
          <w:szCs w:val="22"/>
          <w:lang w:val="pl-PL"/>
        </w:rPr>
      </w:pPr>
    </w:p>
    <w:p w14:paraId="1DB112E3" w14:textId="484B20EE" w:rsidR="000016E2" w:rsidRPr="00BD22FE" w:rsidRDefault="00104CA8" w:rsidP="00A610E1">
      <w:pPr>
        <w:pStyle w:val="BodyText"/>
        <w:spacing w:line="240" w:lineRule="auto"/>
        <w:jc w:val="left"/>
        <w:rPr>
          <w:sz w:val="22"/>
          <w:szCs w:val="22"/>
          <w:lang w:val="pl-PL"/>
        </w:rPr>
      </w:pPr>
      <w:r w:rsidRPr="00BD22FE">
        <w:rPr>
          <w:sz w:val="22"/>
          <w:szCs w:val="22"/>
          <w:lang w:val="pl-PL"/>
        </w:rPr>
        <w:t>Ten lek należy zawsze przyjmować zgodnie z</w:t>
      </w:r>
      <w:r w:rsidR="00717A7B" w:rsidRPr="00BD22FE">
        <w:rPr>
          <w:sz w:val="22"/>
          <w:szCs w:val="22"/>
          <w:lang w:val="pl-PL"/>
        </w:rPr>
        <w:t> </w:t>
      </w:r>
      <w:r w:rsidRPr="00BD22FE">
        <w:rPr>
          <w:sz w:val="22"/>
          <w:szCs w:val="22"/>
          <w:lang w:val="pl-PL"/>
        </w:rPr>
        <w:t>zaleceniami lekarza. W</w:t>
      </w:r>
      <w:r w:rsidR="00717A7B" w:rsidRPr="00BD22FE">
        <w:rPr>
          <w:sz w:val="22"/>
          <w:szCs w:val="22"/>
          <w:lang w:val="pl-PL"/>
        </w:rPr>
        <w:t> </w:t>
      </w:r>
      <w:r w:rsidRPr="00BD22FE">
        <w:rPr>
          <w:sz w:val="22"/>
          <w:szCs w:val="22"/>
          <w:lang w:val="pl-PL"/>
        </w:rPr>
        <w:t>razie wątpliwości należy zwrócić się do lekarza lub farmaceuty.</w:t>
      </w:r>
    </w:p>
    <w:p w14:paraId="2D2E40AB" w14:textId="77777777" w:rsidR="000016E2" w:rsidRPr="00BD22FE" w:rsidRDefault="000016E2" w:rsidP="00A610E1">
      <w:pPr>
        <w:pStyle w:val="BodyText"/>
        <w:spacing w:line="240" w:lineRule="auto"/>
        <w:jc w:val="left"/>
        <w:rPr>
          <w:sz w:val="22"/>
          <w:szCs w:val="22"/>
          <w:lang w:val="pl-PL"/>
        </w:rPr>
      </w:pPr>
    </w:p>
    <w:p w14:paraId="55620DD8" w14:textId="78894B3B" w:rsidR="001143A0" w:rsidRPr="00BD22FE" w:rsidRDefault="00104CA8" w:rsidP="00A610E1">
      <w:pPr>
        <w:pStyle w:val="BodyText"/>
        <w:spacing w:line="240" w:lineRule="auto"/>
        <w:jc w:val="left"/>
        <w:rPr>
          <w:sz w:val="22"/>
          <w:szCs w:val="22"/>
          <w:lang w:val="pl-PL"/>
        </w:rPr>
      </w:pPr>
      <w:r w:rsidRPr="00BD22FE">
        <w:rPr>
          <w:sz w:val="22"/>
          <w:szCs w:val="22"/>
          <w:lang w:val="pl-PL"/>
        </w:rPr>
        <w:t>Zalecana dawka to jedna tabletka na dobę. Należy starać się przyjmować tabletkę o tej samej porze każdego dnia.</w:t>
      </w:r>
    </w:p>
    <w:p w14:paraId="6273AE6B" w14:textId="461812E4" w:rsidR="000016E2" w:rsidRPr="00BD22FE" w:rsidRDefault="00104CA8" w:rsidP="00A610E1">
      <w:pPr>
        <w:pStyle w:val="BodyText"/>
        <w:spacing w:line="240" w:lineRule="auto"/>
        <w:jc w:val="left"/>
        <w:rPr>
          <w:sz w:val="22"/>
          <w:szCs w:val="22"/>
          <w:lang w:val="pl-PL"/>
        </w:rPr>
      </w:pPr>
      <w:r w:rsidRPr="00BD22FE">
        <w:rPr>
          <w:sz w:val="22"/>
          <w:szCs w:val="22"/>
          <w:lang w:val="pl-PL"/>
        </w:rPr>
        <w:t xml:space="preserve">Lek MicardisPlus można przyjmować </w:t>
      </w:r>
      <w:r w:rsidR="00724ACF" w:rsidRPr="00BD22FE">
        <w:rPr>
          <w:iCs/>
          <w:sz w:val="22"/>
          <w:szCs w:val="22"/>
          <w:lang w:val="pl-PL"/>
        </w:rPr>
        <w:t>z posiłkiem lub</w:t>
      </w:r>
      <w:r w:rsidR="00D1265E" w:rsidRPr="00BD22FE">
        <w:rPr>
          <w:iCs/>
          <w:sz w:val="22"/>
          <w:szCs w:val="22"/>
          <w:lang w:val="pl-PL"/>
        </w:rPr>
        <w:t> </w:t>
      </w:r>
      <w:r w:rsidR="00724ACF" w:rsidRPr="00BD22FE">
        <w:rPr>
          <w:iCs/>
          <w:sz w:val="22"/>
          <w:szCs w:val="22"/>
          <w:lang w:val="pl-PL"/>
        </w:rPr>
        <w:t>niezależnie od</w:t>
      </w:r>
      <w:r w:rsidR="00D1265E" w:rsidRPr="00BD22FE">
        <w:rPr>
          <w:iCs/>
          <w:sz w:val="22"/>
          <w:szCs w:val="22"/>
          <w:lang w:val="pl-PL"/>
        </w:rPr>
        <w:t> </w:t>
      </w:r>
      <w:r w:rsidR="00724ACF" w:rsidRPr="00BD22FE">
        <w:rPr>
          <w:iCs/>
          <w:sz w:val="22"/>
          <w:szCs w:val="22"/>
          <w:lang w:val="pl-PL"/>
        </w:rPr>
        <w:t>posiłków</w:t>
      </w:r>
      <w:r w:rsidRPr="00BD22FE">
        <w:rPr>
          <w:sz w:val="22"/>
          <w:szCs w:val="22"/>
          <w:lang w:val="pl-PL"/>
        </w:rPr>
        <w:t>. Tabletki należy połknąć w całości, popijając wodą lub napojem bezalkoholowym. Ważne jest, aby lek MicardisPlus przyjmować każdego dnia, dopóki lekarz nie zaleci inaczej.</w:t>
      </w:r>
    </w:p>
    <w:p w14:paraId="0AF737F5" w14:textId="77777777" w:rsidR="000016E2" w:rsidRPr="00BD22FE" w:rsidRDefault="000016E2" w:rsidP="00A610E1">
      <w:pPr>
        <w:pStyle w:val="BodyText"/>
        <w:spacing w:line="240" w:lineRule="auto"/>
        <w:jc w:val="left"/>
        <w:rPr>
          <w:sz w:val="22"/>
          <w:szCs w:val="22"/>
          <w:lang w:val="pl-PL"/>
        </w:rPr>
      </w:pPr>
    </w:p>
    <w:p w14:paraId="6BAF7079" w14:textId="48963386" w:rsidR="003A7E3D" w:rsidRPr="00BD22FE" w:rsidRDefault="00104CA8" w:rsidP="00A610E1">
      <w:pPr>
        <w:pStyle w:val="BodyText"/>
        <w:spacing w:line="240" w:lineRule="auto"/>
        <w:jc w:val="left"/>
        <w:rPr>
          <w:sz w:val="22"/>
          <w:szCs w:val="22"/>
          <w:lang w:val="pl-PL"/>
        </w:rPr>
      </w:pPr>
      <w:r w:rsidRPr="00BD22FE">
        <w:rPr>
          <w:sz w:val="22"/>
          <w:szCs w:val="22"/>
          <w:lang w:val="pl-PL"/>
        </w:rPr>
        <w:t>Jeśli u</w:t>
      </w:r>
      <w:r w:rsidR="00717A7B" w:rsidRPr="00BD22FE">
        <w:rPr>
          <w:sz w:val="22"/>
          <w:szCs w:val="22"/>
          <w:lang w:val="pl-PL"/>
        </w:rPr>
        <w:t> </w:t>
      </w:r>
      <w:r w:rsidRPr="00BD22FE">
        <w:rPr>
          <w:sz w:val="22"/>
          <w:szCs w:val="22"/>
          <w:lang w:val="pl-PL"/>
        </w:rPr>
        <w:t>pacjenta wątroba nie funkcjonuje właściwie, zwykła dawka nie powinna być większa niż 40 mg telmisartanu na dobę.</w:t>
      </w:r>
    </w:p>
    <w:p w14:paraId="7D91CE2D" w14:textId="436097E1" w:rsidR="000016E2" w:rsidRPr="00BD22FE" w:rsidRDefault="000016E2" w:rsidP="00A610E1">
      <w:pPr>
        <w:pStyle w:val="BodyText"/>
        <w:spacing w:line="240" w:lineRule="auto"/>
        <w:jc w:val="left"/>
        <w:rPr>
          <w:sz w:val="22"/>
          <w:szCs w:val="22"/>
          <w:lang w:val="pl-PL"/>
        </w:rPr>
      </w:pPr>
    </w:p>
    <w:p w14:paraId="5D9F8BB5" w14:textId="77777777" w:rsidR="000016E2" w:rsidRPr="00BD22FE" w:rsidRDefault="00104CA8" w:rsidP="00A610E1">
      <w:pPr>
        <w:pStyle w:val="BodyText"/>
        <w:keepNext/>
        <w:spacing w:line="240" w:lineRule="auto"/>
        <w:jc w:val="left"/>
        <w:rPr>
          <w:b/>
          <w:sz w:val="22"/>
          <w:szCs w:val="22"/>
          <w:lang w:val="pl-PL"/>
        </w:rPr>
      </w:pPr>
      <w:r w:rsidRPr="00BD22FE">
        <w:rPr>
          <w:b/>
          <w:sz w:val="22"/>
          <w:szCs w:val="22"/>
          <w:lang w:val="pl-PL"/>
        </w:rPr>
        <w:t>Przyjęcie większej niż zalecana dawki leku MicardisPlus</w:t>
      </w:r>
    </w:p>
    <w:p w14:paraId="4CBF863B" w14:textId="476B4FC7" w:rsidR="000016E2" w:rsidRPr="00BD22FE" w:rsidRDefault="00104CA8" w:rsidP="00A610E1">
      <w:pPr>
        <w:pStyle w:val="BodyText"/>
        <w:spacing w:line="240" w:lineRule="auto"/>
        <w:jc w:val="left"/>
        <w:rPr>
          <w:sz w:val="22"/>
          <w:szCs w:val="22"/>
          <w:lang w:val="pl-PL"/>
        </w:rPr>
      </w:pPr>
      <w:r w:rsidRPr="00BD22FE">
        <w:rPr>
          <w:sz w:val="22"/>
          <w:szCs w:val="22"/>
          <w:lang w:val="pl-PL"/>
        </w:rPr>
        <w:t xml:space="preserve">Jeżeli przez pomyłkę zostanie przyjęta zbyt duża liczba tabletek, mogą pojawić się takie </w:t>
      </w:r>
      <w:r w:rsidR="00BB6475" w:rsidRPr="00BD22FE">
        <w:rPr>
          <w:sz w:val="22"/>
          <w:szCs w:val="22"/>
          <w:lang w:val="pl-PL"/>
        </w:rPr>
        <w:t>objawy</w:t>
      </w:r>
      <w:r w:rsidRPr="00BD22FE">
        <w:rPr>
          <w:sz w:val="22"/>
          <w:szCs w:val="22"/>
          <w:lang w:val="pl-PL"/>
        </w:rPr>
        <w:t xml:space="preserve">, jak niskie ciśnienie </w:t>
      </w:r>
      <w:r w:rsidR="00BB6475" w:rsidRPr="00BD22FE">
        <w:rPr>
          <w:sz w:val="22"/>
          <w:szCs w:val="22"/>
          <w:lang w:val="pl-PL"/>
        </w:rPr>
        <w:t xml:space="preserve">tętnicze </w:t>
      </w:r>
      <w:r w:rsidRPr="00BD22FE">
        <w:rPr>
          <w:sz w:val="22"/>
          <w:szCs w:val="22"/>
          <w:lang w:val="pl-PL"/>
        </w:rPr>
        <w:t>krwi i</w:t>
      </w:r>
      <w:r w:rsidR="00717A7B" w:rsidRPr="00BD22FE">
        <w:rPr>
          <w:sz w:val="22"/>
          <w:szCs w:val="22"/>
          <w:lang w:val="pl-PL"/>
        </w:rPr>
        <w:t> </w:t>
      </w:r>
      <w:r w:rsidRPr="00BD22FE">
        <w:rPr>
          <w:sz w:val="22"/>
          <w:szCs w:val="22"/>
          <w:lang w:val="pl-PL"/>
        </w:rPr>
        <w:t>przyspieszenie akcji serca. Zgłaszano także przypadki spowolnienia akcji serca, zawrotów głowy, wymiotów, pogorszenia czynności nerek, w</w:t>
      </w:r>
      <w:r w:rsidR="00717A7B" w:rsidRPr="00BD22FE">
        <w:rPr>
          <w:sz w:val="22"/>
          <w:szCs w:val="22"/>
          <w:lang w:val="pl-PL"/>
        </w:rPr>
        <w:t> </w:t>
      </w:r>
      <w:r w:rsidRPr="00BD22FE">
        <w:rPr>
          <w:sz w:val="22"/>
          <w:szCs w:val="22"/>
          <w:lang w:val="pl-PL"/>
        </w:rPr>
        <w:t>tym niewydolności nerek. Z</w:t>
      </w:r>
      <w:r w:rsidR="00717A7B" w:rsidRPr="00BD22FE">
        <w:rPr>
          <w:sz w:val="22"/>
          <w:szCs w:val="22"/>
          <w:lang w:val="pl-PL"/>
        </w:rPr>
        <w:t> </w:t>
      </w:r>
      <w:r w:rsidRPr="00BD22FE">
        <w:rPr>
          <w:sz w:val="22"/>
          <w:szCs w:val="22"/>
          <w:lang w:val="pl-PL"/>
        </w:rPr>
        <w:t xml:space="preserve">powodu zawartości hydrochlorotiazydu może także wystąpić wyraźnie niskie ciśnienie </w:t>
      </w:r>
      <w:r w:rsidR="001F5ACE" w:rsidRPr="00BD22FE">
        <w:rPr>
          <w:sz w:val="22"/>
          <w:szCs w:val="22"/>
          <w:lang w:val="pl-PL"/>
        </w:rPr>
        <w:t xml:space="preserve">tętnicze </w:t>
      </w:r>
      <w:r w:rsidRPr="00BD22FE">
        <w:rPr>
          <w:sz w:val="22"/>
          <w:szCs w:val="22"/>
          <w:lang w:val="pl-PL"/>
        </w:rPr>
        <w:t>krwi i</w:t>
      </w:r>
      <w:r w:rsidR="00717A7B" w:rsidRPr="00BD22FE">
        <w:rPr>
          <w:sz w:val="22"/>
          <w:szCs w:val="22"/>
          <w:lang w:val="pl-PL"/>
        </w:rPr>
        <w:t> </w:t>
      </w:r>
      <w:r w:rsidRPr="00BD22FE">
        <w:rPr>
          <w:sz w:val="22"/>
          <w:szCs w:val="22"/>
          <w:lang w:val="pl-PL"/>
        </w:rPr>
        <w:t>niskie stężenia potasu we krwi, co może doprowadzić do nudności, senności i</w:t>
      </w:r>
      <w:r w:rsidR="00717A7B" w:rsidRPr="00BD22FE">
        <w:rPr>
          <w:sz w:val="22"/>
          <w:szCs w:val="22"/>
          <w:lang w:val="pl-PL"/>
        </w:rPr>
        <w:t> </w:t>
      </w:r>
      <w:r w:rsidRPr="00BD22FE">
        <w:rPr>
          <w:sz w:val="22"/>
          <w:szCs w:val="22"/>
          <w:lang w:val="pl-PL"/>
        </w:rPr>
        <w:t>skurczów mięśni</w:t>
      </w:r>
      <w:r w:rsidRPr="00BD22FE">
        <w:rPr>
          <w:lang w:val="pl-PL"/>
        </w:rPr>
        <w:t xml:space="preserve"> </w:t>
      </w:r>
      <w:r w:rsidRPr="00BD22FE">
        <w:rPr>
          <w:sz w:val="22"/>
          <w:szCs w:val="22"/>
          <w:lang w:val="pl-PL"/>
        </w:rPr>
        <w:t>i</w:t>
      </w:r>
      <w:r w:rsidR="00B15C46" w:rsidRPr="00BD22FE">
        <w:rPr>
          <w:sz w:val="22"/>
          <w:szCs w:val="22"/>
          <w:lang w:val="pl-PL"/>
        </w:rPr>
        <w:t> </w:t>
      </w:r>
      <w:r w:rsidRPr="00BD22FE">
        <w:rPr>
          <w:sz w:val="22"/>
          <w:szCs w:val="22"/>
          <w:lang w:val="pl-PL"/>
        </w:rPr>
        <w:t>(lub) nieregularne bicie serca związane z</w:t>
      </w:r>
      <w:r w:rsidR="00717A7B" w:rsidRPr="00BD22FE">
        <w:rPr>
          <w:sz w:val="22"/>
          <w:szCs w:val="22"/>
          <w:lang w:val="pl-PL"/>
        </w:rPr>
        <w:t> </w:t>
      </w:r>
      <w:r w:rsidRPr="00BD22FE">
        <w:rPr>
          <w:sz w:val="22"/>
          <w:szCs w:val="22"/>
          <w:lang w:val="pl-PL"/>
        </w:rPr>
        <w:t xml:space="preserve">jednoczesnym stosowaniem leków, takich jak glikozydy naparstnicy </w:t>
      </w:r>
      <w:r w:rsidR="001F5ACE" w:rsidRPr="00BD22FE">
        <w:rPr>
          <w:sz w:val="22"/>
          <w:szCs w:val="22"/>
          <w:lang w:val="pl-PL"/>
        </w:rPr>
        <w:t xml:space="preserve">lub </w:t>
      </w:r>
      <w:r w:rsidRPr="00BD22FE">
        <w:rPr>
          <w:sz w:val="22"/>
          <w:szCs w:val="22"/>
          <w:lang w:val="pl-PL"/>
        </w:rPr>
        <w:t>niektór</w:t>
      </w:r>
      <w:r w:rsidR="001F5ACE" w:rsidRPr="00BD22FE">
        <w:rPr>
          <w:sz w:val="22"/>
          <w:szCs w:val="22"/>
          <w:lang w:val="pl-PL"/>
        </w:rPr>
        <w:t>e</w:t>
      </w:r>
      <w:r w:rsidRPr="00BD22FE">
        <w:rPr>
          <w:sz w:val="22"/>
          <w:szCs w:val="22"/>
          <w:lang w:val="pl-PL"/>
        </w:rPr>
        <w:t xml:space="preserve"> lek</w:t>
      </w:r>
      <w:r w:rsidR="001F5ACE" w:rsidRPr="00BD22FE">
        <w:rPr>
          <w:sz w:val="22"/>
          <w:szCs w:val="22"/>
          <w:lang w:val="pl-PL"/>
        </w:rPr>
        <w:t>i</w:t>
      </w:r>
      <w:r w:rsidRPr="00BD22FE">
        <w:rPr>
          <w:sz w:val="22"/>
          <w:szCs w:val="22"/>
          <w:lang w:val="pl-PL"/>
        </w:rPr>
        <w:t xml:space="preserve"> antyarytmiczn</w:t>
      </w:r>
      <w:r w:rsidR="001F5ACE" w:rsidRPr="00BD22FE">
        <w:rPr>
          <w:sz w:val="22"/>
          <w:szCs w:val="22"/>
          <w:lang w:val="pl-PL"/>
        </w:rPr>
        <w:t>e</w:t>
      </w:r>
      <w:r w:rsidRPr="00BD22FE">
        <w:rPr>
          <w:sz w:val="22"/>
          <w:szCs w:val="22"/>
          <w:lang w:val="pl-PL"/>
        </w:rPr>
        <w:t>. Należy niezwłocznie skontaktować się z</w:t>
      </w:r>
      <w:r w:rsidR="00717A7B" w:rsidRPr="00BD22FE">
        <w:rPr>
          <w:sz w:val="22"/>
          <w:szCs w:val="22"/>
          <w:lang w:val="pl-PL"/>
        </w:rPr>
        <w:t> </w:t>
      </w:r>
      <w:r w:rsidRPr="00BD22FE">
        <w:rPr>
          <w:sz w:val="22"/>
          <w:szCs w:val="22"/>
          <w:lang w:val="pl-PL"/>
        </w:rPr>
        <w:t>lekarzem</w:t>
      </w:r>
      <w:r w:rsidR="001F5ACE" w:rsidRPr="00BD22FE">
        <w:rPr>
          <w:sz w:val="22"/>
          <w:szCs w:val="22"/>
          <w:lang w:val="pl-PL"/>
        </w:rPr>
        <w:t>,</w:t>
      </w:r>
      <w:r w:rsidRPr="00BD22FE">
        <w:rPr>
          <w:sz w:val="22"/>
          <w:szCs w:val="22"/>
          <w:lang w:val="pl-PL"/>
        </w:rPr>
        <w:t xml:space="preserve"> farmaceutą </w:t>
      </w:r>
      <w:r w:rsidR="00F70575" w:rsidRPr="00BD22FE">
        <w:rPr>
          <w:sz w:val="22"/>
          <w:szCs w:val="22"/>
          <w:lang w:val="pl-PL"/>
        </w:rPr>
        <w:t>lub </w:t>
      </w:r>
      <w:r w:rsidRPr="00BD22FE">
        <w:rPr>
          <w:sz w:val="22"/>
          <w:szCs w:val="22"/>
          <w:lang w:val="pl-PL"/>
        </w:rPr>
        <w:t>z</w:t>
      </w:r>
      <w:r w:rsidR="00717A7B" w:rsidRPr="00BD22FE">
        <w:rPr>
          <w:sz w:val="22"/>
          <w:szCs w:val="22"/>
          <w:lang w:val="pl-PL"/>
        </w:rPr>
        <w:t> </w:t>
      </w:r>
      <w:r w:rsidRPr="00BD22FE">
        <w:rPr>
          <w:sz w:val="22"/>
          <w:szCs w:val="22"/>
          <w:lang w:val="pl-PL"/>
        </w:rPr>
        <w:t>najbliższym szpitalnym oddziałem doraźnej pomocy medycznej.</w:t>
      </w:r>
    </w:p>
    <w:p w14:paraId="6A8D595A" w14:textId="77777777" w:rsidR="000016E2" w:rsidRPr="00BD22FE" w:rsidRDefault="000016E2" w:rsidP="00A610E1">
      <w:pPr>
        <w:pStyle w:val="BodyText"/>
        <w:spacing w:line="240" w:lineRule="auto"/>
        <w:jc w:val="left"/>
        <w:rPr>
          <w:sz w:val="22"/>
          <w:szCs w:val="22"/>
          <w:lang w:val="pl-PL"/>
        </w:rPr>
      </w:pPr>
    </w:p>
    <w:p w14:paraId="4BA9BC51" w14:textId="77777777" w:rsidR="000016E2" w:rsidRPr="00BD22FE" w:rsidRDefault="00104CA8" w:rsidP="00A610E1">
      <w:pPr>
        <w:pStyle w:val="BodyText"/>
        <w:keepNext/>
        <w:spacing w:line="240" w:lineRule="auto"/>
        <w:jc w:val="left"/>
        <w:rPr>
          <w:b/>
          <w:sz w:val="22"/>
          <w:szCs w:val="22"/>
          <w:lang w:val="pl-PL"/>
        </w:rPr>
      </w:pPr>
      <w:r w:rsidRPr="00BD22FE">
        <w:rPr>
          <w:b/>
          <w:sz w:val="22"/>
          <w:szCs w:val="22"/>
          <w:lang w:val="pl-PL"/>
        </w:rPr>
        <w:t>Pominięcie przyjęcia leku MicardisPlus</w:t>
      </w:r>
    </w:p>
    <w:p w14:paraId="49AA5B79" w14:textId="5607214D" w:rsidR="000016E2" w:rsidRPr="00BD22FE" w:rsidRDefault="00104CA8" w:rsidP="00A610E1">
      <w:pPr>
        <w:pStyle w:val="BodyText"/>
        <w:spacing w:line="240" w:lineRule="auto"/>
        <w:jc w:val="left"/>
        <w:rPr>
          <w:sz w:val="22"/>
          <w:szCs w:val="22"/>
          <w:lang w:val="pl-PL"/>
        </w:rPr>
      </w:pPr>
      <w:r w:rsidRPr="00BD22FE">
        <w:rPr>
          <w:sz w:val="22"/>
          <w:szCs w:val="22"/>
          <w:lang w:val="pl-PL"/>
        </w:rPr>
        <w:t>Jeśli pacjent zapomni przyjąć dawkę leku, powinien zażyć go niezwłocznie po przypomnieniu sobie, tego samego dnia. Jeżeli tabletka nie zostanie przyjęta jednego dnia, należy przyjąć zwykle stosowaną dawkę następnego dnia.</w:t>
      </w:r>
      <w:r w:rsidRPr="00BD22FE">
        <w:rPr>
          <w:bCs/>
          <w:sz w:val="22"/>
          <w:szCs w:val="22"/>
          <w:lang w:val="pl-PL"/>
        </w:rPr>
        <w:t xml:space="preserve"> </w:t>
      </w:r>
      <w:r w:rsidRPr="00BD22FE">
        <w:rPr>
          <w:b/>
          <w:i/>
          <w:sz w:val="22"/>
          <w:szCs w:val="22"/>
          <w:lang w:val="pl-PL"/>
        </w:rPr>
        <w:t>Nie należy</w:t>
      </w:r>
      <w:r w:rsidRPr="00BD22FE">
        <w:rPr>
          <w:sz w:val="22"/>
          <w:szCs w:val="22"/>
          <w:lang w:val="pl-PL"/>
        </w:rPr>
        <w:t xml:space="preserve"> stosować</w:t>
      </w:r>
      <w:bookmarkStart w:id="14" w:name="_Hlk166172849"/>
      <w:r w:rsidRPr="00BD22FE">
        <w:rPr>
          <w:sz w:val="22"/>
          <w:szCs w:val="22"/>
          <w:lang w:val="pl-PL"/>
        </w:rPr>
        <w:t xml:space="preserve"> dawki podwójnej w</w:t>
      </w:r>
      <w:r w:rsidR="00717A7B" w:rsidRPr="00BD22FE">
        <w:rPr>
          <w:sz w:val="22"/>
          <w:szCs w:val="22"/>
          <w:lang w:val="pl-PL"/>
        </w:rPr>
        <w:t> </w:t>
      </w:r>
      <w:r w:rsidRPr="00BD22FE">
        <w:rPr>
          <w:sz w:val="22"/>
          <w:szCs w:val="22"/>
          <w:lang w:val="pl-PL"/>
        </w:rPr>
        <w:t>celu uzupełnienia pominiętej dawki.</w:t>
      </w:r>
      <w:bookmarkEnd w:id="14"/>
    </w:p>
    <w:p w14:paraId="278407F3" w14:textId="77777777" w:rsidR="000016E2" w:rsidRPr="00BD22FE" w:rsidRDefault="000016E2" w:rsidP="00941FBF">
      <w:pPr>
        <w:pStyle w:val="BodyText"/>
        <w:spacing w:line="240" w:lineRule="auto"/>
        <w:jc w:val="left"/>
        <w:rPr>
          <w:sz w:val="22"/>
          <w:szCs w:val="22"/>
          <w:lang w:val="pl-PL"/>
        </w:rPr>
      </w:pPr>
    </w:p>
    <w:p w14:paraId="0F31CAB3" w14:textId="77190765" w:rsidR="000016E2" w:rsidRPr="00BD22FE" w:rsidRDefault="00104CA8" w:rsidP="00941FBF">
      <w:pPr>
        <w:pStyle w:val="BodyText"/>
        <w:spacing w:line="240" w:lineRule="auto"/>
        <w:jc w:val="left"/>
        <w:rPr>
          <w:sz w:val="22"/>
          <w:szCs w:val="22"/>
          <w:lang w:val="pl-PL"/>
        </w:rPr>
      </w:pPr>
      <w:r w:rsidRPr="00BD22FE">
        <w:rPr>
          <w:sz w:val="22"/>
          <w:szCs w:val="22"/>
          <w:lang w:val="pl-PL"/>
        </w:rPr>
        <w:t>W</w:t>
      </w:r>
      <w:r w:rsidR="00717A7B" w:rsidRPr="00BD22FE">
        <w:rPr>
          <w:sz w:val="22"/>
          <w:szCs w:val="22"/>
          <w:lang w:val="pl-PL"/>
        </w:rPr>
        <w:t> </w:t>
      </w:r>
      <w:r w:rsidRPr="00BD22FE">
        <w:rPr>
          <w:sz w:val="22"/>
          <w:szCs w:val="22"/>
          <w:lang w:val="pl-PL"/>
        </w:rPr>
        <w:t>razie jakichkolwiek dalszych wątpliwości związanych ze stosowaniem tego leku, należy zwrócić się do lekarza lub farmaceuty.</w:t>
      </w:r>
    </w:p>
    <w:p w14:paraId="0439EB34" w14:textId="77777777" w:rsidR="000016E2" w:rsidRPr="00BD22FE" w:rsidRDefault="000016E2" w:rsidP="00941FBF">
      <w:pPr>
        <w:pStyle w:val="BodyText"/>
        <w:spacing w:line="240" w:lineRule="auto"/>
        <w:jc w:val="left"/>
        <w:rPr>
          <w:sz w:val="22"/>
          <w:szCs w:val="22"/>
          <w:lang w:val="pl-PL"/>
        </w:rPr>
      </w:pPr>
    </w:p>
    <w:p w14:paraId="3D00E9E1" w14:textId="77777777" w:rsidR="000016E2" w:rsidRPr="00BD22FE" w:rsidRDefault="000016E2" w:rsidP="00941FBF">
      <w:pPr>
        <w:pStyle w:val="BodyText"/>
        <w:spacing w:line="240" w:lineRule="auto"/>
        <w:jc w:val="left"/>
        <w:rPr>
          <w:sz w:val="22"/>
          <w:szCs w:val="22"/>
          <w:lang w:val="pl-PL"/>
        </w:rPr>
      </w:pPr>
    </w:p>
    <w:p w14:paraId="67193B39" w14:textId="77777777" w:rsidR="000016E2" w:rsidRPr="00BD22FE" w:rsidRDefault="00104CA8" w:rsidP="00941FBF">
      <w:pPr>
        <w:pStyle w:val="BodyText"/>
        <w:keepNext/>
        <w:spacing w:line="240" w:lineRule="auto"/>
        <w:ind w:left="567" w:hanging="567"/>
        <w:jc w:val="left"/>
        <w:rPr>
          <w:b/>
          <w:sz w:val="22"/>
          <w:szCs w:val="22"/>
          <w:lang w:val="pl-PL"/>
        </w:rPr>
      </w:pPr>
      <w:r w:rsidRPr="00BD22FE">
        <w:rPr>
          <w:b/>
          <w:sz w:val="22"/>
          <w:szCs w:val="22"/>
          <w:lang w:val="pl-PL"/>
        </w:rPr>
        <w:t>4.</w:t>
      </w:r>
      <w:r w:rsidRPr="00BD22FE">
        <w:rPr>
          <w:b/>
          <w:sz w:val="22"/>
          <w:szCs w:val="22"/>
          <w:lang w:val="pl-PL"/>
        </w:rPr>
        <w:tab/>
        <w:t>Możliwe działania niepożądane</w:t>
      </w:r>
    </w:p>
    <w:p w14:paraId="4E01D56B" w14:textId="77777777" w:rsidR="000016E2" w:rsidRPr="00BD22FE" w:rsidRDefault="000016E2" w:rsidP="00941FBF">
      <w:pPr>
        <w:pStyle w:val="BodyText"/>
        <w:keepNext/>
        <w:spacing w:line="240" w:lineRule="auto"/>
        <w:jc w:val="left"/>
        <w:rPr>
          <w:bCs/>
          <w:sz w:val="22"/>
          <w:szCs w:val="22"/>
          <w:lang w:val="pl-PL"/>
        </w:rPr>
      </w:pPr>
    </w:p>
    <w:p w14:paraId="3765504D" w14:textId="575BFAE7" w:rsidR="000016E2" w:rsidRPr="00BD22FE" w:rsidRDefault="00104CA8" w:rsidP="00941FBF">
      <w:pPr>
        <w:pStyle w:val="BodyText"/>
        <w:spacing w:line="240" w:lineRule="auto"/>
        <w:jc w:val="left"/>
        <w:rPr>
          <w:sz w:val="22"/>
          <w:szCs w:val="22"/>
          <w:lang w:val="pl-PL"/>
        </w:rPr>
      </w:pPr>
      <w:r w:rsidRPr="00BD22FE">
        <w:rPr>
          <w:sz w:val="22"/>
          <w:szCs w:val="22"/>
          <w:lang w:val="pl-PL"/>
        </w:rPr>
        <w:t>Jak każdy lek, lek ten może powodować działania niepożądane, chociaż nie u</w:t>
      </w:r>
      <w:r w:rsidR="00717A7B" w:rsidRPr="00BD22FE">
        <w:rPr>
          <w:sz w:val="22"/>
          <w:szCs w:val="22"/>
          <w:lang w:val="pl-PL"/>
        </w:rPr>
        <w:t> </w:t>
      </w:r>
      <w:r w:rsidRPr="00BD22FE">
        <w:rPr>
          <w:sz w:val="22"/>
          <w:szCs w:val="22"/>
          <w:lang w:val="pl-PL"/>
        </w:rPr>
        <w:t>każdego one wystąpią.</w:t>
      </w:r>
    </w:p>
    <w:p w14:paraId="44C65910" w14:textId="77777777" w:rsidR="000016E2" w:rsidRPr="00BD22FE" w:rsidRDefault="000016E2" w:rsidP="00941FBF">
      <w:pPr>
        <w:pStyle w:val="BodyText"/>
        <w:spacing w:line="240" w:lineRule="auto"/>
        <w:jc w:val="left"/>
        <w:rPr>
          <w:sz w:val="22"/>
          <w:szCs w:val="22"/>
          <w:lang w:val="pl-PL"/>
        </w:rPr>
      </w:pPr>
    </w:p>
    <w:p w14:paraId="08539268" w14:textId="0DA47497" w:rsidR="000016E2" w:rsidRPr="00BD22FE" w:rsidRDefault="00104CA8" w:rsidP="00941FBF">
      <w:pPr>
        <w:keepNext/>
        <w:rPr>
          <w:b/>
          <w:sz w:val="22"/>
          <w:szCs w:val="22"/>
          <w:lang w:val="pl-PL"/>
        </w:rPr>
      </w:pPr>
      <w:r w:rsidRPr="00BD22FE">
        <w:rPr>
          <w:b/>
          <w:sz w:val="22"/>
          <w:szCs w:val="22"/>
          <w:lang w:val="pl-PL"/>
        </w:rPr>
        <w:t>Niektóre działania niepożądane mogą być ciężkie i</w:t>
      </w:r>
      <w:r w:rsidR="00717A7B" w:rsidRPr="00BD22FE">
        <w:rPr>
          <w:b/>
          <w:sz w:val="22"/>
          <w:szCs w:val="22"/>
          <w:lang w:val="pl-PL"/>
        </w:rPr>
        <w:t> </w:t>
      </w:r>
      <w:r w:rsidRPr="00BD22FE">
        <w:rPr>
          <w:b/>
          <w:sz w:val="22"/>
          <w:szCs w:val="22"/>
          <w:lang w:val="pl-PL"/>
        </w:rPr>
        <w:t>wymagają natychmiastowej pomocy medycznej:</w:t>
      </w:r>
    </w:p>
    <w:p w14:paraId="09246039" w14:textId="0AB4C201" w:rsidR="000016E2" w:rsidRPr="00BD22FE" w:rsidRDefault="00104CA8" w:rsidP="00941FBF">
      <w:pPr>
        <w:keepNext/>
        <w:rPr>
          <w:sz w:val="22"/>
          <w:szCs w:val="22"/>
          <w:lang w:val="pl-PL"/>
        </w:rPr>
      </w:pPr>
      <w:r w:rsidRPr="00BD22FE">
        <w:rPr>
          <w:sz w:val="22"/>
          <w:szCs w:val="22"/>
          <w:lang w:val="pl-PL"/>
        </w:rPr>
        <w:t>W</w:t>
      </w:r>
      <w:r w:rsidR="00717A7B" w:rsidRPr="00BD22FE">
        <w:rPr>
          <w:sz w:val="22"/>
          <w:szCs w:val="22"/>
          <w:lang w:val="pl-PL"/>
        </w:rPr>
        <w:t> </w:t>
      </w:r>
      <w:r w:rsidRPr="00BD22FE">
        <w:rPr>
          <w:sz w:val="22"/>
          <w:szCs w:val="22"/>
          <w:lang w:val="pl-PL"/>
        </w:rPr>
        <w:t>przypadku wystąpienia któregokolwiek z</w:t>
      </w:r>
      <w:r w:rsidR="00717A7B" w:rsidRPr="00BD22FE">
        <w:rPr>
          <w:sz w:val="22"/>
          <w:szCs w:val="22"/>
          <w:lang w:val="pl-PL"/>
        </w:rPr>
        <w:t> </w:t>
      </w:r>
      <w:r w:rsidRPr="00BD22FE">
        <w:rPr>
          <w:sz w:val="22"/>
          <w:szCs w:val="22"/>
          <w:lang w:val="pl-PL"/>
        </w:rPr>
        <w:t>następujących objawów należy natychmiast skontaktować się z</w:t>
      </w:r>
      <w:r w:rsidR="00717A7B" w:rsidRPr="00BD22FE">
        <w:rPr>
          <w:sz w:val="22"/>
          <w:szCs w:val="22"/>
          <w:lang w:val="pl-PL"/>
        </w:rPr>
        <w:t> </w:t>
      </w:r>
      <w:r w:rsidRPr="00BD22FE">
        <w:rPr>
          <w:sz w:val="22"/>
          <w:szCs w:val="22"/>
          <w:lang w:val="pl-PL"/>
        </w:rPr>
        <w:t>lekarzem:</w:t>
      </w:r>
    </w:p>
    <w:p w14:paraId="538C2646" w14:textId="77777777" w:rsidR="000016E2" w:rsidRPr="00BD22FE" w:rsidRDefault="000016E2" w:rsidP="00941FBF">
      <w:pPr>
        <w:keepNext/>
        <w:rPr>
          <w:sz w:val="22"/>
          <w:szCs w:val="22"/>
          <w:lang w:val="pl-PL"/>
        </w:rPr>
      </w:pPr>
    </w:p>
    <w:p w14:paraId="56E69EF7" w14:textId="2C498F43" w:rsidR="000016E2" w:rsidRPr="00BD22FE" w:rsidRDefault="00104CA8" w:rsidP="00941FBF">
      <w:pPr>
        <w:rPr>
          <w:sz w:val="22"/>
          <w:szCs w:val="22"/>
          <w:lang w:val="pl-PL"/>
        </w:rPr>
      </w:pPr>
      <w:r w:rsidRPr="00BD22FE">
        <w:rPr>
          <w:sz w:val="22"/>
          <w:szCs w:val="22"/>
          <w:lang w:val="pl-PL"/>
        </w:rPr>
        <w:t>Posocznica* (często nazywana zatruciem krwi, będąca ciężkim zakażeniem z</w:t>
      </w:r>
      <w:r w:rsidR="00717A7B" w:rsidRPr="00BD22FE">
        <w:rPr>
          <w:sz w:val="22"/>
          <w:szCs w:val="22"/>
          <w:lang w:val="pl-PL"/>
        </w:rPr>
        <w:t> </w:t>
      </w:r>
      <w:r w:rsidRPr="00BD22FE">
        <w:rPr>
          <w:sz w:val="22"/>
          <w:szCs w:val="22"/>
          <w:lang w:val="pl-PL"/>
        </w:rPr>
        <w:t>reakcją zapalną całego organizmu), nagły obrzęk skóry i</w:t>
      </w:r>
      <w:r w:rsidR="00717A7B" w:rsidRPr="00BD22FE">
        <w:rPr>
          <w:sz w:val="22"/>
          <w:szCs w:val="22"/>
          <w:lang w:val="pl-PL"/>
        </w:rPr>
        <w:t> </w:t>
      </w:r>
      <w:r w:rsidRPr="00BD22FE">
        <w:rPr>
          <w:sz w:val="22"/>
          <w:szCs w:val="22"/>
          <w:lang w:val="pl-PL"/>
        </w:rPr>
        <w:t>błon śluzowych (obrzęk naczynioruchowy, w tym zakończony zgonem); tworzenie się pęcherzy i</w:t>
      </w:r>
      <w:r w:rsidR="00717A7B" w:rsidRPr="00BD22FE">
        <w:rPr>
          <w:sz w:val="22"/>
          <w:szCs w:val="22"/>
          <w:lang w:val="pl-PL"/>
        </w:rPr>
        <w:t> </w:t>
      </w:r>
      <w:r w:rsidRPr="00BD22FE">
        <w:rPr>
          <w:sz w:val="22"/>
          <w:szCs w:val="22"/>
          <w:lang w:val="pl-PL"/>
        </w:rPr>
        <w:t xml:space="preserve">złuszczanie się zewnętrznej warstwy skóry (toksyczne martwicze oddzielanie się naskórka). </w:t>
      </w:r>
      <w:r w:rsidR="0074333B" w:rsidRPr="00BD22FE">
        <w:rPr>
          <w:sz w:val="22"/>
          <w:szCs w:val="22"/>
          <w:lang w:val="pl-PL"/>
        </w:rPr>
        <w:t xml:space="preserve">Te </w:t>
      </w:r>
      <w:r w:rsidRPr="00BD22FE">
        <w:rPr>
          <w:sz w:val="22"/>
          <w:szCs w:val="22"/>
          <w:lang w:val="pl-PL"/>
        </w:rPr>
        <w:t>działania niepożądane występują rzadko (mogą wystąpić do 1</w:t>
      </w:r>
      <w:r w:rsidR="00E548DA" w:rsidRPr="00BD22FE">
        <w:rPr>
          <w:sz w:val="22"/>
          <w:szCs w:val="22"/>
          <w:lang w:val="pl-PL"/>
        </w:rPr>
        <w:t> </w:t>
      </w:r>
      <w:r w:rsidRPr="00BD22FE">
        <w:rPr>
          <w:sz w:val="22"/>
          <w:szCs w:val="22"/>
          <w:lang w:val="pl-PL"/>
        </w:rPr>
        <w:t xml:space="preserve">na 1 000 pacjentów) albo </w:t>
      </w:r>
      <w:r w:rsidR="00CB58D2" w:rsidRPr="00BD22FE">
        <w:rPr>
          <w:sz w:val="22"/>
          <w:szCs w:val="22"/>
          <w:lang w:val="pl-PL"/>
        </w:rPr>
        <w:t>bardzo rzadko</w:t>
      </w:r>
      <w:r w:rsidRPr="00BD22FE">
        <w:rPr>
          <w:sz w:val="22"/>
          <w:szCs w:val="22"/>
          <w:lang w:val="pl-PL"/>
        </w:rPr>
        <w:t xml:space="preserve"> (toksyczne martwicze oddzielani</w:t>
      </w:r>
      <w:r w:rsidR="009C5FC6" w:rsidRPr="00BD22FE">
        <w:rPr>
          <w:sz w:val="22"/>
          <w:szCs w:val="22"/>
          <w:lang w:val="pl-PL"/>
        </w:rPr>
        <w:t>e</w:t>
      </w:r>
      <w:r w:rsidRPr="00BD22FE">
        <w:rPr>
          <w:sz w:val="22"/>
          <w:szCs w:val="22"/>
          <w:lang w:val="pl-PL"/>
        </w:rPr>
        <w:t xml:space="preserve"> się naskórka</w:t>
      </w:r>
      <w:r w:rsidR="009C5FC6" w:rsidRPr="00BD22FE">
        <w:rPr>
          <w:sz w:val="22"/>
          <w:szCs w:val="22"/>
          <w:lang w:val="pl-PL"/>
        </w:rPr>
        <w:t>;</w:t>
      </w:r>
      <w:r w:rsidR="003155CA" w:rsidRPr="00BD22FE">
        <w:rPr>
          <w:sz w:val="22"/>
          <w:szCs w:val="22"/>
          <w:lang w:val="pl-PL"/>
        </w:rPr>
        <w:t xml:space="preserve"> mogą wystąpić do 1 na 10 000 pacjentów</w:t>
      </w:r>
      <w:r w:rsidRPr="00BD22FE">
        <w:rPr>
          <w:sz w:val="22"/>
          <w:szCs w:val="22"/>
          <w:lang w:val="pl-PL"/>
        </w:rPr>
        <w:t>), ale są niezwykle ciężkie; w</w:t>
      </w:r>
      <w:r w:rsidR="00717A7B" w:rsidRPr="00BD22FE">
        <w:rPr>
          <w:sz w:val="22"/>
          <w:szCs w:val="22"/>
          <w:lang w:val="pl-PL"/>
        </w:rPr>
        <w:t> </w:t>
      </w:r>
      <w:r w:rsidRPr="00BD22FE">
        <w:rPr>
          <w:sz w:val="22"/>
          <w:szCs w:val="22"/>
          <w:lang w:val="pl-PL"/>
        </w:rPr>
        <w:t>takim przypadku należy przerwać przyjmowanie leku i</w:t>
      </w:r>
      <w:r w:rsidR="00717A7B" w:rsidRPr="00BD22FE">
        <w:rPr>
          <w:sz w:val="22"/>
          <w:szCs w:val="22"/>
          <w:lang w:val="pl-PL"/>
        </w:rPr>
        <w:t> </w:t>
      </w:r>
      <w:r w:rsidRPr="00BD22FE">
        <w:rPr>
          <w:sz w:val="22"/>
          <w:szCs w:val="22"/>
          <w:lang w:val="pl-PL"/>
        </w:rPr>
        <w:t>natychmiast skontaktować się z</w:t>
      </w:r>
      <w:r w:rsidR="00717A7B" w:rsidRPr="00BD22FE">
        <w:rPr>
          <w:sz w:val="22"/>
          <w:szCs w:val="22"/>
          <w:lang w:val="pl-PL"/>
        </w:rPr>
        <w:t> </w:t>
      </w:r>
      <w:r w:rsidRPr="00BD22FE">
        <w:rPr>
          <w:sz w:val="22"/>
          <w:szCs w:val="22"/>
          <w:lang w:val="pl-PL"/>
        </w:rPr>
        <w:t xml:space="preserve">lekarzem. Jeśli objawy </w:t>
      </w:r>
      <w:r w:rsidR="009C5FC6" w:rsidRPr="00BD22FE">
        <w:rPr>
          <w:sz w:val="22"/>
          <w:szCs w:val="22"/>
          <w:lang w:val="pl-PL"/>
        </w:rPr>
        <w:t xml:space="preserve">te </w:t>
      </w:r>
      <w:r w:rsidRPr="00BD22FE">
        <w:rPr>
          <w:sz w:val="22"/>
          <w:szCs w:val="22"/>
          <w:lang w:val="pl-PL"/>
        </w:rPr>
        <w:t>nie są leczone, mogą zakończyć się zgonem.</w:t>
      </w:r>
      <w:r w:rsidR="008D2BFE" w:rsidRPr="00BD22FE">
        <w:rPr>
          <w:sz w:val="22"/>
          <w:szCs w:val="22"/>
          <w:lang w:val="pl-PL"/>
        </w:rPr>
        <w:t xml:space="preserve"> </w:t>
      </w:r>
      <w:r w:rsidRPr="00BD22FE">
        <w:rPr>
          <w:sz w:val="22"/>
          <w:szCs w:val="22"/>
          <w:lang w:val="pl-PL"/>
        </w:rPr>
        <w:t>Zwiększoną częstość występowania posocznicy obserwowano u</w:t>
      </w:r>
      <w:r w:rsidR="00717A7B" w:rsidRPr="00BD22FE">
        <w:rPr>
          <w:sz w:val="22"/>
          <w:szCs w:val="22"/>
          <w:lang w:val="pl-PL"/>
        </w:rPr>
        <w:t> </w:t>
      </w:r>
      <w:r w:rsidRPr="00BD22FE">
        <w:rPr>
          <w:sz w:val="22"/>
          <w:szCs w:val="22"/>
          <w:lang w:val="pl-PL"/>
        </w:rPr>
        <w:t>osób przyjmujących telmisartan w</w:t>
      </w:r>
      <w:r w:rsidR="00717A7B" w:rsidRPr="00BD22FE">
        <w:rPr>
          <w:sz w:val="22"/>
          <w:szCs w:val="22"/>
          <w:lang w:val="pl-PL"/>
        </w:rPr>
        <w:t> </w:t>
      </w:r>
      <w:r w:rsidRPr="00BD22FE">
        <w:rPr>
          <w:sz w:val="22"/>
          <w:szCs w:val="22"/>
          <w:lang w:val="pl-PL"/>
        </w:rPr>
        <w:t>monoterapii, nie można jej jednak wykluczyć w</w:t>
      </w:r>
      <w:r w:rsidR="00717A7B" w:rsidRPr="00BD22FE">
        <w:rPr>
          <w:sz w:val="22"/>
          <w:szCs w:val="22"/>
          <w:lang w:val="pl-PL"/>
        </w:rPr>
        <w:t> </w:t>
      </w:r>
      <w:r w:rsidRPr="00BD22FE">
        <w:rPr>
          <w:sz w:val="22"/>
          <w:szCs w:val="22"/>
          <w:lang w:val="pl-PL"/>
        </w:rPr>
        <w:t>przypadku terapii lekiem MicardisPlus.</w:t>
      </w:r>
    </w:p>
    <w:p w14:paraId="686D606A" w14:textId="77777777" w:rsidR="000016E2" w:rsidRPr="00BD22FE" w:rsidRDefault="000016E2" w:rsidP="00941FBF">
      <w:pPr>
        <w:rPr>
          <w:sz w:val="22"/>
          <w:szCs w:val="22"/>
          <w:u w:val="single"/>
          <w:lang w:val="pl-PL"/>
        </w:rPr>
      </w:pPr>
    </w:p>
    <w:p w14:paraId="4718B7EC" w14:textId="77777777" w:rsidR="000016E2" w:rsidRPr="00BD22FE" w:rsidRDefault="00104CA8" w:rsidP="00941FBF">
      <w:pPr>
        <w:keepNext/>
        <w:rPr>
          <w:b/>
          <w:sz w:val="22"/>
          <w:szCs w:val="22"/>
          <w:lang w:val="pl-PL"/>
        </w:rPr>
      </w:pPr>
      <w:r w:rsidRPr="00BD22FE">
        <w:rPr>
          <w:b/>
          <w:sz w:val="22"/>
          <w:szCs w:val="22"/>
          <w:lang w:val="pl-PL"/>
        </w:rPr>
        <w:t>Możliwe działania niepożądane leku MicardisPlus:</w:t>
      </w:r>
    </w:p>
    <w:p w14:paraId="1A54A46A" w14:textId="77777777" w:rsidR="000016E2" w:rsidRPr="00BD22FE" w:rsidRDefault="000016E2" w:rsidP="00941FBF">
      <w:pPr>
        <w:pStyle w:val="BodyText"/>
        <w:keepNext/>
        <w:spacing w:line="240" w:lineRule="auto"/>
        <w:jc w:val="left"/>
        <w:rPr>
          <w:sz w:val="22"/>
          <w:szCs w:val="22"/>
          <w:lang w:val="pl-PL"/>
        </w:rPr>
      </w:pPr>
    </w:p>
    <w:p w14:paraId="3C343B84" w14:textId="77777777" w:rsidR="000016E2" w:rsidRPr="00BD22FE" w:rsidRDefault="00104CA8" w:rsidP="00941FBF">
      <w:pPr>
        <w:keepNext/>
        <w:rPr>
          <w:b/>
          <w:sz w:val="22"/>
          <w:szCs w:val="22"/>
          <w:lang w:val="pl-PL"/>
        </w:rPr>
      </w:pPr>
      <w:r w:rsidRPr="00BD22FE">
        <w:rPr>
          <w:b/>
          <w:sz w:val="22"/>
          <w:szCs w:val="22"/>
          <w:lang w:val="pl-PL"/>
        </w:rPr>
        <w:t>Częste działania niepożądane (mogą wystąpić do 1 na 10 pacjentów)</w:t>
      </w:r>
    </w:p>
    <w:p w14:paraId="3ADC1BF5" w14:textId="77777777" w:rsidR="000016E2" w:rsidRPr="00BD22FE" w:rsidRDefault="00104CA8" w:rsidP="00941FBF">
      <w:pPr>
        <w:pStyle w:val="BodyText"/>
        <w:spacing w:line="240" w:lineRule="auto"/>
        <w:jc w:val="left"/>
        <w:rPr>
          <w:sz w:val="22"/>
          <w:szCs w:val="22"/>
          <w:lang w:val="pl-PL"/>
        </w:rPr>
      </w:pPr>
      <w:r w:rsidRPr="00BD22FE">
        <w:rPr>
          <w:sz w:val="22"/>
          <w:szCs w:val="22"/>
          <w:lang w:val="pl-PL"/>
        </w:rPr>
        <w:t>Zawroty głowy.</w:t>
      </w:r>
    </w:p>
    <w:p w14:paraId="29295A26" w14:textId="77777777" w:rsidR="000016E2" w:rsidRPr="00BD22FE" w:rsidRDefault="000016E2" w:rsidP="00941FBF">
      <w:pPr>
        <w:pStyle w:val="BodyText"/>
        <w:spacing w:line="240" w:lineRule="auto"/>
        <w:jc w:val="left"/>
        <w:rPr>
          <w:sz w:val="22"/>
          <w:szCs w:val="22"/>
          <w:lang w:val="pl-PL"/>
        </w:rPr>
      </w:pPr>
    </w:p>
    <w:p w14:paraId="32743CF8" w14:textId="77777777" w:rsidR="000016E2" w:rsidRPr="00BD22FE" w:rsidRDefault="00104CA8" w:rsidP="00941FBF">
      <w:pPr>
        <w:keepNext/>
        <w:rPr>
          <w:b/>
          <w:bCs/>
          <w:sz w:val="22"/>
          <w:szCs w:val="22"/>
          <w:lang w:val="pl-PL"/>
        </w:rPr>
      </w:pPr>
      <w:r w:rsidRPr="00BD22FE">
        <w:rPr>
          <w:b/>
          <w:bCs/>
          <w:sz w:val="22"/>
          <w:szCs w:val="22"/>
          <w:lang w:val="pl-PL"/>
        </w:rPr>
        <w:t>Niezbyt częste działania niepożądane (mogą wystąpić do 1 na 100 pacjentów)</w:t>
      </w:r>
    </w:p>
    <w:p w14:paraId="3053D5C7" w14:textId="2E2C1E37" w:rsidR="000016E2" w:rsidRPr="00BD22FE" w:rsidRDefault="00104CA8" w:rsidP="00941FBF">
      <w:pPr>
        <w:pStyle w:val="BodyText"/>
        <w:spacing w:line="240" w:lineRule="auto"/>
        <w:jc w:val="left"/>
        <w:rPr>
          <w:sz w:val="22"/>
          <w:szCs w:val="22"/>
          <w:lang w:val="pl-PL"/>
        </w:rPr>
      </w:pPr>
      <w:r w:rsidRPr="00BD22FE">
        <w:rPr>
          <w:sz w:val="22"/>
          <w:szCs w:val="22"/>
          <w:lang w:val="pl-PL"/>
        </w:rPr>
        <w:t>Zmniejszenie stężenia potasu we krwi, lęk, omdlenia, uczucie mrowienia i</w:t>
      </w:r>
      <w:r w:rsidR="00717A7B" w:rsidRPr="00BD22FE">
        <w:rPr>
          <w:sz w:val="22"/>
          <w:szCs w:val="22"/>
          <w:lang w:val="pl-PL"/>
        </w:rPr>
        <w:t> </w:t>
      </w:r>
      <w:r w:rsidRPr="00BD22FE">
        <w:rPr>
          <w:sz w:val="22"/>
          <w:szCs w:val="22"/>
          <w:lang w:val="pl-PL"/>
        </w:rPr>
        <w:t>drętwienia (parestezje), uczucie wirowania, przyspieszone tętno (częstoskurcz), zaburzenia rytmu serca, niskie ciśnienie tętnicze krwi, nagłe obniżenie ciśnienia tętniczego krwi podczas wstawania, skrócenie oddechu (duszność), biegunka, suchość błon śluzowych w</w:t>
      </w:r>
      <w:r w:rsidR="00717A7B" w:rsidRPr="00BD22FE">
        <w:rPr>
          <w:sz w:val="22"/>
          <w:szCs w:val="22"/>
          <w:lang w:val="pl-PL"/>
        </w:rPr>
        <w:t> </w:t>
      </w:r>
      <w:r w:rsidRPr="00BD22FE">
        <w:rPr>
          <w:sz w:val="22"/>
          <w:szCs w:val="22"/>
          <w:lang w:val="pl-PL"/>
        </w:rPr>
        <w:t>jamie ustnej, wzdęcia, ból pleców, skurcze mięśni, ból mięśni, zaburzenia erekcji (niezdolność do uzyskania lub utrzymania erekcji), ból w</w:t>
      </w:r>
      <w:r w:rsidR="00717A7B" w:rsidRPr="00BD22FE">
        <w:rPr>
          <w:sz w:val="22"/>
          <w:szCs w:val="22"/>
          <w:lang w:val="pl-PL"/>
        </w:rPr>
        <w:t> </w:t>
      </w:r>
      <w:r w:rsidRPr="00BD22FE">
        <w:rPr>
          <w:sz w:val="22"/>
          <w:szCs w:val="22"/>
          <w:lang w:val="pl-PL"/>
        </w:rPr>
        <w:t>klatce piersiowej, zwiększone stężenie kwasu moczowego we krwi.</w:t>
      </w:r>
    </w:p>
    <w:p w14:paraId="1B3D0B69" w14:textId="77777777" w:rsidR="000016E2" w:rsidRPr="00BD22FE" w:rsidRDefault="000016E2" w:rsidP="00941FBF">
      <w:pPr>
        <w:pStyle w:val="BodyText"/>
        <w:spacing w:line="240" w:lineRule="auto"/>
        <w:jc w:val="left"/>
        <w:rPr>
          <w:sz w:val="22"/>
          <w:szCs w:val="22"/>
          <w:lang w:val="pl-PL"/>
        </w:rPr>
      </w:pPr>
    </w:p>
    <w:p w14:paraId="0FEB8600" w14:textId="284F616B" w:rsidR="000016E2" w:rsidRPr="00BD22FE" w:rsidRDefault="00104CA8" w:rsidP="00941FBF">
      <w:pPr>
        <w:keepNext/>
        <w:rPr>
          <w:b/>
          <w:bCs/>
          <w:sz w:val="22"/>
          <w:szCs w:val="22"/>
          <w:lang w:val="pl-PL"/>
        </w:rPr>
      </w:pPr>
      <w:r w:rsidRPr="00BD22FE">
        <w:rPr>
          <w:b/>
          <w:bCs/>
          <w:sz w:val="22"/>
          <w:szCs w:val="22"/>
          <w:lang w:val="pl-PL"/>
        </w:rPr>
        <w:t>Rzadkie działania niepożądane (mogą wystąpić do 1 na 1 000</w:t>
      </w:r>
      <w:r w:rsidR="004024FF" w:rsidRPr="00BD22FE">
        <w:rPr>
          <w:b/>
          <w:bCs/>
          <w:sz w:val="22"/>
          <w:szCs w:val="22"/>
          <w:lang w:val="pl-PL"/>
        </w:rPr>
        <w:t> </w:t>
      </w:r>
      <w:r w:rsidRPr="00BD22FE">
        <w:rPr>
          <w:b/>
          <w:bCs/>
          <w:sz w:val="22"/>
          <w:szCs w:val="22"/>
          <w:lang w:val="pl-PL"/>
        </w:rPr>
        <w:t>pacjentów)</w:t>
      </w:r>
    </w:p>
    <w:p w14:paraId="59807315" w14:textId="1D09C4C0" w:rsidR="000016E2" w:rsidRPr="00BD22FE" w:rsidRDefault="00104CA8" w:rsidP="00941FBF">
      <w:pPr>
        <w:pStyle w:val="BodyText"/>
        <w:spacing w:line="240" w:lineRule="auto"/>
        <w:jc w:val="left"/>
        <w:rPr>
          <w:sz w:val="22"/>
          <w:szCs w:val="22"/>
          <w:lang w:val="pl-PL"/>
        </w:rPr>
      </w:pPr>
      <w:r w:rsidRPr="00BD22FE">
        <w:rPr>
          <w:sz w:val="22"/>
          <w:szCs w:val="22"/>
          <w:lang w:val="pl-PL"/>
        </w:rPr>
        <w:t xml:space="preserve">Zapalenie </w:t>
      </w:r>
      <w:r w:rsidR="00CF4216" w:rsidRPr="00BD22FE">
        <w:rPr>
          <w:sz w:val="22"/>
          <w:szCs w:val="22"/>
          <w:lang w:val="pl-PL"/>
        </w:rPr>
        <w:t xml:space="preserve">dróg oddechowych prowadzących do </w:t>
      </w:r>
      <w:r w:rsidRPr="00BD22FE">
        <w:rPr>
          <w:sz w:val="22"/>
          <w:szCs w:val="22"/>
          <w:lang w:val="pl-PL"/>
        </w:rPr>
        <w:t>płuc (zapalenie oskrzeli), ból gardła, zapalenie zatok, zwiększenie stężenia kwasu moczowego, małe stężenie sodu, uczucie smutku (depresja), trudności w</w:t>
      </w:r>
      <w:r w:rsidR="00717A7B" w:rsidRPr="00BD22FE">
        <w:rPr>
          <w:sz w:val="22"/>
          <w:szCs w:val="22"/>
          <w:lang w:val="pl-PL"/>
        </w:rPr>
        <w:t> </w:t>
      </w:r>
      <w:r w:rsidRPr="00BD22FE">
        <w:rPr>
          <w:sz w:val="22"/>
          <w:szCs w:val="22"/>
          <w:lang w:val="pl-PL"/>
        </w:rPr>
        <w:t>zasypianiu (bezsenność), zaburzenia snu, zaburzenia widzenia, niewyraźne widzenie, trudności w</w:t>
      </w:r>
      <w:r w:rsidR="00717A7B" w:rsidRPr="00BD22FE">
        <w:rPr>
          <w:sz w:val="22"/>
          <w:szCs w:val="22"/>
          <w:lang w:val="pl-PL"/>
        </w:rPr>
        <w:t> </w:t>
      </w:r>
      <w:r w:rsidRPr="00BD22FE">
        <w:rPr>
          <w:sz w:val="22"/>
          <w:szCs w:val="22"/>
          <w:lang w:val="pl-PL"/>
        </w:rPr>
        <w:t>oddychaniu, ból brzucha, zaparcia, wzdęcia (niestrawność), nudności (wymioty), zapalenie błony śluzowej żołądka, nieprawidłowa czynność wątroby (występuje częściej u</w:t>
      </w:r>
      <w:r w:rsidR="00717A7B" w:rsidRPr="00BD22FE">
        <w:rPr>
          <w:sz w:val="22"/>
          <w:szCs w:val="22"/>
          <w:lang w:val="pl-PL"/>
        </w:rPr>
        <w:t> </w:t>
      </w:r>
      <w:r w:rsidRPr="00BD22FE">
        <w:rPr>
          <w:sz w:val="22"/>
          <w:szCs w:val="22"/>
          <w:lang w:val="pl-PL"/>
        </w:rPr>
        <w:t>pacjentów pochodzenia japońskiego), zaczerwienienie skóry (rumień), reakcje alergiczne, takie jak świąd lub wysypka, zwiększona potliwość, pokrzywka, ból stawów i</w:t>
      </w:r>
      <w:r w:rsidR="00717A7B" w:rsidRPr="00BD22FE">
        <w:rPr>
          <w:sz w:val="22"/>
          <w:szCs w:val="22"/>
          <w:lang w:val="pl-PL"/>
        </w:rPr>
        <w:t> </w:t>
      </w:r>
      <w:r w:rsidRPr="00BD22FE">
        <w:rPr>
          <w:sz w:val="22"/>
          <w:szCs w:val="22"/>
          <w:lang w:val="pl-PL"/>
        </w:rPr>
        <w:t>ból kończyn</w:t>
      </w:r>
      <w:r w:rsidR="00667CC9" w:rsidRPr="00BD22FE">
        <w:rPr>
          <w:sz w:val="22"/>
          <w:szCs w:val="22"/>
          <w:lang w:val="pl-PL"/>
        </w:rPr>
        <w:t xml:space="preserve"> (ból nóg)</w:t>
      </w:r>
      <w:r w:rsidRPr="00BD22FE">
        <w:rPr>
          <w:sz w:val="22"/>
          <w:szCs w:val="22"/>
          <w:lang w:val="pl-PL"/>
        </w:rPr>
        <w:t>, skurcze mięśni, aktywacja lub zaostrzenie tocznia rumieniowatego układowego (choroba, w</w:t>
      </w:r>
      <w:r w:rsidR="00717A7B" w:rsidRPr="00BD22FE">
        <w:rPr>
          <w:sz w:val="22"/>
          <w:szCs w:val="22"/>
          <w:lang w:val="pl-PL"/>
        </w:rPr>
        <w:t> </w:t>
      </w:r>
      <w:r w:rsidRPr="00BD22FE">
        <w:rPr>
          <w:sz w:val="22"/>
          <w:szCs w:val="22"/>
          <w:lang w:val="pl-PL"/>
        </w:rPr>
        <w:t xml:space="preserve">której organizm jest atakowany przez własny </w:t>
      </w:r>
      <w:r w:rsidR="006404CE" w:rsidRPr="00BD22FE">
        <w:rPr>
          <w:sz w:val="22"/>
          <w:szCs w:val="22"/>
          <w:lang w:val="pl-PL"/>
        </w:rPr>
        <w:t xml:space="preserve">układ </w:t>
      </w:r>
      <w:r w:rsidRPr="00BD22FE">
        <w:rPr>
          <w:sz w:val="22"/>
          <w:szCs w:val="22"/>
          <w:lang w:val="pl-PL"/>
        </w:rPr>
        <w:t>odpornościowy, co powoduje ból stawów, wysypki skórne i</w:t>
      </w:r>
      <w:r w:rsidR="00717A7B" w:rsidRPr="00BD22FE">
        <w:rPr>
          <w:sz w:val="22"/>
          <w:szCs w:val="22"/>
          <w:lang w:val="pl-PL"/>
        </w:rPr>
        <w:t> </w:t>
      </w:r>
      <w:r w:rsidRPr="00BD22FE">
        <w:rPr>
          <w:sz w:val="22"/>
          <w:szCs w:val="22"/>
          <w:lang w:val="pl-PL"/>
        </w:rPr>
        <w:t>gorączkę), objawy grypopodobne, ból, zwiększone stężenie kreatyniny, zwiększona aktywność enzymów wątrobowych lub fosfokinazy kreatynowej we krwi.</w:t>
      </w:r>
    </w:p>
    <w:p w14:paraId="2FCBD89A" w14:textId="77777777" w:rsidR="000016E2" w:rsidRPr="00BD22FE" w:rsidRDefault="000016E2" w:rsidP="00941FBF">
      <w:pPr>
        <w:pStyle w:val="BodyText"/>
        <w:spacing w:line="240" w:lineRule="auto"/>
        <w:jc w:val="left"/>
        <w:rPr>
          <w:sz w:val="22"/>
          <w:szCs w:val="22"/>
          <w:lang w:val="pl-PL"/>
        </w:rPr>
      </w:pPr>
    </w:p>
    <w:p w14:paraId="3A415BF8" w14:textId="7CDB96D4" w:rsidR="000016E2" w:rsidRPr="00BD22FE" w:rsidRDefault="00104CA8" w:rsidP="00941FBF">
      <w:pPr>
        <w:rPr>
          <w:lang w:val="pl-PL"/>
        </w:rPr>
      </w:pPr>
      <w:r w:rsidRPr="00BD22FE">
        <w:rPr>
          <w:sz w:val="22"/>
          <w:szCs w:val="22"/>
          <w:lang w:val="pl-PL"/>
        </w:rPr>
        <w:t xml:space="preserve">Działania niepożądane zgłaszane dla jednego ze składników mogą wystąpić również podczas terapii lekiem MicardisPlus, nawet jeśli nie stwierdzono ich podczas badań klinicznych </w:t>
      </w:r>
      <w:r w:rsidR="00253134" w:rsidRPr="00BD22FE">
        <w:rPr>
          <w:sz w:val="22"/>
          <w:szCs w:val="22"/>
          <w:lang w:val="pl-PL"/>
        </w:rPr>
        <w:t xml:space="preserve">tego </w:t>
      </w:r>
      <w:r w:rsidRPr="00BD22FE">
        <w:rPr>
          <w:sz w:val="22"/>
          <w:szCs w:val="22"/>
          <w:lang w:val="pl-PL"/>
        </w:rPr>
        <w:t>produktu.</w:t>
      </w:r>
    </w:p>
    <w:p w14:paraId="787212A1" w14:textId="77777777" w:rsidR="000016E2" w:rsidRPr="00BD22FE" w:rsidRDefault="000016E2" w:rsidP="00941FBF">
      <w:pPr>
        <w:pStyle w:val="BodyText"/>
        <w:spacing w:line="240" w:lineRule="auto"/>
        <w:jc w:val="left"/>
        <w:rPr>
          <w:sz w:val="22"/>
          <w:szCs w:val="22"/>
          <w:lang w:val="pl-PL"/>
        </w:rPr>
      </w:pPr>
    </w:p>
    <w:p w14:paraId="4B41AD03" w14:textId="77777777" w:rsidR="000016E2" w:rsidRPr="00BD22FE" w:rsidRDefault="00104CA8" w:rsidP="00941FBF">
      <w:pPr>
        <w:pStyle w:val="BodyText"/>
        <w:keepNext/>
        <w:spacing w:line="240" w:lineRule="auto"/>
        <w:jc w:val="left"/>
        <w:rPr>
          <w:b/>
          <w:sz w:val="22"/>
          <w:szCs w:val="22"/>
          <w:lang w:val="pl-PL"/>
        </w:rPr>
      </w:pPr>
      <w:r w:rsidRPr="00BD22FE">
        <w:rPr>
          <w:b/>
          <w:sz w:val="22"/>
          <w:szCs w:val="22"/>
          <w:lang w:val="pl-PL"/>
        </w:rPr>
        <w:t>Telmisartan</w:t>
      </w:r>
    </w:p>
    <w:p w14:paraId="3197361D" w14:textId="1ACDB133" w:rsidR="000016E2" w:rsidRPr="00BD22FE" w:rsidRDefault="00104CA8" w:rsidP="00941FBF">
      <w:pPr>
        <w:pStyle w:val="BodyText"/>
        <w:keepNext/>
        <w:spacing w:line="240" w:lineRule="auto"/>
        <w:jc w:val="left"/>
        <w:rPr>
          <w:sz w:val="22"/>
          <w:szCs w:val="22"/>
          <w:lang w:val="pl-PL"/>
        </w:rPr>
      </w:pPr>
      <w:r w:rsidRPr="00BD22FE">
        <w:rPr>
          <w:sz w:val="22"/>
          <w:szCs w:val="22"/>
          <w:lang w:val="pl-PL"/>
        </w:rPr>
        <w:t>U</w:t>
      </w:r>
      <w:r w:rsidR="00717A7B" w:rsidRPr="00BD22FE">
        <w:rPr>
          <w:sz w:val="22"/>
          <w:szCs w:val="22"/>
          <w:lang w:val="pl-PL"/>
        </w:rPr>
        <w:t> </w:t>
      </w:r>
      <w:r w:rsidRPr="00BD22FE">
        <w:rPr>
          <w:sz w:val="22"/>
          <w:szCs w:val="22"/>
          <w:lang w:val="pl-PL"/>
        </w:rPr>
        <w:t>pacjentów przyjmujących wyłącznie telmisartan obserwowano dodatkowo następujące działania niepożądane:</w:t>
      </w:r>
    </w:p>
    <w:p w14:paraId="1103D134" w14:textId="77777777" w:rsidR="000016E2" w:rsidRPr="00BD22FE" w:rsidRDefault="000016E2" w:rsidP="00941FBF">
      <w:pPr>
        <w:pStyle w:val="BodyText"/>
        <w:keepNext/>
        <w:spacing w:line="240" w:lineRule="auto"/>
        <w:jc w:val="left"/>
        <w:rPr>
          <w:sz w:val="22"/>
          <w:szCs w:val="22"/>
          <w:lang w:val="pl-PL"/>
        </w:rPr>
      </w:pPr>
    </w:p>
    <w:p w14:paraId="5A7D631F" w14:textId="77777777" w:rsidR="000016E2" w:rsidRPr="00BD22FE" w:rsidRDefault="00104CA8" w:rsidP="00941FBF">
      <w:pPr>
        <w:keepNext/>
        <w:rPr>
          <w:b/>
          <w:bCs/>
          <w:sz w:val="22"/>
          <w:szCs w:val="22"/>
          <w:lang w:val="pl-PL"/>
        </w:rPr>
      </w:pPr>
      <w:r w:rsidRPr="00BD22FE">
        <w:rPr>
          <w:b/>
          <w:bCs/>
          <w:sz w:val="22"/>
          <w:szCs w:val="22"/>
          <w:lang w:val="pl-PL"/>
        </w:rPr>
        <w:t>Niezbyt częste działania niepożądane (mogą wystąpić do 1 na 100 pacjentów)</w:t>
      </w:r>
    </w:p>
    <w:p w14:paraId="1750950D" w14:textId="27A83C90" w:rsidR="000016E2" w:rsidRPr="00BD22FE" w:rsidRDefault="00104CA8" w:rsidP="00A610E1">
      <w:pPr>
        <w:rPr>
          <w:sz w:val="22"/>
          <w:szCs w:val="22"/>
          <w:lang w:val="pl-PL"/>
        </w:rPr>
      </w:pPr>
      <w:r w:rsidRPr="00BD22FE">
        <w:rPr>
          <w:sz w:val="22"/>
          <w:szCs w:val="22"/>
          <w:lang w:val="pl-PL"/>
        </w:rPr>
        <w:t>Zakażenie górnych dróg oddechowych (np. ból gardła, zapalenie zatok, przeziębienie), zakażenia układu moczowego, zapalenie pęcherza moczowego, za mała liczba krwinek czerwonych (niedokrwistość), duże stężenie potasu, wolna czynność serca (bradykardia), kaszel, zaburzenie czynności nerek, w</w:t>
      </w:r>
      <w:r w:rsidR="00717A7B" w:rsidRPr="00BD22FE">
        <w:rPr>
          <w:sz w:val="22"/>
          <w:szCs w:val="22"/>
          <w:lang w:val="pl-PL"/>
        </w:rPr>
        <w:t> </w:t>
      </w:r>
      <w:r w:rsidRPr="00BD22FE">
        <w:rPr>
          <w:sz w:val="22"/>
          <w:szCs w:val="22"/>
          <w:lang w:val="pl-PL"/>
        </w:rPr>
        <w:t>tym ostra niewydolność nerek, osłabienie.</w:t>
      </w:r>
    </w:p>
    <w:p w14:paraId="0972BFB6" w14:textId="77777777" w:rsidR="000016E2" w:rsidRPr="00BD22FE" w:rsidRDefault="000016E2" w:rsidP="00A610E1">
      <w:pPr>
        <w:rPr>
          <w:sz w:val="22"/>
          <w:szCs w:val="22"/>
          <w:u w:val="single"/>
          <w:lang w:val="pl-PL"/>
        </w:rPr>
      </w:pPr>
    </w:p>
    <w:p w14:paraId="12314E23" w14:textId="77777777" w:rsidR="000016E2" w:rsidRPr="00BD22FE" w:rsidRDefault="00104CA8" w:rsidP="00A610E1">
      <w:pPr>
        <w:keepNext/>
        <w:rPr>
          <w:b/>
          <w:bCs/>
          <w:sz w:val="22"/>
          <w:szCs w:val="22"/>
          <w:lang w:val="pl-PL"/>
        </w:rPr>
      </w:pPr>
      <w:r w:rsidRPr="00BD22FE">
        <w:rPr>
          <w:b/>
          <w:bCs/>
          <w:sz w:val="22"/>
          <w:szCs w:val="22"/>
          <w:lang w:val="pl-PL"/>
        </w:rPr>
        <w:t>Rzadkie działania niepożądane (mogą wystąpić do 1 na 1 000 pacjentów)</w:t>
      </w:r>
    </w:p>
    <w:p w14:paraId="088F3DDB" w14:textId="4AE868B6" w:rsidR="000016E2" w:rsidRPr="00BD22FE" w:rsidRDefault="00104CA8" w:rsidP="00A610E1">
      <w:pPr>
        <w:rPr>
          <w:sz w:val="22"/>
          <w:szCs w:val="22"/>
          <w:lang w:val="pl-PL"/>
        </w:rPr>
      </w:pPr>
      <w:r w:rsidRPr="00BD22FE">
        <w:rPr>
          <w:sz w:val="22"/>
          <w:szCs w:val="22"/>
          <w:lang w:val="pl-PL"/>
        </w:rPr>
        <w:t>Mała liczba płytek krwi (małopłytkowość), zwiększenie liczby niektórych krwinek białych (eozynofilia), ciężka reakcja alergiczna (np. nadwrażliwość, reakcja anafilaktyczna), małe stężenie glukozy we krwi (u pacjentów z</w:t>
      </w:r>
      <w:r w:rsidR="00717A7B" w:rsidRPr="00BD22FE">
        <w:rPr>
          <w:sz w:val="22"/>
          <w:szCs w:val="22"/>
          <w:lang w:val="pl-PL"/>
        </w:rPr>
        <w:t> </w:t>
      </w:r>
      <w:r w:rsidRPr="00BD22FE">
        <w:rPr>
          <w:sz w:val="22"/>
          <w:szCs w:val="22"/>
          <w:lang w:val="pl-PL"/>
        </w:rPr>
        <w:t>cukrzycą), senność, nieżyt żołądka, wyprysk (zaburzenie skóry), wysypka polekowa, toksyczna wysypka skórna, ból ścięgien (</w:t>
      </w:r>
      <w:r w:rsidRPr="00BD22FE">
        <w:rPr>
          <w:color w:val="000000"/>
          <w:sz w:val="22"/>
          <w:szCs w:val="22"/>
          <w:lang w:val="pl-PL" w:eastAsia="en-GB"/>
        </w:rPr>
        <w:t>objawy imitujące zapalenie ścięgien)</w:t>
      </w:r>
      <w:r w:rsidR="00377A9E" w:rsidRPr="00BD22FE">
        <w:rPr>
          <w:color w:val="000000"/>
          <w:sz w:val="22"/>
          <w:szCs w:val="22"/>
          <w:lang w:val="pl-PL" w:eastAsia="en-GB"/>
        </w:rPr>
        <w:t>,</w:t>
      </w:r>
      <w:r w:rsidRPr="00BD22FE">
        <w:rPr>
          <w:sz w:val="22"/>
          <w:szCs w:val="22"/>
          <w:lang w:val="pl-PL"/>
        </w:rPr>
        <w:t xml:space="preserve"> zmniejszone stężenie hemoglobiny (białka krwi).</w:t>
      </w:r>
    </w:p>
    <w:p w14:paraId="7A44A351" w14:textId="77777777" w:rsidR="000016E2" w:rsidRPr="00BD22FE" w:rsidRDefault="000016E2" w:rsidP="00A610E1">
      <w:pPr>
        <w:rPr>
          <w:sz w:val="22"/>
          <w:szCs w:val="22"/>
          <w:u w:val="single"/>
          <w:lang w:val="pl-PL"/>
        </w:rPr>
      </w:pPr>
    </w:p>
    <w:p w14:paraId="363A5370" w14:textId="77777777" w:rsidR="000016E2" w:rsidRPr="00BD22FE" w:rsidRDefault="00104CA8" w:rsidP="00A610E1">
      <w:pPr>
        <w:keepNext/>
        <w:rPr>
          <w:b/>
          <w:bCs/>
          <w:sz w:val="22"/>
          <w:szCs w:val="22"/>
          <w:lang w:val="pl-PL"/>
        </w:rPr>
      </w:pPr>
      <w:r w:rsidRPr="00BD22FE">
        <w:rPr>
          <w:b/>
          <w:bCs/>
          <w:sz w:val="22"/>
          <w:szCs w:val="22"/>
          <w:lang w:val="pl-PL"/>
        </w:rPr>
        <w:t xml:space="preserve">Bardzo rzadkie działania niepożądane </w:t>
      </w:r>
      <w:r w:rsidRPr="00BD22FE">
        <w:rPr>
          <w:rFonts w:eastAsia="SimSun"/>
          <w:b/>
          <w:bCs/>
          <w:sz w:val="22"/>
          <w:szCs w:val="22"/>
          <w:lang w:val="pl-PL" w:eastAsia="zh-CN"/>
        </w:rPr>
        <w:t>(mogą wystąpić do 1 na 10 000 pacjentów)</w:t>
      </w:r>
    </w:p>
    <w:p w14:paraId="769FB0A6" w14:textId="77777777" w:rsidR="000016E2" w:rsidRPr="00BD22FE" w:rsidRDefault="00104CA8" w:rsidP="00A610E1">
      <w:pPr>
        <w:rPr>
          <w:sz w:val="22"/>
          <w:szCs w:val="22"/>
          <w:lang w:val="pl-PL"/>
        </w:rPr>
      </w:pPr>
      <w:r w:rsidRPr="00BD22FE">
        <w:rPr>
          <w:sz w:val="22"/>
          <w:szCs w:val="22"/>
          <w:lang w:val="pl-PL"/>
        </w:rPr>
        <w:t>Postępujące bliznowacenie pęcherzyków płucnych (śródmiąższowa choroba płuc)**</w:t>
      </w:r>
    </w:p>
    <w:p w14:paraId="742C2F87" w14:textId="77777777" w:rsidR="00885305" w:rsidRPr="00BD22FE" w:rsidRDefault="00885305" w:rsidP="00885305">
      <w:pPr>
        <w:rPr>
          <w:sz w:val="22"/>
          <w:szCs w:val="22"/>
          <w:lang w:val="pl-PL"/>
        </w:rPr>
      </w:pPr>
    </w:p>
    <w:p w14:paraId="1C03D1DE" w14:textId="77777777" w:rsidR="00885305" w:rsidRPr="00BD22FE" w:rsidRDefault="00885305" w:rsidP="00885305">
      <w:pPr>
        <w:keepNext/>
        <w:rPr>
          <w:b/>
          <w:bCs/>
          <w:sz w:val="22"/>
          <w:szCs w:val="22"/>
          <w:lang w:val="pl-PL"/>
        </w:rPr>
      </w:pPr>
      <w:r w:rsidRPr="00BD22FE">
        <w:rPr>
          <w:b/>
          <w:bCs/>
          <w:sz w:val="22"/>
          <w:szCs w:val="22"/>
          <w:lang w:val="pl-PL"/>
        </w:rPr>
        <w:t>Częstość nieznana (częstość nie może być określona na podstawie dostępnych danych)</w:t>
      </w:r>
    </w:p>
    <w:p w14:paraId="4C9369F2" w14:textId="4E6FC93F" w:rsidR="00885305" w:rsidRPr="00BD22FE" w:rsidRDefault="00885305" w:rsidP="00885305">
      <w:pPr>
        <w:rPr>
          <w:sz w:val="22"/>
          <w:szCs w:val="22"/>
          <w:lang w:val="pl-PL"/>
        </w:rPr>
      </w:pPr>
      <w:r w:rsidRPr="00BD22FE">
        <w:rPr>
          <w:sz w:val="22"/>
          <w:szCs w:val="22"/>
          <w:lang w:val="pl-PL"/>
        </w:rPr>
        <w:t>Obrzęk naczynioruchowy jelit - po zastosowaniu podobnych produktów występował obrzęk w jelicie z takimi objawami jak ból brzucha, nudności, wymioty i biegunka.</w:t>
      </w:r>
    </w:p>
    <w:p w14:paraId="6B9489A8" w14:textId="77777777" w:rsidR="00E22215" w:rsidRPr="00BD22FE" w:rsidRDefault="00E22215" w:rsidP="00A610E1">
      <w:pPr>
        <w:rPr>
          <w:sz w:val="22"/>
          <w:szCs w:val="22"/>
          <w:lang w:val="pl-PL"/>
        </w:rPr>
      </w:pPr>
    </w:p>
    <w:p w14:paraId="6748BCA6" w14:textId="41A1890A" w:rsidR="000016E2" w:rsidRPr="00BD22FE" w:rsidRDefault="00104CA8" w:rsidP="00A610E1">
      <w:pPr>
        <w:rPr>
          <w:sz w:val="22"/>
          <w:szCs w:val="22"/>
          <w:lang w:val="pl-PL"/>
        </w:rPr>
      </w:pPr>
      <w:r w:rsidRPr="00BD22FE">
        <w:rPr>
          <w:sz w:val="22"/>
          <w:szCs w:val="22"/>
          <w:lang w:val="pl-PL"/>
        </w:rPr>
        <w:t>*Zjawisko to może być przypadkowe lub związane z</w:t>
      </w:r>
      <w:r w:rsidR="00717A7B" w:rsidRPr="00BD22FE">
        <w:rPr>
          <w:sz w:val="22"/>
          <w:szCs w:val="22"/>
          <w:lang w:val="pl-PL"/>
        </w:rPr>
        <w:t> </w:t>
      </w:r>
      <w:r w:rsidRPr="00BD22FE">
        <w:rPr>
          <w:sz w:val="22"/>
          <w:szCs w:val="22"/>
          <w:lang w:val="pl-PL"/>
        </w:rPr>
        <w:t>mechanizmem, który nie został jeszcze poznany.</w:t>
      </w:r>
    </w:p>
    <w:p w14:paraId="6C7A1F51" w14:textId="77777777" w:rsidR="000016E2" w:rsidRPr="00BD22FE" w:rsidRDefault="000016E2" w:rsidP="00A610E1">
      <w:pPr>
        <w:rPr>
          <w:sz w:val="22"/>
          <w:szCs w:val="22"/>
          <w:lang w:val="pl-PL"/>
        </w:rPr>
      </w:pPr>
    </w:p>
    <w:p w14:paraId="24105FA9" w14:textId="167B0D2A" w:rsidR="000016E2" w:rsidRPr="00BD22FE" w:rsidRDefault="00104CA8" w:rsidP="00941FBF">
      <w:pPr>
        <w:rPr>
          <w:sz w:val="22"/>
          <w:szCs w:val="22"/>
          <w:lang w:val="pl-PL"/>
        </w:rPr>
      </w:pPr>
      <w:r w:rsidRPr="00BD22FE">
        <w:rPr>
          <w:sz w:val="22"/>
          <w:szCs w:val="22"/>
          <w:lang w:val="pl-PL"/>
        </w:rPr>
        <w:lastRenderedPageBreak/>
        <w:t>**Zgłaszano przypadki śródmiąższowej choroby płuc pozostające w</w:t>
      </w:r>
      <w:r w:rsidR="00717A7B" w:rsidRPr="00BD22FE">
        <w:rPr>
          <w:sz w:val="22"/>
          <w:szCs w:val="22"/>
          <w:lang w:val="pl-PL"/>
        </w:rPr>
        <w:t> </w:t>
      </w:r>
      <w:r w:rsidRPr="00BD22FE">
        <w:rPr>
          <w:sz w:val="22"/>
          <w:szCs w:val="22"/>
          <w:lang w:val="pl-PL"/>
        </w:rPr>
        <w:t>związku czasowym z</w:t>
      </w:r>
      <w:r w:rsidR="00717A7B" w:rsidRPr="00BD22FE">
        <w:rPr>
          <w:sz w:val="22"/>
          <w:szCs w:val="22"/>
          <w:lang w:val="pl-PL"/>
        </w:rPr>
        <w:t> </w:t>
      </w:r>
      <w:r w:rsidRPr="00BD22FE">
        <w:rPr>
          <w:sz w:val="22"/>
          <w:szCs w:val="22"/>
          <w:lang w:val="pl-PL"/>
        </w:rPr>
        <w:t>przyjmowaniem telmisartanu. Nie ustalono jednak związku przyczynowego</w:t>
      </w:r>
      <w:r w:rsidR="00FE197E" w:rsidRPr="00BD22FE">
        <w:rPr>
          <w:sz w:val="22"/>
          <w:szCs w:val="22"/>
          <w:lang w:val="pl-PL"/>
        </w:rPr>
        <w:t xml:space="preserve"> ze stosowaniem telmisartanu</w:t>
      </w:r>
      <w:r w:rsidRPr="00BD22FE">
        <w:rPr>
          <w:sz w:val="22"/>
          <w:szCs w:val="22"/>
          <w:lang w:val="pl-PL"/>
        </w:rPr>
        <w:t>.</w:t>
      </w:r>
    </w:p>
    <w:p w14:paraId="2332AC57" w14:textId="77777777" w:rsidR="000016E2" w:rsidRPr="00BD22FE" w:rsidRDefault="000016E2" w:rsidP="00941FBF">
      <w:pPr>
        <w:rPr>
          <w:sz w:val="22"/>
          <w:szCs w:val="22"/>
          <w:highlight w:val="yellow"/>
          <w:lang w:val="pl-PL"/>
        </w:rPr>
      </w:pPr>
    </w:p>
    <w:p w14:paraId="6A0A4631" w14:textId="77777777" w:rsidR="000016E2" w:rsidRPr="00BD22FE" w:rsidRDefault="00104CA8" w:rsidP="00941FBF">
      <w:pPr>
        <w:pStyle w:val="BodyText"/>
        <w:keepNext/>
        <w:spacing w:line="240" w:lineRule="auto"/>
        <w:jc w:val="left"/>
        <w:rPr>
          <w:b/>
          <w:sz w:val="22"/>
          <w:szCs w:val="22"/>
          <w:u w:val="single"/>
          <w:lang w:val="pl-PL"/>
        </w:rPr>
      </w:pPr>
      <w:r w:rsidRPr="00BD22FE">
        <w:rPr>
          <w:b/>
          <w:sz w:val="22"/>
          <w:szCs w:val="22"/>
          <w:u w:val="single"/>
          <w:lang w:val="pl-PL"/>
        </w:rPr>
        <w:t>Hydrochlorotiazyd</w:t>
      </w:r>
    </w:p>
    <w:p w14:paraId="2733B5AC" w14:textId="4CAA434A" w:rsidR="000016E2" w:rsidRPr="00BD22FE" w:rsidRDefault="00104CA8" w:rsidP="00941FBF">
      <w:pPr>
        <w:pStyle w:val="BodyText"/>
        <w:keepNext/>
        <w:spacing w:line="240" w:lineRule="auto"/>
        <w:jc w:val="left"/>
        <w:rPr>
          <w:sz w:val="22"/>
          <w:szCs w:val="22"/>
          <w:lang w:val="pl-PL"/>
        </w:rPr>
      </w:pPr>
      <w:r w:rsidRPr="00BD22FE">
        <w:rPr>
          <w:sz w:val="22"/>
          <w:szCs w:val="22"/>
          <w:lang w:val="pl-PL"/>
        </w:rPr>
        <w:t>U</w:t>
      </w:r>
      <w:r w:rsidR="00717A7B" w:rsidRPr="00BD22FE">
        <w:rPr>
          <w:sz w:val="22"/>
          <w:szCs w:val="22"/>
          <w:lang w:val="pl-PL"/>
        </w:rPr>
        <w:t> </w:t>
      </w:r>
      <w:r w:rsidRPr="00BD22FE">
        <w:rPr>
          <w:sz w:val="22"/>
          <w:szCs w:val="22"/>
          <w:lang w:val="pl-PL"/>
        </w:rPr>
        <w:t>pacjentów przyjmujących wyłącznie hydrochlorotiazyd obserwowano dodatkowe następujące działania niepożądane:</w:t>
      </w:r>
    </w:p>
    <w:p w14:paraId="05CD423B" w14:textId="77777777" w:rsidR="000016E2" w:rsidRPr="00BD22FE" w:rsidRDefault="000016E2" w:rsidP="00941FBF">
      <w:pPr>
        <w:pStyle w:val="BodyText"/>
        <w:keepNext/>
        <w:spacing w:line="240" w:lineRule="auto"/>
        <w:jc w:val="left"/>
        <w:rPr>
          <w:sz w:val="22"/>
          <w:szCs w:val="22"/>
          <w:lang w:val="pl-PL"/>
        </w:rPr>
      </w:pPr>
    </w:p>
    <w:p w14:paraId="2E72947F" w14:textId="77777777" w:rsidR="000016E2" w:rsidRPr="00BD22FE" w:rsidRDefault="00104CA8" w:rsidP="007F07E6">
      <w:pPr>
        <w:keepNext/>
        <w:rPr>
          <w:b/>
          <w:bCs/>
          <w:sz w:val="22"/>
          <w:szCs w:val="22"/>
          <w:lang w:val="pl-PL"/>
        </w:rPr>
      </w:pPr>
      <w:r w:rsidRPr="00BD22FE">
        <w:rPr>
          <w:b/>
          <w:bCs/>
          <w:sz w:val="22"/>
          <w:szCs w:val="22"/>
          <w:lang w:val="pl-PL"/>
        </w:rPr>
        <w:t>Bardzo częste działania niepożądane (mogą wystąpić u więcej niż 1 na 10 pacjentów)</w:t>
      </w:r>
    </w:p>
    <w:p w14:paraId="7CB7956A" w14:textId="77777777" w:rsidR="000016E2" w:rsidRPr="00BD22FE" w:rsidRDefault="00104CA8" w:rsidP="007F07E6">
      <w:pPr>
        <w:pStyle w:val="BodyText"/>
        <w:spacing w:line="240" w:lineRule="auto"/>
        <w:jc w:val="left"/>
        <w:rPr>
          <w:sz w:val="22"/>
          <w:szCs w:val="22"/>
          <w:lang w:val="pl-PL"/>
        </w:rPr>
      </w:pPr>
      <w:r w:rsidRPr="00BD22FE">
        <w:rPr>
          <w:sz w:val="22"/>
          <w:szCs w:val="22"/>
          <w:lang w:val="pl-PL"/>
        </w:rPr>
        <w:t>Podwyższone stężenie tłuszczów we krwi.</w:t>
      </w:r>
    </w:p>
    <w:p w14:paraId="29EBF613" w14:textId="77777777" w:rsidR="000016E2" w:rsidRPr="00BD22FE" w:rsidRDefault="000016E2" w:rsidP="007F07E6">
      <w:pPr>
        <w:pStyle w:val="BodyText"/>
        <w:spacing w:line="240" w:lineRule="auto"/>
        <w:jc w:val="left"/>
        <w:rPr>
          <w:sz w:val="22"/>
          <w:szCs w:val="22"/>
          <w:lang w:val="pl-PL"/>
        </w:rPr>
      </w:pPr>
    </w:p>
    <w:p w14:paraId="5C4C0666" w14:textId="77777777" w:rsidR="000016E2" w:rsidRPr="00BD22FE" w:rsidRDefault="00104CA8" w:rsidP="007F07E6">
      <w:pPr>
        <w:keepNext/>
        <w:rPr>
          <w:b/>
          <w:bCs/>
          <w:sz w:val="22"/>
          <w:szCs w:val="22"/>
          <w:lang w:val="pl-PL"/>
        </w:rPr>
      </w:pPr>
      <w:r w:rsidRPr="00BD22FE">
        <w:rPr>
          <w:b/>
          <w:bCs/>
          <w:sz w:val="22"/>
          <w:szCs w:val="22"/>
          <w:lang w:val="pl-PL"/>
        </w:rPr>
        <w:t>Częste działania niepożądane (mogą wystąpić do 1 na 10 pacjentów)</w:t>
      </w:r>
    </w:p>
    <w:p w14:paraId="6B9E6C8A" w14:textId="77777777" w:rsidR="000016E2" w:rsidRPr="00BD22FE" w:rsidRDefault="00104CA8" w:rsidP="00941FBF">
      <w:pPr>
        <w:rPr>
          <w:sz w:val="22"/>
          <w:szCs w:val="22"/>
          <w:lang w:val="pl-PL"/>
        </w:rPr>
      </w:pPr>
      <w:r w:rsidRPr="00BD22FE">
        <w:rPr>
          <w:sz w:val="22"/>
          <w:szCs w:val="22"/>
          <w:lang w:val="pl-PL"/>
        </w:rPr>
        <w:t>Nudności, małe stężenie magnezu we krwi, zmniejszony apetyt.</w:t>
      </w:r>
    </w:p>
    <w:p w14:paraId="37B6E325" w14:textId="77777777" w:rsidR="000016E2" w:rsidRPr="00BD22FE" w:rsidRDefault="000016E2" w:rsidP="00941FBF">
      <w:pPr>
        <w:rPr>
          <w:sz w:val="22"/>
          <w:szCs w:val="22"/>
          <w:u w:val="single"/>
          <w:lang w:val="pl-PL"/>
        </w:rPr>
      </w:pPr>
    </w:p>
    <w:p w14:paraId="7E34C367" w14:textId="77777777" w:rsidR="000016E2" w:rsidRPr="00BD22FE" w:rsidRDefault="00104CA8" w:rsidP="007F07E6">
      <w:pPr>
        <w:keepNext/>
        <w:rPr>
          <w:b/>
          <w:bCs/>
          <w:sz w:val="22"/>
          <w:szCs w:val="22"/>
          <w:lang w:val="pl-PL"/>
        </w:rPr>
      </w:pPr>
      <w:r w:rsidRPr="00BD22FE">
        <w:rPr>
          <w:b/>
          <w:bCs/>
          <w:sz w:val="22"/>
          <w:szCs w:val="22"/>
          <w:lang w:val="pl-PL"/>
        </w:rPr>
        <w:t>Niezbyt częste działania niepożądane (mogą wystąpić do 1 na 100 pacjentów)</w:t>
      </w:r>
    </w:p>
    <w:p w14:paraId="493932C4" w14:textId="77777777" w:rsidR="000016E2" w:rsidRPr="00BD22FE" w:rsidRDefault="00104CA8" w:rsidP="00941FBF">
      <w:pPr>
        <w:rPr>
          <w:sz w:val="22"/>
          <w:szCs w:val="22"/>
          <w:u w:val="single"/>
          <w:lang w:val="pl-PL"/>
        </w:rPr>
      </w:pPr>
      <w:r w:rsidRPr="00BD22FE">
        <w:rPr>
          <w:sz w:val="22"/>
          <w:szCs w:val="22"/>
          <w:lang w:val="pl-PL"/>
        </w:rPr>
        <w:t>Ostra niewydolność nerek.</w:t>
      </w:r>
    </w:p>
    <w:p w14:paraId="325D55DB" w14:textId="77777777" w:rsidR="000016E2" w:rsidRPr="00BD22FE" w:rsidRDefault="000016E2" w:rsidP="00941FBF">
      <w:pPr>
        <w:rPr>
          <w:sz w:val="22"/>
          <w:szCs w:val="22"/>
          <w:u w:val="single"/>
          <w:lang w:val="pl-PL"/>
        </w:rPr>
      </w:pPr>
    </w:p>
    <w:p w14:paraId="41B3856E" w14:textId="6BBDD8B8" w:rsidR="000016E2" w:rsidRPr="00BD22FE" w:rsidRDefault="00104CA8" w:rsidP="007F07E6">
      <w:pPr>
        <w:keepNext/>
        <w:rPr>
          <w:b/>
          <w:bCs/>
          <w:sz w:val="22"/>
          <w:szCs w:val="22"/>
          <w:lang w:val="pl-PL"/>
        </w:rPr>
      </w:pPr>
      <w:r w:rsidRPr="00BD22FE">
        <w:rPr>
          <w:b/>
          <w:bCs/>
          <w:sz w:val="22"/>
          <w:szCs w:val="22"/>
          <w:lang w:val="pl-PL"/>
        </w:rPr>
        <w:t>Rzadkie działania niepożądane (mogą wystąpić do 1 na 1</w:t>
      </w:r>
      <w:r w:rsidR="004024FF" w:rsidRPr="00BD22FE">
        <w:rPr>
          <w:b/>
          <w:bCs/>
          <w:sz w:val="22"/>
          <w:szCs w:val="22"/>
          <w:lang w:val="pl-PL"/>
        </w:rPr>
        <w:t> </w:t>
      </w:r>
      <w:r w:rsidRPr="00BD22FE">
        <w:rPr>
          <w:b/>
          <w:bCs/>
          <w:sz w:val="22"/>
          <w:szCs w:val="22"/>
          <w:lang w:val="pl-PL"/>
        </w:rPr>
        <w:t>000 pacjentów)</w:t>
      </w:r>
    </w:p>
    <w:p w14:paraId="1F12A2C2" w14:textId="63F3869E" w:rsidR="000016E2" w:rsidRPr="00BD22FE" w:rsidRDefault="00104CA8" w:rsidP="00941FBF">
      <w:pPr>
        <w:rPr>
          <w:sz w:val="22"/>
          <w:szCs w:val="22"/>
          <w:lang w:val="pl-PL"/>
        </w:rPr>
      </w:pPr>
      <w:r w:rsidRPr="00BD22FE">
        <w:rPr>
          <w:sz w:val="22"/>
          <w:szCs w:val="22"/>
          <w:lang w:val="pl-PL"/>
        </w:rPr>
        <w:t>Mała liczba płytek krwi (małopłytkowość), przez co wzrasta ryzyko wystąpienia krwawień lub siniaków (niewielkie, fioletowo-czerwone zmiany na skórze lub w</w:t>
      </w:r>
      <w:r w:rsidR="00717A7B" w:rsidRPr="00BD22FE">
        <w:rPr>
          <w:sz w:val="22"/>
          <w:szCs w:val="22"/>
          <w:lang w:val="pl-PL"/>
        </w:rPr>
        <w:t> </w:t>
      </w:r>
      <w:r w:rsidRPr="00BD22FE">
        <w:rPr>
          <w:sz w:val="22"/>
          <w:szCs w:val="22"/>
          <w:lang w:val="pl-PL"/>
        </w:rPr>
        <w:t>innych tkankach, spowodowane przez krwawienie), duże stężenie wapnia we krwi, duże stężenie cukru we krwi, ból głowy, dyskomfort w jamie brzusznej, zażółcenie skóry lub oczu (żółtaczka), nadmiar substancji żółciowych we krwi (zastój żółci), reakcje nadwrażliwości na światło, niekontrolowane stężenie glukozy we krwi u pacjentów z rozpoznaną cukrzycą, obecność cukrów w moczu (glukozuria).</w:t>
      </w:r>
    </w:p>
    <w:p w14:paraId="28FA9F21" w14:textId="77777777" w:rsidR="000016E2" w:rsidRPr="00BD22FE" w:rsidRDefault="000016E2" w:rsidP="00941FBF">
      <w:pPr>
        <w:rPr>
          <w:sz w:val="22"/>
          <w:szCs w:val="22"/>
          <w:u w:val="single"/>
          <w:lang w:val="pl-PL"/>
        </w:rPr>
      </w:pPr>
    </w:p>
    <w:p w14:paraId="31B786BC" w14:textId="77777777" w:rsidR="000016E2" w:rsidRPr="00BD22FE" w:rsidRDefault="00104CA8" w:rsidP="007F07E6">
      <w:pPr>
        <w:keepNext/>
        <w:rPr>
          <w:b/>
          <w:bCs/>
          <w:sz w:val="22"/>
          <w:szCs w:val="22"/>
          <w:lang w:val="pl-PL"/>
        </w:rPr>
      </w:pPr>
      <w:r w:rsidRPr="00BD22FE">
        <w:rPr>
          <w:b/>
          <w:bCs/>
          <w:sz w:val="22"/>
          <w:szCs w:val="22"/>
          <w:lang w:val="pl-PL"/>
        </w:rPr>
        <w:t xml:space="preserve">Bardzo rzadkie działania niepożądane </w:t>
      </w:r>
      <w:r w:rsidRPr="00BD22FE">
        <w:rPr>
          <w:rFonts w:eastAsia="SimSun"/>
          <w:b/>
          <w:bCs/>
          <w:sz w:val="22"/>
          <w:szCs w:val="22"/>
          <w:lang w:val="pl-PL" w:eastAsia="zh-CN"/>
        </w:rPr>
        <w:t>(mogą wystąpić do 1 na 10 000 pacjentów)</w:t>
      </w:r>
    </w:p>
    <w:p w14:paraId="68B8BAA7" w14:textId="609F27CE" w:rsidR="000016E2" w:rsidRPr="00BD22FE" w:rsidRDefault="00104CA8" w:rsidP="00941FBF">
      <w:pPr>
        <w:rPr>
          <w:sz w:val="22"/>
          <w:szCs w:val="22"/>
          <w:lang w:val="pl-PL"/>
        </w:rPr>
      </w:pPr>
      <w:r w:rsidRPr="00BD22FE">
        <w:rPr>
          <w:sz w:val="22"/>
          <w:szCs w:val="22"/>
          <w:lang w:val="pl-PL"/>
        </w:rPr>
        <w:t>Nieprawidłowy rozpad czerwonych krwinek (niedokrwistość hemolityczna), niezdolność szpiku kostnego do prawidłowego funkcjonowania, zmniejszenie liczby białych krwinek (leukopenia, agranulocytoza), ciężkie reakcje alergiczne (np.</w:t>
      </w:r>
      <w:r w:rsidR="00DA64C3" w:rsidRPr="00BD22FE">
        <w:rPr>
          <w:sz w:val="22"/>
          <w:szCs w:val="22"/>
          <w:lang w:val="pl-PL"/>
        </w:rPr>
        <w:t xml:space="preserve"> </w:t>
      </w:r>
      <w:r w:rsidRPr="00BD22FE">
        <w:rPr>
          <w:sz w:val="22"/>
          <w:szCs w:val="22"/>
          <w:lang w:val="pl-PL"/>
        </w:rPr>
        <w:t>nadwrażliwość), wzrost pH ze względu na małe stężenie chlorków we krwi (zaburzenie równowagi kwasowo-zasadowej, alkaloza hipochloremiczna), ostra niewydolność oddechowa (objawy obejmują ciężką duszność, gorączkę, osłabienie i</w:t>
      </w:r>
      <w:r w:rsidR="00717A7B" w:rsidRPr="00BD22FE">
        <w:rPr>
          <w:sz w:val="22"/>
          <w:szCs w:val="22"/>
          <w:lang w:val="pl-PL"/>
        </w:rPr>
        <w:t> </w:t>
      </w:r>
      <w:r w:rsidRPr="00BD22FE">
        <w:rPr>
          <w:sz w:val="22"/>
          <w:szCs w:val="22"/>
          <w:lang w:val="pl-PL"/>
        </w:rPr>
        <w:t xml:space="preserve">splątanie), zapalenie trzustki, zespół toczniopodobny (choroba naśladująca </w:t>
      </w:r>
      <w:r w:rsidR="003D494F" w:rsidRPr="00BD22FE">
        <w:rPr>
          <w:sz w:val="22"/>
          <w:szCs w:val="22"/>
          <w:lang w:val="pl-PL"/>
        </w:rPr>
        <w:t>chorobę o nazw</w:t>
      </w:r>
      <w:r w:rsidR="00035F9D" w:rsidRPr="00BD22FE">
        <w:rPr>
          <w:sz w:val="22"/>
          <w:szCs w:val="22"/>
          <w:lang w:val="pl-PL"/>
        </w:rPr>
        <w:t>ie</w:t>
      </w:r>
      <w:r w:rsidR="003D494F" w:rsidRPr="00BD22FE">
        <w:rPr>
          <w:sz w:val="22"/>
          <w:szCs w:val="22"/>
          <w:lang w:val="pl-PL"/>
        </w:rPr>
        <w:t xml:space="preserve"> </w:t>
      </w:r>
      <w:r w:rsidRPr="00BD22FE">
        <w:rPr>
          <w:sz w:val="22"/>
          <w:szCs w:val="22"/>
          <w:lang w:val="pl-PL"/>
        </w:rPr>
        <w:t>toczeń rumieniowaty układowy, w</w:t>
      </w:r>
      <w:r w:rsidR="00717A7B" w:rsidRPr="00BD22FE">
        <w:rPr>
          <w:sz w:val="22"/>
          <w:szCs w:val="22"/>
          <w:lang w:val="pl-PL"/>
        </w:rPr>
        <w:t> </w:t>
      </w:r>
      <w:r w:rsidRPr="00BD22FE">
        <w:rPr>
          <w:sz w:val="22"/>
          <w:szCs w:val="22"/>
          <w:lang w:val="pl-PL"/>
        </w:rPr>
        <w:t>którym</w:t>
      </w:r>
      <w:r w:rsidRPr="00BD22FE">
        <w:rPr>
          <w:spacing w:val="-1"/>
          <w:sz w:val="22"/>
          <w:szCs w:val="22"/>
          <w:lang w:val="pl-PL"/>
        </w:rPr>
        <w:t xml:space="preserve"> </w:t>
      </w:r>
      <w:r w:rsidRPr="00BD22FE">
        <w:rPr>
          <w:sz w:val="22"/>
          <w:szCs w:val="22"/>
          <w:lang w:val="pl-PL"/>
        </w:rPr>
        <w:t>organ</w:t>
      </w:r>
      <w:r w:rsidRPr="00BD22FE">
        <w:rPr>
          <w:spacing w:val="1"/>
          <w:sz w:val="22"/>
          <w:szCs w:val="22"/>
          <w:lang w:val="pl-PL"/>
        </w:rPr>
        <w:t>i</w:t>
      </w:r>
      <w:r w:rsidRPr="00BD22FE">
        <w:rPr>
          <w:sz w:val="22"/>
          <w:szCs w:val="22"/>
          <w:lang w:val="pl-PL"/>
        </w:rPr>
        <w:t>zm jest atakowany przez własny układ odpornościowy), zapalenie naczyń krwionośnych (martwicze zapalenie naczyń).</w:t>
      </w:r>
    </w:p>
    <w:p w14:paraId="11DD8923" w14:textId="77777777" w:rsidR="000016E2" w:rsidRPr="00BD22FE" w:rsidRDefault="000016E2" w:rsidP="00941FBF">
      <w:pPr>
        <w:rPr>
          <w:sz w:val="22"/>
          <w:szCs w:val="22"/>
          <w:lang w:val="pl-PL"/>
        </w:rPr>
      </w:pPr>
    </w:p>
    <w:p w14:paraId="7AE2CFD7" w14:textId="77777777" w:rsidR="000016E2" w:rsidRPr="00BD22FE" w:rsidRDefault="00104CA8" w:rsidP="007F07E6">
      <w:pPr>
        <w:keepNext/>
        <w:rPr>
          <w:sz w:val="22"/>
          <w:szCs w:val="22"/>
          <w:u w:val="single"/>
          <w:lang w:val="pl-PL"/>
        </w:rPr>
      </w:pPr>
      <w:r w:rsidRPr="00BD22FE">
        <w:rPr>
          <w:b/>
          <w:bCs/>
          <w:sz w:val="22"/>
          <w:szCs w:val="22"/>
          <w:lang w:val="pl-PL"/>
        </w:rPr>
        <w:t xml:space="preserve">Częstość nieznana </w:t>
      </w:r>
      <w:r w:rsidRPr="00BD22FE">
        <w:rPr>
          <w:rFonts w:eastAsia="SimSun"/>
          <w:b/>
          <w:bCs/>
          <w:sz w:val="22"/>
          <w:szCs w:val="22"/>
          <w:lang w:val="pl-PL" w:eastAsia="zh-CN"/>
        </w:rPr>
        <w:t>(częstość nie może być określona</w:t>
      </w:r>
      <w:r w:rsidRPr="00BD22FE">
        <w:rPr>
          <w:rFonts w:eastAsia="SimSun"/>
          <w:b/>
          <w:sz w:val="22"/>
          <w:szCs w:val="22"/>
          <w:lang w:val="pl-PL" w:eastAsia="zh-CN"/>
        </w:rPr>
        <w:t xml:space="preserve"> na podstawie dostępnych danych)</w:t>
      </w:r>
    </w:p>
    <w:p w14:paraId="6A4C59EC" w14:textId="6013B4E3" w:rsidR="000016E2" w:rsidRPr="00BD22FE" w:rsidRDefault="00B17582" w:rsidP="00941FBF">
      <w:pPr>
        <w:pStyle w:val="BodyText"/>
        <w:spacing w:line="240" w:lineRule="auto"/>
        <w:jc w:val="left"/>
        <w:rPr>
          <w:sz w:val="22"/>
          <w:szCs w:val="22"/>
          <w:lang w:val="pl-PL"/>
        </w:rPr>
      </w:pPr>
      <w:bookmarkStart w:id="15" w:name="_Hlk151620406"/>
      <w:r w:rsidRPr="00BD22FE">
        <w:rPr>
          <w:sz w:val="22"/>
          <w:szCs w:val="22"/>
          <w:lang w:val="pl-PL"/>
        </w:rPr>
        <w:t>N</w:t>
      </w:r>
      <w:r w:rsidR="00104CA8" w:rsidRPr="00BD22FE">
        <w:rPr>
          <w:sz w:val="22"/>
          <w:szCs w:val="22"/>
          <w:lang w:val="pl-PL"/>
        </w:rPr>
        <w:t>owotwory złośliwe skóry i</w:t>
      </w:r>
      <w:r w:rsidR="00717A7B" w:rsidRPr="00BD22FE">
        <w:rPr>
          <w:sz w:val="22"/>
          <w:szCs w:val="22"/>
          <w:lang w:val="pl-PL"/>
        </w:rPr>
        <w:t> </w:t>
      </w:r>
      <w:r w:rsidR="00104CA8" w:rsidRPr="00BD22FE">
        <w:rPr>
          <w:sz w:val="22"/>
          <w:szCs w:val="22"/>
          <w:lang w:val="pl-PL"/>
        </w:rPr>
        <w:t>warg (nieczerniakowe nowotwory złośliwe skóry),</w:t>
      </w:r>
      <w:r w:rsidR="00104CA8" w:rsidRPr="00BD22FE">
        <w:rPr>
          <w:sz w:val="22"/>
          <w:szCs w:val="22"/>
          <w:u w:val="single"/>
          <w:lang w:val="pl-PL"/>
        </w:rPr>
        <w:t xml:space="preserve"> </w:t>
      </w:r>
      <w:r w:rsidR="00104CA8" w:rsidRPr="00BD22FE">
        <w:rPr>
          <w:sz w:val="22"/>
          <w:szCs w:val="22"/>
          <w:lang w:val="pl-PL"/>
        </w:rPr>
        <w:t xml:space="preserve">zmniejszenie liczby krwinek (niedokrwistość aplastyczna), </w:t>
      </w:r>
      <w:r w:rsidR="00104CA8" w:rsidRPr="00BD22FE">
        <w:rPr>
          <w:rFonts w:eastAsia="MS Mincho"/>
          <w:sz w:val="22"/>
          <w:szCs w:val="22"/>
          <w:lang w:val="pl-PL" w:eastAsia="ja-JP"/>
        </w:rPr>
        <w:t>ograniczenie widzenia i</w:t>
      </w:r>
      <w:r w:rsidR="00717A7B" w:rsidRPr="00BD22FE">
        <w:rPr>
          <w:rFonts w:eastAsia="MS Mincho"/>
          <w:sz w:val="22"/>
          <w:szCs w:val="22"/>
          <w:lang w:val="pl-PL" w:eastAsia="ja-JP"/>
        </w:rPr>
        <w:t> </w:t>
      </w:r>
      <w:r w:rsidR="00104CA8" w:rsidRPr="00BD22FE">
        <w:rPr>
          <w:rFonts w:eastAsia="MS Mincho"/>
          <w:sz w:val="22"/>
          <w:szCs w:val="22"/>
          <w:lang w:val="pl-PL" w:eastAsia="ja-JP"/>
        </w:rPr>
        <w:t>ból oczu (prawdopodobnie objawy gromadzenia się płynu w</w:t>
      </w:r>
      <w:r w:rsidR="00717A7B" w:rsidRPr="00BD22FE">
        <w:rPr>
          <w:rFonts w:eastAsia="MS Mincho"/>
          <w:sz w:val="22"/>
          <w:szCs w:val="22"/>
          <w:lang w:val="pl-PL" w:eastAsia="ja-JP"/>
        </w:rPr>
        <w:t> </w:t>
      </w:r>
      <w:r w:rsidR="00104CA8" w:rsidRPr="00BD22FE">
        <w:rPr>
          <w:rFonts w:eastAsia="MS Mincho"/>
          <w:sz w:val="22"/>
          <w:szCs w:val="22"/>
          <w:lang w:val="pl-PL" w:eastAsia="ja-JP"/>
        </w:rPr>
        <w:t xml:space="preserve">unaczynionej błonie otaczającej oko </w:t>
      </w:r>
      <w:r w:rsidR="003A7E3D" w:rsidRPr="00BD22FE">
        <w:rPr>
          <w:rFonts w:eastAsia="MS Mincho"/>
          <w:sz w:val="22"/>
          <w:szCs w:val="22"/>
          <w:lang w:val="pl-PL" w:eastAsia="ja-JP"/>
        </w:rPr>
        <w:t>–</w:t>
      </w:r>
      <w:r w:rsidR="00104CA8" w:rsidRPr="00BD22FE">
        <w:rPr>
          <w:rFonts w:eastAsia="MS Mincho"/>
          <w:sz w:val="22"/>
          <w:szCs w:val="22"/>
          <w:lang w:val="pl-PL" w:eastAsia="ja-JP"/>
        </w:rPr>
        <w:t xml:space="preserve"> nadmiernego nagromadzenia płynu między naczyniówką a</w:t>
      </w:r>
      <w:r w:rsidR="00717A7B" w:rsidRPr="00BD22FE">
        <w:rPr>
          <w:rFonts w:eastAsia="MS Mincho"/>
          <w:sz w:val="22"/>
          <w:szCs w:val="22"/>
          <w:lang w:val="pl-PL" w:eastAsia="ja-JP"/>
        </w:rPr>
        <w:t> </w:t>
      </w:r>
      <w:r w:rsidR="00104CA8" w:rsidRPr="00BD22FE">
        <w:rPr>
          <w:rFonts w:eastAsia="MS Mincho"/>
          <w:sz w:val="22"/>
          <w:szCs w:val="22"/>
          <w:lang w:val="pl-PL" w:eastAsia="ja-JP"/>
        </w:rPr>
        <w:t xml:space="preserve">twardówką </w:t>
      </w:r>
      <w:r w:rsidR="003A7E3D" w:rsidRPr="00BD22FE">
        <w:rPr>
          <w:rFonts w:eastAsia="MS Mincho"/>
          <w:sz w:val="22"/>
          <w:szCs w:val="22"/>
          <w:lang w:val="pl-PL" w:eastAsia="ja-JP"/>
        </w:rPr>
        <w:t>–</w:t>
      </w:r>
      <w:r w:rsidR="00104CA8" w:rsidRPr="00BD22FE">
        <w:rPr>
          <w:rFonts w:eastAsia="MS Mincho"/>
          <w:sz w:val="22"/>
          <w:szCs w:val="22"/>
          <w:lang w:val="pl-PL" w:eastAsia="ja-JP"/>
        </w:rPr>
        <w:t xml:space="preserve"> lub ostrej jaskry z</w:t>
      </w:r>
      <w:r w:rsidR="00717A7B" w:rsidRPr="00BD22FE">
        <w:rPr>
          <w:rFonts w:eastAsia="MS Mincho"/>
          <w:sz w:val="22"/>
          <w:szCs w:val="22"/>
          <w:lang w:val="pl-PL" w:eastAsia="ja-JP"/>
        </w:rPr>
        <w:t> </w:t>
      </w:r>
      <w:r w:rsidR="00104CA8" w:rsidRPr="00BD22FE">
        <w:rPr>
          <w:rFonts w:eastAsia="MS Mincho"/>
          <w:sz w:val="22"/>
          <w:szCs w:val="22"/>
          <w:lang w:val="pl-PL" w:eastAsia="ja-JP"/>
        </w:rPr>
        <w:t>zamkniętym kątem przesączania),</w:t>
      </w:r>
      <w:r w:rsidR="00104CA8" w:rsidRPr="00BD22FE">
        <w:rPr>
          <w:rFonts w:eastAsia="MS Mincho"/>
          <w:color w:val="92D050"/>
          <w:sz w:val="22"/>
          <w:szCs w:val="22"/>
          <w:lang w:val="pl-PL" w:eastAsia="ja-JP"/>
        </w:rPr>
        <w:t xml:space="preserve"> </w:t>
      </w:r>
      <w:r w:rsidR="00104CA8" w:rsidRPr="00BD22FE">
        <w:rPr>
          <w:sz w:val="22"/>
          <w:szCs w:val="22"/>
          <w:lang w:val="pl-PL"/>
        </w:rPr>
        <w:t>zaburzenia skóry, takie jak zapalenie naczyń krwionośnych w</w:t>
      </w:r>
      <w:r w:rsidR="00717A7B" w:rsidRPr="00BD22FE">
        <w:rPr>
          <w:sz w:val="22"/>
          <w:szCs w:val="22"/>
          <w:lang w:val="pl-PL"/>
        </w:rPr>
        <w:t> </w:t>
      </w:r>
      <w:r w:rsidR="00104CA8" w:rsidRPr="00BD22FE">
        <w:rPr>
          <w:sz w:val="22"/>
          <w:szCs w:val="22"/>
          <w:lang w:val="pl-PL"/>
        </w:rPr>
        <w:t>skórze, zwiększona wrażliwość na światło słoneczne, wysypka, zaczerwienienie skóry, powstawanie pęcherzy na wargach, oczach i</w:t>
      </w:r>
      <w:r w:rsidR="00717A7B" w:rsidRPr="00BD22FE">
        <w:rPr>
          <w:sz w:val="22"/>
          <w:szCs w:val="22"/>
          <w:lang w:val="pl-PL"/>
        </w:rPr>
        <w:t> </w:t>
      </w:r>
      <w:r w:rsidR="00104CA8" w:rsidRPr="00BD22FE">
        <w:rPr>
          <w:sz w:val="22"/>
          <w:szCs w:val="22"/>
          <w:lang w:val="pl-PL"/>
        </w:rPr>
        <w:t>ustach, łuszczenie się skóry, gorączka (możliwe objawy rumienia wielopostaciowego), osłabienie, zaburzenia czynności nerek.</w:t>
      </w:r>
    </w:p>
    <w:p w14:paraId="0E22A574" w14:textId="77777777" w:rsidR="000016E2" w:rsidRPr="00BD22FE" w:rsidRDefault="000016E2" w:rsidP="00941FBF">
      <w:pPr>
        <w:pStyle w:val="BodyText"/>
        <w:spacing w:line="240" w:lineRule="auto"/>
        <w:jc w:val="left"/>
        <w:rPr>
          <w:sz w:val="22"/>
          <w:szCs w:val="22"/>
          <w:lang w:val="pl-PL"/>
        </w:rPr>
      </w:pPr>
      <w:bookmarkStart w:id="16" w:name="_Hlk151620461"/>
      <w:bookmarkEnd w:id="15"/>
    </w:p>
    <w:p w14:paraId="62320A23" w14:textId="77777777" w:rsidR="000016E2" w:rsidRPr="00BD22FE" w:rsidRDefault="00104CA8" w:rsidP="00941FBF">
      <w:pPr>
        <w:pStyle w:val="BodyText"/>
        <w:spacing w:line="240" w:lineRule="auto"/>
        <w:jc w:val="left"/>
        <w:rPr>
          <w:sz w:val="22"/>
          <w:szCs w:val="22"/>
          <w:lang w:val="pl-PL"/>
        </w:rPr>
      </w:pPr>
      <w:r w:rsidRPr="00BD22FE">
        <w:rPr>
          <w:sz w:val="22"/>
          <w:szCs w:val="22"/>
          <w:lang w:val="pl-PL"/>
        </w:rPr>
        <w:t>W odosobnionych przypadkach występowały niskie stężenia sodu, którym towarzyszyły objawy dotyczące mózgu lub nerwów (nudności, postępująca dezorientacja, brak zainteresowań lub energii).</w:t>
      </w:r>
    </w:p>
    <w:bookmarkEnd w:id="16"/>
    <w:p w14:paraId="34BBC6FE" w14:textId="77777777" w:rsidR="000016E2" w:rsidRPr="00BD22FE" w:rsidRDefault="000016E2" w:rsidP="00941FBF">
      <w:pPr>
        <w:pStyle w:val="BodyText"/>
        <w:spacing w:line="240" w:lineRule="auto"/>
        <w:jc w:val="left"/>
        <w:rPr>
          <w:sz w:val="22"/>
          <w:szCs w:val="22"/>
          <w:lang w:val="pl-PL"/>
        </w:rPr>
      </w:pPr>
    </w:p>
    <w:p w14:paraId="22CDD5CB" w14:textId="77777777" w:rsidR="000016E2" w:rsidRPr="00BD22FE" w:rsidRDefault="00104CA8" w:rsidP="007F07E6">
      <w:pPr>
        <w:keepNext/>
        <w:numPr>
          <w:ilvl w:val="12"/>
          <w:numId w:val="0"/>
        </w:numPr>
        <w:rPr>
          <w:b/>
          <w:sz w:val="22"/>
          <w:szCs w:val="22"/>
          <w:lang w:val="pl-PL"/>
        </w:rPr>
      </w:pPr>
      <w:r w:rsidRPr="00BD22FE">
        <w:rPr>
          <w:b/>
          <w:sz w:val="22"/>
          <w:szCs w:val="22"/>
          <w:lang w:val="pl-PL"/>
        </w:rPr>
        <w:t>Zgłaszanie działań niepożądanych</w:t>
      </w:r>
    </w:p>
    <w:p w14:paraId="4D8F8637" w14:textId="0790AE58" w:rsidR="000016E2" w:rsidRPr="00BD22FE" w:rsidRDefault="00104CA8" w:rsidP="00941FBF">
      <w:pPr>
        <w:numPr>
          <w:ilvl w:val="12"/>
          <w:numId w:val="0"/>
        </w:numPr>
        <w:rPr>
          <w:sz w:val="22"/>
          <w:szCs w:val="22"/>
          <w:lang w:val="pl-PL"/>
        </w:rPr>
      </w:pPr>
      <w:r w:rsidRPr="00BD22FE">
        <w:rPr>
          <w:sz w:val="22"/>
          <w:szCs w:val="22"/>
          <w:lang w:val="pl-PL"/>
        </w:rPr>
        <w:t>Jeśli wystąpią jakiekolwiek objawy niepożądane, w</w:t>
      </w:r>
      <w:r w:rsidR="00717A7B" w:rsidRPr="00BD22FE">
        <w:rPr>
          <w:sz w:val="22"/>
          <w:szCs w:val="22"/>
          <w:lang w:val="pl-PL"/>
        </w:rPr>
        <w:t> </w:t>
      </w:r>
      <w:r w:rsidRPr="00BD22FE">
        <w:rPr>
          <w:sz w:val="22"/>
          <w:szCs w:val="22"/>
          <w:lang w:val="pl-PL"/>
        </w:rPr>
        <w:t>tym wszelkie objawy niepożądane niewymienione w</w:t>
      </w:r>
      <w:r w:rsidR="00717A7B" w:rsidRPr="00BD22FE">
        <w:rPr>
          <w:sz w:val="22"/>
          <w:szCs w:val="22"/>
          <w:lang w:val="pl-PL"/>
        </w:rPr>
        <w:t> </w:t>
      </w:r>
      <w:r w:rsidRPr="00BD22FE">
        <w:rPr>
          <w:sz w:val="22"/>
          <w:szCs w:val="22"/>
          <w:lang w:val="pl-PL"/>
        </w:rPr>
        <w:t>tej ulotce, należy powiedzieć o</w:t>
      </w:r>
      <w:r w:rsidR="00717A7B" w:rsidRPr="00BD22FE">
        <w:rPr>
          <w:sz w:val="22"/>
          <w:szCs w:val="22"/>
          <w:lang w:val="pl-PL"/>
        </w:rPr>
        <w:t> </w:t>
      </w:r>
      <w:r w:rsidRPr="00BD22FE">
        <w:rPr>
          <w:sz w:val="22"/>
          <w:szCs w:val="22"/>
          <w:lang w:val="pl-PL"/>
        </w:rPr>
        <w:t>tym lekarzowi</w:t>
      </w:r>
      <w:r w:rsidRPr="00BD22FE">
        <w:rPr>
          <w:lang w:val="pl-PL"/>
        </w:rPr>
        <w:t xml:space="preserve"> </w:t>
      </w:r>
      <w:r w:rsidRPr="00BD22FE">
        <w:rPr>
          <w:sz w:val="22"/>
          <w:szCs w:val="22"/>
          <w:lang w:val="pl-PL"/>
        </w:rPr>
        <w:t xml:space="preserve">lub farmaceucie. Działania niepożądane można zgłaszać bezpośrednio do </w:t>
      </w:r>
      <w:r w:rsidRPr="00BD22FE">
        <w:rPr>
          <w:sz w:val="22"/>
          <w:szCs w:val="22"/>
          <w:highlight w:val="lightGray"/>
          <w:lang w:val="pl-PL"/>
        </w:rPr>
        <w:t>„krajowego systemu zgłaszania” wymienionego w</w:t>
      </w:r>
      <w:r w:rsidR="00717A7B" w:rsidRPr="00BD22FE">
        <w:rPr>
          <w:sz w:val="22"/>
          <w:szCs w:val="22"/>
          <w:highlight w:val="lightGray"/>
          <w:lang w:val="pl-PL"/>
        </w:rPr>
        <w:t> </w:t>
      </w:r>
      <w:r>
        <w:fldChar w:fldCharType="begin"/>
      </w:r>
      <w:r w:rsidRPr="00DE4C52">
        <w:rPr>
          <w:lang w:val="pl-PL"/>
        </w:rPr>
        <w:instrText>HYPERLINK "https://www.ema.europa.eu/en/documents/template-form/qrd-appendix-v-adverse-drug-reaction-reporting-details_en.docx" \h</w:instrText>
      </w:r>
      <w:r>
        <w:fldChar w:fldCharType="separate"/>
      </w:r>
      <w:r w:rsidRPr="00BD22FE">
        <w:rPr>
          <w:rStyle w:val="Hyperlink"/>
          <w:sz w:val="22"/>
          <w:highlight w:val="lightGray"/>
          <w:lang w:val="pl-PL"/>
        </w:rPr>
        <w:t>załączniku V</w:t>
      </w:r>
      <w:r>
        <w:fldChar w:fldCharType="end"/>
      </w:r>
      <w:r w:rsidRPr="00BD22FE">
        <w:rPr>
          <w:sz w:val="22"/>
          <w:szCs w:val="22"/>
          <w:lang w:val="pl-PL"/>
        </w:rPr>
        <w:t>. Dzięki zgłaszaniu działań niepożądanych można będzie zgromadzić więcej informacji na temat bezpieczeństwa stosowania leku.</w:t>
      </w:r>
    </w:p>
    <w:p w14:paraId="161CD209" w14:textId="77777777" w:rsidR="000016E2" w:rsidRPr="00BD22FE" w:rsidRDefault="000016E2" w:rsidP="00941FBF">
      <w:pPr>
        <w:pStyle w:val="BodyText"/>
        <w:spacing w:line="240" w:lineRule="auto"/>
        <w:jc w:val="left"/>
        <w:rPr>
          <w:sz w:val="22"/>
          <w:szCs w:val="22"/>
          <w:lang w:val="pl-PL"/>
        </w:rPr>
      </w:pPr>
    </w:p>
    <w:p w14:paraId="6AB265E1" w14:textId="77777777" w:rsidR="000016E2" w:rsidRPr="00BD22FE" w:rsidRDefault="000016E2" w:rsidP="00941FBF">
      <w:pPr>
        <w:pStyle w:val="BodyText"/>
        <w:spacing w:line="240" w:lineRule="auto"/>
        <w:jc w:val="left"/>
        <w:rPr>
          <w:sz w:val="22"/>
          <w:szCs w:val="22"/>
          <w:lang w:val="pl-PL"/>
        </w:rPr>
      </w:pPr>
    </w:p>
    <w:p w14:paraId="58FB54EF" w14:textId="77777777" w:rsidR="000016E2" w:rsidRPr="00BD22FE" w:rsidRDefault="00104CA8" w:rsidP="005E756D">
      <w:pPr>
        <w:pStyle w:val="BodyText"/>
        <w:keepNext/>
        <w:spacing w:line="240" w:lineRule="auto"/>
        <w:ind w:left="567" w:hanging="567"/>
        <w:jc w:val="left"/>
        <w:rPr>
          <w:b/>
          <w:sz w:val="22"/>
          <w:szCs w:val="22"/>
          <w:lang w:val="pl-PL"/>
        </w:rPr>
      </w:pPr>
      <w:r w:rsidRPr="00BD22FE">
        <w:rPr>
          <w:b/>
          <w:sz w:val="22"/>
          <w:szCs w:val="22"/>
          <w:lang w:val="pl-PL"/>
        </w:rPr>
        <w:lastRenderedPageBreak/>
        <w:t>5.</w:t>
      </w:r>
      <w:r w:rsidRPr="00BD22FE">
        <w:rPr>
          <w:b/>
          <w:sz w:val="22"/>
          <w:szCs w:val="22"/>
          <w:lang w:val="pl-PL"/>
        </w:rPr>
        <w:tab/>
        <w:t>Jak przechowywać lek MicardisPlus</w:t>
      </w:r>
    </w:p>
    <w:p w14:paraId="3CF639C1" w14:textId="77777777" w:rsidR="000016E2" w:rsidRPr="00BD22FE" w:rsidRDefault="000016E2" w:rsidP="00941FBF">
      <w:pPr>
        <w:pStyle w:val="BodyText"/>
        <w:keepNext/>
        <w:spacing w:line="240" w:lineRule="auto"/>
        <w:jc w:val="left"/>
        <w:rPr>
          <w:sz w:val="22"/>
          <w:szCs w:val="22"/>
          <w:lang w:val="pl-PL"/>
        </w:rPr>
      </w:pPr>
    </w:p>
    <w:p w14:paraId="4D126E4A" w14:textId="7374D08F" w:rsidR="000016E2" w:rsidRPr="00BD22FE" w:rsidRDefault="00104CA8" w:rsidP="00941FBF">
      <w:pPr>
        <w:pStyle w:val="BodyText"/>
        <w:spacing w:line="240" w:lineRule="auto"/>
        <w:jc w:val="left"/>
        <w:rPr>
          <w:sz w:val="22"/>
          <w:szCs w:val="22"/>
          <w:lang w:val="pl-PL"/>
        </w:rPr>
      </w:pPr>
      <w:r w:rsidRPr="00BD22FE">
        <w:rPr>
          <w:sz w:val="22"/>
          <w:szCs w:val="22"/>
          <w:lang w:val="pl-PL"/>
        </w:rPr>
        <w:t>Lek należy przechowywać w</w:t>
      </w:r>
      <w:r w:rsidR="00717A7B" w:rsidRPr="00BD22FE">
        <w:rPr>
          <w:sz w:val="22"/>
          <w:szCs w:val="22"/>
          <w:lang w:val="pl-PL"/>
        </w:rPr>
        <w:t> </w:t>
      </w:r>
      <w:r w:rsidRPr="00BD22FE">
        <w:rPr>
          <w:sz w:val="22"/>
          <w:szCs w:val="22"/>
          <w:lang w:val="pl-PL"/>
        </w:rPr>
        <w:t>miejscu niewidocznym i</w:t>
      </w:r>
      <w:r w:rsidR="00717A7B" w:rsidRPr="00BD22FE">
        <w:rPr>
          <w:sz w:val="22"/>
          <w:szCs w:val="22"/>
          <w:lang w:val="pl-PL"/>
        </w:rPr>
        <w:t> </w:t>
      </w:r>
      <w:r w:rsidRPr="00BD22FE">
        <w:rPr>
          <w:sz w:val="22"/>
          <w:szCs w:val="22"/>
          <w:lang w:val="pl-PL"/>
        </w:rPr>
        <w:t>niedostępnym dla dzieci.</w:t>
      </w:r>
    </w:p>
    <w:p w14:paraId="571DEA2B" w14:textId="77777777" w:rsidR="000016E2" w:rsidRPr="00BD22FE" w:rsidRDefault="000016E2" w:rsidP="00941FBF">
      <w:pPr>
        <w:pStyle w:val="BodyText"/>
        <w:spacing w:line="240" w:lineRule="auto"/>
        <w:jc w:val="left"/>
        <w:rPr>
          <w:sz w:val="22"/>
          <w:szCs w:val="22"/>
          <w:lang w:val="pl-PL"/>
        </w:rPr>
      </w:pPr>
    </w:p>
    <w:p w14:paraId="31AD52EE" w14:textId="4548CBE2" w:rsidR="000016E2" w:rsidRPr="00BD22FE" w:rsidRDefault="00104CA8" w:rsidP="00941FBF">
      <w:pPr>
        <w:pStyle w:val="BodyText"/>
        <w:spacing w:line="240" w:lineRule="auto"/>
        <w:jc w:val="left"/>
        <w:rPr>
          <w:sz w:val="22"/>
          <w:szCs w:val="22"/>
          <w:lang w:val="pl-PL"/>
        </w:rPr>
      </w:pPr>
      <w:r w:rsidRPr="00BD22FE">
        <w:rPr>
          <w:sz w:val="22"/>
          <w:szCs w:val="22"/>
          <w:lang w:val="pl-PL"/>
        </w:rPr>
        <w:t>Nie stosować tego leku po upływie terminu ważności zamieszczonego na pudełku po: Termin ważności. Termin ważności oznacza ostatni dzień podanego miesiąca.</w:t>
      </w:r>
    </w:p>
    <w:p w14:paraId="61535019" w14:textId="77777777" w:rsidR="000016E2" w:rsidRPr="00BD22FE" w:rsidRDefault="000016E2" w:rsidP="00941FBF">
      <w:pPr>
        <w:pStyle w:val="BodyText"/>
        <w:spacing w:line="240" w:lineRule="auto"/>
        <w:jc w:val="left"/>
        <w:rPr>
          <w:sz w:val="22"/>
          <w:szCs w:val="22"/>
          <w:lang w:val="pl-PL"/>
        </w:rPr>
      </w:pPr>
    </w:p>
    <w:p w14:paraId="5434AE8A" w14:textId="11477262" w:rsidR="000016E2" w:rsidRPr="00BD22FE" w:rsidRDefault="00104CA8" w:rsidP="00941FBF">
      <w:pPr>
        <w:rPr>
          <w:sz w:val="22"/>
          <w:szCs w:val="22"/>
          <w:lang w:val="pl-PL"/>
        </w:rPr>
      </w:pPr>
      <w:r w:rsidRPr="00BD22FE">
        <w:rPr>
          <w:sz w:val="22"/>
          <w:szCs w:val="22"/>
          <w:lang w:val="pl-PL"/>
        </w:rPr>
        <w:t>Brak specjalnych zaleceń dotyczących temperatury przechowywania leku. Przechowywać w</w:t>
      </w:r>
      <w:r w:rsidR="00717A7B" w:rsidRPr="00BD22FE">
        <w:rPr>
          <w:sz w:val="22"/>
          <w:szCs w:val="22"/>
          <w:lang w:val="pl-PL"/>
        </w:rPr>
        <w:t> </w:t>
      </w:r>
      <w:r w:rsidRPr="00BD22FE">
        <w:rPr>
          <w:sz w:val="22"/>
          <w:szCs w:val="22"/>
          <w:lang w:val="pl-PL"/>
        </w:rPr>
        <w:t>oryginalnym opakowaniu w</w:t>
      </w:r>
      <w:r w:rsidR="00717A7B" w:rsidRPr="00BD22FE">
        <w:rPr>
          <w:sz w:val="22"/>
          <w:szCs w:val="22"/>
          <w:lang w:val="pl-PL"/>
        </w:rPr>
        <w:t> </w:t>
      </w:r>
      <w:r w:rsidRPr="00BD22FE">
        <w:rPr>
          <w:sz w:val="22"/>
          <w:szCs w:val="22"/>
          <w:lang w:val="pl-PL"/>
        </w:rPr>
        <w:t xml:space="preserve">celu ochrony przed wilgocią. </w:t>
      </w:r>
      <w:r w:rsidRPr="00BD22FE">
        <w:rPr>
          <w:rStyle w:val="hps"/>
          <w:sz w:val="22"/>
          <w:szCs w:val="22"/>
          <w:lang w:val="pl-PL"/>
        </w:rPr>
        <w:t>Tabletkę leku MicardisPlus należy wyjąć</w:t>
      </w:r>
      <w:r w:rsidRPr="00BD22FE">
        <w:rPr>
          <w:sz w:val="22"/>
          <w:szCs w:val="22"/>
          <w:lang w:val="pl-PL"/>
        </w:rPr>
        <w:t xml:space="preserve"> </w:t>
      </w:r>
      <w:r w:rsidRPr="00BD22FE">
        <w:rPr>
          <w:rStyle w:val="hps"/>
          <w:sz w:val="22"/>
          <w:szCs w:val="22"/>
          <w:lang w:val="pl-PL"/>
        </w:rPr>
        <w:t xml:space="preserve">ze </w:t>
      </w:r>
      <w:r w:rsidRPr="00BD22FE">
        <w:rPr>
          <w:sz w:val="22"/>
          <w:szCs w:val="22"/>
          <w:lang w:val="pl-PL"/>
        </w:rPr>
        <w:t>szczelnego</w:t>
      </w:r>
      <w:r w:rsidRPr="00BD22FE">
        <w:rPr>
          <w:rStyle w:val="hps"/>
          <w:sz w:val="22"/>
          <w:szCs w:val="22"/>
          <w:lang w:val="pl-PL"/>
        </w:rPr>
        <w:t xml:space="preserve"> blistra</w:t>
      </w:r>
      <w:r w:rsidRPr="00BD22FE">
        <w:rPr>
          <w:sz w:val="22"/>
          <w:szCs w:val="22"/>
          <w:lang w:val="pl-PL"/>
        </w:rPr>
        <w:t xml:space="preserve"> </w:t>
      </w:r>
      <w:r w:rsidRPr="00BD22FE">
        <w:rPr>
          <w:rStyle w:val="hps"/>
          <w:sz w:val="22"/>
          <w:szCs w:val="22"/>
          <w:lang w:val="pl-PL"/>
        </w:rPr>
        <w:t>bezpośrednio</w:t>
      </w:r>
      <w:r w:rsidRPr="00BD22FE">
        <w:rPr>
          <w:sz w:val="22"/>
          <w:szCs w:val="22"/>
          <w:lang w:val="pl-PL"/>
        </w:rPr>
        <w:t xml:space="preserve"> </w:t>
      </w:r>
      <w:r w:rsidRPr="00BD22FE">
        <w:rPr>
          <w:rStyle w:val="hps"/>
          <w:sz w:val="22"/>
          <w:szCs w:val="22"/>
          <w:lang w:val="pl-PL"/>
        </w:rPr>
        <w:t>przed</w:t>
      </w:r>
      <w:r w:rsidRPr="00BD22FE">
        <w:rPr>
          <w:sz w:val="22"/>
          <w:szCs w:val="22"/>
          <w:lang w:val="pl-PL"/>
        </w:rPr>
        <w:t xml:space="preserve"> </w:t>
      </w:r>
      <w:r w:rsidRPr="00BD22FE">
        <w:rPr>
          <w:rStyle w:val="hps"/>
          <w:sz w:val="22"/>
          <w:szCs w:val="22"/>
          <w:lang w:val="pl-PL"/>
        </w:rPr>
        <w:t>zażyciem.</w:t>
      </w:r>
    </w:p>
    <w:p w14:paraId="0418CDB6" w14:textId="77777777" w:rsidR="000016E2" w:rsidRPr="00BD22FE" w:rsidRDefault="000016E2" w:rsidP="00941FBF">
      <w:pPr>
        <w:pStyle w:val="BodyText"/>
        <w:spacing w:line="240" w:lineRule="auto"/>
        <w:jc w:val="left"/>
        <w:rPr>
          <w:sz w:val="22"/>
          <w:szCs w:val="22"/>
          <w:lang w:val="pl-PL"/>
        </w:rPr>
      </w:pPr>
    </w:p>
    <w:p w14:paraId="46986FF8" w14:textId="643C1B52" w:rsidR="000016E2" w:rsidRPr="00BD22FE" w:rsidRDefault="00104CA8" w:rsidP="00941FBF">
      <w:pPr>
        <w:pStyle w:val="BodyText"/>
        <w:spacing w:line="240" w:lineRule="auto"/>
        <w:jc w:val="left"/>
        <w:rPr>
          <w:sz w:val="22"/>
          <w:szCs w:val="22"/>
          <w:lang w:val="pl-PL"/>
        </w:rPr>
      </w:pPr>
      <w:r w:rsidRPr="00BD22FE">
        <w:rPr>
          <w:sz w:val="22"/>
          <w:szCs w:val="22"/>
          <w:lang w:val="pl-PL"/>
        </w:rPr>
        <w:t>Czasami zdarza się, że zewnętrzna powłoka blistra odkleja się od wewnętrznej pomiędzy kieszeniami blistra. W</w:t>
      </w:r>
      <w:r w:rsidR="00717A7B" w:rsidRPr="00BD22FE">
        <w:rPr>
          <w:sz w:val="22"/>
          <w:szCs w:val="22"/>
          <w:lang w:val="pl-PL"/>
        </w:rPr>
        <w:t> </w:t>
      </w:r>
      <w:r w:rsidRPr="00BD22FE">
        <w:rPr>
          <w:sz w:val="22"/>
          <w:szCs w:val="22"/>
          <w:lang w:val="pl-PL"/>
        </w:rPr>
        <w:t>tym przypadku nie ma potrzeby podejmowania żadnych działań.</w:t>
      </w:r>
    </w:p>
    <w:p w14:paraId="610C676A" w14:textId="77777777" w:rsidR="000016E2" w:rsidRPr="00BD22FE" w:rsidRDefault="000016E2" w:rsidP="00941FBF">
      <w:pPr>
        <w:pStyle w:val="BodyText"/>
        <w:spacing w:line="240" w:lineRule="auto"/>
        <w:jc w:val="left"/>
        <w:rPr>
          <w:sz w:val="22"/>
          <w:szCs w:val="22"/>
          <w:lang w:val="pl-PL"/>
        </w:rPr>
      </w:pPr>
    </w:p>
    <w:p w14:paraId="33E8440C" w14:textId="77777777" w:rsidR="000016E2" w:rsidRPr="00BD22FE" w:rsidRDefault="00104CA8" w:rsidP="00941FBF">
      <w:pPr>
        <w:rPr>
          <w:sz w:val="22"/>
          <w:szCs w:val="22"/>
          <w:lang w:val="pl-PL" w:bidi="bn-IN"/>
        </w:rPr>
      </w:pPr>
      <w:r w:rsidRPr="00BD22FE">
        <w:rPr>
          <w:sz w:val="22"/>
          <w:szCs w:val="22"/>
          <w:lang w:val="pl-PL" w:bidi="bn-IN"/>
        </w:rPr>
        <w:t>Leków nie należy wyrzucać do kanalizacji ani domowych pojemników na odpadki. Należy zapytać farmaceutę, jak usunąć leki, których się już nie używa. Takie postępowanie pomoże chronić środowisko.</w:t>
      </w:r>
    </w:p>
    <w:p w14:paraId="70874178" w14:textId="77777777" w:rsidR="000016E2" w:rsidRPr="00BD22FE" w:rsidRDefault="000016E2" w:rsidP="00941FBF">
      <w:pPr>
        <w:pStyle w:val="BodyText"/>
        <w:spacing w:line="240" w:lineRule="auto"/>
        <w:jc w:val="left"/>
        <w:rPr>
          <w:sz w:val="22"/>
          <w:szCs w:val="22"/>
          <w:lang w:val="pl-PL"/>
        </w:rPr>
      </w:pPr>
    </w:p>
    <w:p w14:paraId="0FE792E1" w14:textId="77777777" w:rsidR="000016E2" w:rsidRPr="00BD22FE" w:rsidRDefault="000016E2" w:rsidP="00941FBF">
      <w:pPr>
        <w:pStyle w:val="BodyText"/>
        <w:spacing w:line="240" w:lineRule="auto"/>
        <w:jc w:val="left"/>
        <w:rPr>
          <w:sz w:val="22"/>
          <w:szCs w:val="22"/>
          <w:lang w:val="pl-PL"/>
        </w:rPr>
      </w:pPr>
    </w:p>
    <w:p w14:paraId="41FA8600" w14:textId="6B7E23C6" w:rsidR="000016E2" w:rsidRPr="00BD22FE" w:rsidRDefault="005E756D" w:rsidP="00A610E1">
      <w:pPr>
        <w:pStyle w:val="BodyText"/>
        <w:keepNext/>
        <w:spacing w:line="240" w:lineRule="auto"/>
        <w:ind w:left="567" w:hanging="567"/>
        <w:jc w:val="left"/>
        <w:rPr>
          <w:b/>
          <w:sz w:val="22"/>
          <w:szCs w:val="22"/>
          <w:lang w:val="pl-PL"/>
        </w:rPr>
      </w:pPr>
      <w:r w:rsidRPr="00BD22FE">
        <w:rPr>
          <w:b/>
          <w:sz w:val="22"/>
          <w:szCs w:val="22"/>
          <w:lang w:val="pl-PL" w:bidi="bn-IN"/>
        </w:rPr>
        <w:t>6.</w:t>
      </w:r>
      <w:r w:rsidRPr="00BD22FE">
        <w:rPr>
          <w:b/>
          <w:sz w:val="22"/>
          <w:szCs w:val="22"/>
          <w:lang w:val="pl-PL" w:bidi="bn-IN"/>
        </w:rPr>
        <w:tab/>
      </w:r>
      <w:r w:rsidR="00104CA8" w:rsidRPr="00BD22FE">
        <w:rPr>
          <w:b/>
          <w:sz w:val="22"/>
          <w:szCs w:val="22"/>
          <w:lang w:val="pl-PL" w:bidi="bn-IN"/>
        </w:rPr>
        <w:t>Zawartość opakowania i</w:t>
      </w:r>
      <w:r w:rsidR="00717A7B" w:rsidRPr="00BD22FE">
        <w:rPr>
          <w:b/>
          <w:sz w:val="22"/>
          <w:szCs w:val="22"/>
          <w:lang w:val="pl-PL" w:bidi="bn-IN"/>
        </w:rPr>
        <w:t> </w:t>
      </w:r>
      <w:r w:rsidR="00104CA8" w:rsidRPr="00BD22FE">
        <w:rPr>
          <w:b/>
          <w:sz w:val="22"/>
          <w:szCs w:val="22"/>
          <w:lang w:val="pl-PL" w:bidi="bn-IN"/>
        </w:rPr>
        <w:t>inne informacje</w:t>
      </w:r>
    </w:p>
    <w:p w14:paraId="42F373AF" w14:textId="77777777" w:rsidR="000016E2" w:rsidRPr="00BD22FE" w:rsidRDefault="000016E2" w:rsidP="00A610E1">
      <w:pPr>
        <w:pStyle w:val="BodyText"/>
        <w:keepNext/>
        <w:spacing w:line="240" w:lineRule="auto"/>
        <w:jc w:val="left"/>
        <w:rPr>
          <w:sz w:val="22"/>
          <w:szCs w:val="22"/>
          <w:lang w:val="pl-PL"/>
        </w:rPr>
      </w:pPr>
    </w:p>
    <w:p w14:paraId="10A9D792" w14:textId="77777777" w:rsidR="000016E2" w:rsidRPr="00BD22FE" w:rsidRDefault="00104CA8" w:rsidP="00A610E1">
      <w:pPr>
        <w:pStyle w:val="BodyText"/>
        <w:keepNext/>
        <w:spacing w:line="240" w:lineRule="auto"/>
        <w:jc w:val="left"/>
        <w:rPr>
          <w:b/>
          <w:sz w:val="22"/>
          <w:szCs w:val="22"/>
          <w:lang w:val="pl-PL"/>
        </w:rPr>
      </w:pPr>
      <w:r w:rsidRPr="00BD22FE">
        <w:rPr>
          <w:b/>
          <w:sz w:val="22"/>
          <w:szCs w:val="22"/>
          <w:lang w:val="pl-PL"/>
        </w:rPr>
        <w:t>Co zawiera lek MicardisPlus</w:t>
      </w:r>
    </w:p>
    <w:p w14:paraId="5EBFAB18" w14:textId="567DA7AE" w:rsidR="000016E2" w:rsidRPr="00BD22FE" w:rsidRDefault="00104CA8" w:rsidP="00A610E1">
      <w:pPr>
        <w:keepNext/>
        <w:numPr>
          <w:ilvl w:val="0"/>
          <w:numId w:val="27"/>
        </w:numPr>
        <w:ind w:left="567" w:hanging="567"/>
        <w:rPr>
          <w:sz w:val="22"/>
          <w:szCs w:val="22"/>
          <w:lang w:val="pl-PL"/>
        </w:rPr>
      </w:pPr>
      <w:r w:rsidRPr="00BD22FE">
        <w:rPr>
          <w:sz w:val="22"/>
          <w:szCs w:val="22"/>
          <w:lang w:val="pl-PL"/>
        </w:rPr>
        <w:t>Substancjami czynnymi leku są telmisartan i</w:t>
      </w:r>
      <w:r w:rsidR="00717A7B" w:rsidRPr="00BD22FE">
        <w:rPr>
          <w:sz w:val="22"/>
          <w:szCs w:val="22"/>
          <w:lang w:val="pl-PL"/>
        </w:rPr>
        <w:t> </w:t>
      </w:r>
      <w:r w:rsidRPr="00BD22FE">
        <w:rPr>
          <w:sz w:val="22"/>
          <w:szCs w:val="22"/>
          <w:lang w:val="pl-PL"/>
        </w:rPr>
        <w:t>hydrochlorotiazyd.</w:t>
      </w:r>
    </w:p>
    <w:p w14:paraId="7A139441" w14:textId="6C11CDB5" w:rsidR="000016E2" w:rsidRPr="00BD22FE" w:rsidRDefault="00104CA8" w:rsidP="00A610E1">
      <w:pPr>
        <w:keepNext/>
        <w:ind w:left="567"/>
        <w:rPr>
          <w:sz w:val="22"/>
          <w:szCs w:val="22"/>
          <w:lang w:val="pl-PL"/>
        </w:rPr>
      </w:pPr>
      <w:r w:rsidRPr="00BD22FE">
        <w:rPr>
          <w:sz w:val="22"/>
          <w:szCs w:val="22"/>
          <w:lang w:val="pl-PL"/>
        </w:rPr>
        <w:t>Każda tabletka zawiera 40 mg telmisartanu i</w:t>
      </w:r>
      <w:r w:rsidR="00717A7B" w:rsidRPr="00BD22FE">
        <w:rPr>
          <w:sz w:val="22"/>
          <w:szCs w:val="22"/>
          <w:lang w:val="pl-PL"/>
        </w:rPr>
        <w:t> </w:t>
      </w:r>
      <w:r w:rsidRPr="00BD22FE">
        <w:rPr>
          <w:sz w:val="22"/>
          <w:szCs w:val="22"/>
          <w:lang w:val="pl-PL"/>
        </w:rPr>
        <w:t>12,5</w:t>
      </w:r>
      <w:r w:rsidR="004024FF" w:rsidRPr="00BD22FE">
        <w:rPr>
          <w:sz w:val="22"/>
          <w:szCs w:val="22"/>
          <w:lang w:val="pl-PL"/>
        </w:rPr>
        <w:t> </w:t>
      </w:r>
      <w:r w:rsidRPr="00BD22FE">
        <w:rPr>
          <w:sz w:val="22"/>
          <w:szCs w:val="22"/>
          <w:lang w:val="pl-PL"/>
        </w:rPr>
        <w:t>mg</w:t>
      </w:r>
      <w:r w:rsidR="004024FF" w:rsidRPr="00BD22FE">
        <w:rPr>
          <w:sz w:val="22"/>
          <w:szCs w:val="22"/>
          <w:lang w:val="pl-PL"/>
        </w:rPr>
        <w:t xml:space="preserve"> </w:t>
      </w:r>
      <w:r w:rsidRPr="00BD22FE">
        <w:rPr>
          <w:sz w:val="22"/>
          <w:szCs w:val="22"/>
          <w:lang w:val="pl-PL"/>
        </w:rPr>
        <w:t>hydrochlorotiazydu.</w:t>
      </w:r>
    </w:p>
    <w:p w14:paraId="3273938B" w14:textId="77777777" w:rsidR="003A7E3D" w:rsidRPr="00BD22FE" w:rsidRDefault="00104CA8" w:rsidP="00A610E1">
      <w:pPr>
        <w:numPr>
          <w:ilvl w:val="0"/>
          <w:numId w:val="27"/>
        </w:numPr>
        <w:ind w:left="567" w:hanging="567"/>
        <w:rPr>
          <w:sz w:val="22"/>
          <w:szCs w:val="22"/>
          <w:lang w:val="pl-PL"/>
        </w:rPr>
      </w:pPr>
      <w:r w:rsidRPr="00BD22FE">
        <w:rPr>
          <w:sz w:val="22"/>
          <w:szCs w:val="22"/>
          <w:lang w:val="pl-PL"/>
        </w:rPr>
        <w:t>Pozostałe składniki to: laktoza jednowodna, stearynian magnezu, skrobia kukurydziana, meglumina, mikrokrystaliczna celuloza, powidon K25, czerwony tlenek żelaza (E172), wodorotlenek sodu, skrobi glikolan sodu (typ A), sorbitol (E420).</w:t>
      </w:r>
    </w:p>
    <w:p w14:paraId="039FD23F" w14:textId="45A58566" w:rsidR="004024FF" w:rsidRPr="00BD22FE" w:rsidRDefault="004024FF" w:rsidP="00A610E1">
      <w:pPr>
        <w:pStyle w:val="BodyText"/>
        <w:spacing w:line="240" w:lineRule="auto"/>
        <w:jc w:val="left"/>
        <w:rPr>
          <w:sz w:val="22"/>
          <w:szCs w:val="22"/>
          <w:lang w:val="pl-PL"/>
        </w:rPr>
      </w:pPr>
    </w:p>
    <w:p w14:paraId="25E4D270" w14:textId="27ED8913" w:rsidR="000016E2" w:rsidRPr="00BD22FE" w:rsidRDefault="00104CA8" w:rsidP="00A610E1">
      <w:pPr>
        <w:pStyle w:val="BodyText"/>
        <w:keepNext/>
        <w:spacing w:line="240" w:lineRule="auto"/>
        <w:jc w:val="left"/>
        <w:rPr>
          <w:b/>
          <w:sz w:val="22"/>
          <w:szCs w:val="22"/>
          <w:lang w:val="pl-PL"/>
        </w:rPr>
      </w:pPr>
      <w:r w:rsidRPr="00BD22FE">
        <w:rPr>
          <w:b/>
          <w:sz w:val="22"/>
          <w:szCs w:val="22"/>
          <w:lang w:val="pl-PL"/>
        </w:rPr>
        <w:t>Jak wygląda lek MicardisPlus i</w:t>
      </w:r>
      <w:r w:rsidR="00717A7B" w:rsidRPr="00BD22FE">
        <w:rPr>
          <w:b/>
          <w:sz w:val="22"/>
          <w:szCs w:val="22"/>
          <w:lang w:val="pl-PL"/>
        </w:rPr>
        <w:t> </w:t>
      </w:r>
      <w:r w:rsidRPr="00BD22FE">
        <w:rPr>
          <w:b/>
          <w:sz w:val="22"/>
          <w:szCs w:val="22"/>
          <w:lang w:val="pl-PL"/>
        </w:rPr>
        <w:t>co zawiera opakowanie</w:t>
      </w:r>
    </w:p>
    <w:p w14:paraId="5669CA82" w14:textId="132759C3" w:rsidR="000016E2" w:rsidRPr="00BD22FE" w:rsidRDefault="00104CA8" w:rsidP="00A610E1">
      <w:pPr>
        <w:pStyle w:val="BodyText"/>
        <w:spacing w:line="240" w:lineRule="auto"/>
        <w:jc w:val="left"/>
        <w:rPr>
          <w:sz w:val="22"/>
          <w:szCs w:val="22"/>
          <w:lang w:val="pl-PL"/>
        </w:rPr>
      </w:pPr>
      <w:r w:rsidRPr="00BD22FE">
        <w:rPr>
          <w:sz w:val="22"/>
          <w:szCs w:val="22"/>
          <w:lang w:val="pl-PL"/>
        </w:rPr>
        <w:t>Lek MicardisPlus 40 mg/12,5 mg tabletki to czerwono-białe, podłużne tabletki dwuwarstwowe, z</w:t>
      </w:r>
      <w:r w:rsidR="00717A7B" w:rsidRPr="00BD22FE">
        <w:rPr>
          <w:sz w:val="22"/>
          <w:szCs w:val="22"/>
          <w:lang w:val="pl-PL"/>
        </w:rPr>
        <w:t> </w:t>
      </w:r>
      <w:r w:rsidRPr="00BD22FE">
        <w:rPr>
          <w:sz w:val="22"/>
          <w:szCs w:val="22"/>
          <w:lang w:val="pl-PL"/>
        </w:rPr>
        <w:t>wytłoczonym logo i</w:t>
      </w:r>
      <w:r w:rsidR="00717A7B" w:rsidRPr="00BD22FE">
        <w:rPr>
          <w:sz w:val="22"/>
          <w:szCs w:val="22"/>
          <w:lang w:val="pl-PL"/>
        </w:rPr>
        <w:t> </w:t>
      </w:r>
      <w:r w:rsidRPr="00BD22FE">
        <w:rPr>
          <w:sz w:val="22"/>
          <w:szCs w:val="22"/>
          <w:lang w:val="pl-PL"/>
        </w:rPr>
        <w:t>kodem „H4”.</w:t>
      </w:r>
    </w:p>
    <w:p w14:paraId="338AC36E" w14:textId="2494108F" w:rsidR="000016E2" w:rsidRPr="00BD22FE" w:rsidRDefault="00104CA8" w:rsidP="00A610E1">
      <w:pPr>
        <w:pStyle w:val="BodyText"/>
        <w:spacing w:line="240" w:lineRule="auto"/>
        <w:jc w:val="left"/>
        <w:rPr>
          <w:sz w:val="22"/>
          <w:szCs w:val="22"/>
          <w:lang w:val="pl-PL"/>
        </w:rPr>
      </w:pPr>
      <w:r w:rsidRPr="00BD22FE">
        <w:rPr>
          <w:sz w:val="22"/>
          <w:szCs w:val="22"/>
          <w:lang w:val="pl-PL"/>
        </w:rPr>
        <w:t>Lek MicardisPlus jest dostępny w</w:t>
      </w:r>
      <w:r w:rsidR="00717A7B" w:rsidRPr="00BD22FE">
        <w:rPr>
          <w:sz w:val="22"/>
          <w:szCs w:val="22"/>
          <w:lang w:val="pl-PL"/>
        </w:rPr>
        <w:t> </w:t>
      </w:r>
      <w:r w:rsidRPr="00BD22FE">
        <w:rPr>
          <w:sz w:val="22"/>
          <w:szCs w:val="22"/>
          <w:lang w:val="pl-PL"/>
        </w:rPr>
        <w:t>blistrach zawierających 14, 28, 56, 84 lub 98 tabletek, lub w</w:t>
      </w:r>
      <w:r w:rsidR="00717A7B" w:rsidRPr="00BD22FE">
        <w:rPr>
          <w:sz w:val="22"/>
          <w:szCs w:val="22"/>
          <w:lang w:val="pl-PL"/>
        </w:rPr>
        <w:t> </w:t>
      </w:r>
      <w:r w:rsidRPr="00BD22FE">
        <w:rPr>
          <w:sz w:val="22"/>
          <w:szCs w:val="22"/>
          <w:lang w:val="pl-PL"/>
        </w:rPr>
        <w:t>blistrach podzielnych na dawki pojedyncze zawierających 28 </w:t>
      </w:r>
      <w:r w:rsidR="00F87030" w:rsidRPr="00BD22FE">
        <w:rPr>
          <w:sz w:val="22"/>
          <w:lang w:val="pl-PL"/>
        </w:rPr>
        <w:t>×</w:t>
      </w:r>
      <w:r w:rsidRPr="00BD22FE">
        <w:rPr>
          <w:sz w:val="22"/>
          <w:szCs w:val="22"/>
          <w:lang w:val="pl-PL"/>
        </w:rPr>
        <w:t> 1, 30 </w:t>
      </w:r>
      <w:r w:rsidR="00F87030" w:rsidRPr="00BD22FE">
        <w:rPr>
          <w:sz w:val="22"/>
          <w:lang w:val="pl-PL"/>
        </w:rPr>
        <w:t>×</w:t>
      </w:r>
      <w:r w:rsidRPr="00BD22FE">
        <w:rPr>
          <w:sz w:val="22"/>
          <w:szCs w:val="22"/>
          <w:lang w:val="pl-PL"/>
        </w:rPr>
        <w:t> 1 lub 90 </w:t>
      </w:r>
      <w:r w:rsidR="00F87030" w:rsidRPr="00BD22FE">
        <w:rPr>
          <w:sz w:val="22"/>
          <w:lang w:val="pl-PL"/>
        </w:rPr>
        <w:t>×</w:t>
      </w:r>
      <w:r w:rsidRPr="00BD22FE">
        <w:rPr>
          <w:sz w:val="22"/>
          <w:szCs w:val="22"/>
          <w:lang w:val="pl-PL"/>
        </w:rPr>
        <w:t> 1 tabletka.</w:t>
      </w:r>
    </w:p>
    <w:p w14:paraId="6D782382" w14:textId="77777777" w:rsidR="000016E2" w:rsidRPr="00BD22FE" w:rsidRDefault="000016E2" w:rsidP="00A610E1">
      <w:pPr>
        <w:pStyle w:val="BodyText"/>
        <w:spacing w:line="240" w:lineRule="auto"/>
        <w:jc w:val="left"/>
        <w:rPr>
          <w:sz w:val="22"/>
          <w:szCs w:val="22"/>
          <w:lang w:val="pl-PL"/>
        </w:rPr>
      </w:pPr>
    </w:p>
    <w:p w14:paraId="34F7162F" w14:textId="7F9672F9" w:rsidR="000016E2" w:rsidRPr="00BD22FE" w:rsidRDefault="00104CA8" w:rsidP="00A610E1">
      <w:pPr>
        <w:pStyle w:val="BodyText"/>
        <w:spacing w:line="240" w:lineRule="auto"/>
        <w:jc w:val="left"/>
        <w:rPr>
          <w:sz w:val="22"/>
          <w:szCs w:val="22"/>
          <w:lang w:val="pl-PL"/>
        </w:rPr>
      </w:pPr>
      <w:r w:rsidRPr="00BD22FE">
        <w:rPr>
          <w:sz w:val="22"/>
          <w:szCs w:val="22"/>
          <w:lang w:val="pl-PL"/>
        </w:rPr>
        <w:t>Nie wszystkie wielkości opakowań m</w:t>
      </w:r>
      <w:r w:rsidR="00A87C3B" w:rsidRPr="00BD22FE">
        <w:rPr>
          <w:sz w:val="22"/>
          <w:szCs w:val="22"/>
          <w:lang w:val="pl-PL"/>
        </w:rPr>
        <w:t>uszą</w:t>
      </w:r>
      <w:r w:rsidRPr="00BD22FE">
        <w:rPr>
          <w:sz w:val="22"/>
          <w:szCs w:val="22"/>
          <w:lang w:val="pl-PL"/>
        </w:rPr>
        <w:t xml:space="preserve"> być dostępne w</w:t>
      </w:r>
      <w:r w:rsidR="00717A7B" w:rsidRPr="00BD22FE">
        <w:rPr>
          <w:sz w:val="22"/>
          <w:szCs w:val="22"/>
          <w:lang w:val="pl-PL"/>
        </w:rPr>
        <w:t> </w:t>
      </w:r>
      <w:r w:rsidR="00A87C3B" w:rsidRPr="00BD22FE">
        <w:rPr>
          <w:sz w:val="22"/>
          <w:szCs w:val="22"/>
          <w:lang w:val="pl-PL"/>
        </w:rPr>
        <w:t>danym kraju</w:t>
      </w:r>
      <w:r w:rsidRPr="00BD22FE">
        <w:rPr>
          <w:sz w:val="22"/>
          <w:szCs w:val="22"/>
          <w:lang w:val="pl-PL"/>
        </w:rPr>
        <w:t>.</w:t>
      </w:r>
    </w:p>
    <w:p w14:paraId="061AC88B" w14:textId="77777777" w:rsidR="000016E2" w:rsidRPr="00BD22FE" w:rsidRDefault="000016E2" w:rsidP="00A610E1">
      <w:pPr>
        <w:pStyle w:val="BodyText"/>
        <w:spacing w:line="240" w:lineRule="auto"/>
        <w:jc w:val="left"/>
        <w:rPr>
          <w:sz w:val="22"/>
          <w:szCs w:val="22"/>
          <w:lang w:val="pl-PL"/>
        </w:rPr>
      </w:pPr>
    </w:p>
    <w:tbl>
      <w:tblPr>
        <w:tblW w:w="5000" w:type="pct"/>
        <w:tblLook w:val="01E0" w:firstRow="1" w:lastRow="1" w:firstColumn="1" w:lastColumn="1" w:noHBand="0" w:noVBand="0"/>
      </w:tblPr>
      <w:tblGrid>
        <w:gridCol w:w="4535"/>
        <w:gridCol w:w="4535"/>
      </w:tblGrid>
      <w:tr w:rsidR="000016E2" w:rsidRPr="00BD22FE" w14:paraId="6BEA32CB" w14:textId="77777777" w:rsidTr="0090751B">
        <w:tc>
          <w:tcPr>
            <w:tcW w:w="2500" w:type="pct"/>
          </w:tcPr>
          <w:p w14:paraId="4C8C2A34" w14:textId="77777777" w:rsidR="000016E2" w:rsidRPr="00BD22FE" w:rsidRDefault="00104CA8" w:rsidP="000424FB">
            <w:pPr>
              <w:pStyle w:val="BodyText"/>
              <w:keepNext/>
              <w:spacing w:line="240" w:lineRule="auto"/>
              <w:jc w:val="left"/>
              <w:rPr>
                <w:b/>
                <w:sz w:val="22"/>
                <w:szCs w:val="22"/>
                <w:lang w:val="pl-PL"/>
              </w:rPr>
            </w:pPr>
            <w:r w:rsidRPr="00BD22FE">
              <w:rPr>
                <w:b/>
                <w:sz w:val="22"/>
                <w:szCs w:val="22"/>
                <w:lang w:val="pl-PL"/>
              </w:rPr>
              <w:t>Podmiot odpowiedzialny</w:t>
            </w:r>
          </w:p>
        </w:tc>
        <w:tc>
          <w:tcPr>
            <w:tcW w:w="2500" w:type="pct"/>
          </w:tcPr>
          <w:p w14:paraId="383BDF16" w14:textId="77777777" w:rsidR="000016E2" w:rsidRPr="00BD22FE" w:rsidRDefault="00104CA8" w:rsidP="000424FB">
            <w:pPr>
              <w:pStyle w:val="BodyText"/>
              <w:keepNext/>
              <w:spacing w:line="240" w:lineRule="auto"/>
              <w:jc w:val="left"/>
              <w:rPr>
                <w:b/>
                <w:sz w:val="22"/>
                <w:szCs w:val="22"/>
                <w:lang w:val="pl-PL"/>
              </w:rPr>
            </w:pPr>
            <w:r w:rsidRPr="00BD22FE">
              <w:rPr>
                <w:b/>
                <w:sz w:val="22"/>
                <w:szCs w:val="22"/>
                <w:lang w:val="pl-PL"/>
              </w:rPr>
              <w:t>Wytwórca</w:t>
            </w:r>
          </w:p>
        </w:tc>
      </w:tr>
      <w:tr w:rsidR="000016E2" w:rsidRPr="00C53640" w14:paraId="5A22CA4A" w14:textId="77777777" w:rsidTr="0090751B">
        <w:tc>
          <w:tcPr>
            <w:tcW w:w="2500" w:type="pct"/>
          </w:tcPr>
          <w:p w14:paraId="12AB93DA" w14:textId="77777777" w:rsidR="000016E2" w:rsidRPr="009D16CE" w:rsidRDefault="00104CA8" w:rsidP="000424FB">
            <w:pPr>
              <w:pStyle w:val="BodyText"/>
              <w:keepNext/>
              <w:spacing w:line="240" w:lineRule="auto"/>
              <w:jc w:val="left"/>
              <w:rPr>
                <w:sz w:val="22"/>
                <w:szCs w:val="22"/>
                <w:lang w:val="de-DE"/>
              </w:rPr>
            </w:pPr>
            <w:r w:rsidRPr="009D16CE">
              <w:rPr>
                <w:sz w:val="22"/>
                <w:szCs w:val="22"/>
                <w:lang w:val="de-DE"/>
              </w:rPr>
              <w:t>Boehringer Ingelheim International GmbH</w:t>
            </w:r>
          </w:p>
          <w:p w14:paraId="5B53E0A5" w14:textId="77777777" w:rsidR="000016E2" w:rsidRPr="009D16CE" w:rsidRDefault="00104CA8" w:rsidP="000424FB">
            <w:pPr>
              <w:pStyle w:val="BodyText"/>
              <w:keepNext/>
              <w:spacing w:line="240" w:lineRule="auto"/>
              <w:jc w:val="left"/>
              <w:rPr>
                <w:sz w:val="22"/>
                <w:szCs w:val="22"/>
                <w:lang w:val="de-DE"/>
              </w:rPr>
            </w:pPr>
            <w:r w:rsidRPr="009D16CE">
              <w:rPr>
                <w:sz w:val="22"/>
                <w:szCs w:val="22"/>
                <w:lang w:val="de-DE"/>
              </w:rPr>
              <w:t>Binger Str. 173</w:t>
            </w:r>
          </w:p>
          <w:p w14:paraId="3BDDFA99" w14:textId="77777777" w:rsidR="000016E2" w:rsidRPr="00C53640" w:rsidRDefault="00104CA8" w:rsidP="000424FB">
            <w:pPr>
              <w:pStyle w:val="BodyText"/>
              <w:keepNext/>
              <w:spacing w:line="240" w:lineRule="auto"/>
              <w:jc w:val="left"/>
              <w:rPr>
                <w:sz w:val="22"/>
                <w:szCs w:val="22"/>
                <w:lang w:val="de-DE"/>
              </w:rPr>
            </w:pPr>
            <w:r w:rsidRPr="00C53640">
              <w:rPr>
                <w:sz w:val="22"/>
                <w:szCs w:val="22"/>
                <w:lang w:val="de-DE"/>
              </w:rPr>
              <w:t>55216 Ingelheim am Rhein</w:t>
            </w:r>
          </w:p>
          <w:p w14:paraId="4DE3A58F" w14:textId="77777777" w:rsidR="000016E2" w:rsidRPr="00BD22FE" w:rsidRDefault="00104CA8" w:rsidP="000424FB">
            <w:pPr>
              <w:pStyle w:val="BodyText"/>
              <w:keepNext/>
              <w:spacing w:line="240" w:lineRule="auto"/>
              <w:jc w:val="left"/>
              <w:rPr>
                <w:sz w:val="22"/>
                <w:szCs w:val="22"/>
                <w:lang w:val="pl-PL"/>
              </w:rPr>
            </w:pPr>
            <w:r w:rsidRPr="00BD22FE">
              <w:rPr>
                <w:sz w:val="22"/>
                <w:szCs w:val="22"/>
                <w:lang w:val="pl-PL"/>
              </w:rPr>
              <w:t>Niemcy</w:t>
            </w:r>
          </w:p>
          <w:p w14:paraId="315340F5" w14:textId="77777777" w:rsidR="000016E2" w:rsidRPr="00BD22FE" w:rsidRDefault="000016E2" w:rsidP="000424FB">
            <w:pPr>
              <w:pStyle w:val="BodyText"/>
              <w:keepNext/>
              <w:spacing w:line="240" w:lineRule="auto"/>
              <w:jc w:val="left"/>
              <w:rPr>
                <w:sz w:val="22"/>
                <w:szCs w:val="22"/>
                <w:lang w:val="pl-PL"/>
              </w:rPr>
            </w:pPr>
          </w:p>
        </w:tc>
        <w:tc>
          <w:tcPr>
            <w:tcW w:w="2500" w:type="pct"/>
          </w:tcPr>
          <w:p w14:paraId="3F13C381" w14:textId="77777777" w:rsidR="000016E2" w:rsidRPr="00DE4C52" w:rsidRDefault="00104CA8" w:rsidP="000424FB">
            <w:pPr>
              <w:pStyle w:val="Default"/>
              <w:keepNext/>
              <w:rPr>
                <w:color w:val="auto"/>
                <w:sz w:val="22"/>
                <w:szCs w:val="22"/>
                <w:lang w:val="en-US"/>
              </w:rPr>
            </w:pPr>
            <w:r w:rsidRPr="00DE4C52">
              <w:rPr>
                <w:color w:val="auto"/>
                <w:sz w:val="22"/>
                <w:szCs w:val="22"/>
                <w:lang w:val="en-US"/>
              </w:rPr>
              <w:t>Boehringer Ingelheim Hellas Single Member S.A.</w:t>
            </w:r>
          </w:p>
          <w:p w14:paraId="52DC8D95" w14:textId="77777777" w:rsidR="003A7E3D" w:rsidRPr="00DE4C52" w:rsidRDefault="00104CA8" w:rsidP="000424FB">
            <w:pPr>
              <w:pStyle w:val="Default"/>
              <w:keepNext/>
              <w:rPr>
                <w:color w:val="auto"/>
                <w:sz w:val="22"/>
                <w:szCs w:val="22"/>
                <w:lang w:val="en-US"/>
              </w:rPr>
            </w:pPr>
            <w:r w:rsidRPr="00DE4C52">
              <w:rPr>
                <w:color w:val="auto"/>
                <w:sz w:val="22"/>
                <w:szCs w:val="22"/>
                <w:lang w:val="en-US"/>
              </w:rPr>
              <w:t>5th km Paiania – Markopoulo</w:t>
            </w:r>
          </w:p>
          <w:p w14:paraId="53C0A33F" w14:textId="405D358F" w:rsidR="000016E2" w:rsidRPr="00BD22FE" w:rsidRDefault="00104CA8" w:rsidP="000424FB">
            <w:pPr>
              <w:pStyle w:val="Default"/>
              <w:keepNext/>
              <w:rPr>
                <w:color w:val="auto"/>
                <w:sz w:val="22"/>
                <w:szCs w:val="22"/>
                <w:lang w:val="pl-PL"/>
              </w:rPr>
            </w:pPr>
            <w:r w:rsidRPr="00BD22FE">
              <w:rPr>
                <w:color w:val="auto"/>
                <w:sz w:val="22"/>
                <w:szCs w:val="22"/>
                <w:lang w:val="pl-PL"/>
              </w:rPr>
              <w:t>Koropi Attiki, 19441</w:t>
            </w:r>
          </w:p>
          <w:p w14:paraId="20439669" w14:textId="77777777" w:rsidR="000016E2" w:rsidRPr="009D16CE" w:rsidRDefault="00104CA8" w:rsidP="000424FB">
            <w:pPr>
              <w:pStyle w:val="BodyText"/>
              <w:keepNext/>
              <w:spacing w:line="240" w:lineRule="auto"/>
              <w:jc w:val="left"/>
              <w:rPr>
                <w:sz w:val="22"/>
                <w:szCs w:val="22"/>
                <w:lang w:val="pl-PL"/>
              </w:rPr>
            </w:pPr>
            <w:r w:rsidRPr="009D16CE">
              <w:rPr>
                <w:sz w:val="22"/>
                <w:szCs w:val="22"/>
                <w:lang w:val="pl-PL"/>
              </w:rPr>
              <w:t>Grecja</w:t>
            </w:r>
          </w:p>
          <w:p w14:paraId="5BEDEA8C" w14:textId="77777777" w:rsidR="000016E2" w:rsidRPr="009D16CE" w:rsidRDefault="000016E2" w:rsidP="000424FB">
            <w:pPr>
              <w:pStyle w:val="BodyText"/>
              <w:keepNext/>
              <w:spacing w:line="240" w:lineRule="auto"/>
              <w:jc w:val="left"/>
              <w:rPr>
                <w:sz w:val="22"/>
                <w:szCs w:val="22"/>
                <w:lang w:val="pl-PL"/>
              </w:rPr>
            </w:pPr>
          </w:p>
          <w:p w14:paraId="514BE3BC" w14:textId="77777777" w:rsidR="000016E2" w:rsidRPr="009D16CE" w:rsidRDefault="00104CA8" w:rsidP="000424FB">
            <w:pPr>
              <w:pStyle w:val="BodyText"/>
              <w:keepNext/>
              <w:spacing w:line="240" w:lineRule="auto"/>
              <w:jc w:val="left"/>
              <w:rPr>
                <w:sz w:val="22"/>
                <w:szCs w:val="22"/>
                <w:lang w:val="pl-PL"/>
              </w:rPr>
            </w:pPr>
            <w:r w:rsidRPr="009D16CE">
              <w:rPr>
                <w:sz w:val="22"/>
                <w:szCs w:val="22"/>
                <w:lang w:val="pl-PL"/>
              </w:rPr>
              <w:t>i</w:t>
            </w:r>
          </w:p>
          <w:p w14:paraId="676C8C32" w14:textId="77777777" w:rsidR="000016E2" w:rsidRPr="009D16CE" w:rsidRDefault="000016E2" w:rsidP="000424FB">
            <w:pPr>
              <w:pStyle w:val="BodyText"/>
              <w:keepNext/>
              <w:spacing w:line="240" w:lineRule="auto"/>
              <w:rPr>
                <w:sz w:val="22"/>
                <w:szCs w:val="22"/>
                <w:lang w:val="pl-PL"/>
              </w:rPr>
            </w:pPr>
          </w:p>
          <w:p w14:paraId="4A4B3F64" w14:textId="77777777" w:rsidR="000016E2" w:rsidRPr="009D16CE" w:rsidRDefault="00104CA8" w:rsidP="000424FB">
            <w:pPr>
              <w:pStyle w:val="BodyText"/>
              <w:keepNext/>
              <w:spacing w:line="240" w:lineRule="auto"/>
              <w:rPr>
                <w:sz w:val="22"/>
                <w:szCs w:val="22"/>
                <w:lang w:val="pl-PL"/>
              </w:rPr>
            </w:pPr>
            <w:r w:rsidRPr="009D16CE">
              <w:rPr>
                <w:sz w:val="22"/>
                <w:szCs w:val="22"/>
                <w:lang w:val="pl-PL"/>
              </w:rPr>
              <w:t>Rottendorf Pharma GmbH</w:t>
            </w:r>
          </w:p>
          <w:p w14:paraId="43CBC861" w14:textId="7FF0C6E4" w:rsidR="000016E2" w:rsidRPr="00DE4C52" w:rsidRDefault="00104CA8" w:rsidP="000424FB">
            <w:pPr>
              <w:pStyle w:val="BodyText"/>
              <w:keepNext/>
              <w:spacing w:line="240" w:lineRule="auto"/>
              <w:rPr>
                <w:sz w:val="22"/>
                <w:szCs w:val="22"/>
                <w:lang w:val="de-DE"/>
              </w:rPr>
            </w:pPr>
            <w:r w:rsidRPr="00DE4C52">
              <w:rPr>
                <w:sz w:val="22"/>
                <w:szCs w:val="22"/>
                <w:lang w:val="de-DE"/>
              </w:rPr>
              <w:t>Ostenfelder Strasse 51 - 61</w:t>
            </w:r>
          </w:p>
          <w:p w14:paraId="7BD2FE09" w14:textId="77777777" w:rsidR="000016E2" w:rsidRPr="00DE4C52" w:rsidRDefault="00104CA8" w:rsidP="000424FB">
            <w:pPr>
              <w:pStyle w:val="BodyText"/>
              <w:keepNext/>
              <w:spacing w:line="240" w:lineRule="auto"/>
              <w:rPr>
                <w:sz w:val="22"/>
                <w:szCs w:val="22"/>
                <w:lang w:val="de-DE"/>
              </w:rPr>
            </w:pPr>
            <w:r w:rsidRPr="00DE4C52">
              <w:rPr>
                <w:sz w:val="22"/>
                <w:szCs w:val="22"/>
                <w:lang w:val="de-DE"/>
              </w:rPr>
              <w:t>59320 Ennigerloh</w:t>
            </w:r>
          </w:p>
          <w:p w14:paraId="6868A670" w14:textId="77777777" w:rsidR="000016E2" w:rsidRPr="00DE4C52" w:rsidRDefault="00104CA8" w:rsidP="000424FB">
            <w:pPr>
              <w:pStyle w:val="BodyText"/>
              <w:keepNext/>
              <w:spacing w:line="240" w:lineRule="auto"/>
              <w:jc w:val="left"/>
              <w:rPr>
                <w:sz w:val="22"/>
                <w:szCs w:val="22"/>
                <w:lang w:val="de-DE"/>
              </w:rPr>
            </w:pPr>
            <w:r w:rsidRPr="00DE4C52">
              <w:rPr>
                <w:sz w:val="22"/>
                <w:szCs w:val="22"/>
                <w:lang w:val="de-DE"/>
              </w:rPr>
              <w:t>Niemcy</w:t>
            </w:r>
          </w:p>
          <w:p w14:paraId="11C60A9B" w14:textId="77777777" w:rsidR="000016E2" w:rsidRPr="00DE4C52" w:rsidRDefault="000016E2" w:rsidP="000424FB">
            <w:pPr>
              <w:pStyle w:val="BodyText"/>
              <w:keepNext/>
              <w:spacing w:line="240" w:lineRule="auto"/>
              <w:jc w:val="left"/>
              <w:rPr>
                <w:sz w:val="22"/>
                <w:szCs w:val="22"/>
                <w:lang w:val="de-DE"/>
              </w:rPr>
            </w:pPr>
          </w:p>
          <w:p w14:paraId="75918FB5" w14:textId="77777777" w:rsidR="000016E2" w:rsidRPr="00DE4C52" w:rsidRDefault="00104CA8" w:rsidP="000424FB">
            <w:pPr>
              <w:pStyle w:val="BodyText"/>
              <w:keepNext/>
              <w:spacing w:line="240" w:lineRule="auto"/>
              <w:jc w:val="left"/>
              <w:rPr>
                <w:sz w:val="22"/>
                <w:szCs w:val="22"/>
                <w:lang w:val="de-DE"/>
              </w:rPr>
            </w:pPr>
            <w:r w:rsidRPr="00DE4C52">
              <w:rPr>
                <w:sz w:val="22"/>
                <w:szCs w:val="22"/>
                <w:lang w:val="de-DE"/>
              </w:rPr>
              <w:t>i</w:t>
            </w:r>
          </w:p>
          <w:p w14:paraId="6C4303D1" w14:textId="77777777" w:rsidR="000016E2" w:rsidRPr="00DE4C52" w:rsidRDefault="000016E2" w:rsidP="000424FB">
            <w:pPr>
              <w:pStyle w:val="BodyText"/>
              <w:keepNext/>
              <w:spacing w:line="240" w:lineRule="auto"/>
              <w:jc w:val="left"/>
              <w:rPr>
                <w:sz w:val="22"/>
                <w:szCs w:val="22"/>
                <w:lang w:val="de-DE"/>
              </w:rPr>
            </w:pPr>
          </w:p>
          <w:p w14:paraId="61F66CDF" w14:textId="77777777" w:rsidR="000016E2" w:rsidRPr="00DE4C52" w:rsidRDefault="00104CA8" w:rsidP="000424FB">
            <w:pPr>
              <w:keepNext/>
              <w:autoSpaceDE w:val="0"/>
              <w:autoSpaceDN w:val="0"/>
              <w:rPr>
                <w:rFonts w:eastAsia="PMingLiU"/>
                <w:iCs/>
                <w:sz w:val="22"/>
                <w:szCs w:val="22"/>
                <w:lang w:val="de-DE"/>
              </w:rPr>
            </w:pPr>
            <w:r w:rsidRPr="00DE4C52">
              <w:rPr>
                <w:rFonts w:eastAsia="PMingLiU"/>
                <w:iCs/>
                <w:sz w:val="22"/>
                <w:szCs w:val="22"/>
                <w:lang w:val="de-DE"/>
              </w:rPr>
              <w:t>Boehringer Ingelheim France</w:t>
            </w:r>
          </w:p>
          <w:p w14:paraId="45BBA245" w14:textId="6C08AB84" w:rsidR="000016E2" w:rsidRPr="00C53640" w:rsidRDefault="00104CA8" w:rsidP="000424FB">
            <w:pPr>
              <w:keepNext/>
              <w:autoSpaceDE w:val="0"/>
              <w:autoSpaceDN w:val="0"/>
              <w:rPr>
                <w:rFonts w:eastAsia="PMingLiU"/>
                <w:iCs/>
                <w:sz w:val="22"/>
                <w:szCs w:val="22"/>
                <w:lang w:val="fr-FR"/>
              </w:rPr>
            </w:pPr>
            <w:r w:rsidRPr="00C53640">
              <w:rPr>
                <w:rFonts w:eastAsia="PMingLiU"/>
                <w:iCs/>
                <w:sz w:val="22"/>
                <w:szCs w:val="22"/>
                <w:lang w:val="fr-FR"/>
              </w:rPr>
              <w:t>100</w:t>
            </w:r>
            <w:r w:rsidR="00CB4FE6" w:rsidRPr="00C53640">
              <w:rPr>
                <w:rFonts w:eastAsia="PMingLiU"/>
                <w:iCs/>
                <w:sz w:val="22"/>
                <w:szCs w:val="22"/>
                <w:lang w:val="fr-FR"/>
              </w:rPr>
              <w:noBreakHyphen/>
            </w:r>
            <w:r w:rsidRPr="00C53640">
              <w:rPr>
                <w:rFonts w:eastAsia="PMingLiU"/>
                <w:iCs/>
                <w:sz w:val="22"/>
                <w:szCs w:val="22"/>
                <w:lang w:val="fr-FR"/>
              </w:rPr>
              <w:t>104 Avenue de France</w:t>
            </w:r>
          </w:p>
          <w:p w14:paraId="4A4D0330" w14:textId="77777777" w:rsidR="000016E2" w:rsidRPr="00C53640" w:rsidRDefault="00104CA8" w:rsidP="000424FB">
            <w:pPr>
              <w:keepNext/>
              <w:autoSpaceDE w:val="0"/>
              <w:autoSpaceDN w:val="0"/>
              <w:rPr>
                <w:rFonts w:eastAsia="PMingLiU"/>
                <w:iCs/>
                <w:sz w:val="22"/>
                <w:szCs w:val="22"/>
                <w:lang w:val="fr-FR"/>
              </w:rPr>
            </w:pPr>
            <w:r w:rsidRPr="00C53640">
              <w:rPr>
                <w:rFonts w:eastAsia="PMingLiU"/>
                <w:iCs/>
                <w:sz w:val="22"/>
                <w:szCs w:val="22"/>
                <w:lang w:val="fr-FR"/>
              </w:rPr>
              <w:t xml:space="preserve">75013 </w:t>
            </w:r>
            <w:proofErr w:type="spellStart"/>
            <w:r w:rsidRPr="00C53640">
              <w:rPr>
                <w:rFonts w:eastAsia="PMingLiU"/>
                <w:iCs/>
                <w:sz w:val="22"/>
                <w:szCs w:val="22"/>
                <w:lang w:val="fr-FR"/>
              </w:rPr>
              <w:t>Paryż</w:t>
            </w:r>
            <w:proofErr w:type="spellEnd"/>
          </w:p>
          <w:p w14:paraId="07802547" w14:textId="77777777" w:rsidR="000016E2" w:rsidRPr="00C53640" w:rsidRDefault="00104CA8" w:rsidP="000424FB">
            <w:pPr>
              <w:pStyle w:val="BodyText"/>
              <w:keepNext/>
              <w:spacing w:line="240" w:lineRule="auto"/>
              <w:jc w:val="left"/>
              <w:rPr>
                <w:sz w:val="22"/>
                <w:szCs w:val="22"/>
                <w:lang w:val="fr-FR"/>
              </w:rPr>
            </w:pPr>
            <w:proofErr w:type="spellStart"/>
            <w:r w:rsidRPr="00C53640">
              <w:rPr>
                <w:rFonts w:eastAsia="PMingLiU"/>
                <w:iCs/>
                <w:sz w:val="22"/>
                <w:szCs w:val="22"/>
                <w:lang w:val="fr-FR"/>
              </w:rPr>
              <w:t>Francja</w:t>
            </w:r>
            <w:proofErr w:type="spellEnd"/>
          </w:p>
        </w:tc>
      </w:tr>
    </w:tbl>
    <w:p w14:paraId="2EE6E719" w14:textId="77777777" w:rsidR="000016E2" w:rsidRPr="00C53640" w:rsidRDefault="00104CA8" w:rsidP="00941FBF">
      <w:pPr>
        <w:pStyle w:val="BodyText"/>
        <w:spacing w:line="240" w:lineRule="auto"/>
        <w:jc w:val="left"/>
        <w:rPr>
          <w:sz w:val="22"/>
          <w:szCs w:val="22"/>
          <w:lang w:val="fr-FR"/>
        </w:rPr>
      </w:pPr>
      <w:r w:rsidRPr="00C53640">
        <w:rPr>
          <w:sz w:val="22"/>
          <w:szCs w:val="22"/>
          <w:lang w:val="fr-FR"/>
        </w:rPr>
        <w:br w:type="page"/>
      </w:r>
    </w:p>
    <w:p w14:paraId="7338D287" w14:textId="1FAE6E51" w:rsidR="003A7E3D" w:rsidRPr="00BD22FE" w:rsidRDefault="00104CA8" w:rsidP="00941FBF">
      <w:pPr>
        <w:pStyle w:val="BodyText"/>
        <w:spacing w:line="240" w:lineRule="auto"/>
        <w:jc w:val="left"/>
        <w:rPr>
          <w:sz w:val="22"/>
          <w:szCs w:val="22"/>
          <w:lang w:val="pl-PL"/>
        </w:rPr>
      </w:pPr>
      <w:r w:rsidRPr="00BD22FE">
        <w:rPr>
          <w:sz w:val="22"/>
          <w:szCs w:val="22"/>
          <w:lang w:val="pl-PL"/>
        </w:rPr>
        <w:lastRenderedPageBreak/>
        <w:t>W</w:t>
      </w:r>
      <w:r w:rsidR="00717A7B" w:rsidRPr="00BD22FE">
        <w:rPr>
          <w:sz w:val="22"/>
          <w:szCs w:val="22"/>
          <w:lang w:val="pl-PL"/>
        </w:rPr>
        <w:t> </w:t>
      </w:r>
      <w:r w:rsidRPr="00BD22FE">
        <w:rPr>
          <w:sz w:val="22"/>
          <w:szCs w:val="22"/>
          <w:lang w:val="pl-PL"/>
        </w:rPr>
        <w:t>celu uzyskania bardziej szczegółowych informacji dotyczących tego leku należy zwrócić się do miejscowego przedstawiciela podmiotu odpowiedzialnego:</w:t>
      </w:r>
    </w:p>
    <w:p w14:paraId="0B6448FF" w14:textId="512428AA" w:rsidR="000016E2" w:rsidRPr="00BD22FE" w:rsidRDefault="000016E2" w:rsidP="00941FBF">
      <w:pPr>
        <w:pStyle w:val="BodyText"/>
        <w:spacing w:line="240" w:lineRule="auto"/>
        <w:jc w:val="left"/>
        <w:rPr>
          <w:sz w:val="22"/>
          <w:szCs w:val="22"/>
          <w:lang w:val="pl-PL"/>
        </w:rPr>
      </w:pPr>
    </w:p>
    <w:tbl>
      <w:tblPr>
        <w:tblW w:w="5000" w:type="pct"/>
        <w:tblLook w:val="0000" w:firstRow="0" w:lastRow="0" w:firstColumn="0" w:lastColumn="0" w:noHBand="0" w:noVBand="0"/>
      </w:tblPr>
      <w:tblGrid>
        <w:gridCol w:w="4535"/>
        <w:gridCol w:w="4535"/>
      </w:tblGrid>
      <w:tr w:rsidR="000016E2" w:rsidRPr="00BD22FE" w14:paraId="7D45E710" w14:textId="77777777" w:rsidTr="0090751B">
        <w:tc>
          <w:tcPr>
            <w:tcW w:w="2500" w:type="pct"/>
          </w:tcPr>
          <w:p w14:paraId="21511782" w14:textId="77777777" w:rsidR="000016E2" w:rsidRPr="009D16CE" w:rsidRDefault="00104CA8" w:rsidP="00941FBF">
            <w:pPr>
              <w:pStyle w:val="BodyText"/>
              <w:spacing w:line="240" w:lineRule="auto"/>
              <w:jc w:val="left"/>
              <w:rPr>
                <w:b/>
                <w:sz w:val="22"/>
                <w:szCs w:val="22"/>
                <w:lang w:val="de-DE"/>
              </w:rPr>
            </w:pPr>
            <w:r w:rsidRPr="009D16CE">
              <w:rPr>
                <w:b/>
                <w:bCs/>
                <w:sz w:val="22"/>
                <w:szCs w:val="22"/>
                <w:lang w:val="de-DE"/>
              </w:rPr>
              <w:t>België/Belgique/Belgien</w:t>
            </w:r>
          </w:p>
          <w:p w14:paraId="3EFFAAE5" w14:textId="7C71CDBA" w:rsidR="000016E2" w:rsidRPr="009D16CE" w:rsidRDefault="00104CA8" w:rsidP="00941FBF">
            <w:pPr>
              <w:pStyle w:val="BodyText"/>
              <w:spacing w:line="240" w:lineRule="auto"/>
              <w:jc w:val="left"/>
              <w:rPr>
                <w:sz w:val="22"/>
                <w:szCs w:val="22"/>
                <w:lang w:val="de-DE" w:eastAsia="ja-JP"/>
              </w:rPr>
            </w:pPr>
            <w:r w:rsidRPr="009D16CE">
              <w:rPr>
                <w:rFonts w:eastAsia="MS Mincho"/>
                <w:sz w:val="22"/>
                <w:szCs w:val="22"/>
                <w:lang w:val="de-DE" w:eastAsia="ja-JP"/>
              </w:rPr>
              <w:t>Boehringer Ingelheim S</w:t>
            </w:r>
            <w:r w:rsidR="00F90126" w:rsidRPr="009D16CE">
              <w:rPr>
                <w:rFonts w:eastAsia="MS Mincho"/>
                <w:sz w:val="22"/>
                <w:szCs w:val="22"/>
                <w:lang w:val="de-DE" w:eastAsia="ja-JP"/>
              </w:rPr>
              <w:t>C</w:t>
            </w:r>
            <w:r w:rsidRPr="009D16CE">
              <w:rPr>
                <w:rFonts w:eastAsia="MS Mincho"/>
                <w:sz w:val="22"/>
                <w:szCs w:val="22"/>
                <w:lang w:val="de-DE" w:eastAsia="ja-JP"/>
              </w:rPr>
              <w:t>omm</w:t>
            </w:r>
          </w:p>
          <w:p w14:paraId="714BF6C5" w14:textId="77777777" w:rsidR="000016E2" w:rsidRPr="00BD22FE" w:rsidRDefault="00104CA8" w:rsidP="00941FBF">
            <w:pPr>
              <w:pStyle w:val="BodyText"/>
              <w:spacing w:line="240" w:lineRule="auto"/>
              <w:jc w:val="left"/>
              <w:rPr>
                <w:sz w:val="22"/>
                <w:szCs w:val="22"/>
                <w:lang w:val="pl-PL" w:eastAsia="ja-JP"/>
              </w:rPr>
            </w:pPr>
            <w:r w:rsidRPr="00BD22FE">
              <w:rPr>
                <w:sz w:val="22"/>
                <w:szCs w:val="22"/>
                <w:lang w:val="pl-PL" w:eastAsia="ja-JP"/>
              </w:rPr>
              <w:t>Tél/Tel: +32 2 773 33 11</w:t>
            </w:r>
          </w:p>
          <w:p w14:paraId="0A46CCC5" w14:textId="77777777" w:rsidR="000016E2" w:rsidRPr="00BD22FE" w:rsidRDefault="000016E2" w:rsidP="00941FBF">
            <w:pPr>
              <w:pStyle w:val="BodyText"/>
              <w:spacing w:line="240" w:lineRule="auto"/>
              <w:jc w:val="left"/>
              <w:rPr>
                <w:sz w:val="22"/>
                <w:szCs w:val="22"/>
                <w:lang w:val="pl-PL"/>
              </w:rPr>
            </w:pPr>
          </w:p>
        </w:tc>
        <w:tc>
          <w:tcPr>
            <w:tcW w:w="2500" w:type="pct"/>
          </w:tcPr>
          <w:p w14:paraId="592A55F1" w14:textId="77777777" w:rsidR="000016E2" w:rsidRPr="00DE4C52" w:rsidRDefault="00104CA8" w:rsidP="00941FBF">
            <w:pPr>
              <w:rPr>
                <w:sz w:val="22"/>
                <w:szCs w:val="22"/>
                <w:lang w:val="de-DE"/>
              </w:rPr>
            </w:pPr>
            <w:r w:rsidRPr="00DE4C52">
              <w:rPr>
                <w:b/>
                <w:bCs/>
                <w:sz w:val="22"/>
                <w:szCs w:val="22"/>
                <w:lang w:val="de-DE"/>
              </w:rPr>
              <w:t>Lietuva</w:t>
            </w:r>
          </w:p>
          <w:p w14:paraId="482FD71E" w14:textId="77777777" w:rsidR="000016E2" w:rsidRPr="00DE4C52" w:rsidRDefault="00104CA8" w:rsidP="00941FBF">
            <w:pPr>
              <w:rPr>
                <w:sz w:val="22"/>
                <w:szCs w:val="22"/>
                <w:lang w:val="de-DE" w:eastAsia="ja-JP"/>
              </w:rPr>
            </w:pPr>
            <w:r w:rsidRPr="00DE4C52">
              <w:rPr>
                <w:sz w:val="22"/>
                <w:szCs w:val="22"/>
                <w:lang w:val="de-DE" w:eastAsia="ja-JP"/>
              </w:rPr>
              <w:t>Boehringer Ingelheim RCV GmbH &amp; Co KG</w:t>
            </w:r>
          </w:p>
          <w:p w14:paraId="6E5C6832" w14:textId="77777777" w:rsidR="000016E2" w:rsidRPr="00BD22FE" w:rsidRDefault="00104CA8" w:rsidP="00941FBF">
            <w:pPr>
              <w:rPr>
                <w:sz w:val="22"/>
                <w:szCs w:val="22"/>
                <w:lang w:val="pl-PL" w:eastAsia="ja-JP"/>
              </w:rPr>
            </w:pPr>
            <w:r w:rsidRPr="00BD22FE">
              <w:rPr>
                <w:sz w:val="22"/>
                <w:szCs w:val="22"/>
                <w:lang w:val="pl-PL" w:eastAsia="ja-JP"/>
              </w:rPr>
              <w:t>Lietuvos filialas</w:t>
            </w:r>
          </w:p>
          <w:p w14:paraId="6A163F3F" w14:textId="77777777" w:rsidR="000016E2" w:rsidRPr="00BD22FE" w:rsidRDefault="00104CA8" w:rsidP="00941FBF">
            <w:pPr>
              <w:rPr>
                <w:sz w:val="22"/>
                <w:szCs w:val="22"/>
                <w:lang w:val="pl-PL"/>
              </w:rPr>
            </w:pPr>
            <w:r w:rsidRPr="00BD22FE">
              <w:rPr>
                <w:sz w:val="22"/>
                <w:szCs w:val="22"/>
                <w:lang w:val="pl-PL" w:eastAsia="ja-JP"/>
              </w:rPr>
              <w:t>Tel.: +370 5 2595942</w:t>
            </w:r>
          </w:p>
          <w:p w14:paraId="7285421A" w14:textId="77777777" w:rsidR="000016E2" w:rsidRPr="00BD22FE" w:rsidRDefault="000016E2" w:rsidP="00941FBF">
            <w:pPr>
              <w:pStyle w:val="BodyText"/>
              <w:spacing w:line="240" w:lineRule="auto"/>
              <w:jc w:val="left"/>
              <w:rPr>
                <w:sz w:val="22"/>
                <w:szCs w:val="22"/>
                <w:lang w:val="pl-PL"/>
              </w:rPr>
            </w:pPr>
          </w:p>
        </w:tc>
      </w:tr>
      <w:tr w:rsidR="000016E2" w:rsidRPr="00DE4C52" w14:paraId="79876477" w14:textId="77777777" w:rsidTr="0090751B">
        <w:tc>
          <w:tcPr>
            <w:tcW w:w="2500" w:type="pct"/>
          </w:tcPr>
          <w:p w14:paraId="7DBE4852" w14:textId="77777777" w:rsidR="000016E2" w:rsidRPr="00166B77" w:rsidRDefault="00104CA8" w:rsidP="00941FBF">
            <w:pPr>
              <w:autoSpaceDE w:val="0"/>
              <w:autoSpaceDN w:val="0"/>
              <w:adjustRightInd w:val="0"/>
              <w:rPr>
                <w:b/>
                <w:bCs/>
                <w:sz w:val="22"/>
                <w:szCs w:val="22"/>
              </w:rPr>
            </w:pPr>
            <w:r w:rsidRPr="00BD22FE">
              <w:rPr>
                <w:b/>
                <w:bCs/>
                <w:sz w:val="22"/>
                <w:szCs w:val="22"/>
                <w:lang w:val="pl-PL"/>
              </w:rPr>
              <w:t>България</w:t>
            </w:r>
          </w:p>
          <w:p w14:paraId="07E96735" w14:textId="77777777" w:rsidR="000016E2" w:rsidRPr="00BD22FE" w:rsidRDefault="00104CA8" w:rsidP="00941FBF">
            <w:pPr>
              <w:rPr>
                <w:sz w:val="22"/>
                <w:szCs w:val="22"/>
                <w:lang w:val="pl-PL"/>
              </w:rPr>
            </w:pPr>
            <w:r w:rsidRPr="00BD22FE">
              <w:rPr>
                <w:rFonts w:eastAsia="MS Mincho"/>
                <w:sz w:val="22"/>
                <w:szCs w:val="22"/>
                <w:lang w:val="pl-PL" w:eastAsia="ja-JP"/>
              </w:rPr>
              <w:t>Бьорингер</w:t>
            </w:r>
            <w:r w:rsidRPr="00166B77">
              <w:rPr>
                <w:rFonts w:eastAsia="MS Mincho"/>
                <w:sz w:val="22"/>
                <w:szCs w:val="22"/>
                <w:lang w:eastAsia="ja-JP"/>
              </w:rPr>
              <w:t xml:space="preserve"> </w:t>
            </w:r>
            <w:r w:rsidRPr="00BD22FE">
              <w:rPr>
                <w:rFonts w:eastAsia="MS Mincho"/>
                <w:sz w:val="22"/>
                <w:szCs w:val="22"/>
                <w:lang w:val="pl-PL" w:eastAsia="ja-JP"/>
              </w:rPr>
              <w:t>Ингелхайм</w:t>
            </w:r>
            <w:r w:rsidRPr="00166B77">
              <w:rPr>
                <w:rFonts w:eastAsia="MS Mincho"/>
                <w:sz w:val="22"/>
                <w:szCs w:val="22"/>
                <w:lang w:eastAsia="ja-JP"/>
              </w:rPr>
              <w:t xml:space="preserve"> </w:t>
            </w:r>
            <w:r w:rsidRPr="00BD22FE">
              <w:rPr>
                <w:rFonts w:eastAsia="MS Mincho"/>
                <w:sz w:val="22"/>
                <w:szCs w:val="22"/>
                <w:lang w:val="pl-PL" w:eastAsia="ja-JP"/>
              </w:rPr>
              <w:t>РЦВ</w:t>
            </w:r>
            <w:r w:rsidRPr="00166B77">
              <w:rPr>
                <w:rFonts w:eastAsia="MS Mincho"/>
                <w:sz w:val="22"/>
                <w:szCs w:val="22"/>
                <w:lang w:eastAsia="ja-JP"/>
              </w:rPr>
              <w:t xml:space="preserve"> </w:t>
            </w:r>
            <w:r w:rsidRPr="00BD22FE">
              <w:rPr>
                <w:rFonts w:eastAsia="MS Mincho"/>
                <w:sz w:val="22"/>
                <w:szCs w:val="22"/>
                <w:lang w:val="pl-PL" w:eastAsia="ja-JP"/>
              </w:rPr>
              <w:t>ГмбХ</w:t>
            </w:r>
            <w:r w:rsidRPr="00166B77">
              <w:rPr>
                <w:rFonts w:eastAsia="MS Mincho"/>
                <w:sz w:val="22"/>
                <w:szCs w:val="22"/>
                <w:lang w:eastAsia="ja-JP"/>
              </w:rPr>
              <w:t xml:space="preserve"> </w:t>
            </w:r>
            <w:r w:rsidRPr="00BD22FE">
              <w:rPr>
                <w:rFonts w:eastAsia="MS Mincho"/>
                <w:sz w:val="22"/>
                <w:szCs w:val="22"/>
                <w:lang w:val="pl-PL" w:eastAsia="ja-JP"/>
              </w:rPr>
              <w:t>и</w:t>
            </w:r>
            <w:r w:rsidRPr="00166B77">
              <w:rPr>
                <w:rFonts w:eastAsia="MS Mincho"/>
                <w:sz w:val="22"/>
                <w:szCs w:val="22"/>
                <w:lang w:eastAsia="ja-JP"/>
              </w:rPr>
              <w:t xml:space="preserve"> </w:t>
            </w:r>
            <w:r w:rsidRPr="00BD22FE">
              <w:rPr>
                <w:rFonts w:eastAsia="MS Mincho"/>
                <w:sz w:val="22"/>
                <w:szCs w:val="22"/>
                <w:lang w:val="pl-PL" w:eastAsia="ja-JP"/>
              </w:rPr>
              <w:t>Ко</w:t>
            </w:r>
            <w:r w:rsidRPr="00166B77">
              <w:rPr>
                <w:rFonts w:eastAsia="MS Mincho"/>
                <w:sz w:val="22"/>
                <w:szCs w:val="22"/>
                <w:lang w:eastAsia="ja-JP"/>
              </w:rPr>
              <w:t xml:space="preserve">. </w:t>
            </w:r>
            <w:r w:rsidRPr="00BD22FE">
              <w:rPr>
                <w:rFonts w:eastAsia="MS Mincho"/>
                <w:sz w:val="22"/>
                <w:szCs w:val="22"/>
                <w:lang w:val="pl-PL" w:eastAsia="ja-JP"/>
              </w:rPr>
              <w:t>КГ - клон България</w:t>
            </w:r>
          </w:p>
          <w:p w14:paraId="202901A5" w14:textId="77777777" w:rsidR="000016E2" w:rsidRPr="00BD22FE" w:rsidRDefault="00104CA8" w:rsidP="00941FBF">
            <w:pPr>
              <w:autoSpaceDE w:val="0"/>
              <w:autoSpaceDN w:val="0"/>
              <w:adjustRightInd w:val="0"/>
              <w:rPr>
                <w:sz w:val="22"/>
                <w:szCs w:val="22"/>
                <w:lang w:val="pl-PL"/>
              </w:rPr>
            </w:pPr>
            <w:r w:rsidRPr="00BD22FE">
              <w:rPr>
                <w:rFonts w:eastAsia="MS Mincho"/>
                <w:sz w:val="22"/>
                <w:szCs w:val="22"/>
                <w:lang w:val="pl-PL" w:eastAsia="ja-JP"/>
              </w:rPr>
              <w:t>Тел: +359 2 958 79 98</w:t>
            </w:r>
          </w:p>
          <w:p w14:paraId="6030E2EB" w14:textId="77777777" w:rsidR="000016E2" w:rsidRPr="00BD22FE" w:rsidRDefault="000016E2" w:rsidP="00941FBF">
            <w:pPr>
              <w:pStyle w:val="BodyText"/>
              <w:spacing w:line="240" w:lineRule="auto"/>
              <w:jc w:val="left"/>
              <w:rPr>
                <w:sz w:val="22"/>
                <w:szCs w:val="22"/>
                <w:lang w:val="pl-PL"/>
              </w:rPr>
            </w:pPr>
          </w:p>
        </w:tc>
        <w:tc>
          <w:tcPr>
            <w:tcW w:w="2500" w:type="pct"/>
          </w:tcPr>
          <w:p w14:paraId="4E7E3241" w14:textId="77777777" w:rsidR="000016E2" w:rsidRPr="009D16CE" w:rsidRDefault="00104CA8" w:rsidP="00941FBF">
            <w:pPr>
              <w:pStyle w:val="BodyText"/>
              <w:spacing w:line="240" w:lineRule="auto"/>
              <w:jc w:val="left"/>
              <w:rPr>
                <w:b/>
                <w:sz w:val="22"/>
                <w:szCs w:val="22"/>
                <w:lang w:val="de-DE"/>
              </w:rPr>
            </w:pPr>
            <w:r w:rsidRPr="009D16CE">
              <w:rPr>
                <w:b/>
                <w:bCs/>
                <w:sz w:val="22"/>
                <w:szCs w:val="22"/>
                <w:lang w:val="de-DE"/>
              </w:rPr>
              <w:t>Luxembourg/Luxemburg</w:t>
            </w:r>
          </w:p>
          <w:p w14:paraId="5A5ABC22" w14:textId="47468C5E" w:rsidR="000016E2" w:rsidRPr="009D16CE" w:rsidRDefault="00104CA8" w:rsidP="00941FBF">
            <w:pPr>
              <w:pStyle w:val="BodyText"/>
              <w:spacing w:line="240" w:lineRule="auto"/>
              <w:jc w:val="left"/>
              <w:rPr>
                <w:sz w:val="22"/>
                <w:szCs w:val="22"/>
                <w:lang w:val="de-DE" w:eastAsia="ja-JP"/>
              </w:rPr>
            </w:pPr>
            <w:r w:rsidRPr="009D16CE">
              <w:rPr>
                <w:rFonts w:eastAsia="MS Mincho"/>
                <w:sz w:val="22"/>
                <w:szCs w:val="22"/>
                <w:lang w:val="de-DE" w:eastAsia="ja-JP"/>
              </w:rPr>
              <w:t>Boehringer Ingelheim S</w:t>
            </w:r>
            <w:r w:rsidR="00F90126" w:rsidRPr="009D16CE">
              <w:rPr>
                <w:rFonts w:eastAsia="MS Mincho"/>
                <w:sz w:val="22"/>
                <w:szCs w:val="22"/>
                <w:lang w:val="de-DE" w:eastAsia="ja-JP"/>
              </w:rPr>
              <w:t>C</w:t>
            </w:r>
            <w:r w:rsidRPr="009D16CE">
              <w:rPr>
                <w:rFonts w:eastAsia="MS Mincho"/>
                <w:sz w:val="22"/>
                <w:szCs w:val="22"/>
                <w:lang w:val="de-DE" w:eastAsia="ja-JP"/>
              </w:rPr>
              <w:t>omm</w:t>
            </w:r>
          </w:p>
          <w:p w14:paraId="65F039FE" w14:textId="77777777" w:rsidR="000016E2" w:rsidRPr="009D16CE" w:rsidRDefault="00104CA8" w:rsidP="00941FBF">
            <w:pPr>
              <w:pStyle w:val="BodyText"/>
              <w:spacing w:line="240" w:lineRule="auto"/>
              <w:jc w:val="left"/>
              <w:rPr>
                <w:sz w:val="22"/>
                <w:szCs w:val="22"/>
                <w:lang w:val="de-DE" w:eastAsia="ja-JP"/>
              </w:rPr>
            </w:pPr>
            <w:r w:rsidRPr="009D16CE">
              <w:rPr>
                <w:sz w:val="22"/>
                <w:szCs w:val="22"/>
                <w:lang w:val="de-DE" w:eastAsia="ja-JP"/>
              </w:rPr>
              <w:t>Tél/Tel: +32 2 773 33 11</w:t>
            </w:r>
          </w:p>
          <w:p w14:paraId="4BEDB6B7" w14:textId="77777777" w:rsidR="000016E2" w:rsidRPr="009D16CE" w:rsidRDefault="000016E2" w:rsidP="00941FBF">
            <w:pPr>
              <w:pStyle w:val="BodyText"/>
              <w:spacing w:line="240" w:lineRule="auto"/>
              <w:jc w:val="left"/>
              <w:rPr>
                <w:sz w:val="22"/>
                <w:szCs w:val="22"/>
                <w:lang w:val="de-DE"/>
              </w:rPr>
            </w:pPr>
          </w:p>
        </w:tc>
      </w:tr>
      <w:tr w:rsidR="000016E2" w:rsidRPr="00BD22FE" w14:paraId="7F8E597A" w14:textId="77777777" w:rsidTr="0090751B">
        <w:tc>
          <w:tcPr>
            <w:tcW w:w="2500" w:type="pct"/>
          </w:tcPr>
          <w:p w14:paraId="5A262F33" w14:textId="77777777" w:rsidR="000016E2" w:rsidRPr="009D16CE" w:rsidRDefault="00104CA8" w:rsidP="00941FBF">
            <w:pPr>
              <w:pStyle w:val="BodyText"/>
              <w:spacing w:line="240" w:lineRule="auto"/>
              <w:jc w:val="left"/>
              <w:rPr>
                <w:b/>
                <w:sz w:val="22"/>
                <w:szCs w:val="22"/>
                <w:lang w:val="de-DE"/>
              </w:rPr>
            </w:pPr>
            <w:r w:rsidRPr="009D16CE">
              <w:rPr>
                <w:b/>
                <w:bCs/>
                <w:sz w:val="22"/>
                <w:szCs w:val="22"/>
                <w:lang w:val="de-DE"/>
              </w:rPr>
              <w:t>Česká republika</w:t>
            </w:r>
          </w:p>
          <w:p w14:paraId="05EDAF0B" w14:textId="77777777" w:rsidR="000016E2" w:rsidRPr="009D16CE" w:rsidRDefault="00104CA8" w:rsidP="00941FBF">
            <w:pPr>
              <w:pStyle w:val="BodyText"/>
              <w:spacing w:line="240" w:lineRule="auto"/>
              <w:jc w:val="left"/>
              <w:rPr>
                <w:sz w:val="22"/>
                <w:szCs w:val="22"/>
                <w:lang w:val="de-DE" w:eastAsia="ja-JP"/>
              </w:rPr>
            </w:pPr>
            <w:r w:rsidRPr="009D16CE">
              <w:rPr>
                <w:sz w:val="22"/>
                <w:szCs w:val="22"/>
                <w:lang w:val="de-DE" w:eastAsia="ja-JP"/>
              </w:rPr>
              <w:t>Boehringer Ingelheim spol. s r.o.</w:t>
            </w:r>
          </w:p>
          <w:p w14:paraId="0A60E19C" w14:textId="77777777" w:rsidR="000016E2" w:rsidRPr="00BD22FE" w:rsidRDefault="00104CA8" w:rsidP="00941FBF">
            <w:pPr>
              <w:pStyle w:val="BodyText"/>
              <w:spacing w:line="240" w:lineRule="auto"/>
              <w:jc w:val="left"/>
              <w:rPr>
                <w:sz w:val="22"/>
                <w:szCs w:val="22"/>
                <w:lang w:val="pl-PL"/>
              </w:rPr>
            </w:pPr>
            <w:r w:rsidRPr="00BD22FE">
              <w:rPr>
                <w:sz w:val="22"/>
                <w:szCs w:val="22"/>
                <w:lang w:val="pl-PL" w:eastAsia="ja-JP"/>
              </w:rPr>
              <w:t>Tel: +420 234 655 111</w:t>
            </w:r>
          </w:p>
        </w:tc>
        <w:tc>
          <w:tcPr>
            <w:tcW w:w="2500" w:type="pct"/>
          </w:tcPr>
          <w:p w14:paraId="41BBE262" w14:textId="77777777" w:rsidR="000016E2" w:rsidRPr="009D16CE" w:rsidRDefault="00104CA8" w:rsidP="00941FBF">
            <w:pPr>
              <w:pStyle w:val="BodyText"/>
              <w:spacing w:line="240" w:lineRule="auto"/>
              <w:jc w:val="left"/>
              <w:rPr>
                <w:b/>
                <w:bCs/>
                <w:sz w:val="22"/>
                <w:szCs w:val="22"/>
                <w:lang w:val="pl-PL"/>
              </w:rPr>
            </w:pPr>
            <w:r w:rsidRPr="009D16CE">
              <w:rPr>
                <w:b/>
                <w:bCs/>
                <w:sz w:val="22"/>
                <w:szCs w:val="22"/>
                <w:lang w:val="pl-PL"/>
              </w:rPr>
              <w:t>Magyarország</w:t>
            </w:r>
          </w:p>
          <w:p w14:paraId="5FE892BB" w14:textId="77777777" w:rsidR="000016E2" w:rsidRPr="009D16CE" w:rsidRDefault="00104CA8" w:rsidP="00941FBF">
            <w:pPr>
              <w:pStyle w:val="BodyText"/>
              <w:spacing w:line="240" w:lineRule="auto"/>
              <w:jc w:val="left"/>
              <w:rPr>
                <w:sz w:val="22"/>
                <w:szCs w:val="22"/>
                <w:lang w:val="pl-PL" w:eastAsia="de-DE"/>
              </w:rPr>
            </w:pPr>
            <w:r w:rsidRPr="009D16CE">
              <w:rPr>
                <w:sz w:val="22"/>
                <w:szCs w:val="22"/>
                <w:lang w:val="pl-PL" w:eastAsia="de-DE"/>
              </w:rPr>
              <w:t>Boehringer Ingelheim RCV GmbH &amp; Co KG</w:t>
            </w:r>
          </w:p>
          <w:p w14:paraId="7851F48F" w14:textId="77777777" w:rsidR="000016E2" w:rsidRPr="00BD22FE" w:rsidRDefault="00104CA8" w:rsidP="00941FBF">
            <w:pPr>
              <w:pStyle w:val="BodyText"/>
              <w:spacing w:line="240" w:lineRule="auto"/>
              <w:jc w:val="left"/>
              <w:rPr>
                <w:sz w:val="22"/>
                <w:szCs w:val="22"/>
                <w:lang w:val="pl-PL" w:eastAsia="de-DE"/>
              </w:rPr>
            </w:pPr>
            <w:r w:rsidRPr="00BD22FE">
              <w:rPr>
                <w:bCs/>
                <w:sz w:val="22"/>
                <w:szCs w:val="22"/>
                <w:lang w:val="pl-PL"/>
              </w:rPr>
              <w:t xml:space="preserve">Magyarországi </w:t>
            </w:r>
            <w:r w:rsidRPr="00BD22FE">
              <w:rPr>
                <w:sz w:val="22"/>
                <w:szCs w:val="22"/>
                <w:lang w:val="pl-PL" w:eastAsia="de-DE"/>
              </w:rPr>
              <w:t>Fióktelepe</w:t>
            </w:r>
          </w:p>
          <w:p w14:paraId="7B200FFA" w14:textId="77777777" w:rsidR="000016E2" w:rsidRPr="00BD22FE" w:rsidRDefault="00104CA8" w:rsidP="00941FBF">
            <w:pPr>
              <w:pStyle w:val="BodyText"/>
              <w:spacing w:line="240" w:lineRule="auto"/>
              <w:jc w:val="left"/>
              <w:rPr>
                <w:sz w:val="22"/>
                <w:szCs w:val="22"/>
                <w:lang w:val="pl-PL"/>
              </w:rPr>
            </w:pPr>
            <w:r w:rsidRPr="00BD22FE">
              <w:rPr>
                <w:sz w:val="22"/>
                <w:szCs w:val="22"/>
                <w:lang w:val="pl-PL" w:eastAsia="de-DE"/>
              </w:rPr>
              <w:t xml:space="preserve">Tel.: </w:t>
            </w:r>
            <w:r w:rsidRPr="00BD22FE">
              <w:rPr>
                <w:sz w:val="22"/>
                <w:szCs w:val="22"/>
                <w:lang w:val="pl-PL"/>
              </w:rPr>
              <w:t>+36 1 299 89 00</w:t>
            </w:r>
          </w:p>
          <w:p w14:paraId="1811D7BE" w14:textId="77777777" w:rsidR="000016E2" w:rsidRPr="00BD22FE" w:rsidRDefault="000016E2" w:rsidP="00941FBF">
            <w:pPr>
              <w:pStyle w:val="BodyText"/>
              <w:spacing w:line="240" w:lineRule="auto"/>
              <w:jc w:val="left"/>
              <w:rPr>
                <w:sz w:val="22"/>
                <w:szCs w:val="22"/>
                <w:lang w:val="pl-PL"/>
              </w:rPr>
            </w:pPr>
          </w:p>
        </w:tc>
      </w:tr>
      <w:tr w:rsidR="000016E2" w:rsidRPr="00BD22FE" w14:paraId="1A1167E4" w14:textId="77777777" w:rsidTr="0090751B">
        <w:tc>
          <w:tcPr>
            <w:tcW w:w="2500" w:type="pct"/>
          </w:tcPr>
          <w:p w14:paraId="130BAC23" w14:textId="77777777" w:rsidR="000016E2" w:rsidRPr="009D16CE" w:rsidRDefault="00104CA8" w:rsidP="00941FBF">
            <w:pPr>
              <w:pStyle w:val="BodyText"/>
              <w:spacing w:line="240" w:lineRule="auto"/>
              <w:jc w:val="left"/>
              <w:rPr>
                <w:b/>
                <w:sz w:val="22"/>
                <w:szCs w:val="22"/>
                <w:lang w:val="de-DE"/>
              </w:rPr>
            </w:pPr>
            <w:r w:rsidRPr="009D16CE">
              <w:rPr>
                <w:b/>
                <w:bCs/>
                <w:sz w:val="22"/>
                <w:szCs w:val="22"/>
                <w:lang w:val="de-DE"/>
              </w:rPr>
              <w:t>Danmark</w:t>
            </w:r>
          </w:p>
          <w:p w14:paraId="41D77648" w14:textId="77777777" w:rsidR="000016E2" w:rsidRPr="009D16CE" w:rsidRDefault="00104CA8" w:rsidP="00A610E1">
            <w:pPr>
              <w:pStyle w:val="BodyText"/>
              <w:spacing w:line="240" w:lineRule="auto"/>
              <w:jc w:val="left"/>
              <w:rPr>
                <w:sz w:val="22"/>
                <w:szCs w:val="22"/>
                <w:lang w:val="de-DE" w:eastAsia="ja-JP"/>
              </w:rPr>
            </w:pPr>
            <w:r w:rsidRPr="009D16CE">
              <w:rPr>
                <w:sz w:val="22"/>
                <w:szCs w:val="22"/>
                <w:lang w:val="de-DE" w:eastAsia="ja-JP"/>
              </w:rPr>
              <w:t>Boehringer Ingelheim Danmark A/S</w:t>
            </w:r>
          </w:p>
          <w:p w14:paraId="748FA4D6" w14:textId="2A5DCD20" w:rsidR="000016E2" w:rsidRPr="00BD22FE" w:rsidRDefault="00104CA8" w:rsidP="00941FBF">
            <w:pPr>
              <w:pStyle w:val="BodyText"/>
              <w:spacing w:line="240" w:lineRule="auto"/>
              <w:jc w:val="left"/>
              <w:rPr>
                <w:sz w:val="22"/>
                <w:szCs w:val="22"/>
                <w:lang w:val="pl-PL" w:eastAsia="ja-JP"/>
              </w:rPr>
            </w:pPr>
            <w:r w:rsidRPr="00BD22FE">
              <w:rPr>
                <w:sz w:val="22"/>
                <w:szCs w:val="22"/>
                <w:lang w:val="pl-PL" w:eastAsia="ja-JP"/>
              </w:rPr>
              <w:t>Tlf</w:t>
            </w:r>
            <w:r w:rsidR="002843C5" w:rsidRPr="00BD22FE">
              <w:rPr>
                <w:sz w:val="22"/>
                <w:szCs w:val="22"/>
                <w:lang w:val="pl-PL" w:eastAsia="ja-JP"/>
              </w:rPr>
              <w:t>.</w:t>
            </w:r>
            <w:r w:rsidRPr="00BD22FE">
              <w:rPr>
                <w:sz w:val="22"/>
                <w:szCs w:val="22"/>
                <w:lang w:val="pl-PL" w:eastAsia="ja-JP"/>
              </w:rPr>
              <w:t>: +45 39 15 88 88</w:t>
            </w:r>
          </w:p>
          <w:p w14:paraId="01E19182" w14:textId="38461B3C" w:rsidR="003A7E3D" w:rsidRPr="00BD22FE" w:rsidRDefault="003A7E3D" w:rsidP="00941FBF">
            <w:pPr>
              <w:pStyle w:val="BodyText"/>
              <w:spacing w:line="240" w:lineRule="auto"/>
              <w:jc w:val="left"/>
              <w:rPr>
                <w:sz w:val="22"/>
                <w:szCs w:val="22"/>
                <w:lang w:val="pl-PL"/>
              </w:rPr>
            </w:pPr>
          </w:p>
        </w:tc>
        <w:tc>
          <w:tcPr>
            <w:tcW w:w="2500" w:type="pct"/>
          </w:tcPr>
          <w:p w14:paraId="4597EA8A" w14:textId="77777777" w:rsidR="000016E2" w:rsidRPr="009D16CE" w:rsidRDefault="00104CA8" w:rsidP="00941FBF">
            <w:pPr>
              <w:pStyle w:val="BodyText"/>
              <w:spacing w:line="240" w:lineRule="auto"/>
              <w:jc w:val="left"/>
              <w:rPr>
                <w:b/>
                <w:bCs/>
                <w:sz w:val="22"/>
                <w:szCs w:val="22"/>
                <w:lang w:val="de-DE"/>
              </w:rPr>
            </w:pPr>
            <w:r w:rsidRPr="009D16CE">
              <w:rPr>
                <w:b/>
                <w:bCs/>
                <w:sz w:val="22"/>
                <w:szCs w:val="22"/>
                <w:lang w:val="de-DE"/>
              </w:rPr>
              <w:t>Malta</w:t>
            </w:r>
          </w:p>
          <w:p w14:paraId="700D8075" w14:textId="77777777" w:rsidR="000016E2" w:rsidRPr="009D16CE" w:rsidRDefault="00104CA8" w:rsidP="00941FBF">
            <w:pPr>
              <w:rPr>
                <w:sz w:val="22"/>
                <w:szCs w:val="22"/>
                <w:lang w:val="de-DE" w:eastAsia="ja-JP"/>
              </w:rPr>
            </w:pPr>
            <w:r w:rsidRPr="009D16CE">
              <w:rPr>
                <w:sz w:val="22"/>
                <w:szCs w:val="22"/>
                <w:lang w:val="de-DE" w:eastAsia="ja-JP"/>
              </w:rPr>
              <w:t>Boehringer Ingelheim Ireland Ltd.</w:t>
            </w:r>
          </w:p>
          <w:p w14:paraId="5105EE8E" w14:textId="77777777" w:rsidR="000016E2" w:rsidRPr="00BD22FE" w:rsidRDefault="00104CA8" w:rsidP="00941FBF">
            <w:pPr>
              <w:pStyle w:val="BodyText"/>
              <w:spacing w:line="240" w:lineRule="auto"/>
              <w:jc w:val="left"/>
              <w:rPr>
                <w:sz w:val="22"/>
                <w:szCs w:val="22"/>
                <w:lang w:val="pl-PL" w:eastAsia="ja-JP"/>
              </w:rPr>
            </w:pPr>
            <w:r w:rsidRPr="00BD22FE">
              <w:rPr>
                <w:sz w:val="22"/>
                <w:szCs w:val="22"/>
                <w:lang w:val="pl-PL" w:eastAsia="ja-JP"/>
              </w:rPr>
              <w:t>Tel: +353 1 295 9620</w:t>
            </w:r>
          </w:p>
          <w:p w14:paraId="6B9DA6B5" w14:textId="77777777" w:rsidR="000016E2" w:rsidRPr="00BD22FE" w:rsidRDefault="000016E2" w:rsidP="00941FBF">
            <w:pPr>
              <w:pStyle w:val="BodyText"/>
              <w:spacing w:line="240" w:lineRule="auto"/>
              <w:jc w:val="left"/>
              <w:rPr>
                <w:sz w:val="22"/>
                <w:szCs w:val="22"/>
                <w:lang w:val="pl-PL"/>
              </w:rPr>
            </w:pPr>
          </w:p>
        </w:tc>
      </w:tr>
      <w:tr w:rsidR="000016E2" w:rsidRPr="00BD22FE" w14:paraId="4DAF47BA" w14:textId="77777777" w:rsidTr="0090751B">
        <w:tc>
          <w:tcPr>
            <w:tcW w:w="2500" w:type="pct"/>
          </w:tcPr>
          <w:p w14:paraId="28CB4C4E" w14:textId="77777777" w:rsidR="000016E2" w:rsidRPr="009D16CE" w:rsidRDefault="00104CA8" w:rsidP="00941FBF">
            <w:pPr>
              <w:pStyle w:val="BodyText"/>
              <w:spacing w:line="240" w:lineRule="auto"/>
              <w:jc w:val="left"/>
              <w:rPr>
                <w:b/>
                <w:sz w:val="22"/>
                <w:szCs w:val="22"/>
                <w:lang w:val="de-DE"/>
              </w:rPr>
            </w:pPr>
            <w:r w:rsidRPr="009D16CE">
              <w:rPr>
                <w:b/>
                <w:bCs/>
                <w:sz w:val="22"/>
                <w:szCs w:val="22"/>
                <w:lang w:val="de-DE"/>
              </w:rPr>
              <w:t>Deutschland</w:t>
            </w:r>
          </w:p>
          <w:p w14:paraId="1A3B01D6" w14:textId="77777777" w:rsidR="000016E2" w:rsidRPr="00BD22FE" w:rsidRDefault="00104CA8" w:rsidP="00941FBF">
            <w:pPr>
              <w:pStyle w:val="BodyText"/>
              <w:spacing w:line="240" w:lineRule="auto"/>
              <w:jc w:val="left"/>
              <w:rPr>
                <w:sz w:val="22"/>
                <w:szCs w:val="22"/>
                <w:lang w:val="pl-PL" w:eastAsia="ja-JP"/>
              </w:rPr>
            </w:pPr>
            <w:r w:rsidRPr="009D16CE">
              <w:rPr>
                <w:sz w:val="22"/>
                <w:szCs w:val="22"/>
                <w:lang w:val="de-DE" w:eastAsia="ja-JP"/>
              </w:rPr>
              <w:t xml:space="preserve">Boehringer Ingelheim Pharma GmbH &amp; Co. </w:t>
            </w:r>
            <w:r w:rsidRPr="00BD22FE">
              <w:rPr>
                <w:sz w:val="22"/>
                <w:szCs w:val="22"/>
                <w:lang w:val="pl-PL" w:eastAsia="ja-JP"/>
              </w:rPr>
              <w:t>KG</w:t>
            </w:r>
          </w:p>
          <w:p w14:paraId="6A99A126" w14:textId="77777777" w:rsidR="000016E2" w:rsidRPr="00BD22FE" w:rsidRDefault="00104CA8" w:rsidP="00A610E1">
            <w:pPr>
              <w:pStyle w:val="BodyText"/>
              <w:spacing w:line="240" w:lineRule="auto"/>
              <w:jc w:val="left"/>
              <w:rPr>
                <w:sz w:val="22"/>
                <w:szCs w:val="22"/>
                <w:lang w:val="pl-PL" w:eastAsia="ja-JP"/>
              </w:rPr>
            </w:pPr>
            <w:r w:rsidRPr="00BD22FE">
              <w:rPr>
                <w:sz w:val="22"/>
                <w:szCs w:val="22"/>
                <w:lang w:val="pl-PL" w:eastAsia="ja-JP"/>
              </w:rPr>
              <w:t>Tel: +49 (0) 800 77 90</w:t>
            </w:r>
            <w:r w:rsidR="003A7E3D" w:rsidRPr="00BD22FE">
              <w:rPr>
                <w:sz w:val="22"/>
                <w:szCs w:val="22"/>
                <w:lang w:val="pl-PL" w:eastAsia="ja-JP"/>
              </w:rPr>
              <w:t xml:space="preserve"> </w:t>
            </w:r>
            <w:r w:rsidRPr="00BD22FE">
              <w:rPr>
                <w:sz w:val="22"/>
                <w:szCs w:val="22"/>
                <w:lang w:val="pl-PL" w:eastAsia="ja-JP"/>
              </w:rPr>
              <w:t>900</w:t>
            </w:r>
          </w:p>
          <w:p w14:paraId="64C23CBE" w14:textId="1613BB16" w:rsidR="003A7E3D" w:rsidRPr="00BD22FE" w:rsidRDefault="003A7E3D" w:rsidP="00941FBF">
            <w:pPr>
              <w:pStyle w:val="BodyText"/>
              <w:spacing w:line="240" w:lineRule="auto"/>
              <w:jc w:val="left"/>
              <w:rPr>
                <w:sz w:val="22"/>
                <w:szCs w:val="22"/>
                <w:lang w:val="pl-PL"/>
              </w:rPr>
            </w:pPr>
          </w:p>
        </w:tc>
        <w:tc>
          <w:tcPr>
            <w:tcW w:w="2500" w:type="pct"/>
          </w:tcPr>
          <w:p w14:paraId="0AA1223D" w14:textId="77777777" w:rsidR="000016E2" w:rsidRPr="009D16CE" w:rsidRDefault="00104CA8" w:rsidP="00941FBF">
            <w:pPr>
              <w:pStyle w:val="BodyText"/>
              <w:spacing w:line="240" w:lineRule="auto"/>
              <w:jc w:val="left"/>
              <w:rPr>
                <w:b/>
                <w:sz w:val="22"/>
                <w:szCs w:val="22"/>
                <w:lang w:val="de-DE"/>
              </w:rPr>
            </w:pPr>
            <w:r w:rsidRPr="009D16CE">
              <w:rPr>
                <w:b/>
                <w:bCs/>
                <w:sz w:val="22"/>
                <w:szCs w:val="22"/>
                <w:lang w:val="de-DE"/>
              </w:rPr>
              <w:t>Nederland</w:t>
            </w:r>
          </w:p>
          <w:p w14:paraId="62AB3023" w14:textId="095EB84E" w:rsidR="000016E2" w:rsidRPr="009D16CE" w:rsidRDefault="00104CA8" w:rsidP="00941FBF">
            <w:pPr>
              <w:pStyle w:val="BodyText"/>
              <w:spacing w:line="240" w:lineRule="auto"/>
              <w:jc w:val="left"/>
              <w:rPr>
                <w:sz w:val="22"/>
                <w:szCs w:val="22"/>
                <w:lang w:val="de-DE" w:eastAsia="ja-JP"/>
              </w:rPr>
            </w:pPr>
            <w:r w:rsidRPr="009D16CE">
              <w:rPr>
                <w:sz w:val="22"/>
                <w:szCs w:val="22"/>
                <w:lang w:val="de-DE" w:eastAsia="ja-JP"/>
              </w:rPr>
              <w:t>Boehringer Ingelheim B.V.</w:t>
            </w:r>
          </w:p>
          <w:p w14:paraId="5C628E79" w14:textId="042C3516" w:rsidR="000016E2" w:rsidRPr="00BD22FE" w:rsidRDefault="00104CA8" w:rsidP="00941FBF">
            <w:pPr>
              <w:pStyle w:val="BodyText"/>
              <w:spacing w:line="240" w:lineRule="auto"/>
              <w:jc w:val="left"/>
              <w:rPr>
                <w:sz w:val="22"/>
                <w:szCs w:val="22"/>
                <w:lang w:val="pl-PL" w:eastAsia="ja-JP"/>
              </w:rPr>
            </w:pPr>
            <w:r w:rsidRPr="00BD22FE">
              <w:rPr>
                <w:sz w:val="22"/>
                <w:szCs w:val="22"/>
                <w:lang w:val="pl-PL" w:eastAsia="ja-JP"/>
              </w:rPr>
              <w:t>Tel: +31 (0) 800 22 55</w:t>
            </w:r>
            <w:r w:rsidR="003A7E3D" w:rsidRPr="00BD22FE">
              <w:rPr>
                <w:sz w:val="22"/>
                <w:szCs w:val="22"/>
                <w:lang w:val="pl-PL" w:eastAsia="ja-JP"/>
              </w:rPr>
              <w:t xml:space="preserve"> </w:t>
            </w:r>
            <w:r w:rsidRPr="00BD22FE">
              <w:rPr>
                <w:sz w:val="22"/>
                <w:szCs w:val="22"/>
                <w:lang w:val="pl-PL" w:eastAsia="ja-JP"/>
              </w:rPr>
              <w:t>889</w:t>
            </w:r>
          </w:p>
          <w:p w14:paraId="4C00970A" w14:textId="77777777" w:rsidR="000016E2" w:rsidRPr="00BD22FE" w:rsidRDefault="000016E2" w:rsidP="00941FBF">
            <w:pPr>
              <w:pStyle w:val="BodyText"/>
              <w:spacing w:line="240" w:lineRule="auto"/>
              <w:jc w:val="left"/>
              <w:rPr>
                <w:sz w:val="22"/>
                <w:szCs w:val="22"/>
                <w:lang w:val="pl-PL"/>
              </w:rPr>
            </w:pPr>
          </w:p>
        </w:tc>
      </w:tr>
      <w:tr w:rsidR="000016E2" w:rsidRPr="00BD22FE" w14:paraId="09B3061F" w14:textId="77777777" w:rsidTr="0090751B">
        <w:tc>
          <w:tcPr>
            <w:tcW w:w="2500" w:type="pct"/>
          </w:tcPr>
          <w:p w14:paraId="585F9664" w14:textId="77777777" w:rsidR="000016E2" w:rsidRPr="00DE4C52" w:rsidRDefault="00104CA8" w:rsidP="00941FBF">
            <w:pPr>
              <w:rPr>
                <w:b/>
                <w:bCs/>
                <w:sz w:val="22"/>
                <w:szCs w:val="22"/>
                <w:lang w:val="de-DE"/>
              </w:rPr>
            </w:pPr>
            <w:r w:rsidRPr="00DE4C52">
              <w:rPr>
                <w:b/>
                <w:bCs/>
                <w:sz w:val="22"/>
                <w:szCs w:val="22"/>
                <w:lang w:val="de-DE"/>
              </w:rPr>
              <w:t>Eesti</w:t>
            </w:r>
          </w:p>
          <w:p w14:paraId="661962C7" w14:textId="77777777" w:rsidR="000016E2" w:rsidRPr="00DE4C52" w:rsidRDefault="00104CA8" w:rsidP="00941FBF">
            <w:pPr>
              <w:rPr>
                <w:sz w:val="22"/>
                <w:szCs w:val="22"/>
                <w:lang w:val="de-DE" w:eastAsia="ja-JP"/>
              </w:rPr>
            </w:pPr>
            <w:r w:rsidRPr="00DE4C52">
              <w:rPr>
                <w:sz w:val="22"/>
                <w:szCs w:val="22"/>
                <w:lang w:val="de-DE" w:eastAsia="ja-JP"/>
              </w:rPr>
              <w:t>Boehringer Ingelheim RCV GmbH &amp; Co KG</w:t>
            </w:r>
          </w:p>
          <w:p w14:paraId="76EF4E12" w14:textId="11D12F87" w:rsidR="000016E2" w:rsidRPr="00C53640" w:rsidRDefault="00104CA8" w:rsidP="00941FBF">
            <w:pPr>
              <w:rPr>
                <w:sz w:val="22"/>
                <w:szCs w:val="22"/>
                <w:lang w:eastAsia="de-DE"/>
              </w:rPr>
            </w:pPr>
            <w:r w:rsidRPr="00C53640">
              <w:rPr>
                <w:sz w:val="22"/>
                <w:szCs w:val="22"/>
                <w:lang w:eastAsia="de-DE"/>
              </w:rPr>
              <w:t xml:space="preserve">Eesti </w:t>
            </w:r>
            <w:proofErr w:type="spellStart"/>
            <w:r w:rsidRPr="00C53640">
              <w:rPr>
                <w:sz w:val="22"/>
                <w:szCs w:val="22"/>
                <w:lang w:eastAsia="de-DE"/>
              </w:rPr>
              <w:t>filiaal</w:t>
            </w:r>
            <w:proofErr w:type="spellEnd"/>
          </w:p>
          <w:p w14:paraId="55930A50" w14:textId="77777777" w:rsidR="000016E2" w:rsidRPr="00BD22FE" w:rsidRDefault="00104CA8" w:rsidP="00941FBF">
            <w:pPr>
              <w:rPr>
                <w:sz w:val="22"/>
                <w:szCs w:val="22"/>
                <w:lang w:val="pl-PL" w:eastAsia="ja-JP"/>
              </w:rPr>
            </w:pPr>
            <w:r w:rsidRPr="00BD22FE">
              <w:rPr>
                <w:sz w:val="22"/>
                <w:szCs w:val="22"/>
                <w:lang w:val="pl-PL" w:eastAsia="ja-JP"/>
              </w:rPr>
              <w:t>Tel: +372 612 8000</w:t>
            </w:r>
          </w:p>
          <w:p w14:paraId="04FF8FFC" w14:textId="01CACC02" w:rsidR="000016E2" w:rsidRPr="00BD22FE" w:rsidRDefault="000016E2" w:rsidP="00941FBF">
            <w:pPr>
              <w:pStyle w:val="BodyText"/>
              <w:spacing w:line="240" w:lineRule="auto"/>
              <w:jc w:val="left"/>
              <w:rPr>
                <w:sz w:val="22"/>
                <w:szCs w:val="22"/>
                <w:lang w:val="pl-PL"/>
              </w:rPr>
            </w:pPr>
          </w:p>
        </w:tc>
        <w:tc>
          <w:tcPr>
            <w:tcW w:w="2500" w:type="pct"/>
          </w:tcPr>
          <w:p w14:paraId="5B435FC2" w14:textId="77777777" w:rsidR="000016E2" w:rsidRPr="009D16CE" w:rsidRDefault="00104CA8" w:rsidP="00941FBF">
            <w:pPr>
              <w:pStyle w:val="BodyText"/>
              <w:spacing w:line="240" w:lineRule="auto"/>
              <w:jc w:val="left"/>
              <w:rPr>
                <w:b/>
                <w:sz w:val="22"/>
                <w:szCs w:val="22"/>
                <w:lang w:val="de-DE"/>
              </w:rPr>
            </w:pPr>
            <w:r w:rsidRPr="009D16CE">
              <w:rPr>
                <w:b/>
                <w:bCs/>
                <w:sz w:val="22"/>
                <w:szCs w:val="22"/>
                <w:lang w:val="de-DE"/>
              </w:rPr>
              <w:t>Norge</w:t>
            </w:r>
          </w:p>
          <w:p w14:paraId="42BD6B92" w14:textId="47BC8A5C" w:rsidR="000016E2" w:rsidRPr="009D16CE" w:rsidRDefault="00104CA8" w:rsidP="00941FBF">
            <w:pPr>
              <w:pStyle w:val="BodyText"/>
              <w:spacing w:line="240" w:lineRule="auto"/>
              <w:jc w:val="left"/>
              <w:rPr>
                <w:sz w:val="22"/>
                <w:szCs w:val="22"/>
                <w:lang w:val="de-DE" w:eastAsia="ja-JP"/>
              </w:rPr>
            </w:pPr>
            <w:r w:rsidRPr="009D16CE">
              <w:rPr>
                <w:sz w:val="22"/>
                <w:szCs w:val="22"/>
                <w:lang w:val="de-DE" w:eastAsia="ja-JP"/>
              </w:rPr>
              <w:t xml:space="preserve">Boehringer Ingelheim </w:t>
            </w:r>
            <w:r w:rsidR="002843C5" w:rsidRPr="009D16CE">
              <w:rPr>
                <w:sz w:val="22"/>
                <w:szCs w:val="22"/>
                <w:lang w:val="de-DE" w:eastAsia="ja-JP"/>
              </w:rPr>
              <w:t>Danmark</w:t>
            </w:r>
            <w:ins w:id="17" w:author="translator" w:date="2026-03-16T16:17:00Z">
              <w:r w:rsidR="005A5DC0" w:rsidRPr="00C67077">
                <w:rPr>
                  <w:sz w:val="22"/>
                  <w:szCs w:val="22"/>
                  <w:lang w:eastAsia="ja-JP"/>
                </w:rPr>
                <w:t xml:space="preserve"> A/S NUF</w:t>
              </w:r>
            </w:ins>
          </w:p>
          <w:p w14:paraId="12F20189" w14:textId="6B106356" w:rsidR="002843C5" w:rsidRPr="009D16CE" w:rsidDel="005A5DC0" w:rsidRDefault="002843C5" w:rsidP="002843C5">
            <w:pPr>
              <w:widowControl w:val="0"/>
              <w:rPr>
                <w:del w:id="18" w:author="translator" w:date="2026-03-16T16:17:00Z"/>
                <w:sz w:val="22"/>
                <w:szCs w:val="22"/>
                <w:lang w:val="de-DE" w:eastAsia="ja-JP"/>
              </w:rPr>
            </w:pPr>
            <w:del w:id="19" w:author="translator" w:date="2026-03-16T16:17:00Z">
              <w:r w:rsidRPr="009D16CE" w:rsidDel="005A5DC0">
                <w:rPr>
                  <w:sz w:val="22"/>
                  <w:szCs w:val="22"/>
                  <w:lang w:val="de-DE" w:eastAsia="ja-JP"/>
                </w:rPr>
                <w:delText>Norwegian branch</w:delText>
              </w:r>
            </w:del>
          </w:p>
          <w:p w14:paraId="77D48E90" w14:textId="77777777" w:rsidR="000016E2" w:rsidRPr="00BD22FE" w:rsidRDefault="00104CA8" w:rsidP="00941FBF">
            <w:pPr>
              <w:pStyle w:val="BodyText"/>
              <w:spacing w:line="240" w:lineRule="auto"/>
              <w:jc w:val="left"/>
              <w:rPr>
                <w:sz w:val="22"/>
                <w:szCs w:val="22"/>
                <w:lang w:val="pl-PL" w:eastAsia="ja-JP"/>
              </w:rPr>
            </w:pPr>
            <w:r w:rsidRPr="00BD22FE">
              <w:rPr>
                <w:sz w:val="22"/>
                <w:szCs w:val="22"/>
                <w:lang w:val="pl-PL" w:eastAsia="ja-JP"/>
              </w:rPr>
              <w:t>Tlf: +47 66 76 13 00</w:t>
            </w:r>
          </w:p>
          <w:p w14:paraId="306E11F1" w14:textId="77777777" w:rsidR="000016E2" w:rsidRPr="00BD22FE" w:rsidRDefault="000016E2" w:rsidP="00941FBF">
            <w:pPr>
              <w:pStyle w:val="BodyText"/>
              <w:spacing w:line="240" w:lineRule="auto"/>
              <w:jc w:val="left"/>
              <w:rPr>
                <w:sz w:val="22"/>
                <w:szCs w:val="22"/>
                <w:lang w:val="pl-PL"/>
              </w:rPr>
            </w:pPr>
          </w:p>
        </w:tc>
      </w:tr>
      <w:tr w:rsidR="000016E2" w:rsidRPr="00BD22FE" w14:paraId="5740A0CE" w14:textId="77777777" w:rsidTr="0090751B">
        <w:tc>
          <w:tcPr>
            <w:tcW w:w="2500" w:type="pct"/>
          </w:tcPr>
          <w:p w14:paraId="33FE9640" w14:textId="77777777" w:rsidR="000016E2" w:rsidRPr="00166B77" w:rsidRDefault="00104CA8" w:rsidP="00941FBF">
            <w:pPr>
              <w:pStyle w:val="BodyText"/>
              <w:spacing w:line="240" w:lineRule="auto"/>
              <w:jc w:val="left"/>
              <w:rPr>
                <w:b/>
                <w:sz w:val="22"/>
                <w:szCs w:val="22"/>
                <w:lang w:val="en-US"/>
              </w:rPr>
            </w:pPr>
            <w:r w:rsidRPr="00BD22FE">
              <w:rPr>
                <w:b/>
                <w:bCs/>
                <w:sz w:val="22"/>
                <w:szCs w:val="22"/>
                <w:lang w:val="pl-PL"/>
              </w:rPr>
              <w:t>Ελλάδα</w:t>
            </w:r>
          </w:p>
          <w:p w14:paraId="75FAC3D9" w14:textId="77777777" w:rsidR="003A7E3D" w:rsidRPr="00166B77" w:rsidRDefault="00104CA8" w:rsidP="00941FBF">
            <w:pPr>
              <w:rPr>
                <w:sz w:val="22"/>
                <w:szCs w:val="22"/>
                <w:lang w:eastAsia="ja-JP"/>
              </w:rPr>
            </w:pPr>
            <w:r w:rsidRPr="00166B77">
              <w:rPr>
                <w:sz w:val="22"/>
                <w:szCs w:val="22"/>
                <w:lang w:eastAsia="ja-JP"/>
              </w:rPr>
              <w:t>Boehringer</w:t>
            </w:r>
            <w:r w:rsidR="004024FF" w:rsidRPr="00166B77">
              <w:rPr>
                <w:sz w:val="22"/>
                <w:szCs w:val="22"/>
                <w:lang w:eastAsia="ja-JP"/>
              </w:rPr>
              <w:t xml:space="preserve"> </w:t>
            </w:r>
            <w:r w:rsidRPr="00166B77">
              <w:rPr>
                <w:sz w:val="22"/>
                <w:szCs w:val="22"/>
                <w:lang w:eastAsia="ja-JP"/>
              </w:rPr>
              <w:t>Ingelheim</w:t>
            </w:r>
            <w:r w:rsidR="004024FF" w:rsidRPr="00166B77">
              <w:rPr>
                <w:sz w:val="22"/>
                <w:szCs w:val="22"/>
                <w:lang w:eastAsia="ja-JP"/>
              </w:rPr>
              <w:t xml:space="preserve"> </w:t>
            </w:r>
            <w:r w:rsidRPr="00BD22FE">
              <w:rPr>
                <w:sz w:val="22"/>
                <w:szCs w:val="22"/>
                <w:lang w:val="pl-PL" w:eastAsia="ja-JP"/>
              </w:rPr>
              <w:t>Ελλάς</w:t>
            </w:r>
            <w:r w:rsidRPr="00166B77">
              <w:rPr>
                <w:sz w:val="22"/>
                <w:szCs w:val="22"/>
                <w:lang w:eastAsia="ja-JP"/>
              </w:rPr>
              <w:t xml:space="preserve"> </w:t>
            </w:r>
            <w:r w:rsidRPr="00BD22FE">
              <w:rPr>
                <w:sz w:val="22"/>
                <w:szCs w:val="22"/>
                <w:lang w:val="pl-PL" w:eastAsia="ja-JP"/>
              </w:rPr>
              <w:t>Μονοπρόσωπη</w:t>
            </w:r>
            <w:r w:rsidRPr="00166B77">
              <w:rPr>
                <w:sz w:val="22"/>
                <w:szCs w:val="22"/>
                <w:lang w:eastAsia="ja-JP"/>
              </w:rPr>
              <w:t xml:space="preserve"> </w:t>
            </w:r>
            <w:r w:rsidRPr="00BD22FE">
              <w:rPr>
                <w:sz w:val="22"/>
                <w:szCs w:val="22"/>
                <w:lang w:val="pl-PL" w:eastAsia="ja-JP"/>
              </w:rPr>
              <w:t>Α</w:t>
            </w:r>
            <w:r w:rsidRPr="00166B77">
              <w:rPr>
                <w:sz w:val="22"/>
                <w:szCs w:val="22"/>
                <w:lang w:eastAsia="ja-JP"/>
              </w:rPr>
              <w:t>.</w:t>
            </w:r>
            <w:r w:rsidRPr="00BD22FE">
              <w:rPr>
                <w:sz w:val="22"/>
                <w:szCs w:val="22"/>
                <w:lang w:val="pl-PL" w:eastAsia="ja-JP"/>
              </w:rPr>
              <w:t>Ε</w:t>
            </w:r>
            <w:r w:rsidRPr="00166B77">
              <w:rPr>
                <w:sz w:val="22"/>
                <w:szCs w:val="22"/>
                <w:lang w:eastAsia="ja-JP"/>
              </w:rPr>
              <w:t>.</w:t>
            </w:r>
          </w:p>
          <w:p w14:paraId="75187FA2" w14:textId="1DE504ED" w:rsidR="000016E2" w:rsidRPr="00BD22FE" w:rsidRDefault="00104CA8" w:rsidP="00941FBF">
            <w:pPr>
              <w:rPr>
                <w:sz w:val="22"/>
                <w:szCs w:val="22"/>
                <w:lang w:val="pl-PL" w:eastAsia="ja-JP"/>
              </w:rPr>
            </w:pPr>
            <w:r w:rsidRPr="00BD22FE">
              <w:rPr>
                <w:sz w:val="22"/>
                <w:szCs w:val="22"/>
                <w:lang w:val="pl-PL" w:eastAsia="ja-JP"/>
              </w:rPr>
              <w:t>Tηλ: +30 2 10 89 06 300</w:t>
            </w:r>
          </w:p>
          <w:p w14:paraId="47E55F44" w14:textId="77777777" w:rsidR="000016E2" w:rsidRPr="00BD22FE" w:rsidRDefault="000016E2" w:rsidP="00941FBF">
            <w:pPr>
              <w:pStyle w:val="BodyText"/>
              <w:spacing w:line="240" w:lineRule="auto"/>
              <w:jc w:val="left"/>
              <w:rPr>
                <w:sz w:val="22"/>
                <w:szCs w:val="22"/>
                <w:lang w:val="pl-PL"/>
              </w:rPr>
            </w:pPr>
          </w:p>
        </w:tc>
        <w:tc>
          <w:tcPr>
            <w:tcW w:w="2500" w:type="pct"/>
          </w:tcPr>
          <w:p w14:paraId="45847F75" w14:textId="77777777" w:rsidR="000016E2" w:rsidRPr="00DE4C52" w:rsidRDefault="00104CA8" w:rsidP="00941FBF">
            <w:pPr>
              <w:rPr>
                <w:sz w:val="22"/>
                <w:szCs w:val="22"/>
                <w:lang w:val="de-DE"/>
              </w:rPr>
            </w:pPr>
            <w:r w:rsidRPr="00DE4C52">
              <w:rPr>
                <w:b/>
                <w:bCs/>
                <w:sz w:val="22"/>
                <w:szCs w:val="22"/>
                <w:lang w:val="de-DE"/>
              </w:rPr>
              <w:t>Österreich</w:t>
            </w:r>
          </w:p>
          <w:p w14:paraId="071A777C" w14:textId="77777777" w:rsidR="000016E2" w:rsidRPr="00DE4C52" w:rsidRDefault="00104CA8" w:rsidP="00941FBF">
            <w:pPr>
              <w:autoSpaceDE w:val="0"/>
              <w:autoSpaceDN w:val="0"/>
              <w:adjustRightInd w:val="0"/>
              <w:rPr>
                <w:sz w:val="22"/>
                <w:szCs w:val="22"/>
                <w:lang w:val="de-DE" w:eastAsia="de-DE"/>
              </w:rPr>
            </w:pPr>
            <w:r w:rsidRPr="00DE4C52">
              <w:rPr>
                <w:sz w:val="22"/>
                <w:szCs w:val="22"/>
                <w:lang w:val="de-DE" w:eastAsia="de-DE"/>
              </w:rPr>
              <w:t>Boehringer Ingelheim RCV GmbH &amp; Co KG</w:t>
            </w:r>
          </w:p>
          <w:p w14:paraId="1D668A91" w14:textId="2096686B" w:rsidR="000016E2" w:rsidRPr="00BD22FE" w:rsidRDefault="00104CA8" w:rsidP="00941FBF">
            <w:pPr>
              <w:pStyle w:val="BodyText"/>
              <w:spacing w:line="240" w:lineRule="auto"/>
              <w:jc w:val="left"/>
              <w:rPr>
                <w:sz w:val="22"/>
                <w:szCs w:val="22"/>
                <w:lang w:val="pl-PL" w:eastAsia="de-DE"/>
              </w:rPr>
            </w:pPr>
            <w:r w:rsidRPr="00BD22FE">
              <w:rPr>
                <w:sz w:val="22"/>
                <w:szCs w:val="22"/>
                <w:lang w:val="pl-PL" w:eastAsia="de-DE"/>
              </w:rPr>
              <w:t>Tel: +43 1 80 105</w:t>
            </w:r>
            <w:r w:rsidR="00CB4FE6" w:rsidRPr="00BD22FE">
              <w:rPr>
                <w:sz w:val="22"/>
                <w:szCs w:val="22"/>
                <w:lang w:val="pl-PL" w:eastAsia="de-DE"/>
              </w:rPr>
              <w:noBreakHyphen/>
            </w:r>
            <w:r w:rsidRPr="00BD22FE">
              <w:rPr>
                <w:sz w:val="22"/>
                <w:szCs w:val="22"/>
                <w:lang w:val="pl-PL" w:eastAsia="de-DE"/>
              </w:rPr>
              <w:t>7870</w:t>
            </w:r>
          </w:p>
          <w:p w14:paraId="01DEB133" w14:textId="77777777" w:rsidR="000016E2" w:rsidRPr="00BD22FE" w:rsidRDefault="000016E2" w:rsidP="00941FBF">
            <w:pPr>
              <w:pStyle w:val="BodyText"/>
              <w:spacing w:line="240" w:lineRule="auto"/>
              <w:jc w:val="left"/>
              <w:rPr>
                <w:sz w:val="22"/>
                <w:szCs w:val="22"/>
                <w:lang w:val="pl-PL"/>
              </w:rPr>
            </w:pPr>
          </w:p>
        </w:tc>
      </w:tr>
      <w:tr w:rsidR="000016E2" w:rsidRPr="00BD22FE" w14:paraId="672A22EF" w14:textId="77777777" w:rsidTr="0090751B">
        <w:tc>
          <w:tcPr>
            <w:tcW w:w="2500" w:type="pct"/>
          </w:tcPr>
          <w:p w14:paraId="6565F047" w14:textId="77777777" w:rsidR="000016E2" w:rsidRPr="00C53640" w:rsidRDefault="00104CA8" w:rsidP="00941FBF">
            <w:pPr>
              <w:pStyle w:val="BodyText"/>
              <w:spacing w:line="240" w:lineRule="auto"/>
              <w:jc w:val="left"/>
              <w:rPr>
                <w:b/>
                <w:bCs/>
                <w:sz w:val="22"/>
                <w:szCs w:val="22"/>
                <w:lang w:val="es-ES"/>
              </w:rPr>
            </w:pPr>
            <w:r w:rsidRPr="00C53640">
              <w:rPr>
                <w:b/>
                <w:bCs/>
                <w:sz w:val="22"/>
                <w:szCs w:val="22"/>
                <w:lang w:val="es-ES"/>
              </w:rPr>
              <w:t>España</w:t>
            </w:r>
          </w:p>
          <w:p w14:paraId="12BFC4CA" w14:textId="77777777" w:rsidR="000016E2" w:rsidRPr="00C53640" w:rsidRDefault="00104CA8" w:rsidP="00941FBF">
            <w:pPr>
              <w:pStyle w:val="BodyText"/>
              <w:spacing w:line="240" w:lineRule="auto"/>
              <w:jc w:val="left"/>
              <w:rPr>
                <w:sz w:val="22"/>
                <w:szCs w:val="22"/>
                <w:lang w:val="es-ES" w:eastAsia="ja-JP"/>
              </w:rPr>
            </w:pPr>
            <w:r w:rsidRPr="00C53640">
              <w:rPr>
                <w:sz w:val="22"/>
                <w:szCs w:val="22"/>
                <w:lang w:val="es-ES" w:eastAsia="ja-JP"/>
              </w:rPr>
              <w:t>Boehringer Ingelheim España S.A.</w:t>
            </w:r>
          </w:p>
          <w:p w14:paraId="61ED298F" w14:textId="77777777" w:rsidR="000016E2" w:rsidRPr="00BD22FE" w:rsidRDefault="00104CA8" w:rsidP="00941FBF">
            <w:pPr>
              <w:pStyle w:val="BodyText"/>
              <w:spacing w:line="240" w:lineRule="auto"/>
              <w:jc w:val="left"/>
              <w:rPr>
                <w:sz w:val="22"/>
                <w:szCs w:val="22"/>
                <w:lang w:val="pl-PL"/>
              </w:rPr>
            </w:pPr>
            <w:r w:rsidRPr="00BD22FE">
              <w:rPr>
                <w:sz w:val="22"/>
                <w:szCs w:val="22"/>
                <w:lang w:val="pl-PL" w:eastAsia="ja-JP"/>
              </w:rPr>
              <w:t>Tel: +34 93 404 51 00</w:t>
            </w:r>
          </w:p>
          <w:p w14:paraId="62604B48" w14:textId="77777777" w:rsidR="000016E2" w:rsidRPr="00BD22FE" w:rsidRDefault="000016E2" w:rsidP="00941FBF">
            <w:pPr>
              <w:pStyle w:val="BodyText"/>
              <w:spacing w:line="240" w:lineRule="auto"/>
              <w:jc w:val="left"/>
              <w:rPr>
                <w:sz w:val="22"/>
                <w:szCs w:val="22"/>
                <w:lang w:val="pl-PL"/>
              </w:rPr>
            </w:pPr>
          </w:p>
        </w:tc>
        <w:tc>
          <w:tcPr>
            <w:tcW w:w="2500" w:type="pct"/>
          </w:tcPr>
          <w:p w14:paraId="2334FE6C" w14:textId="77777777" w:rsidR="000016E2" w:rsidRPr="00BD22FE" w:rsidRDefault="00104CA8" w:rsidP="00941FBF">
            <w:pPr>
              <w:pStyle w:val="BodyText"/>
              <w:spacing w:line="240" w:lineRule="auto"/>
              <w:jc w:val="left"/>
              <w:rPr>
                <w:b/>
                <w:bCs/>
                <w:iCs/>
                <w:sz w:val="22"/>
                <w:szCs w:val="22"/>
                <w:lang w:val="pl-PL"/>
              </w:rPr>
            </w:pPr>
            <w:r w:rsidRPr="00BD22FE">
              <w:rPr>
                <w:b/>
                <w:bCs/>
                <w:sz w:val="22"/>
                <w:szCs w:val="22"/>
                <w:lang w:val="pl-PL"/>
              </w:rPr>
              <w:t>Polska</w:t>
            </w:r>
          </w:p>
          <w:p w14:paraId="431132FA" w14:textId="2F620290" w:rsidR="000016E2" w:rsidRPr="00BD22FE" w:rsidRDefault="00104CA8" w:rsidP="00941FBF">
            <w:pPr>
              <w:pStyle w:val="BodyText"/>
              <w:spacing w:line="240" w:lineRule="auto"/>
              <w:jc w:val="left"/>
              <w:rPr>
                <w:sz w:val="22"/>
                <w:szCs w:val="22"/>
                <w:lang w:val="pl-PL" w:eastAsia="ja-JP"/>
              </w:rPr>
            </w:pPr>
            <w:r w:rsidRPr="00BD22FE">
              <w:rPr>
                <w:sz w:val="22"/>
                <w:szCs w:val="22"/>
                <w:lang w:val="pl-PL" w:eastAsia="ja-JP"/>
              </w:rPr>
              <w:t>Boehringer Ingelheim Sp. z</w:t>
            </w:r>
            <w:r w:rsidR="00717A7B" w:rsidRPr="00BD22FE">
              <w:rPr>
                <w:sz w:val="22"/>
                <w:szCs w:val="22"/>
                <w:lang w:val="pl-PL" w:eastAsia="ja-JP"/>
              </w:rPr>
              <w:t> </w:t>
            </w:r>
            <w:r w:rsidRPr="00BD22FE">
              <w:rPr>
                <w:sz w:val="22"/>
                <w:szCs w:val="22"/>
                <w:lang w:val="pl-PL" w:eastAsia="ja-JP"/>
              </w:rPr>
              <w:t>o.o.</w:t>
            </w:r>
          </w:p>
          <w:p w14:paraId="05DD6E13" w14:textId="77777777" w:rsidR="000016E2" w:rsidRPr="00BD22FE" w:rsidRDefault="00104CA8" w:rsidP="00941FBF">
            <w:pPr>
              <w:pStyle w:val="BodyText"/>
              <w:spacing w:line="240" w:lineRule="auto"/>
              <w:jc w:val="left"/>
              <w:rPr>
                <w:sz w:val="22"/>
                <w:szCs w:val="22"/>
                <w:lang w:val="pl-PL" w:eastAsia="ja-JP"/>
              </w:rPr>
            </w:pPr>
            <w:r w:rsidRPr="00BD22FE">
              <w:rPr>
                <w:sz w:val="22"/>
                <w:szCs w:val="22"/>
                <w:lang w:val="pl-PL" w:eastAsia="ja-JP"/>
              </w:rPr>
              <w:t>Tel.: +48 22 699 0 699</w:t>
            </w:r>
          </w:p>
          <w:p w14:paraId="1AD48CCC" w14:textId="77777777" w:rsidR="000016E2" w:rsidRPr="00BD22FE" w:rsidRDefault="000016E2" w:rsidP="00941FBF">
            <w:pPr>
              <w:pStyle w:val="BodyText"/>
              <w:spacing w:line="240" w:lineRule="auto"/>
              <w:jc w:val="left"/>
              <w:rPr>
                <w:sz w:val="22"/>
                <w:szCs w:val="22"/>
                <w:lang w:val="pl-PL"/>
              </w:rPr>
            </w:pPr>
          </w:p>
        </w:tc>
      </w:tr>
      <w:tr w:rsidR="000016E2" w:rsidRPr="00BD22FE" w14:paraId="698E9C1E" w14:textId="77777777" w:rsidTr="0090751B">
        <w:tc>
          <w:tcPr>
            <w:tcW w:w="2500" w:type="pct"/>
          </w:tcPr>
          <w:p w14:paraId="568B06D6" w14:textId="77777777" w:rsidR="000016E2" w:rsidRPr="009D16CE" w:rsidRDefault="00104CA8" w:rsidP="00941FBF">
            <w:pPr>
              <w:pStyle w:val="BodyText"/>
              <w:spacing w:line="240" w:lineRule="auto"/>
              <w:jc w:val="left"/>
              <w:rPr>
                <w:b/>
                <w:bCs/>
                <w:sz w:val="22"/>
                <w:szCs w:val="22"/>
                <w:lang w:val="de-DE"/>
              </w:rPr>
            </w:pPr>
            <w:r w:rsidRPr="009D16CE">
              <w:rPr>
                <w:b/>
                <w:bCs/>
                <w:sz w:val="22"/>
                <w:szCs w:val="22"/>
                <w:lang w:val="de-DE"/>
              </w:rPr>
              <w:t>France</w:t>
            </w:r>
          </w:p>
          <w:p w14:paraId="2E921BAE" w14:textId="77777777" w:rsidR="000016E2" w:rsidRPr="009D16CE" w:rsidRDefault="00104CA8" w:rsidP="00941FBF">
            <w:pPr>
              <w:pStyle w:val="BodyText"/>
              <w:spacing w:line="240" w:lineRule="auto"/>
              <w:jc w:val="left"/>
              <w:rPr>
                <w:sz w:val="22"/>
                <w:szCs w:val="22"/>
                <w:lang w:val="de-DE" w:eastAsia="ja-JP"/>
              </w:rPr>
            </w:pPr>
            <w:r w:rsidRPr="009D16CE">
              <w:rPr>
                <w:sz w:val="22"/>
                <w:szCs w:val="22"/>
                <w:lang w:val="de-DE" w:eastAsia="ja-JP"/>
              </w:rPr>
              <w:t>Boehringer Ingelheim France S.A.S.</w:t>
            </w:r>
          </w:p>
          <w:p w14:paraId="363CB72E" w14:textId="77777777" w:rsidR="000016E2" w:rsidRPr="00BD22FE" w:rsidRDefault="00104CA8" w:rsidP="00941FBF">
            <w:pPr>
              <w:pStyle w:val="BodyText"/>
              <w:spacing w:line="240" w:lineRule="auto"/>
              <w:jc w:val="left"/>
              <w:rPr>
                <w:bCs/>
                <w:sz w:val="22"/>
                <w:szCs w:val="22"/>
                <w:lang w:val="pl-PL"/>
              </w:rPr>
            </w:pPr>
            <w:r w:rsidRPr="00BD22FE">
              <w:rPr>
                <w:sz w:val="22"/>
                <w:szCs w:val="22"/>
                <w:lang w:val="pl-PL" w:eastAsia="ja-JP"/>
              </w:rPr>
              <w:t>Tél: +33 3 26 50 45 33</w:t>
            </w:r>
          </w:p>
        </w:tc>
        <w:tc>
          <w:tcPr>
            <w:tcW w:w="2500" w:type="pct"/>
          </w:tcPr>
          <w:p w14:paraId="524C38CD" w14:textId="77777777" w:rsidR="000016E2" w:rsidRPr="00C53640" w:rsidRDefault="00104CA8" w:rsidP="00941FBF">
            <w:pPr>
              <w:pStyle w:val="BodyText"/>
              <w:spacing w:line="240" w:lineRule="auto"/>
              <w:jc w:val="left"/>
              <w:rPr>
                <w:b/>
                <w:sz w:val="22"/>
                <w:szCs w:val="22"/>
                <w:lang w:val="pt-PT"/>
              </w:rPr>
            </w:pPr>
            <w:r w:rsidRPr="00C53640">
              <w:rPr>
                <w:b/>
                <w:bCs/>
                <w:sz w:val="22"/>
                <w:szCs w:val="22"/>
                <w:lang w:val="pt-PT"/>
              </w:rPr>
              <w:t>Portugal</w:t>
            </w:r>
          </w:p>
          <w:p w14:paraId="512BE930" w14:textId="543EDF66" w:rsidR="000016E2" w:rsidRPr="00C53640" w:rsidRDefault="00104CA8" w:rsidP="00941FBF">
            <w:pPr>
              <w:pStyle w:val="BodyText"/>
              <w:spacing w:line="240" w:lineRule="auto"/>
              <w:jc w:val="left"/>
              <w:rPr>
                <w:sz w:val="22"/>
                <w:szCs w:val="22"/>
                <w:lang w:val="pt-PT" w:eastAsia="ja-JP"/>
              </w:rPr>
            </w:pPr>
            <w:r w:rsidRPr="00C53640">
              <w:rPr>
                <w:sz w:val="22"/>
                <w:szCs w:val="22"/>
                <w:lang w:val="pt-PT" w:eastAsia="ja-JP"/>
              </w:rPr>
              <w:t>Boehringer Ingelheim Portugal</w:t>
            </w:r>
            <w:r w:rsidR="00191A15" w:rsidRPr="00C53640">
              <w:rPr>
                <w:sz w:val="22"/>
                <w:szCs w:val="22"/>
                <w:lang w:val="pt-PT" w:eastAsia="ja-JP"/>
              </w:rPr>
              <w:t>,</w:t>
            </w:r>
            <w:r w:rsidRPr="00C53640">
              <w:rPr>
                <w:sz w:val="22"/>
                <w:szCs w:val="22"/>
                <w:lang w:val="pt-PT" w:eastAsia="ja-JP"/>
              </w:rPr>
              <w:t xml:space="preserve"> Lda.</w:t>
            </w:r>
          </w:p>
          <w:p w14:paraId="1C9DB2AD" w14:textId="77777777" w:rsidR="000016E2" w:rsidRPr="00BD22FE" w:rsidRDefault="00104CA8" w:rsidP="00941FBF">
            <w:pPr>
              <w:pStyle w:val="BodyText"/>
              <w:spacing w:line="240" w:lineRule="auto"/>
              <w:jc w:val="left"/>
              <w:rPr>
                <w:sz w:val="22"/>
                <w:szCs w:val="22"/>
                <w:lang w:val="pl-PL" w:eastAsia="ja-JP"/>
              </w:rPr>
            </w:pPr>
            <w:r w:rsidRPr="00BD22FE">
              <w:rPr>
                <w:sz w:val="22"/>
                <w:szCs w:val="22"/>
                <w:lang w:val="pl-PL" w:eastAsia="ja-JP"/>
              </w:rPr>
              <w:t>Tel: +351 21 313 53 00</w:t>
            </w:r>
          </w:p>
          <w:p w14:paraId="68DC6153" w14:textId="77777777" w:rsidR="000016E2" w:rsidRPr="00BD22FE" w:rsidRDefault="000016E2" w:rsidP="00941FBF">
            <w:pPr>
              <w:pStyle w:val="BodyText"/>
              <w:spacing w:line="240" w:lineRule="auto"/>
              <w:jc w:val="left"/>
              <w:rPr>
                <w:sz w:val="22"/>
                <w:szCs w:val="22"/>
                <w:lang w:val="pl-PL"/>
              </w:rPr>
            </w:pPr>
          </w:p>
        </w:tc>
      </w:tr>
      <w:tr w:rsidR="000016E2" w:rsidRPr="00BD22FE" w14:paraId="72664CC3" w14:textId="77777777" w:rsidTr="0090751B">
        <w:tc>
          <w:tcPr>
            <w:tcW w:w="2500" w:type="pct"/>
          </w:tcPr>
          <w:p w14:paraId="1F082B7A" w14:textId="77777777" w:rsidR="000016E2" w:rsidRPr="00DE4C52" w:rsidRDefault="00104CA8" w:rsidP="00941FBF">
            <w:pPr>
              <w:pStyle w:val="HeadNoNum1"/>
              <w:suppressAutoHyphens w:val="0"/>
              <w:rPr>
                <w:noProof w:val="0"/>
                <w:lang w:val="de-DE"/>
              </w:rPr>
            </w:pPr>
            <w:r w:rsidRPr="00DE4C52">
              <w:rPr>
                <w:noProof w:val="0"/>
                <w:szCs w:val="22"/>
                <w:lang w:val="de-DE"/>
              </w:rPr>
              <w:br w:type="page"/>
            </w:r>
            <w:r w:rsidRPr="00DE4C52">
              <w:rPr>
                <w:noProof w:val="0"/>
                <w:lang w:val="de-DE"/>
              </w:rPr>
              <w:t>Hrvatska</w:t>
            </w:r>
          </w:p>
          <w:p w14:paraId="1778B579" w14:textId="77777777" w:rsidR="000016E2" w:rsidRPr="00DE4C52" w:rsidRDefault="00104CA8" w:rsidP="00941FBF">
            <w:pPr>
              <w:pStyle w:val="HeadNoNum1"/>
              <w:suppressAutoHyphens w:val="0"/>
              <w:rPr>
                <w:b w:val="0"/>
                <w:noProof w:val="0"/>
                <w:lang w:val="de-DE"/>
              </w:rPr>
            </w:pPr>
            <w:r w:rsidRPr="00DE4C52">
              <w:rPr>
                <w:b w:val="0"/>
                <w:noProof w:val="0"/>
                <w:lang w:val="de-DE"/>
              </w:rPr>
              <w:t>Boehringer Ingelheim Zagreb d.o.o.</w:t>
            </w:r>
          </w:p>
          <w:p w14:paraId="0CD6A7BF" w14:textId="77777777" w:rsidR="000016E2" w:rsidRPr="00BD22FE" w:rsidRDefault="00104CA8" w:rsidP="00941FBF">
            <w:pPr>
              <w:pStyle w:val="HeadNoNum1"/>
              <w:suppressAutoHyphens w:val="0"/>
              <w:rPr>
                <w:b w:val="0"/>
                <w:noProof w:val="0"/>
                <w:lang w:val="pl-PL"/>
              </w:rPr>
            </w:pPr>
            <w:r w:rsidRPr="00BD22FE">
              <w:rPr>
                <w:b w:val="0"/>
                <w:noProof w:val="0"/>
                <w:lang w:val="pl-PL"/>
              </w:rPr>
              <w:t>Tel: +385 1 2444 600</w:t>
            </w:r>
          </w:p>
          <w:p w14:paraId="21EDF420" w14:textId="77777777" w:rsidR="000016E2" w:rsidRPr="00BD22FE" w:rsidRDefault="000016E2" w:rsidP="00941FBF">
            <w:pPr>
              <w:pStyle w:val="BodyText"/>
              <w:spacing w:line="240" w:lineRule="auto"/>
              <w:jc w:val="left"/>
              <w:rPr>
                <w:sz w:val="22"/>
                <w:szCs w:val="22"/>
                <w:lang w:val="pl-PL"/>
              </w:rPr>
            </w:pPr>
          </w:p>
        </w:tc>
        <w:tc>
          <w:tcPr>
            <w:tcW w:w="2500" w:type="pct"/>
          </w:tcPr>
          <w:p w14:paraId="40BB29C5" w14:textId="77777777" w:rsidR="000016E2" w:rsidRPr="00BD22FE" w:rsidRDefault="00104CA8" w:rsidP="00941FBF">
            <w:pPr>
              <w:pStyle w:val="BodyText"/>
              <w:spacing w:line="240" w:lineRule="auto"/>
              <w:jc w:val="left"/>
              <w:rPr>
                <w:b/>
                <w:bCs/>
                <w:sz w:val="22"/>
                <w:szCs w:val="22"/>
                <w:lang w:val="pl-PL"/>
              </w:rPr>
            </w:pPr>
            <w:r w:rsidRPr="00BD22FE">
              <w:rPr>
                <w:b/>
                <w:bCs/>
                <w:sz w:val="22"/>
                <w:szCs w:val="22"/>
                <w:lang w:val="pl-PL"/>
              </w:rPr>
              <w:t>România</w:t>
            </w:r>
          </w:p>
          <w:p w14:paraId="7B1BCF03" w14:textId="41183CD5" w:rsidR="003A7E3D" w:rsidRPr="00BD22FE" w:rsidRDefault="00104CA8" w:rsidP="00941FBF">
            <w:pPr>
              <w:pStyle w:val="BodyText"/>
              <w:spacing w:line="240" w:lineRule="auto"/>
              <w:jc w:val="left"/>
              <w:rPr>
                <w:sz w:val="22"/>
                <w:szCs w:val="22"/>
                <w:lang w:val="pl-PL"/>
              </w:rPr>
            </w:pPr>
            <w:r w:rsidRPr="00BD22FE">
              <w:rPr>
                <w:sz w:val="22"/>
                <w:szCs w:val="22"/>
                <w:lang w:val="pl-PL"/>
              </w:rPr>
              <w:t xml:space="preserve">Boehringer Ingelheim RCV GmbH &amp; Co KG Viena </w:t>
            </w:r>
            <w:r w:rsidR="00191A15" w:rsidRPr="00BD22FE">
              <w:rPr>
                <w:sz w:val="22"/>
                <w:szCs w:val="22"/>
                <w:lang w:val="pl-PL"/>
              </w:rPr>
              <w:t>-</w:t>
            </w:r>
            <w:r w:rsidRPr="00BD22FE">
              <w:rPr>
                <w:sz w:val="22"/>
                <w:szCs w:val="22"/>
                <w:lang w:val="pl-PL"/>
              </w:rPr>
              <w:t xml:space="preserve"> Sucursala Bucureşti</w:t>
            </w:r>
          </w:p>
          <w:p w14:paraId="5A8E1E8E" w14:textId="30384E2D" w:rsidR="000016E2" w:rsidRPr="00BD22FE" w:rsidRDefault="00104CA8" w:rsidP="00941FBF">
            <w:pPr>
              <w:pStyle w:val="BodyText"/>
              <w:spacing w:line="240" w:lineRule="auto"/>
              <w:jc w:val="left"/>
              <w:rPr>
                <w:sz w:val="22"/>
                <w:szCs w:val="22"/>
                <w:lang w:val="pl-PL"/>
              </w:rPr>
            </w:pPr>
            <w:r w:rsidRPr="00BD22FE">
              <w:rPr>
                <w:sz w:val="22"/>
                <w:szCs w:val="22"/>
                <w:lang w:val="pl-PL"/>
              </w:rPr>
              <w:t>Tel: +40 21 302 28 00</w:t>
            </w:r>
          </w:p>
          <w:p w14:paraId="19371D28" w14:textId="77777777" w:rsidR="000016E2" w:rsidRPr="00BD22FE" w:rsidRDefault="000016E2" w:rsidP="00941FBF">
            <w:pPr>
              <w:pStyle w:val="BodyText"/>
              <w:spacing w:line="240" w:lineRule="auto"/>
              <w:jc w:val="left"/>
              <w:rPr>
                <w:sz w:val="22"/>
                <w:szCs w:val="22"/>
                <w:lang w:val="pl-PL"/>
              </w:rPr>
            </w:pPr>
          </w:p>
        </w:tc>
      </w:tr>
      <w:tr w:rsidR="000016E2" w:rsidRPr="00BD22FE" w14:paraId="78ED8A6E" w14:textId="77777777" w:rsidTr="0090751B">
        <w:tc>
          <w:tcPr>
            <w:tcW w:w="2500" w:type="pct"/>
          </w:tcPr>
          <w:p w14:paraId="599BCEBF" w14:textId="77777777" w:rsidR="000016E2" w:rsidRPr="009D16CE" w:rsidRDefault="00104CA8" w:rsidP="00941FBF">
            <w:pPr>
              <w:pStyle w:val="BodyText"/>
              <w:spacing w:line="240" w:lineRule="auto"/>
              <w:jc w:val="left"/>
              <w:rPr>
                <w:b/>
                <w:sz w:val="22"/>
                <w:szCs w:val="22"/>
                <w:lang w:val="de-DE"/>
              </w:rPr>
            </w:pPr>
            <w:r w:rsidRPr="009D16CE">
              <w:rPr>
                <w:b/>
                <w:bCs/>
                <w:sz w:val="22"/>
                <w:szCs w:val="22"/>
                <w:lang w:val="de-DE"/>
              </w:rPr>
              <w:t>Ireland</w:t>
            </w:r>
          </w:p>
          <w:p w14:paraId="4957639B" w14:textId="77777777" w:rsidR="000016E2" w:rsidRPr="009D16CE" w:rsidRDefault="00104CA8" w:rsidP="00941FBF">
            <w:pPr>
              <w:pStyle w:val="BodyText"/>
              <w:spacing w:line="240" w:lineRule="auto"/>
              <w:jc w:val="left"/>
              <w:rPr>
                <w:sz w:val="22"/>
                <w:szCs w:val="22"/>
                <w:lang w:val="de-DE" w:eastAsia="ja-JP"/>
              </w:rPr>
            </w:pPr>
            <w:r w:rsidRPr="009D16CE">
              <w:rPr>
                <w:sz w:val="22"/>
                <w:szCs w:val="22"/>
                <w:lang w:val="de-DE" w:eastAsia="ja-JP"/>
              </w:rPr>
              <w:t>Boehringer Ingelheim Ireland Ltd.</w:t>
            </w:r>
          </w:p>
          <w:p w14:paraId="38951291" w14:textId="77777777" w:rsidR="000016E2" w:rsidRPr="00BD22FE" w:rsidRDefault="00104CA8" w:rsidP="00941FBF">
            <w:pPr>
              <w:pStyle w:val="BodyText"/>
              <w:spacing w:line="240" w:lineRule="auto"/>
              <w:jc w:val="left"/>
              <w:rPr>
                <w:sz w:val="22"/>
                <w:szCs w:val="22"/>
                <w:lang w:val="pl-PL"/>
              </w:rPr>
            </w:pPr>
            <w:r w:rsidRPr="00BD22FE">
              <w:rPr>
                <w:sz w:val="22"/>
                <w:szCs w:val="22"/>
                <w:lang w:val="pl-PL" w:eastAsia="ja-JP"/>
              </w:rPr>
              <w:t>Tel: +353 1 295 9620</w:t>
            </w:r>
          </w:p>
        </w:tc>
        <w:tc>
          <w:tcPr>
            <w:tcW w:w="2500" w:type="pct"/>
          </w:tcPr>
          <w:p w14:paraId="49F615AC" w14:textId="77777777" w:rsidR="000016E2" w:rsidRPr="009D16CE" w:rsidRDefault="00104CA8" w:rsidP="00941FBF">
            <w:pPr>
              <w:pStyle w:val="BodyText"/>
              <w:spacing w:line="240" w:lineRule="auto"/>
              <w:jc w:val="left"/>
              <w:rPr>
                <w:b/>
                <w:sz w:val="22"/>
                <w:szCs w:val="22"/>
                <w:lang w:val="pl-PL"/>
              </w:rPr>
            </w:pPr>
            <w:r w:rsidRPr="009D16CE">
              <w:rPr>
                <w:b/>
                <w:bCs/>
                <w:sz w:val="22"/>
                <w:szCs w:val="22"/>
                <w:lang w:val="pl-PL"/>
              </w:rPr>
              <w:t>Slovenija</w:t>
            </w:r>
          </w:p>
          <w:p w14:paraId="00AA4EE4" w14:textId="2F693C23" w:rsidR="000016E2" w:rsidRPr="009D16CE" w:rsidRDefault="00104CA8" w:rsidP="00941FBF">
            <w:pPr>
              <w:pStyle w:val="BodyText"/>
              <w:spacing w:line="240" w:lineRule="auto"/>
              <w:jc w:val="left"/>
              <w:rPr>
                <w:sz w:val="22"/>
                <w:szCs w:val="22"/>
                <w:lang w:val="pl-PL" w:eastAsia="ja-JP"/>
              </w:rPr>
            </w:pPr>
            <w:r w:rsidRPr="009D16CE">
              <w:rPr>
                <w:sz w:val="22"/>
                <w:szCs w:val="22"/>
                <w:lang w:val="pl-PL" w:eastAsia="ja-JP"/>
              </w:rPr>
              <w:t>Boehringer Ingelheim RCV G</w:t>
            </w:r>
            <w:r w:rsidR="004024FF" w:rsidRPr="009D16CE">
              <w:rPr>
                <w:sz w:val="22"/>
                <w:szCs w:val="22"/>
                <w:lang w:val="pl-PL" w:eastAsia="ja-JP"/>
              </w:rPr>
              <w:t>mb</w:t>
            </w:r>
            <w:r w:rsidRPr="009D16CE">
              <w:rPr>
                <w:sz w:val="22"/>
                <w:szCs w:val="22"/>
                <w:lang w:val="pl-PL" w:eastAsia="ja-JP"/>
              </w:rPr>
              <w:t>H &amp; Co KG</w:t>
            </w:r>
          </w:p>
          <w:p w14:paraId="20A1276B" w14:textId="77777777" w:rsidR="000016E2" w:rsidRPr="00BD22FE" w:rsidRDefault="00104CA8" w:rsidP="00941FBF">
            <w:pPr>
              <w:pStyle w:val="BodyText"/>
              <w:spacing w:line="240" w:lineRule="auto"/>
              <w:jc w:val="left"/>
              <w:rPr>
                <w:sz w:val="22"/>
                <w:szCs w:val="22"/>
                <w:lang w:val="pl-PL" w:eastAsia="ja-JP"/>
              </w:rPr>
            </w:pPr>
            <w:r w:rsidRPr="00BD22FE">
              <w:rPr>
                <w:sz w:val="22"/>
                <w:szCs w:val="22"/>
                <w:lang w:val="pl-PL" w:eastAsia="ja-JP"/>
              </w:rPr>
              <w:t>Podružnica Ljubljana</w:t>
            </w:r>
          </w:p>
          <w:p w14:paraId="6171FC40" w14:textId="77777777" w:rsidR="000016E2" w:rsidRPr="00BD22FE" w:rsidRDefault="00104CA8" w:rsidP="00941FBF">
            <w:pPr>
              <w:pStyle w:val="BodyText"/>
              <w:spacing w:line="240" w:lineRule="auto"/>
              <w:jc w:val="left"/>
              <w:rPr>
                <w:sz w:val="22"/>
                <w:szCs w:val="22"/>
                <w:lang w:val="pl-PL" w:eastAsia="ja-JP"/>
              </w:rPr>
            </w:pPr>
            <w:r w:rsidRPr="00BD22FE">
              <w:rPr>
                <w:sz w:val="22"/>
                <w:szCs w:val="22"/>
                <w:lang w:val="pl-PL" w:eastAsia="ja-JP"/>
              </w:rPr>
              <w:t>Tel: +386 1 586 40 00</w:t>
            </w:r>
          </w:p>
          <w:p w14:paraId="6CE71A6C" w14:textId="77777777" w:rsidR="000016E2" w:rsidRPr="00BD22FE" w:rsidRDefault="000016E2" w:rsidP="00941FBF">
            <w:pPr>
              <w:pStyle w:val="BodyText"/>
              <w:spacing w:line="240" w:lineRule="auto"/>
              <w:jc w:val="left"/>
              <w:rPr>
                <w:bCs/>
                <w:sz w:val="22"/>
                <w:szCs w:val="22"/>
                <w:lang w:val="pl-PL"/>
              </w:rPr>
            </w:pPr>
          </w:p>
        </w:tc>
      </w:tr>
      <w:tr w:rsidR="000016E2" w:rsidRPr="00BD22FE" w14:paraId="06A0FAB1" w14:textId="77777777" w:rsidTr="0090751B">
        <w:tc>
          <w:tcPr>
            <w:tcW w:w="2500" w:type="pct"/>
          </w:tcPr>
          <w:p w14:paraId="4BE49F10" w14:textId="77777777" w:rsidR="000016E2" w:rsidRPr="00BD22FE" w:rsidRDefault="00104CA8" w:rsidP="00941FBF">
            <w:pPr>
              <w:pStyle w:val="BodyText"/>
              <w:keepNext/>
              <w:spacing w:line="240" w:lineRule="auto"/>
              <w:jc w:val="left"/>
              <w:rPr>
                <w:b/>
                <w:bCs/>
                <w:sz w:val="22"/>
                <w:szCs w:val="22"/>
                <w:lang w:val="pl-PL"/>
              </w:rPr>
            </w:pPr>
            <w:r w:rsidRPr="00BD22FE">
              <w:rPr>
                <w:b/>
                <w:bCs/>
                <w:sz w:val="22"/>
                <w:szCs w:val="22"/>
                <w:lang w:val="pl-PL"/>
              </w:rPr>
              <w:lastRenderedPageBreak/>
              <w:t>Ísland</w:t>
            </w:r>
          </w:p>
          <w:p w14:paraId="1CB70175" w14:textId="4745209F" w:rsidR="000016E2" w:rsidRPr="00BD22FE" w:rsidRDefault="00104CA8" w:rsidP="00941FBF">
            <w:pPr>
              <w:pStyle w:val="BodyText"/>
              <w:spacing w:line="240" w:lineRule="auto"/>
              <w:jc w:val="left"/>
              <w:rPr>
                <w:sz w:val="22"/>
                <w:szCs w:val="22"/>
                <w:lang w:val="pl-PL" w:eastAsia="ja-JP"/>
              </w:rPr>
            </w:pPr>
            <w:r w:rsidRPr="00BD22FE">
              <w:rPr>
                <w:sz w:val="22"/>
                <w:szCs w:val="22"/>
                <w:lang w:val="pl-PL" w:eastAsia="ja-JP"/>
              </w:rPr>
              <w:t xml:space="preserve">Vistor </w:t>
            </w:r>
            <w:r w:rsidR="001B5C3D" w:rsidRPr="00BD22FE">
              <w:rPr>
                <w:sz w:val="22"/>
                <w:szCs w:val="22"/>
                <w:lang w:val="pl-PL" w:eastAsia="ja-JP"/>
              </w:rPr>
              <w:t>e</w:t>
            </w:r>
            <w:r w:rsidRPr="00BD22FE">
              <w:rPr>
                <w:sz w:val="22"/>
                <w:szCs w:val="22"/>
                <w:lang w:val="pl-PL" w:eastAsia="ja-JP"/>
              </w:rPr>
              <w:t>hf.</w:t>
            </w:r>
          </w:p>
          <w:p w14:paraId="33BF9469" w14:textId="77777777" w:rsidR="000016E2" w:rsidRPr="00BD22FE" w:rsidRDefault="00104CA8" w:rsidP="00941FBF">
            <w:pPr>
              <w:pStyle w:val="BodyText"/>
              <w:spacing w:line="240" w:lineRule="auto"/>
              <w:jc w:val="left"/>
              <w:rPr>
                <w:sz w:val="22"/>
                <w:szCs w:val="22"/>
                <w:lang w:val="pl-PL"/>
              </w:rPr>
            </w:pPr>
            <w:r w:rsidRPr="00BD22FE">
              <w:rPr>
                <w:sz w:val="22"/>
                <w:szCs w:val="22"/>
                <w:lang w:val="pl-PL"/>
              </w:rPr>
              <w:t>Sími</w:t>
            </w:r>
            <w:r w:rsidRPr="00BD22FE">
              <w:rPr>
                <w:sz w:val="22"/>
                <w:szCs w:val="22"/>
                <w:lang w:val="pl-PL" w:eastAsia="ja-JP"/>
              </w:rPr>
              <w:t>: +354 535 7000</w:t>
            </w:r>
          </w:p>
          <w:p w14:paraId="57AD4EBE" w14:textId="77777777" w:rsidR="000016E2" w:rsidRPr="00BD22FE" w:rsidRDefault="000016E2" w:rsidP="00941FBF">
            <w:pPr>
              <w:pStyle w:val="BodyText"/>
              <w:spacing w:line="240" w:lineRule="auto"/>
              <w:jc w:val="left"/>
              <w:rPr>
                <w:bCs/>
                <w:sz w:val="22"/>
                <w:szCs w:val="22"/>
                <w:lang w:val="pl-PL"/>
              </w:rPr>
            </w:pPr>
          </w:p>
        </w:tc>
        <w:tc>
          <w:tcPr>
            <w:tcW w:w="2500" w:type="pct"/>
          </w:tcPr>
          <w:p w14:paraId="2EB2BD9E" w14:textId="77777777" w:rsidR="000016E2" w:rsidRPr="00DE4C52" w:rsidRDefault="00104CA8" w:rsidP="00941FBF">
            <w:pPr>
              <w:pStyle w:val="BodyText"/>
              <w:spacing w:line="240" w:lineRule="auto"/>
              <w:jc w:val="left"/>
              <w:rPr>
                <w:b/>
                <w:bCs/>
                <w:sz w:val="22"/>
                <w:szCs w:val="22"/>
                <w:lang w:val="de-DE"/>
              </w:rPr>
            </w:pPr>
            <w:r w:rsidRPr="00DE4C52">
              <w:rPr>
                <w:b/>
                <w:bCs/>
                <w:sz w:val="22"/>
                <w:szCs w:val="22"/>
                <w:lang w:val="de-DE"/>
              </w:rPr>
              <w:t>Slovenská republika</w:t>
            </w:r>
          </w:p>
          <w:p w14:paraId="10FFEE33" w14:textId="77777777" w:rsidR="003A7E3D" w:rsidRPr="00DE4C52" w:rsidRDefault="00104CA8" w:rsidP="00941FBF">
            <w:pPr>
              <w:pStyle w:val="BodyText"/>
              <w:spacing w:line="240" w:lineRule="auto"/>
              <w:jc w:val="left"/>
              <w:rPr>
                <w:sz w:val="22"/>
                <w:szCs w:val="22"/>
                <w:lang w:val="de-DE" w:eastAsia="ja-JP"/>
              </w:rPr>
            </w:pPr>
            <w:r w:rsidRPr="00DE4C52">
              <w:rPr>
                <w:sz w:val="22"/>
                <w:szCs w:val="22"/>
                <w:lang w:val="de-DE" w:eastAsia="ja-JP"/>
              </w:rPr>
              <w:t>Boehringer Ingelheim RCV G</w:t>
            </w:r>
            <w:r w:rsidR="004024FF" w:rsidRPr="00DE4C52">
              <w:rPr>
                <w:sz w:val="22"/>
                <w:szCs w:val="22"/>
                <w:lang w:val="de-DE" w:eastAsia="ja-JP"/>
              </w:rPr>
              <w:t>mb</w:t>
            </w:r>
            <w:r w:rsidRPr="00DE4C52">
              <w:rPr>
                <w:sz w:val="22"/>
                <w:szCs w:val="22"/>
                <w:lang w:val="de-DE" w:eastAsia="ja-JP"/>
              </w:rPr>
              <w:t>H &amp; Co KG</w:t>
            </w:r>
          </w:p>
          <w:p w14:paraId="06D9DF1C" w14:textId="74E1AEE8" w:rsidR="000016E2" w:rsidRPr="00BD22FE" w:rsidRDefault="00104CA8" w:rsidP="00941FBF">
            <w:pPr>
              <w:pStyle w:val="BodyText"/>
              <w:spacing w:line="240" w:lineRule="auto"/>
              <w:jc w:val="left"/>
              <w:rPr>
                <w:sz w:val="22"/>
                <w:szCs w:val="22"/>
                <w:lang w:val="pl-PL" w:eastAsia="de-DE"/>
              </w:rPr>
            </w:pPr>
            <w:r w:rsidRPr="00BD22FE">
              <w:rPr>
                <w:sz w:val="22"/>
                <w:szCs w:val="22"/>
                <w:lang w:val="pl-PL" w:eastAsia="de-DE"/>
              </w:rPr>
              <w:t>organizačná zložka</w:t>
            </w:r>
          </w:p>
          <w:p w14:paraId="6F50F815" w14:textId="77777777" w:rsidR="000016E2" w:rsidRPr="00BD22FE" w:rsidRDefault="00104CA8" w:rsidP="00941FBF">
            <w:pPr>
              <w:pStyle w:val="BodyText"/>
              <w:spacing w:line="240" w:lineRule="auto"/>
              <w:jc w:val="left"/>
              <w:rPr>
                <w:sz w:val="22"/>
                <w:szCs w:val="22"/>
                <w:lang w:val="pl-PL" w:eastAsia="de-DE"/>
              </w:rPr>
            </w:pPr>
            <w:r w:rsidRPr="00BD22FE">
              <w:rPr>
                <w:sz w:val="22"/>
                <w:szCs w:val="22"/>
                <w:lang w:val="pl-PL" w:eastAsia="de-DE"/>
              </w:rPr>
              <w:t>Tel: +421 2 5810 1211</w:t>
            </w:r>
          </w:p>
          <w:p w14:paraId="104A1F57" w14:textId="77777777" w:rsidR="000016E2" w:rsidRPr="00BD22FE" w:rsidRDefault="000016E2" w:rsidP="00941FBF">
            <w:pPr>
              <w:pStyle w:val="BodyText"/>
              <w:spacing w:line="240" w:lineRule="auto"/>
              <w:jc w:val="left"/>
              <w:rPr>
                <w:sz w:val="22"/>
                <w:szCs w:val="22"/>
                <w:lang w:val="pl-PL"/>
              </w:rPr>
            </w:pPr>
          </w:p>
        </w:tc>
      </w:tr>
      <w:tr w:rsidR="000016E2" w:rsidRPr="00C53640" w14:paraId="0616BBF9" w14:textId="77777777" w:rsidTr="0090751B">
        <w:tc>
          <w:tcPr>
            <w:tcW w:w="2500" w:type="pct"/>
          </w:tcPr>
          <w:p w14:paraId="68BE009C" w14:textId="77777777" w:rsidR="000016E2" w:rsidRPr="00DE4C52" w:rsidRDefault="00104CA8" w:rsidP="00941FBF">
            <w:pPr>
              <w:pStyle w:val="BodyText"/>
              <w:spacing w:line="240" w:lineRule="auto"/>
              <w:jc w:val="left"/>
              <w:rPr>
                <w:b/>
                <w:sz w:val="22"/>
                <w:szCs w:val="22"/>
                <w:lang w:val="de-DE"/>
              </w:rPr>
            </w:pPr>
            <w:r w:rsidRPr="00DE4C52">
              <w:rPr>
                <w:b/>
                <w:bCs/>
                <w:sz w:val="22"/>
                <w:szCs w:val="22"/>
                <w:lang w:val="de-DE"/>
              </w:rPr>
              <w:t>Italia</w:t>
            </w:r>
          </w:p>
          <w:p w14:paraId="5C2A563C" w14:textId="77777777" w:rsidR="000016E2" w:rsidRPr="00DE4C52" w:rsidRDefault="00104CA8" w:rsidP="00941FBF">
            <w:pPr>
              <w:pStyle w:val="BodyText"/>
              <w:spacing w:line="240" w:lineRule="auto"/>
              <w:jc w:val="left"/>
              <w:rPr>
                <w:sz w:val="22"/>
                <w:szCs w:val="22"/>
                <w:lang w:val="de-DE" w:eastAsia="ja-JP"/>
              </w:rPr>
            </w:pPr>
            <w:r w:rsidRPr="00DE4C52">
              <w:rPr>
                <w:sz w:val="22"/>
                <w:szCs w:val="22"/>
                <w:lang w:val="de-DE" w:eastAsia="ja-JP"/>
              </w:rPr>
              <w:t>Boehringer Ingelheim Italia S.p.A.</w:t>
            </w:r>
          </w:p>
          <w:p w14:paraId="5F3B1569" w14:textId="77777777" w:rsidR="000016E2" w:rsidRPr="00BD22FE" w:rsidRDefault="00104CA8" w:rsidP="00941FBF">
            <w:pPr>
              <w:pStyle w:val="BodyText"/>
              <w:spacing w:line="240" w:lineRule="auto"/>
              <w:jc w:val="left"/>
              <w:rPr>
                <w:bCs/>
                <w:sz w:val="22"/>
                <w:szCs w:val="22"/>
                <w:lang w:val="pl-PL"/>
              </w:rPr>
            </w:pPr>
            <w:r w:rsidRPr="00BD22FE">
              <w:rPr>
                <w:sz w:val="22"/>
                <w:szCs w:val="22"/>
                <w:lang w:val="pl-PL" w:eastAsia="ja-JP"/>
              </w:rPr>
              <w:t>Tel: +39 02 5355 1</w:t>
            </w:r>
          </w:p>
        </w:tc>
        <w:tc>
          <w:tcPr>
            <w:tcW w:w="2500" w:type="pct"/>
          </w:tcPr>
          <w:p w14:paraId="78B14046" w14:textId="77777777" w:rsidR="000016E2" w:rsidRPr="00DE4C52" w:rsidRDefault="00104CA8" w:rsidP="00941FBF">
            <w:pPr>
              <w:pStyle w:val="BodyText"/>
              <w:spacing w:line="240" w:lineRule="auto"/>
              <w:jc w:val="left"/>
              <w:rPr>
                <w:b/>
                <w:sz w:val="22"/>
                <w:szCs w:val="22"/>
                <w:lang w:val="de-DE"/>
              </w:rPr>
            </w:pPr>
            <w:r w:rsidRPr="00DE4C52">
              <w:rPr>
                <w:b/>
                <w:bCs/>
                <w:sz w:val="22"/>
                <w:szCs w:val="22"/>
                <w:lang w:val="de-DE"/>
              </w:rPr>
              <w:t>Suomi/Finland</w:t>
            </w:r>
          </w:p>
          <w:p w14:paraId="42FBA32F" w14:textId="77777777" w:rsidR="000016E2" w:rsidRPr="00DE4C52" w:rsidRDefault="00104CA8" w:rsidP="00941FBF">
            <w:pPr>
              <w:pStyle w:val="BodyText"/>
              <w:spacing w:line="240" w:lineRule="auto"/>
              <w:jc w:val="left"/>
              <w:rPr>
                <w:sz w:val="22"/>
                <w:szCs w:val="22"/>
                <w:lang w:val="de-DE" w:eastAsia="ja-JP"/>
              </w:rPr>
            </w:pPr>
            <w:r w:rsidRPr="00DE4C52">
              <w:rPr>
                <w:sz w:val="22"/>
                <w:szCs w:val="22"/>
                <w:lang w:val="de-DE" w:eastAsia="ja-JP"/>
              </w:rPr>
              <w:t>Boehringer Ingelheim Finland Ky</w:t>
            </w:r>
          </w:p>
          <w:p w14:paraId="4AB00F53" w14:textId="77777777" w:rsidR="000016E2" w:rsidRPr="00BD22FE" w:rsidRDefault="00104CA8" w:rsidP="00941FBF">
            <w:pPr>
              <w:pStyle w:val="BodyText"/>
              <w:spacing w:line="240" w:lineRule="auto"/>
              <w:jc w:val="left"/>
              <w:rPr>
                <w:sz w:val="22"/>
                <w:szCs w:val="22"/>
                <w:lang w:val="pl-PL"/>
              </w:rPr>
            </w:pPr>
            <w:r w:rsidRPr="00BD22FE">
              <w:rPr>
                <w:sz w:val="22"/>
                <w:szCs w:val="22"/>
                <w:lang w:val="pl-PL" w:eastAsia="ja-JP"/>
              </w:rPr>
              <w:t>Puh/Tel: +358 10 3102 800</w:t>
            </w:r>
          </w:p>
          <w:p w14:paraId="5F48C768" w14:textId="77777777" w:rsidR="000016E2" w:rsidRPr="00BD22FE" w:rsidRDefault="000016E2" w:rsidP="00941FBF">
            <w:pPr>
              <w:pStyle w:val="BodyText"/>
              <w:spacing w:line="240" w:lineRule="auto"/>
              <w:jc w:val="left"/>
              <w:rPr>
                <w:bCs/>
                <w:sz w:val="22"/>
                <w:szCs w:val="22"/>
                <w:lang w:val="pl-PL"/>
              </w:rPr>
            </w:pPr>
          </w:p>
        </w:tc>
      </w:tr>
      <w:tr w:rsidR="000016E2" w:rsidRPr="00DE4C52" w14:paraId="0DA22C94" w14:textId="77777777" w:rsidTr="0090751B">
        <w:tc>
          <w:tcPr>
            <w:tcW w:w="2500" w:type="pct"/>
          </w:tcPr>
          <w:p w14:paraId="3135F51B" w14:textId="77777777" w:rsidR="000016E2" w:rsidRPr="00DE4C52" w:rsidRDefault="00104CA8" w:rsidP="00941FBF">
            <w:pPr>
              <w:pStyle w:val="BodyText"/>
              <w:spacing w:line="240" w:lineRule="auto"/>
              <w:jc w:val="left"/>
              <w:rPr>
                <w:b/>
                <w:bCs/>
                <w:sz w:val="22"/>
                <w:szCs w:val="22"/>
                <w:lang w:val="en-US"/>
              </w:rPr>
            </w:pPr>
            <w:r w:rsidRPr="00BD22FE">
              <w:rPr>
                <w:b/>
                <w:bCs/>
                <w:sz w:val="22"/>
                <w:szCs w:val="22"/>
                <w:lang w:val="pl-PL"/>
              </w:rPr>
              <w:t>Κύπρος</w:t>
            </w:r>
          </w:p>
          <w:p w14:paraId="5428CE09" w14:textId="77777777" w:rsidR="003A7E3D" w:rsidRPr="00DE4C52" w:rsidRDefault="00104CA8" w:rsidP="00941FBF">
            <w:pPr>
              <w:rPr>
                <w:sz w:val="22"/>
                <w:szCs w:val="22"/>
                <w:lang w:eastAsia="ja-JP"/>
              </w:rPr>
            </w:pPr>
            <w:r w:rsidRPr="00DE4C52">
              <w:rPr>
                <w:sz w:val="22"/>
                <w:szCs w:val="22"/>
                <w:lang w:eastAsia="ja-JP"/>
              </w:rPr>
              <w:t xml:space="preserve">Boehringer Ingelheim </w:t>
            </w:r>
            <w:r w:rsidRPr="00BD22FE">
              <w:rPr>
                <w:sz w:val="22"/>
                <w:szCs w:val="22"/>
                <w:lang w:val="pl-PL" w:eastAsia="ja-JP"/>
              </w:rPr>
              <w:t>Ελλάς</w:t>
            </w:r>
            <w:r w:rsidRPr="00DE4C52">
              <w:rPr>
                <w:sz w:val="22"/>
                <w:szCs w:val="22"/>
                <w:lang w:eastAsia="ja-JP"/>
              </w:rPr>
              <w:t xml:space="preserve"> </w:t>
            </w:r>
            <w:r w:rsidRPr="00BD22FE">
              <w:rPr>
                <w:sz w:val="22"/>
                <w:szCs w:val="22"/>
                <w:lang w:val="pl-PL" w:eastAsia="ja-JP"/>
              </w:rPr>
              <w:t>Μονοπρόσωπη</w:t>
            </w:r>
            <w:r w:rsidRPr="00DE4C52">
              <w:rPr>
                <w:sz w:val="22"/>
                <w:szCs w:val="22"/>
                <w:lang w:eastAsia="ja-JP"/>
              </w:rPr>
              <w:t xml:space="preserve"> </w:t>
            </w:r>
            <w:r w:rsidRPr="00BD22FE">
              <w:rPr>
                <w:sz w:val="22"/>
                <w:szCs w:val="22"/>
                <w:lang w:val="pl-PL" w:eastAsia="ja-JP"/>
              </w:rPr>
              <w:t>Α</w:t>
            </w:r>
            <w:r w:rsidRPr="00DE4C52">
              <w:rPr>
                <w:sz w:val="22"/>
                <w:szCs w:val="22"/>
                <w:lang w:eastAsia="ja-JP"/>
              </w:rPr>
              <w:t>.</w:t>
            </w:r>
            <w:r w:rsidRPr="00BD22FE">
              <w:rPr>
                <w:sz w:val="22"/>
                <w:szCs w:val="22"/>
                <w:lang w:val="pl-PL" w:eastAsia="ja-JP"/>
              </w:rPr>
              <w:t>Ε</w:t>
            </w:r>
            <w:r w:rsidRPr="00DE4C52">
              <w:rPr>
                <w:sz w:val="22"/>
                <w:szCs w:val="22"/>
                <w:lang w:eastAsia="ja-JP"/>
              </w:rPr>
              <w:t>.</w:t>
            </w:r>
          </w:p>
          <w:p w14:paraId="36D5BC5B" w14:textId="4561CE01" w:rsidR="000016E2" w:rsidRPr="00BD22FE" w:rsidRDefault="00104CA8" w:rsidP="00941FBF">
            <w:pPr>
              <w:rPr>
                <w:sz w:val="22"/>
                <w:szCs w:val="22"/>
                <w:lang w:val="pl-PL" w:eastAsia="ja-JP"/>
              </w:rPr>
            </w:pPr>
            <w:r w:rsidRPr="00BD22FE">
              <w:rPr>
                <w:sz w:val="22"/>
                <w:szCs w:val="22"/>
                <w:lang w:val="pl-PL" w:eastAsia="ja-JP"/>
              </w:rPr>
              <w:t>Tηλ: +30 2 10 89 06 300</w:t>
            </w:r>
          </w:p>
          <w:p w14:paraId="40A7C84C" w14:textId="77777777" w:rsidR="000016E2" w:rsidRPr="00BD22FE" w:rsidRDefault="000016E2" w:rsidP="00941FBF">
            <w:pPr>
              <w:pStyle w:val="BodyText"/>
              <w:spacing w:line="240" w:lineRule="auto"/>
              <w:jc w:val="left"/>
              <w:rPr>
                <w:sz w:val="22"/>
                <w:szCs w:val="22"/>
                <w:lang w:val="pl-PL"/>
              </w:rPr>
            </w:pPr>
          </w:p>
        </w:tc>
        <w:tc>
          <w:tcPr>
            <w:tcW w:w="2500" w:type="pct"/>
          </w:tcPr>
          <w:p w14:paraId="7FBBF242" w14:textId="77777777" w:rsidR="000016E2" w:rsidRPr="009D16CE" w:rsidRDefault="00104CA8" w:rsidP="00941FBF">
            <w:pPr>
              <w:pStyle w:val="BodyText"/>
              <w:spacing w:line="240" w:lineRule="auto"/>
              <w:jc w:val="left"/>
              <w:rPr>
                <w:b/>
                <w:bCs/>
                <w:sz w:val="22"/>
                <w:szCs w:val="22"/>
                <w:lang w:val="de-DE"/>
              </w:rPr>
            </w:pPr>
            <w:r w:rsidRPr="009D16CE">
              <w:rPr>
                <w:b/>
                <w:bCs/>
                <w:sz w:val="22"/>
                <w:szCs w:val="22"/>
                <w:lang w:val="de-DE"/>
              </w:rPr>
              <w:t>Sverige</w:t>
            </w:r>
          </w:p>
          <w:p w14:paraId="6849C855" w14:textId="77777777" w:rsidR="000016E2" w:rsidRPr="009D16CE" w:rsidRDefault="00104CA8" w:rsidP="00941FBF">
            <w:pPr>
              <w:pStyle w:val="BodyText"/>
              <w:spacing w:line="240" w:lineRule="auto"/>
              <w:jc w:val="left"/>
              <w:rPr>
                <w:sz w:val="22"/>
                <w:szCs w:val="22"/>
                <w:lang w:val="de-DE" w:eastAsia="ja-JP"/>
              </w:rPr>
            </w:pPr>
            <w:r w:rsidRPr="009D16CE">
              <w:rPr>
                <w:sz w:val="22"/>
                <w:szCs w:val="22"/>
                <w:lang w:val="de-DE" w:eastAsia="ja-JP"/>
              </w:rPr>
              <w:t>Boehringer Ingelheim AB</w:t>
            </w:r>
          </w:p>
          <w:p w14:paraId="7197568B" w14:textId="77777777" w:rsidR="000016E2" w:rsidRPr="009D16CE" w:rsidRDefault="00104CA8" w:rsidP="00941FBF">
            <w:pPr>
              <w:pStyle w:val="BodyText"/>
              <w:spacing w:line="240" w:lineRule="auto"/>
              <w:jc w:val="left"/>
              <w:rPr>
                <w:sz w:val="22"/>
                <w:szCs w:val="22"/>
                <w:lang w:val="de-DE" w:eastAsia="ja-JP"/>
              </w:rPr>
            </w:pPr>
            <w:r w:rsidRPr="009D16CE">
              <w:rPr>
                <w:sz w:val="22"/>
                <w:szCs w:val="22"/>
                <w:lang w:val="de-DE" w:eastAsia="ja-JP"/>
              </w:rPr>
              <w:t>Tel: +46 8 721 21 00</w:t>
            </w:r>
          </w:p>
          <w:p w14:paraId="55E00164" w14:textId="77777777" w:rsidR="000016E2" w:rsidRPr="009D16CE" w:rsidRDefault="000016E2" w:rsidP="00941FBF">
            <w:pPr>
              <w:pStyle w:val="BodyText"/>
              <w:spacing w:line="240" w:lineRule="auto"/>
              <w:jc w:val="left"/>
              <w:rPr>
                <w:sz w:val="22"/>
                <w:szCs w:val="22"/>
                <w:lang w:val="de-DE"/>
              </w:rPr>
            </w:pPr>
          </w:p>
        </w:tc>
      </w:tr>
      <w:tr w:rsidR="000016E2" w:rsidRPr="00BD22FE" w14:paraId="0F9D8016" w14:textId="77777777" w:rsidTr="0090751B">
        <w:tc>
          <w:tcPr>
            <w:tcW w:w="2500" w:type="pct"/>
          </w:tcPr>
          <w:p w14:paraId="2194D5AD" w14:textId="77777777" w:rsidR="000016E2" w:rsidRPr="009D16CE" w:rsidRDefault="00104CA8" w:rsidP="00941FBF">
            <w:pPr>
              <w:pStyle w:val="BodyText"/>
              <w:spacing w:line="240" w:lineRule="auto"/>
              <w:jc w:val="left"/>
              <w:rPr>
                <w:b/>
                <w:bCs/>
                <w:sz w:val="22"/>
                <w:szCs w:val="22"/>
                <w:lang w:val="de-DE"/>
              </w:rPr>
            </w:pPr>
            <w:r w:rsidRPr="009D16CE">
              <w:rPr>
                <w:b/>
                <w:bCs/>
                <w:sz w:val="22"/>
                <w:szCs w:val="22"/>
                <w:lang w:val="de-DE"/>
              </w:rPr>
              <w:t>Latvija</w:t>
            </w:r>
          </w:p>
          <w:p w14:paraId="65D61241" w14:textId="77777777" w:rsidR="000016E2" w:rsidRPr="009D16CE" w:rsidRDefault="00104CA8" w:rsidP="00941FBF">
            <w:pPr>
              <w:rPr>
                <w:sz w:val="22"/>
                <w:szCs w:val="22"/>
                <w:lang w:val="de-DE" w:eastAsia="ja-JP"/>
              </w:rPr>
            </w:pPr>
            <w:r w:rsidRPr="009D16CE">
              <w:rPr>
                <w:sz w:val="22"/>
                <w:szCs w:val="22"/>
                <w:lang w:val="de-DE" w:eastAsia="ja-JP"/>
              </w:rPr>
              <w:t>Boehringer Ingelheim RCV GmbH &amp; Co KG</w:t>
            </w:r>
          </w:p>
          <w:p w14:paraId="60874198" w14:textId="77777777" w:rsidR="000016E2" w:rsidRPr="00BD22FE" w:rsidRDefault="00104CA8" w:rsidP="00941FBF">
            <w:pPr>
              <w:pStyle w:val="BodyText"/>
              <w:spacing w:line="240" w:lineRule="auto"/>
              <w:jc w:val="left"/>
              <w:rPr>
                <w:sz w:val="22"/>
                <w:szCs w:val="22"/>
                <w:lang w:val="pl-PL" w:eastAsia="ja-JP"/>
              </w:rPr>
            </w:pPr>
            <w:r w:rsidRPr="00BD22FE">
              <w:rPr>
                <w:sz w:val="22"/>
                <w:szCs w:val="22"/>
                <w:lang w:val="pl-PL"/>
              </w:rPr>
              <w:t>Latvijas filiāle</w:t>
            </w:r>
          </w:p>
          <w:p w14:paraId="3FEC5955" w14:textId="77777777" w:rsidR="000016E2" w:rsidRPr="00BD22FE" w:rsidRDefault="00104CA8" w:rsidP="00941FBF">
            <w:pPr>
              <w:pStyle w:val="BodyText"/>
              <w:spacing w:line="240" w:lineRule="auto"/>
              <w:jc w:val="left"/>
              <w:rPr>
                <w:sz w:val="22"/>
                <w:szCs w:val="22"/>
                <w:lang w:val="pl-PL"/>
              </w:rPr>
            </w:pPr>
            <w:r w:rsidRPr="00BD22FE">
              <w:rPr>
                <w:sz w:val="22"/>
                <w:szCs w:val="22"/>
                <w:lang w:val="pl-PL" w:eastAsia="ja-JP"/>
              </w:rPr>
              <w:t>Tel: +371 67 240 011</w:t>
            </w:r>
          </w:p>
          <w:p w14:paraId="692BE80B" w14:textId="77777777" w:rsidR="000016E2" w:rsidRPr="00BD22FE" w:rsidRDefault="000016E2" w:rsidP="00941FBF">
            <w:pPr>
              <w:rPr>
                <w:sz w:val="22"/>
                <w:szCs w:val="22"/>
                <w:lang w:val="pl-PL"/>
              </w:rPr>
            </w:pPr>
          </w:p>
        </w:tc>
        <w:tc>
          <w:tcPr>
            <w:tcW w:w="2500" w:type="pct"/>
          </w:tcPr>
          <w:p w14:paraId="773D8ED5" w14:textId="77777777" w:rsidR="000016E2" w:rsidRPr="00BD22FE" w:rsidRDefault="000016E2" w:rsidP="000440DF">
            <w:pPr>
              <w:rPr>
                <w:sz w:val="22"/>
                <w:szCs w:val="22"/>
                <w:lang w:val="pl-PL"/>
              </w:rPr>
            </w:pPr>
          </w:p>
        </w:tc>
      </w:tr>
    </w:tbl>
    <w:p w14:paraId="5AD7E5EB" w14:textId="77777777" w:rsidR="000016E2" w:rsidRPr="00BD22FE" w:rsidRDefault="000016E2" w:rsidP="00941FBF">
      <w:pPr>
        <w:pStyle w:val="BodyText"/>
        <w:spacing w:line="240" w:lineRule="auto"/>
        <w:jc w:val="left"/>
        <w:rPr>
          <w:sz w:val="22"/>
          <w:szCs w:val="22"/>
          <w:lang w:val="pl-PL"/>
        </w:rPr>
      </w:pPr>
    </w:p>
    <w:p w14:paraId="279C5159" w14:textId="77777777" w:rsidR="000016E2" w:rsidRPr="00BD22FE" w:rsidRDefault="00104CA8" w:rsidP="00941FBF">
      <w:pPr>
        <w:numPr>
          <w:ilvl w:val="12"/>
          <w:numId w:val="0"/>
        </w:numPr>
        <w:rPr>
          <w:sz w:val="22"/>
          <w:szCs w:val="22"/>
          <w:lang w:val="pl-PL" w:bidi="bn-IN"/>
        </w:rPr>
      </w:pPr>
      <w:r w:rsidRPr="00BD22FE">
        <w:rPr>
          <w:b/>
          <w:sz w:val="22"/>
          <w:szCs w:val="22"/>
          <w:lang w:val="pl-PL" w:bidi="bn-IN"/>
        </w:rPr>
        <w:t>Data ostatniej aktualizacji ulotki: {MM/RRRR}</w:t>
      </w:r>
    </w:p>
    <w:p w14:paraId="32E9892B" w14:textId="77777777" w:rsidR="000016E2" w:rsidRPr="00BD22FE" w:rsidRDefault="000016E2" w:rsidP="00941FBF">
      <w:pPr>
        <w:pStyle w:val="BodyText"/>
        <w:spacing w:line="240" w:lineRule="auto"/>
        <w:jc w:val="left"/>
        <w:rPr>
          <w:sz w:val="22"/>
          <w:szCs w:val="22"/>
          <w:lang w:val="pl-PL"/>
        </w:rPr>
      </w:pPr>
    </w:p>
    <w:p w14:paraId="443FF530" w14:textId="77777777" w:rsidR="000016E2" w:rsidRPr="00BD22FE" w:rsidRDefault="00104CA8" w:rsidP="00553833">
      <w:pPr>
        <w:pStyle w:val="BodyText"/>
        <w:keepNext/>
        <w:spacing w:line="240" w:lineRule="auto"/>
        <w:jc w:val="left"/>
        <w:rPr>
          <w:b/>
          <w:sz w:val="22"/>
          <w:szCs w:val="22"/>
          <w:lang w:val="pl-PL"/>
        </w:rPr>
      </w:pPr>
      <w:r w:rsidRPr="00BD22FE">
        <w:rPr>
          <w:b/>
          <w:sz w:val="22"/>
          <w:szCs w:val="22"/>
          <w:lang w:val="pl-PL"/>
        </w:rPr>
        <w:t>Inne źródła informacji</w:t>
      </w:r>
    </w:p>
    <w:p w14:paraId="64ADFF9D" w14:textId="33E86264" w:rsidR="000016E2" w:rsidRPr="00BD22FE" w:rsidRDefault="00104CA8" w:rsidP="00941FBF">
      <w:pPr>
        <w:pStyle w:val="BodyText"/>
        <w:spacing w:line="240" w:lineRule="auto"/>
        <w:jc w:val="left"/>
        <w:rPr>
          <w:sz w:val="22"/>
          <w:szCs w:val="22"/>
          <w:lang w:val="pl-PL"/>
        </w:rPr>
      </w:pPr>
      <w:r w:rsidRPr="00BD22FE">
        <w:rPr>
          <w:sz w:val="22"/>
          <w:szCs w:val="22"/>
          <w:lang w:val="pl-PL"/>
        </w:rPr>
        <w:t>Szczegółowe informacje o</w:t>
      </w:r>
      <w:r w:rsidR="00717A7B" w:rsidRPr="00BD22FE">
        <w:rPr>
          <w:sz w:val="22"/>
          <w:szCs w:val="22"/>
          <w:lang w:val="pl-PL"/>
        </w:rPr>
        <w:t> </w:t>
      </w:r>
      <w:r w:rsidRPr="00BD22FE">
        <w:rPr>
          <w:sz w:val="22"/>
          <w:szCs w:val="22"/>
          <w:lang w:val="pl-PL"/>
        </w:rPr>
        <w:t xml:space="preserve">tym leku znajdują się na stronie internetowej Europejskiej Agencji Leków </w:t>
      </w:r>
      <w:r w:rsidR="00A62A12">
        <w:fldChar w:fldCharType="begin"/>
      </w:r>
      <w:r w:rsidR="00A62A12">
        <w:instrText>HYPERLINK "https://www.ema.europa.eu"</w:instrText>
      </w:r>
      <w:r w:rsidR="00A62A12">
        <w:fldChar w:fldCharType="separate"/>
      </w:r>
      <w:r w:rsidR="00A62A12" w:rsidRPr="00BD22FE">
        <w:rPr>
          <w:rStyle w:val="Hyperlink"/>
          <w:sz w:val="22"/>
          <w:szCs w:val="22"/>
          <w:lang w:val="pl-PL"/>
        </w:rPr>
        <w:t>https://www.ema.europa.eu</w:t>
      </w:r>
      <w:r w:rsidR="00A62A12">
        <w:fldChar w:fldCharType="end"/>
      </w:r>
      <w:r w:rsidRPr="00BD22FE">
        <w:rPr>
          <w:sz w:val="22"/>
          <w:szCs w:val="22"/>
          <w:lang w:val="pl-PL"/>
        </w:rPr>
        <w:t>.</w:t>
      </w:r>
    </w:p>
    <w:p w14:paraId="177112E3" w14:textId="499168F7" w:rsidR="00041A3A" w:rsidRPr="00BD22FE" w:rsidRDefault="00041A3A" w:rsidP="00941FBF">
      <w:pPr>
        <w:pStyle w:val="BodyText"/>
        <w:spacing w:line="240" w:lineRule="auto"/>
        <w:jc w:val="left"/>
        <w:rPr>
          <w:sz w:val="22"/>
          <w:szCs w:val="22"/>
          <w:lang w:val="pl-PL"/>
        </w:rPr>
      </w:pPr>
    </w:p>
    <w:p w14:paraId="1A62084C" w14:textId="77777777" w:rsidR="00A610E1" w:rsidRPr="00BD22FE" w:rsidRDefault="00A610E1" w:rsidP="00A610E1">
      <w:pPr>
        <w:jc w:val="both"/>
        <w:rPr>
          <w:sz w:val="22"/>
          <w:szCs w:val="22"/>
          <w:lang w:val="pl-PL"/>
        </w:rPr>
      </w:pPr>
      <w:r w:rsidRPr="00BD22FE">
        <w:rPr>
          <w:b/>
          <w:sz w:val="22"/>
          <w:szCs w:val="22"/>
          <w:lang w:val="pl-PL"/>
        </w:rPr>
        <w:br w:type="page"/>
      </w:r>
    </w:p>
    <w:p w14:paraId="3DE50754" w14:textId="4ADF27D3" w:rsidR="00A610E1" w:rsidRPr="00BD22FE" w:rsidRDefault="00A610E1" w:rsidP="00A610E1">
      <w:pPr>
        <w:pStyle w:val="BodyText"/>
        <w:spacing w:line="240" w:lineRule="auto"/>
        <w:jc w:val="center"/>
        <w:rPr>
          <w:b/>
          <w:sz w:val="22"/>
          <w:szCs w:val="22"/>
          <w:lang w:val="pl-PL" w:bidi="bn-IN"/>
        </w:rPr>
      </w:pPr>
      <w:r w:rsidRPr="00BD22FE">
        <w:rPr>
          <w:b/>
          <w:sz w:val="22"/>
          <w:szCs w:val="22"/>
          <w:lang w:val="pl-PL" w:bidi="bn-IN"/>
        </w:rPr>
        <w:lastRenderedPageBreak/>
        <w:t>Ulotka dołączona do opakowania: informacja dla użytkownika</w:t>
      </w:r>
    </w:p>
    <w:p w14:paraId="1656F271" w14:textId="77777777" w:rsidR="00A610E1" w:rsidRPr="00BD22FE" w:rsidRDefault="00A610E1" w:rsidP="00A610E1">
      <w:pPr>
        <w:pStyle w:val="BodyText"/>
        <w:spacing w:line="240" w:lineRule="auto"/>
        <w:jc w:val="center"/>
        <w:rPr>
          <w:sz w:val="22"/>
          <w:szCs w:val="22"/>
          <w:lang w:val="pl-PL"/>
        </w:rPr>
      </w:pPr>
    </w:p>
    <w:p w14:paraId="24DBDD56" w14:textId="77777777" w:rsidR="00A610E1" w:rsidRPr="00BD22FE" w:rsidRDefault="00A610E1" w:rsidP="00A610E1">
      <w:pPr>
        <w:pStyle w:val="BodyText"/>
        <w:spacing w:line="240" w:lineRule="auto"/>
        <w:jc w:val="center"/>
        <w:rPr>
          <w:b/>
          <w:sz w:val="22"/>
          <w:szCs w:val="22"/>
          <w:lang w:val="pl-PL"/>
        </w:rPr>
      </w:pPr>
      <w:r w:rsidRPr="00BD22FE">
        <w:rPr>
          <w:b/>
          <w:sz w:val="22"/>
          <w:szCs w:val="22"/>
          <w:lang w:val="pl-PL"/>
        </w:rPr>
        <w:t>MicardisPlus 80 mg/12,5 mg tabletki</w:t>
      </w:r>
    </w:p>
    <w:p w14:paraId="68950414" w14:textId="77777777" w:rsidR="00A610E1" w:rsidRPr="00BD22FE" w:rsidRDefault="00A610E1" w:rsidP="00A610E1">
      <w:pPr>
        <w:pStyle w:val="BodyText"/>
        <w:spacing w:line="240" w:lineRule="auto"/>
        <w:jc w:val="center"/>
        <w:rPr>
          <w:sz w:val="22"/>
          <w:szCs w:val="22"/>
          <w:lang w:val="pl-PL"/>
        </w:rPr>
      </w:pPr>
      <w:r w:rsidRPr="00BD22FE">
        <w:rPr>
          <w:sz w:val="22"/>
          <w:szCs w:val="22"/>
          <w:lang w:val="pl-PL"/>
        </w:rPr>
        <w:t>telmisartan/hydrochlorotiazyd</w:t>
      </w:r>
    </w:p>
    <w:p w14:paraId="37CA6263" w14:textId="77777777" w:rsidR="00A610E1" w:rsidRPr="00BD22FE" w:rsidRDefault="00A610E1" w:rsidP="00A610E1">
      <w:pPr>
        <w:pStyle w:val="BodyText"/>
        <w:spacing w:line="240" w:lineRule="auto"/>
        <w:jc w:val="left"/>
        <w:rPr>
          <w:sz w:val="22"/>
          <w:szCs w:val="22"/>
          <w:lang w:val="pl-PL"/>
        </w:rPr>
      </w:pPr>
    </w:p>
    <w:p w14:paraId="6A2D31C0" w14:textId="77777777" w:rsidR="00A610E1" w:rsidRPr="00BD22FE" w:rsidRDefault="00A610E1" w:rsidP="00A610E1">
      <w:pPr>
        <w:keepNext/>
        <w:rPr>
          <w:b/>
          <w:sz w:val="22"/>
          <w:szCs w:val="22"/>
          <w:lang w:val="pl-PL" w:bidi="bn-IN"/>
        </w:rPr>
      </w:pPr>
      <w:r w:rsidRPr="00BD22FE">
        <w:rPr>
          <w:b/>
          <w:sz w:val="22"/>
          <w:szCs w:val="22"/>
          <w:lang w:val="pl-PL" w:bidi="bn-IN"/>
        </w:rPr>
        <w:t>Należy uważnie zapoznać się z treścią ulotki przed zażyciem leku, ponieważ zawiera ona informacje ważne dla pacjenta.</w:t>
      </w:r>
    </w:p>
    <w:p w14:paraId="62DA7F05" w14:textId="77777777" w:rsidR="00A610E1" w:rsidRPr="00BD22FE" w:rsidRDefault="00A610E1" w:rsidP="00A610E1">
      <w:pPr>
        <w:numPr>
          <w:ilvl w:val="0"/>
          <w:numId w:val="12"/>
        </w:numPr>
        <w:ind w:left="567" w:hanging="567"/>
        <w:rPr>
          <w:sz w:val="22"/>
          <w:szCs w:val="22"/>
          <w:lang w:val="pl-PL" w:bidi="bn-IN"/>
        </w:rPr>
      </w:pPr>
      <w:r w:rsidRPr="00BD22FE">
        <w:rPr>
          <w:sz w:val="22"/>
          <w:szCs w:val="22"/>
          <w:lang w:val="pl-PL" w:bidi="bn-IN"/>
        </w:rPr>
        <w:t>Należy zachować tę ulotkę, aby w razie potrzeby móc ją ponownie przeczytać.</w:t>
      </w:r>
    </w:p>
    <w:p w14:paraId="7347CEB6" w14:textId="77777777" w:rsidR="00A610E1" w:rsidRPr="00BD22FE" w:rsidRDefault="00A610E1" w:rsidP="00A610E1">
      <w:pPr>
        <w:numPr>
          <w:ilvl w:val="0"/>
          <w:numId w:val="12"/>
        </w:numPr>
        <w:ind w:left="567" w:hanging="567"/>
        <w:rPr>
          <w:sz w:val="22"/>
          <w:szCs w:val="22"/>
          <w:lang w:val="pl-PL" w:bidi="bn-IN"/>
        </w:rPr>
      </w:pPr>
      <w:r w:rsidRPr="00BD22FE">
        <w:rPr>
          <w:sz w:val="22"/>
          <w:szCs w:val="22"/>
          <w:lang w:val="pl-PL" w:bidi="bn-IN"/>
        </w:rPr>
        <w:t>W razie jakichkolwiek wątpliwości należy zwrócić się do lekarza lub farmaceuty.</w:t>
      </w:r>
    </w:p>
    <w:p w14:paraId="24D20B8A" w14:textId="77777777" w:rsidR="00A610E1" w:rsidRPr="00BD22FE" w:rsidRDefault="00A610E1" w:rsidP="00A610E1">
      <w:pPr>
        <w:numPr>
          <w:ilvl w:val="0"/>
          <w:numId w:val="12"/>
        </w:numPr>
        <w:ind w:left="567" w:hanging="567"/>
        <w:rPr>
          <w:sz w:val="22"/>
          <w:szCs w:val="22"/>
          <w:lang w:val="pl-PL" w:bidi="bn-IN"/>
        </w:rPr>
      </w:pPr>
      <w:r w:rsidRPr="00BD22FE">
        <w:rPr>
          <w:sz w:val="22"/>
          <w:szCs w:val="22"/>
          <w:lang w:val="pl-PL" w:bidi="bn-IN"/>
        </w:rPr>
        <w:t>Lek ten przepisano ściśle określonej osobie. Nie należy go przekazywać innym. Lek może zaszkodzić innej osobie, nawet jeśli objawy jej choroby są takie same.</w:t>
      </w:r>
    </w:p>
    <w:p w14:paraId="29116482" w14:textId="77777777" w:rsidR="00A610E1" w:rsidRPr="00BD22FE" w:rsidRDefault="00A610E1" w:rsidP="00A610E1">
      <w:pPr>
        <w:numPr>
          <w:ilvl w:val="0"/>
          <w:numId w:val="12"/>
        </w:numPr>
        <w:ind w:left="567" w:hanging="567"/>
        <w:rPr>
          <w:sz w:val="22"/>
          <w:szCs w:val="22"/>
          <w:lang w:val="pl-PL" w:bidi="bn-IN"/>
        </w:rPr>
      </w:pPr>
      <w:r w:rsidRPr="00BD22FE">
        <w:rPr>
          <w:sz w:val="22"/>
          <w:szCs w:val="22"/>
          <w:lang w:val="pl-PL" w:bidi="bn-IN"/>
        </w:rPr>
        <w:t>Jeśli u pacjenta wystąpią jakiekolwiek objawy niepożądane, w tym wszelkie objawy niepożądane niewymienione w tej ulotce, należy powiedzieć o tym lekarzowi lub farmaceucie.</w:t>
      </w:r>
      <w:r w:rsidRPr="00BD22FE">
        <w:rPr>
          <w:lang w:val="pl-PL"/>
        </w:rPr>
        <w:t xml:space="preserve"> </w:t>
      </w:r>
      <w:r w:rsidRPr="00BD22FE">
        <w:rPr>
          <w:sz w:val="22"/>
          <w:szCs w:val="22"/>
          <w:lang w:val="pl-PL" w:bidi="bn-IN"/>
        </w:rPr>
        <w:t>Patrz punkt 4.</w:t>
      </w:r>
    </w:p>
    <w:p w14:paraId="1B498B9F" w14:textId="77777777" w:rsidR="00A610E1" w:rsidRPr="00BD22FE" w:rsidRDefault="00A610E1" w:rsidP="00A610E1">
      <w:pPr>
        <w:pStyle w:val="BodyText"/>
        <w:spacing w:line="240" w:lineRule="auto"/>
        <w:jc w:val="left"/>
        <w:rPr>
          <w:sz w:val="22"/>
          <w:szCs w:val="22"/>
          <w:lang w:val="pl-PL"/>
        </w:rPr>
      </w:pPr>
    </w:p>
    <w:p w14:paraId="6F7E15AC" w14:textId="77777777" w:rsidR="00A610E1" w:rsidRPr="00BD22FE" w:rsidRDefault="00A610E1" w:rsidP="00A610E1">
      <w:pPr>
        <w:pStyle w:val="BodyText"/>
        <w:keepNext/>
        <w:spacing w:line="240" w:lineRule="auto"/>
        <w:jc w:val="left"/>
        <w:rPr>
          <w:b/>
          <w:sz w:val="22"/>
          <w:szCs w:val="22"/>
          <w:lang w:val="pl-PL"/>
        </w:rPr>
      </w:pPr>
      <w:r w:rsidRPr="00BD22FE">
        <w:rPr>
          <w:b/>
          <w:sz w:val="22"/>
          <w:szCs w:val="22"/>
          <w:lang w:val="pl-PL"/>
        </w:rPr>
        <w:t>Spis treści ulotki</w:t>
      </w:r>
    </w:p>
    <w:p w14:paraId="53124931" w14:textId="77777777" w:rsidR="00A610E1" w:rsidRPr="00BD22FE" w:rsidRDefault="00A610E1" w:rsidP="00A610E1">
      <w:pPr>
        <w:pStyle w:val="BodyText"/>
        <w:keepNext/>
        <w:spacing w:line="240" w:lineRule="auto"/>
        <w:jc w:val="left"/>
        <w:rPr>
          <w:sz w:val="22"/>
          <w:szCs w:val="22"/>
          <w:lang w:val="pl-PL"/>
        </w:rPr>
      </w:pPr>
    </w:p>
    <w:p w14:paraId="7F8EB13E" w14:textId="77777777" w:rsidR="00A610E1" w:rsidRPr="00BD22FE" w:rsidRDefault="00A610E1" w:rsidP="00A610E1">
      <w:pPr>
        <w:pStyle w:val="BodyText"/>
        <w:spacing w:line="240" w:lineRule="auto"/>
        <w:ind w:left="567" w:hanging="567"/>
        <w:jc w:val="left"/>
        <w:rPr>
          <w:sz w:val="22"/>
          <w:szCs w:val="22"/>
          <w:lang w:val="pl-PL"/>
        </w:rPr>
      </w:pPr>
      <w:r w:rsidRPr="00BD22FE">
        <w:rPr>
          <w:sz w:val="22"/>
          <w:szCs w:val="22"/>
          <w:lang w:val="pl-PL"/>
        </w:rPr>
        <w:t>1.</w:t>
      </w:r>
      <w:r w:rsidRPr="00BD22FE">
        <w:rPr>
          <w:sz w:val="22"/>
          <w:szCs w:val="22"/>
          <w:lang w:val="pl-PL"/>
        </w:rPr>
        <w:tab/>
        <w:t>Co to jest lek MicardisPlus i w jakim celu się go stosuje</w:t>
      </w:r>
    </w:p>
    <w:p w14:paraId="20328C90" w14:textId="77777777" w:rsidR="00A610E1" w:rsidRPr="00BD22FE" w:rsidRDefault="00A610E1" w:rsidP="00A610E1">
      <w:pPr>
        <w:pStyle w:val="BodyText"/>
        <w:spacing w:line="240" w:lineRule="auto"/>
        <w:ind w:left="567" w:hanging="567"/>
        <w:jc w:val="left"/>
        <w:rPr>
          <w:sz w:val="22"/>
          <w:szCs w:val="22"/>
          <w:lang w:val="pl-PL"/>
        </w:rPr>
      </w:pPr>
      <w:r w:rsidRPr="00BD22FE">
        <w:rPr>
          <w:sz w:val="22"/>
          <w:szCs w:val="22"/>
          <w:lang w:val="pl-PL"/>
        </w:rPr>
        <w:t>2.</w:t>
      </w:r>
      <w:r w:rsidRPr="00BD22FE">
        <w:rPr>
          <w:sz w:val="22"/>
          <w:szCs w:val="22"/>
          <w:lang w:val="pl-PL"/>
        </w:rPr>
        <w:tab/>
        <w:t>Informacje ważne przed przyjęciem leku MicardisPlus</w:t>
      </w:r>
    </w:p>
    <w:p w14:paraId="4E473FA9" w14:textId="77777777" w:rsidR="00A610E1" w:rsidRPr="00BD22FE" w:rsidRDefault="00A610E1" w:rsidP="00A610E1">
      <w:pPr>
        <w:pStyle w:val="BodyText"/>
        <w:spacing w:line="240" w:lineRule="auto"/>
        <w:ind w:left="567" w:hanging="567"/>
        <w:jc w:val="left"/>
        <w:rPr>
          <w:sz w:val="22"/>
          <w:szCs w:val="22"/>
          <w:vertAlign w:val="superscript"/>
          <w:lang w:val="pl-PL"/>
        </w:rPr>
      </w:pPr>
      <w:r w:rsidRPr="00BD22FE">
        <w:rPr>
          <w:sz w:val="22"/>
          <w:szCs w:val="22"/>
          <w:lang w:val="pl-PL"/>
        </w:rPr>
        <w:t>3.</w:t>
      </w:r>
      <w:r w:rsidRPr="00BD22FE">
        <w:rPr>
          <w:sz w:val="22"/>
          <w:szCs w:val="22"/>
          <w:lang w:val="pl-PL"/>
        </w:rPr>
        <w:tab/>
        <w:t>Jak przyjmować lek MicardisPlus</w:t>
      </w:r>
    </w:p>
    <w:p w14:paraId="1E621DF3" w14:textId="77777777" w:rsidR="00A610E1" w:rsidRPr="00BD22FE" w:rsidRDefault="00A610E1" w:rsidP="00A610E1">
      <w:pPr>
        <w:pStyle w:val="BodyText"/>
        <w:spacing w:line="240" w:lineRule="auto"/>
        <w:ind w:left="567" w:hanging="567"/>
        <w:jc w:val="left"/>
        <w:rPr>
          <w:sz w:val="22"/>
          <w:szCs w:val="22"/>
          <w:lang w:val="pl-PL"/>
        </w:rPr>
      </w:pPr>
      <w:r w:rsidRPr="00BD22FE">
        <w:rPr>
          <w:sz w:val="22"/>
          <w:szCs w:val="22"/>
          <w:lang w:val="pl-PL"/>
        </w:rPr>
        <w:t>4.</w:t>
      </w:r>
      <w:r w:rsidRPr="00BD22FE">
        <w:rPr>
          <w:sz w:val="22"/>
          <w:szCs w:val="22"/>
          <w:lang w:val="pl-PL"/>
        </w:rPr>
        <w:tab/>
        <w:t>Możliwe działania niepożądane</w:t>
      </w:r>
    </w:p>
    <w:p w14:paraId="3523A7CE" w14:textId="77777777" w:rsidR="00A610E1" w:rsidRPr="00BD22FE" w:rsidRDefault="00A610E1" w:rsidP="00A610E1">
      <w:pPr>
        <w:pStyle w:val="BodyText"/>
        <w:spacing w:line="240" w:lineRule="auto"/>
        <w:ind w:left="567" w:hanging="567"/>
        <w:jc w:val="left"/>
        <w:rPr>
          <w:sz w:val="22"/>
          <w:szCs w:val="22"/>
          <w:lang w:val="pl-PL"/>
        </w:rPr>
      </w:pPr>
      <w:r w:rsidRPr="00BD22FE">
        <w:rPr>
          <w:sz w:val="22"/>
          <w:szCs w:val="22"/>
          <w:lang w:val="pl-PL"/>
        </w:rPr>
        <w:t>5.</w:t>
      </w:r>
      <w:r w:rsidRPr="00BD22FE">
        <w:rPr>
          <w:sz w:val="22"/>
          <w:szCs w:val="22"/>
          <w:lang w:val="pl-PL"/>
        </w:rPr>
        <w:tab/>
        <w:t>Jak przechowywać lek MicardisPlus</w:t>
      </w:r>
    </w:p>
    <w:p w14:paraId="33E949FA" w14:textId="77777777" w:rsidR="00A610E1" w:rsidRPr="00BD22FE" w:rsidRDefault="00A610E1" w:rsidP="00A610E1">
      <w:pPr>
        <w:pStyle w:val="BodyText"/>
        <w:spacing w:line="240" w:lineRule="auto"/>
        <w:ind w:left="567" w:hanging="567"/>
        <w:jc w:val="left"/>
        <w:rPr>
          <w:sz w:val="22"/>
          <w:szCs w:val="22"/>
          <w:lang w:val="pl-PL"/>
        </w:rPr>
      </w:pPr>
      <w:r w:rsidRPr="00BD22FE">
        <w:rPr>
          <w:sz w:val="22"/>
          <w:szCs w:val="22"/>
          <w:lang w:val="pl-PL"/>
        </w:rPr>
        <w:t>6.</w:t>
      </w:r>
      <w:r w:rsidRPr="00BD22FE">
        <w:rPr>
          <w:sz w:val="22"/>
          <w:szCs w:val="22"/>
          <w:lang w:val="pl-PL"/>
        </w:rPr>
        <w:tab/>
      </w:r>
      <w:r w:rsidRPr="00BD22FE">
        <w:rPr>
          <w:sz w:val="22"/>
          <w:szCs w:val="22"/>
          <w:lang w:val="pl-PL" w:bidi="bn-IN"/>
        </w:rPr>
        <w:t>Zawartość opakowania i inne informacje</w:t>
      </w:r>
    </w:p>
    <w:p w14:paraId="17C7C1E2" w14:textId="77777777" w:rsidR="00A610E1" w:rsidRPr="00BD22FE" w:rsidRDefault="00A610E1" w:rsidP="00A610E1">
      <w:pPr>
        <w:pStyle w:val="BodyText"/>
        <w:spacing w:line="240" w:lineRule="auto"/>
        <w:jc w:val="left"/>
        <w:rPr>
          <w:sz w:val="22"/>
          <w:szCs w:val="22"/>
          <w:lang w:val="pl-PL"/>
        </w:rPr>
      </w:pPr>
    </w:p>
    <w:p w14:paraId="6565A835" w14:textId="77777777" w:rsidR="00A610E1" w:rsidRPr="00BD22FE" w:rsidRDefault="00A610E1" w:rsidP="00A610E1">
      <w:pPr>
        <w:pStyle w:val="BodyText"/>
        <w:spacing w:line="240" w:lineRule="auto"/>
        <w:jc w:val="left"/>
        <w:rPr>
          <w:sz w:val="22"/>
          <w:szCs w:val="22"/>
          <w:lang w:val="pl-PL"/>
        </w:rPr>
      </w:pPr>
    </w:p>
    <w:p w14:paraId="07F2E06F" w14:textId="77777777" w:rsidR="00A610E1" w:rsidRPr="00BD22FE" w:rsidRDefault="00A610E1" w:rsidP="00A610E1">
      <w:pPr>
        <w:pStyle w:val="BodyText"/>
        <w:keepNext/>
        <w:spacing w:line="240" w:lineRule="auto"/>
        <w:ind w:left="567" w:hanging="567"/>
        <w:jc w:val="left"/>
        <w:rPr>
          <w:b/>
          <w:sz w:val="22"/>
          <w:szCs w:val="22"/>
          <w:lang w:val="pl-PL"/>
        </w:rPr>
      </w:pPr>
      <w:r w:rsidRPr="00BD22FE">
        <w:rPr>
          <w:b/>
          <w:sz w:val="22"/>
          <w:szCs w:val="22"/>
          <w:lang w:val="pl-PL"/>
        </w:rPr>
        <w:t>1.</w:t>
      </w:r>
      <w:r w:rsidRPr="00BD22FE">
        <w:rPr>
          <w:b/>
          <w:sz w:val="22"/>
          <w:szCs w:val="22"/>
          <w:lang w:val="pl-PL"/>
        </w:rPr>
        <w:tab/>
        <w:t>Co to jest lek MicardisPlus i w jakim celu się go stosuje</w:t>
      </w:r>
    </w:p>
    <w:p w14:paraId="0B98BA60" w14:textId="77777777" w:rsidR="00A610E1" w:rsidRPr="00BD22FE" w:rsidRDefault="00A610E1" w:rsidP="00A610E1">
      <w:pPr>
        <w:pStyle w:val="BodyText"/>
        <w:keepNext/>
        <w:spacing w:line="240" w:lineRule="auto"/>
        <w:jc w:val="left"/>
        <w:rPr>
          <w:sz w:val="22"/>
          <w:szCs w:val="22"/>
          <w:lang w:val="pl-PL"/>
        </w:rPr>
      </w:pPr>
    </w:p>
    <w:p w14:paraId="7D32A341" w14:textId="77777777" w:rsidR="00A610E1" w:rsidRPr="00BD22FE" w:rsidRDefault="00A610E1" w:rsidP="00A610E1">
      <w:pPr>
        <w:pStyle w:val="BodyText"/>
        <w:spacing w:line="240" w:lineRule="auto"/>
        <w:jc w:val="left"/>
        <w:rPr>
          <w:sz w:val="22"/>
          <w:szCs w:val="22"/>
          <w:lang w:val="pl-PL"/>
        </w:rPr>
      </w:pPr>
      <w:r w:rsidRPr="00BD22FE">
        <w:rPr>
          <w:sz w:val="22"/>
          <w:szCs w:val="22"/>
          <w:lang w:val="pl-PL"/>
        </w:rPr>
        <w:t>MicardisPlus jest lekiem złożonym, zawierającym dwie substancje czynne, telmisartan i hydrochlorotiazyd w jednej tabletce. Obie substancje wspomagają kontrolę wysokiego ciśnienia tętniczego krwi.</w:t>
      </w:r>
    </w:p>
    <w:p w14:paraId="1AADDF2A" w14:textId="77777777" w:rsidR="00A610E1" w:rsidRPr="00BD22FE" w:rsidRDefault="00A610E1" w:rsidP="00A610E1">
      <w:pPr>
        <w:pStyle w:val="BodyText"/>
        <w:spacing w:line="240" w:lineRule="auto"/>
        <w:jc w:val="left"/>
        <w:rPr>
          <w:sz w:val="22"/>
          <w:szCs w:val="22"/>
          <w:lang w:val="pl-PL"/>
        </w:rPr>
      </w:pPr>
    </w:p>
    <w:p w14:paraId="759F474F" w14:textId="5AD1CAA0" w:rsidR="00A610E1" w:rsidRPr="00BD22FE" w:rsidRDefault="00A610E1" w:rsidP="00A610E1">
      <w:pPr>
        <w:pStyle w:val="BodyText"/>
        <w:numPr>
          <w:ilvl w:val="0"/>
          <w:numId w:val="6"/>
        </w:numPr>
        <w:tabs>
          <w:tab w:val="clear" w:pos="2520"/>
        </w:tabs>
        <w:spacing w:line="240" w:lineRule="auto"/>
        <w:ind w:left="567" w:hanging="567"/>
        <w:jc w:val="left"/>
        <w:rPr>
          <w:sz w:val="22"/>
          <w:szCs w:val="22"/>
          <w:lang w:val="pl-PL"/>
        </w:rPr>
      </w:pPr>
      <w:r w:rsidRPr="00BD22FE">
        <w:rPr>
          <w:sz w:val="22"/>
          <w:szCs w:val="22"/>
          <w:lang w:val="pl-PL"/>
        </w:rPr>
        <w:t>Telmisartan należy do grupy leków zwanych blokerami receptora angiotensyny II. Angiotensyna II jest substancją wytwarzaną przez organizm, która powoduje zwężenie naczyń krwionośnych, co prowadzi do zwiększenia ciśnienia tętniczego krwi. Telmisartan hamuje działanie angiotensyny II, dzięki czemu naczynia krwionośne się rozkurczają, a ciśnienie tętnicze krwi ulega obniżeniu.</w:t>
      </w:r>
    </w:p>
    <w:p w14:paraId="0B7EC32C" w14:textId="77777777" w:rsidR="00A610E1" w:rsidRPr="00BD22FE" w:rsidRDefault="00A610E1" w:rsidP="00A610E1">
      <w:pPr>
        <w:pStyle w:val="BodyText"/>
        <w:spacing w:line="240" w:lineRule="auto"/>
        <w:ind w:left="540" w:hanging="540"/>
        <w:jc w:val="left"/>
        <w:rPr>
          <w:sz w:val="22"/>
          <w:szCs w:val="22"/>
          <w:lang w:val="pl-PL"/>
        </w:rPr>
      </w:pPr>
    </w:p>
    <w:p w14:paraId="19121D38" w14:textId="77777777" w:rsidR="00A610E1" w:rsidRPr="00BD22FE" w:rsidRDefault="00A610E1" w:rsidP="00A610E1">
      <w:pPr>
        <w:pStyle w:val="BodyText"/>
        <w:numPr>
          <w:ilvl w:val="0"/>
          <w:numId w:val="6"/>
        </w:numPr>
        <w:tabs>
          <w:tab w:val="clear" w:pos="2520"/>
        </w:tabs>
        <w:spacing w:line="240" w:lineRule="auto"/>
        <w:ind w:left="567" w:hanging="567"/>
        <w:jc w:val="left"/>
        <w:rPr>
          <w:sz w:val="22"/>
          <w:szCs w:val="22"/>
          <w:lang w:val="pl-PL"/>
        </w:rPr>
      </w:pPr>
      <w:r w:rsidRPr="00BD22FE">
        <w:rPr>
          <w:sz w:val="22"/>
          <w:szCs w:val="22"/>
          <w:lang w:val="pl-PL"/>
        </w:rPr>
        <w:t>Hydrochlorotiazyd należy do grupy leków zwanych tiazydowymi lekami moczopędnymi, zwiększa wydalanie moczu, co prowadzi do obniżenia ciśnienia tętniczego krwi.</w:t>
      </w:r>
    </w:p>
    <w:p w14:paraId="66F7A397" w14:textId="77777777" w:rsidR="00A610E1" w:rsidRPr="00BD22FE" w:rsidRDefault="00A610E1" w:rsidP="00A610E1">
      <w:pPr>
        <w:pStyle w:val="BodyText"/>
        <w:spacing w:line="240" w:lineRule="auto"/>
        <w:jc w:val="left"/>
        <w:rPr>
          <w:sz w:val="22"/>
          <w:szCs w:val="22"/>
          <w:lang w:val="pl-PL"/>
        </w:rPr>
      </w:pPr>
    </w:p>
    <w:p w14:paraId="7AB238CB" w14:textId="321CA69E" w:rsidR="00A610E1" w:rsidRPr="00BD22FE" w:rsidRDefault="00A610E1" w:rsidP="00A610E1">
      <w:pPr>
        <w:pStyle w:val="BodyText"/>
        <w:spacing w:line="240" w:lineRule="auto"/>
        <w:jc w:val="left"/>
        <w:rPr>
          <w:sz w:val="22"/>
          <w:szCs w:val="22"/>
          <w:lang w:val="pl-PL"/>
        </w:rPr>
      </w:pPr>
      <w:r w:rsidRPr="00BD22FE">
        <w:rPr>
          <w:sz w:val="22"/>
          <w:szCs w:val="22"/>
          <w:lang w:val="pl-PL"/>
        </w:rPr>
        <w:t>Nieleczone wysokie ciśnienie tętnicze krwi może powodować uszkodzenie naczyń krwionośnych w różnych narządach, co niekiedy może prowadzić do zawału serca, niewydolności serca lub nerek, udaru lub utraty wzroku. Zwykle przed pojawieniem się powyższych powikłań nie obserwuje się żadnych objawów wysokiego ciśnienia tętniczego krwi. Z tego względu ważne jest, aby regularnie mierzyć ciśnienie tętnicze krwi, żeby sprawdzić, czy mieści się ono w zakresie wartości prawidłowych.</w:t>
      </w:r>
    </w:p>
    <w:p w14:paraId="2239BAF6" w14:textId="77777777" w:rsidR="00A610E1" w:rsidRPr="00BD22FE" w:rsidRDefault="00A610E1" w:rsidP="00A610E1">
      <w:pPr>
        <w:pStyle w:val="BodyText"/>
        <w:spacing w:line="240" w:lineRule="auto"/>
        <w:jc w:val="left"/>
        <w:rPr>
          <w:sz w:val="22"/>
          <w:szCs w:val="22"/>
          <w:lang w:val="pl-PL"/>
        </w:rPr>
      </w:pPr>
    </w:p>
    <w:p w14:paraId="1BC6228C" w14:textId="3807A9A8" w:rsidR="00A610E1" w:rsidRPr="00BD22FE" w:rsidRDefault="00A610E1" w:rsidP="00A610E1">
      <w:pPr>
        <w:pStyle w:val="BodyText"/>
        <w:spacing w:line="240" w:lineRule="auto"/>
        <w:jc w:val="left"/>
        <w:rPr>
          <w:rFonts w:eastAsia="MS Mincho"/>
          <w:sz w:val="22"/>
          <w:szCs w:val="22"/>
          <w:lang w:val="pl-PL" w:eastAsia="ja-JP"/>
        </w:rPr>
      </w:pPr>
      <w:r w:rsidRPr="009D16CE">
        <w:rPr>
          <w:rFonts w:eastAsia="MS Mincho"/>
          <w:bCs/>
          <w:sz w:val="22"/>
          <w:szCs w:val="22"/>
          <w:lang w:val="pl-PL" w:eastAsia="ja-JP"/>
        </w:rPr>
        <w:t>Lek MicardisPlus jest stosowany</w:t>
      </w:r>
      <w:r w:rsidRPr="00BD22FE">
        <w:rPr>
          <w:rFonts w:eastAsia="MS Mincho"/>
          <w:sz w:val="22"/>
          <w:szCs w:val="22"/>
          <w:lang w:val="pl-PL" w:eastAsia="ja-JP"/>
        </w:rPr>
        <w:t xml:space="preserve"> w leczeniu wysokiego ciśnienia tętniczego (samoistnego nadciśnienia tętniczego) u dorosłych, u których ciśnienie tętnicze krwi nie jest wystarczająco kontrolowane przez telmisartan lub hydrochlorotiazyd stosowany oddzielnie.</w:t>
      </w:r>
    </w:p>
    <w:p w14:paraId="71984B90" w14:textId="77777777" w:rsidR="00A610E1" w:rsidRPr="00BD22FE" w:rsidRDefault="00A610E1" w:rsidP="00A610E1">
      <w:pPr>
        <w:pStyle w:val="BodyText"/>
        <w:spacing w:line="240" w:lineRule="auto"/>
        <w:jc w:val="left"/>
        <w:rPr>
          <w:sz w:val="22"/>
          <w:szCs w:val="22"/>
          <w:lang w:val="pl-PL"/>
        </w:rPr>
      </w:pPr>
    </w:p>
    <w:p w14:paraId="7A97CB6B" w14:textId="77777777" w:rsidR="00A610E1" w:rsidRPr="00BD22FE" w:rsidRDefault="00A610E1" w:rsidP="00A610E1">
      <w:pPr>
        <w:pStyle w:val="BodyText"/>
        <w:spacing w:line="240" w:lineRule="auto"/>
        <w:jc w:val="left"/>
        <w:rPr>
          <w:sz w:val="22"/>
          <w:szCs w:val="22"/>
          <w:lang w:val="pl-PL"/>
        </w:rPr>
      </w:pPr>
    </w:p>
    <w:p w14:paraId="2C63CEAB" w14:textId="77777777" w:rsidR="00A610E1" w:rsidRPr="00BD22FE" w:rsidRDefault="00A610E1" w:rsidP="00A610E1">
      <w:pPr>
        <w:pStyle w:val="BodyText"/>
        <w:keepNext/>
        <w:spacing w:line="240" w:lineRule="auto"/>
        <w:ind w:left="567" w:hanging="567"/>
        <w:jc w:val="left"/>
        <w:rPr>
          <w:b/>
          <w:sz w:val="22"/>
          <w:szCs w:val="22"/>
          <w:lang w:val="pl-PL"/>
        </w:rPr>
      </w:pPr>
      <w:r w:rsidRPr="00BD22FE">
        <w:rPr>
          <w:b/>
          <w:sz w:val="22"/>
          <w:szCs w:val="22"/>
          <w:lang w:val="pl-PL"/>
        </w:rPr>
        <w:t>2.</w:t>
      </w:r>
      <w:r w:rsidRPr="00BD22FE">
        <w:rPr>
          <w:b/>
          <w:sz w:val="22"/>
          <w:szCs w:val="22"/>
          <w:lang w:val="pl-PL"/>
        </w:rPr>
        <w:tab/>
        <w:t>Informacje ważne przed przyjęciem leku MicardisPlus</w:t>
      </w:r>
    </w:p>
    <w:p w14:paraId="0BFC4746" w14:textId="77777777" w:rsidR="00A610E1" w:rsidRPr="00BD22FE" w:rsidRDefault="00A610E1" w:rsidP="00A610E1">
      <w:pPr>
        <w:pStyle w:val="BodyText"/>
        <w:keepNext/>
        <w:spacing w:line="240" w:lineRule="auto"/>
        <w:jc w:val="left"/>
        <w:rPr>
          <w:sz w:val="22"/>
          <w:szCs w:val="22"/>
          <w:lang w:val="pl-PL"/>
        </w:rPr>
      </w:pPr>
    </w:p>
    <w:p w14:paraId="6846F10A" w14:textId="77777777" w:rsidR="00A610E1" w:rsidRPr="00BD22FE" w:rsidRDefault="00A610E1" w:rsidP="00A610E1">
      <w:pPr>
        <w:pStyle w:val="BodyText"/>
        <w:keepNext/>
        <w:spacing w:line="240" w:lineRule="auto"/>
        <w:jc w:val="left"/>
        <w:rPr>
          <w:b/>
          <w:sz w:val="22"/>
          <w:szCs w:val="22"/>
          <w:lang w:val="pl-PL"/>
        </w:rPr>
      </w:pPr>
      <w:r w:rsidRPr="00BD22FE">
        <w:rPr>
          <w:b/>
          <w:sz w:val="22"/>
          <w:szCs w:val="22"/>
          <w:lang w:val="pl-PL"/>
        </w:rPr>
        <w:t>Kiedy nie przyjmować leku MicardisPlus</w:t>
      </w:r>
    </w:p>
    <w:p w14:paraId="0499F7B6" w14:textId="77777777" w:rsidR="00A610E1" w:rsidRPr="00BD22FE" w:rsidRDefault="00A610E1" w:rsidP="00A610E1">
      <w:pPr>
        <w:numPr>
          <w:ilvl w:val="0"/>
          <w:numId w:val="13"/>
        </w:numPr>
        <w:tabs>
          <w:tab w:val="clear" w:pos="567"/>
        </w:tabs>
        <w:rPr>
          <w:sz w:val="22"/>
          <w:szCs w:val="22"/>
          <w:lang w:val="pl-PL" w:bidi="bn-IN"/>
        </w:rPr>
      </w:pPr>
      <w:r w:rsidRPr="00BD22FE">
        <w:rPr>
          <w:sz w:val="22"/>
          <w:szCs w:val="22"/>
          <w:lang w:val="pl-PL"/>
        </w:rPr>
        <w:t xml:space="preserve">jeśli pacjent ma uczulenie na telmisartan lub którykolwiek z pozostałych składników </w:t>
      </w:r>
      <w:r w:rsidRPr="00BD22FE">
        <w:rPr>
          <w:sz w:val="22"/>
          <w:szCs w:val="22"/>
          <w:lang w:val="pl-PL" w:bidi="bn-IN"/>
        </w:rPr>
        <w:t>tego leku (wymienionych w punkcie 6);</w:t>
      </w:r>
    </w:p>
    <w:p w14:paraId="21C0A3E3" w14:textId="77777777" w:rsidR="00A610E1" w:rsidRPr="00BD22FE" w:rsidRDefault="00A610E1" w:rsidP="00A610E1">
      <w:pPr>
        <w:numPr>
          <w:ilvl w:val="0"/>
          <w:numId w:val="7"/>
        </w:numPr>
        <w:tabs>
          <w:tab w:val="clear" w:pos="720"/>
        </w:tabs>
        <w:ind w:left="567" w:hanging="567"/>
        <w:rPr>
          <w:sz w:val="22"/>
          <w:szCs w:val="22"/>
          <w:lang w:val="pl-PL"/>
        </w:rPr>
      </w:pPr>
      <w:r w:rsidRPr="00BD22FE">
        <w:rPr>
          <w:sz w:val="22"/>
          <w:szCs w:val="22"/>
          <w:lang w:val="pl-PL"/>
        </w:rPr>
        <w:lastRenderedPageBreak/>
        <w:t>jeśli pacjent ma uczulenie na hydrochlorotiazyd lub którekolwiek pochodne sulfonamidów;</w:t>
      </w:r>
    </w:p>
    <w:p w14:paraId="765BF9BA" w14:textId="5AD8EE1A" w:rsidR="00A610E1" w:rsidRPr="00BD22FE" w:rsidRDefault="00A610E1" w:rsidP="00A610E1">
      <w:pPr>
        <w:pStyle w:val="BodyText"/>
        <w:numPr>
          <w:ilvl w:val="0"/>
          <w:numId w:val="7"/>
        </w:numPr>
        <w:tabs>
          <w:tab w:val="clear" w:pos="720"/>
        </w:tabs>
        <w:spacing w:line="240" w:lineRule="auto"/>
        <w:ind w:left="567" w:hanging="567"/>
        <w:jc w:val="left"/>
        <w:rPr>
          <w:sz w:val="22"/>
          <w:szCs w:val="22"/>
          <w:lang w:val="pl-PL"/>
        </w:rPr>
      </w:pPr>
      <w:r w:rsidRPr="00BD22FE">
        <w:rPr>
          <w:sz w:val="22"/>
          <w:szCs w:val="22"/>
          <w:lang w:val="pl-PL"/>
        </w:rPr>
        <w:t>po 3. miesiącu ciąży (Również należy unikać stosowania leku MicardisPlus we wczesnym okresie ciąży – patrz punkt „Ciąża”);</w:t>
      </w:r>
    </w:p>
    <w:p w14:paraId="4188529A" w14:textId="64780484" w:rsidR="00A610E1" w:rsidRPr="00BD22FE" w:rsidRDefault="00A610E1" w:rsidP="00A610E1">
      <w:pPr>
        <w:pStyle w:val="BodyText"/>
        <w:numPr>
          <w:ilvl w:val="0"/>
          <w:numId w:val="7"/>
        </w:numPr>
        <w:tabs>
          <w:tab w:val="clear" w:pos="720"/>
        </w:tabs>
        <w:spacing w:line="240" w:lineRule="auto"/>
        <w:ind w:left="567" w:hanging="567"/>
        <w:jc w:val="left"/>
        <w:rPr>
          <w:sz w:val="22"/>
          <w:szCs w:val="22"/>
          <w:lang w:val="pl-PL"/>
        </w:rPr>
      </w:pPr>
      <w:r w:rsidRPr="00BD22FE">
        <w:rPr>
          <w:sz w:val="22"/>
          <w:szCs w:val="22"/>
          <w:lang w:val="pl-PL"/>
        </w:rPr>
        <w:t>jeśli u pacjenta występują ciężkie zaburzenia czynności wątroby, takie jak zastój żółci lub zwężenie drogi jej odpływu (problemy z odpływem żółci z wątroby i pęcherzyka żółciowego) lub jakakolwiek inna ciężka choroba wątroby;</w:t>
      </w:r>
    </w:p>
    <w:p w14:paraId="25D5A581" w14:textId="77777777" w:rsidR="00A610E1" w:rsidRPr="00BD22FE" w:rsidRDefault="00A610E1" w:rsidP="00A610E1">
      <w:pPr>
        <w:pStyle w:val="BodyText"/>
        <w:numPr>
          <w:ilvl w:val="0"/>
          <w:numId w:val="7"/>
        </w:numPr>
        <w:tabs>
          <w:tab w:val="clear" w:pos="720"/>
        </w:tabs>
        <w:spacing w:line="240" w:lineRule="auto"/>
        <w:ind w:left="567" w:hanging="567"/>
        <w:jc w:val="left"/>
        <w:rPr>
          <w:sz w:val="22"/>
          <w:szCs w:val="22"/>
          <w:lang w:val="pl-PL"/>
        </w:rPr>
      </w:pPr>
      <w:r w:rsidRPr="00BD22FE">
        <w:rPr>
          <w:sz w:val="22"/>
          <w:szCs w:val="22"/>
          <w:lang w:val="pl-PL"/>
        </w:rPr>
        <w:t>jeśli pacjent ma ciężką chorobę nerek lub bezmocz (mniej niż 100 ml moczu na dobę);</w:t>
      </w:r>
    </w:p>
    <w:p w14:paraId="103B0B40" w14:textId="77777777" w:rsidR="00A610E1" w:rsidRPr="00BD22FE" w:rsidRDefault="00A610E1" w:rsidP="00A610E1">
      <w:pPr>
        <w:pStyle w:val="BodyText"/>
        <w:numPr>
          <w:ilvl w:val="0"/>
          <w:numId w:val="7"/>
        </w:numPr>
        <w:tabs>
          <w:tab w:val="clear" w:pos="720"/>
        </w:tabs>
        <w:spacing w:line="240" w:lineRule="auto"/>
        <w:ind w:left="567" w:hanging="567"/>
        <w:jc w:val="left"/>
        <w:rPr>
          <w:sz w:val="22"/>
          <w:szCs w:val="22"/>
          <w:lang w:val="pl-PL"/>
        </w:rPr>
      </w:pPr>
      <w:r w:rsidRPr="00BD22FE">
        <w:rPr>
          <w:sz w:val="22"/>
          <w:szCs w:val="22"/>
          <w:lang w:val="pl-PL"/>
        </w:rPr>
        <w:t>jeśli lekarz stwierdzi występowanie małego stężenia potasu lub dużego stężenia wapnia we krwi, które nie ulegają poprawie na skutek leczenia;</w:t>
      </w:r>
    </w:p>
    <w:p w14:paraId="442B515E" w14:textId="77777777" w:rsidR="00A610E1" w:rsidRPr="00BD22FE" w:rsidRDefault="00A610E1" w:rsidP="00A610E1">
      <w:pPr>
        <w:numPr>
          <w:ilvl w:val="0"/>
          <w:numId w:val="7"/>
        </w:numPr>
        <w:tabs>
          <w:tab w:val="clear" w:pos="720"/>
        </w:tabs>
        <w:ind w:left="567" w:hanging="567"/>
        <w:rPr>
          <w:sz w:val="22"/>
          <w:szCs w:val="22"/>
          <w:lang w:val="pl-PL"/>
        </w:rPr>
      </w:pPr>
      <w:r w:rsidRPr="00BD22FE">
        <w:rPr>
          <w:sz w:val="22"/>
          <w:szCs w:val="22"/>
          <w:lang w:val="pl-PL"/>
        </w:rPr>
        <w:t>jeśli pacjent ma cukrzycę lub zaburzenia czynności nerek i jest leczony lekiem obniżającym ciśnienie tętnicze krwi zawierającym aliskiren.</w:t>
      </w:r>
    </w:p>
    <w:p w14:paraId="4CDD690D" w14:textId="77777777" w:rsidR="00A610E1" w:rsidRPr="00BD22FE" w:rsidRDefault="00A610E1" w:rsidP="00A610E1">
      <w:pPr>
        <w:pStyle w:val="BodyText"/>
        <w:spacing w:line="240" w:lineRule="auto"/>
        <w:jc w:val="left"/>
        <w:rPr>
          <w:sz w:val="22"/>
          <w:szCs w:val="22"/>
          <w:lang w:val="pl-PL"/>
        </w:rPr>
      </w:pPr>
    </w:p>
    <w:p w14:paraId="6513F2C2" w14:textId="499621D6" w:rsidR="00A610E1" w:rsidRPr="00BD22FE" w:rsidRDefault="00A610E1" w:rsidP="00A610E1">
      <w:pPr>
        <w:pStyle w:val="BodyText"/>
        <w:spacing w:line="240" w:lineRule="auto"/>
        <w:jc w:val="left"/>
        <w:rPr>
          <w:sz w:val="22"/>
          <w:szCs w:val="22"/>
          <w:lang w:val="pl-PL"/>
        </w:rPr>
      </w:pPr>
      <w:r w:rsidRPr="00BD22FE">
        <w:rPr>
          <w:sz w:val="22"/>
          <w:szCs w:val="22"/>
          <w:lang w:val="pl-PL"/>
        </w:rPr>
        <w:t>Jeżeli którakolwiek powyższa sytuacja dotyczy pacjenta, należy poinformować lekarza lub farmaceutę przed przyjęciem leku MicardisPlus.</w:t>
      </w:r>
    </w:p>
    <w:p w14:paraId="4954F0EA" w14:textId="77777777" w:rsidR="00A610E1" w:rsidRPr="00BD22FE" w:rsidRDefault="00A610E1" w:rsidP="00A610E1">
      <w:pPr>
        <w:pStyle w:val="BodyText"/>
        <w:spacing w:line="240" w:lineRule="auto"/>
        <w:jc w:val="left"/>
        <w:rPr>
          <w:sz w:val="22"/>
          <w:szCs w:val="22"/>
          <w:lang w:val="pl-PL"/>
        </w:rPr>
      </w:pPr>
    </w:p>
    <w:p w14:paraId="5AAB2530" w14:textId="77777777" w:rsidR="00A610E1" w:rsidRPr="00BD22FE" w:rsidRDefault="00A610E1" w:rsidP="00A610E1">
      <w:pPr>
        <w:keepNext/>
        <w:rPr>
          <w:b/>
          <w:sz w:val="22"/>
          <w:szCs w:val="22"/>
          <w:lang w:val="pl-PL" w:bidi="bn-IN"/>
        </w:rPr>
      </w:pPr>
      <w:r w:rsidRPr="00BD22FE">
        <w:rPr>
          <w:b/>
          <w:sz w:val="22"/>
          <w:szCs w:val="22"/>
          <w:lang w:val="pl-PL" w:bidi="bn-IN"/>
        </w:rPr>
        <w:t>Ostrzeżenia i środki ostrożności</w:t>
      </w:r>
    </w:p>
    <w:p w14:paraId="72BE76A7" w14:textId="77777777" w:rsidR="00A610E1" w:rsidRPr="00BD22FE" w:rsidRDefault="00A610E1" w:rsidP="00A610E1">
      <w:pPr>
        <w:pStyle w:val="BodyText"/>
        <w:keepNext/>
        <w:spacing w:line="240" w:lineRule="auto"/>
        <w:jc w:val="left"/>
        <w:rPr>
          <w:sz w:val="22"/>
          <w:szCs w:val="22"/>
          <w:lang w:val="pl-PL"/>
        </w:rPr>
      </w:pPr>
      <w:r w:rsidRPr="00BD22FE">
        <w:rPr>
          <w:sz w:val="22"/>
          <w:szCs w:val="22"/>
          <w:lang w:val="pl-PL"/>
        </w:rPr>
        <w:t>Przed rozpoczęciem przyjmowania leku MicardisPlus należy omówić to z lekarzem, jeśli u pacjenta występują lub występowały którekolwiek z poniższych stanów lub chorób:</w:t>
      </w:r>
    </w:p>
    <w:p w14:paraId="0FDAEB2B" w14:textId="77777777" w:rsidR="00A610E1" w:rsidRPr="00BD22FE" w:rsidRDefault="00A610E1" w:rsidP="00A610E1">
      <w:pPr>
        <w:pStyle w:val="BodyText"/>
        <w:keepNext/>
        <w:spacing w:line="240" w:lineRule="auto"/>
        <w:jc w:val="left"/>
        <w:rPr>
          <w:sz w:val="22"/>
          <w:szCs w:val="22"/>
          <w:lang w:val="pl-PL"/>
        </w:rPr>
      </w:pPr>
    </w:p>
    <w:p w14:paraId="302981A7" w14:textId="1F9CF22D" w:rsidR="00A610E1" w:rsidRPr="00BD22FE" w:rsidRDefault="00A610E1" w:rsidP="00A610E1">
      <w:pPr>
        <w:pStyle w:val="BodyText"/>
        <w:numPr>
          <w:ilvl w:val="0"/>
          <w:numId w:val="9"/>
        </w:numPr>
        <w:tabs>
          <w:tab w:val="clear" w:pos="2520"/>
        </w:tabs>
        <w:spacing w:line="240" w:lineRule="auto"/>
        <w:ind w:left="567" w:hanging="567"/>
        <w:jc w:val="left"/>
        <w:rPr>
          <w:rFonts w:eastAsia="MS Mincho"/>
          <w:sz w:val="22"/>
          <w:szCs w:val="22"/>
          <w:lang w:val="pl-PL" w:eastAsia="ja-JP"/>
        </w:rPr>
      </w:pPr>
      <w:r w:rsidRPr="00BD22FE">
        <w:rPr>
          <w:rFonts w:eastAsia="MS Mincho"/>
          <w:sz w:val="22"/>
          <w:szCs w:val="22"/>
          <w:lang w:val="pl-PL" w:eastAsia="ja-JP"/>
        </w:rPr>
        <w:t>niskie ciśnienie tętnicze krwi (niedociśnienie), którego prawdopodobieństwo wystąpienia jest większe, jeśli pacjent jest odwodniony (nadmierna utrata wody z organizmu) lub ma niedobór soli z powodu stosowania leków moczopędnych (tabletek odwadniających), diety ubogosolnej, biegunki, wymiotów lub hemofiltracji;</w:t>
      </w:r>
    </w:p>
    <w:p w14:paraId="4791DCF4" w14:textId="77777777" w:rsidR="00A610E1" w:rsidRPr="00BD22FE" w:rsidRDefault="00A610E1" w:rsidP="00A610E1">
      <w:pPr>
        <w:pStyle w:val="BodyText"/>
        <w:numPr>
          <w:ilvl w:val="0"/>
          <w:numId w:val="8"/>
        </w:numPr>
        <w:tabs>
          <w:tab w:val="clear" w:pos="567"/>
        </w:tabs>
        <w:spacing w:line="240" w:lineRule="auto"/>
        <w:jc w:val="left"/>
        <w:rPr>
          <w:rFonts w:eastAsia="MS Mincho"/>
          <w:sz w:val="22"/>
          <w:szCs w:val="22"/>
          <w:lang w:val="pl-PL" w:eastAsia="ja-JP"/>
        </w:rPr>
      </w:pPr>
      <w:r w:rsidRPr="00BD22FE">
        <w:rPr>
          <w:rFonts w:eastAsia="MS Mincho"/>
          <w:sz w:val="22"/>
          <w:szCs w:val="22"/>
          <w:lang w:val="pl-PL" w:eastAsia="ja-JP"/>
        </w:rPr>
        <w:t>choroba nerek lub stan po przeszczepieniu nerki;</w:t>
      </w:r>
    </w:p>
    <w:p w14:paraId="5938E1E7" w14:textId="5AE7E291" w:rsidR="00A610E1" w:rsidRPr="00BD22FE" w:rsidRDefault="00A610E1" w:rsidP="00A610E1">
      <w:pPr>
        <w:pStyle w:val="BodyText"/>
        <w:numPr>
          <w:ilvl w:val="0"/>
          <w:numId w:val="8"/>
        </w:numPr>
        <w:tabs>
          <w:tab w:val="clear" w:pos="567"/>
        </w:tabs>
        <w:spacing w:line="240" w:lineRule="auto"/>
        <w:jc w:val="left"/>
        <w:rPr>
          <w:rFonts w:eastAsia="MS Mincho"/>
          <w:sz w:val="22"/>
          <w:szCs w:val="22"/>
          <w:lang w:val="pl-PL" w:eastAsia="ja-JP"/>
        </w:rPr>
      </w:pPr>
      <w:r w:rsidRPr="00BD22FE">
        <w:rPr>
          <w:rFonts w:eastAsia="MS Mincho"/>
          <w:sz w:val="22"/>
          <w:szCs w:val="22"/>
          <w:lang w:val="pl-PL" w:eastAsia="ja-JP"/>
        </w:rPr>
        <w:t>zwężenie tętnicy nerkowej (zwężenie naczyń krwionośnych zaopatrujących jedną lub obydwie nerki);</w:t>
      </w:r>
    </w:p>
    <w:p w14:paraId="73E2F09C" w14:textId="77777777" w:rsidR="00A610E1" w:rsidRPr="00BD22FE" w:rsidRDefault="00A610E1" w:rsidP="00A610E1">
      <w:pPr>
        <w:pStyle w:val="BodyText"/>
        <w:numPr>
          <w:ilvl w:val="0"/>
          <w:numId w:val="8"/>
        </w:numPr>
        <w:tabs>
          <w:tab w:val="clear" w:pos="567"/>
        </w:tabs>
        <w:spacing w:line="240" w:lineRule="auto"/>
        <w:jc w:val="left"/>
        <w:rPr>
          <w:rFonts w:eastAsia="MS Mincho"/>
          <w:sz w:val="22"/>
          <w:szCs w:val="22"/>
          <w:lang w:val="pl-PL" w:eastAsia="ja-JP"/>
        </w:rPr>
      </w:pPr>
      <w:r w:rsidRPr="00BD22FE">
        <w:rPr>
          <w:rFonts w:eastAsia="MS Mincho"/>
          <w:sz w:val="22"/>
          <w:szCs w:val="22"/>
          <w:lang w:val="pl-PL" w:eastAsia="ja-JP"/>
        </w:rPr>
        <w:t>choroba wątroby;</w:t>
      </w:r>
    </w:p>
    <w:p w14:paraId="64357B4B" w14:textId="0CEBB2DD" w:rsidR="00A610E1" w:rsidRPr="00BD22FE" w:rsidRDefault="00A610E1" w:rsidP="00A610E1">
      <w:pPr>
        <w:pStyle w:val="BodyText"/>
        <w:numPr>
          <w:ilvl w:val="0"/>
          <w:numId w:val="8"/>
        </w:numPr>
        <w:tabs>
          <w:tab w:val="clear" w:pos="567"/>
        </w:tabs>
        <w:spacing w:line="240" w:lineRule="auto"/>
        <w:jc w:val="left"/>
        <w:rPr>
          <w:rFonts w:eastAsia="MS Mincho"/>
          <w:sz w:val="22"/>
          <w:szCs w:val="22"/>
          <w:lang w:val="pl-PL" w:eastAsia="ja-JP"/>
        </w:rPr>
      </w:pPr>
      <w:r w:rsidRPr="00BD22FE">
        <w:rPr>
          <w:sz w:val="22"/>
          <w:szCs w:val="22"/>
          <w:lang w:val="pl-PL"/>
        </w:rPr>
        <w:t>zaburzenia dotyczące</w:t>
      </w:r>
      <w:r w:rsidRPr="00BD22FE">
        <w:rPr>
          <w:rFonts w:eastAsia="MS Mincho"/>
          <w:sz w:val="22"/>
          <w:szCs w:val="22"/>
          <w:lang w:val="pl-PL" w:eastAsia="ja-JP"/>
        </w:rPr>
        <w:t xml:space="preserve"> serca;</w:t>
      </w:r>
    </w:p>
    <w:p w14:paraId="72C7D85D" w14:textId="77777777" w:rsidR="00A610E1" w:rsidRPr="00BD22FE" w:rsidRDefault="00A610E1" w:rsidP="00A610E1">
      <w:pPr>
        <w:pStyle w:val="BodyText"/>
        <w:numPr>
          <w:ilvl w:val="0"/>
          <w:numId w:val="8"/>
        </w:numPr>
        <w:tabs>
          <w:tab w:val="clear" w:pos="567"/>
        </w:tabs>
        <w:spacing w:line="240" w:lineRule="auto"/>
        <w:jc w:val="left"/>
        <w:rPr>
          <w:rFonts w:eastAsia="MS Mincho"/>
          <w:sz w:val="22"/>
          <w:szCs w:val="22"/>
          <w:lang w:val="pl-PL" w:eastAsia="ja-JP"/>
        </w:rPr>
      </w:pPr>
      <w:r w:rsidRPr="00BD22FE">
        <w:rPr>
          <w:rFonts w:eastAsia="MS Mincho"/>
          <w:sz w:val="22"/>
          <w:szCs w:val="22"/>
          <w:lang w:val="pl-PL" w:eastAsia="ja-JP"/>
        </w:rPr>
        <w:t>cukrzyca;</w:t>
      </w:r>
    </w:p>
    <w:p w14:paraId="77C46C1B" w14:textId="77777777" w:rsidR="00A610E1" w:rsidRPr="00BD22FE" w:rsidRDefault="00A610E1" w:rsidP="00A610E1">
      <w:pPr>
        <w:pStyle w:val="BodyText"/>
        <w:numPr>
          <w:ilvl w:val="0"/>
          <w:numId w:val="8"/>
        </w:numPr>
        <w:tabs>
          <w:tab w:val="clear" w:pos="567"/>
        </w:tabs>
        <w:spacing w:line="240" w:lineRule="auto"/>
        <w:jc w:val="left"/>
        <w:rPr>
          <w:rFonts w:eastAsia="MS Mincho"/>
          <w:sz w:val="22"/>
          <w:szCs w:val="22"/>
          <w:lang w:val="pl-PL" w:eastAsia="ja-JP"/>
        </w:rPr>
      </w:pPr>
      <w:r w:rsidRPr="00BD22FE">
        <w:rPr>
          <w:rFonts w:eastAsia="MS Mincho"/>
          <w:sz w:val="22"/>
          <w:szCs w:val="22"/>
          <w:lang w:val="pl-PL" w:eastAsia="ja-JP"/>
        </w:rPr>
        <w:t>dna moczanowa;</w:t>
      </w:r>
    </w:p>
    <w:p w14:paraId="45743F9E" w14:textId="7D34EFEF" w:rsidR="00A610E1" w:rsidRPr="00BD22FE" w:rsidRDefault="00A610E1" w:rsidP="00A610E1">
      <w:pPr>
        <w:pStyle w:val="BodyText"/>
        <w:numPr>
          <w:ilvl w:val="0"/>
          <w:numId w:val="8"/>
        </w:numPr>
        <w:tabs>
          <w:tab w:val="clear" w:pos="567"/>
        </w:tabs>
        <w:spacing w:line="240" w:lineRule="auto"/>
        <w:jc w:val="left"/>
        <w:rPr>
          <w:rFonts w:eastAsia="MS Mincho"/>
          <w:sz w:val="22"/>
          <w:szCs w:val="22"/>
          <w:lang w:val="pl-PL" w:eastAsia="ja-JP"/>
        </w:rPr>
      </w:pPr>
      <w:r w:rsidRPr="00BD22FE">
        <w:rPr>
          <w:rFonts w:eastAsia="MS Mincho"/>
          <w:sz w:val="22"/>
          <w:szCs w:val="22"/>
          <w:lang w:val="pl-PL" w:eastAsia="ja-JP"/>
        </w:rPr>
        <w:t xml:space="preserve">zwiększone stężenie aldosteronu (zatrzymanie wody i soli w organizmie, </w:t>
      </w:r>
      <w:r w:rsidRPr="00BD22FE">
        <w:rPr>
          <w:sz w:val="22"/>
          <w:szCs w:val="22"/>
          <w:lang w:val="pl-PL"/>
        </w:rPr>
        <w:t xml:space="preserve">któremu towarzyszą </w:t>
      </w:r>
      <w:r w:rsidRPr="00BD22FE">
        <w:rPr>
          <w:rFonts w:eastAsia="MS Mincho"/>
          <w:sz w:val="22"/>
          <w:szCs w:val="22"/>
          <w:lang w:val="pl-PL" w:eastAsia="ja-JP"/>
        </w:rPr>
        <w:t xml:space="preserve">zaburzenia równowagi </w:t>
      </w:r>
      <w:r w:rsidRPr="00BD22FE">
        <w:rPr>
          <w:sz w:val="22"/>
          <w:szCs w:val="22"/>
          <w:lang w:val="pl-PL"/>
        </w:rPr>
        <w:t>różnych składników mineralnych we krwi</w:t>
      </w:r>
      <w:r w:rsidRPr="00BD22FE">
        <w:rPr>
          <w:rFonts w:eastAsia="MS Mincho"/>
          <w:sz w:val="22"/>
          <w:szCs w:val="22"/>
          <w:lang w:val="pl-PL" w:eastAsia="ja-JP"/>
        </w:rPr>
        <w:t>);</w:t>
      </w:r>
    </w:p>
    <w:p w14:paraId="17B97B53" w14:textId="77777777" w:rsidR="00A610E1" w:rsidRPr="00BD22FE" w:rsidRDefault="00A610E1" w:rsidP="00A610E1">
      <w:pPr>
        <w:pStyle w:val="BodyText"/>
        <w:numPr>
          <w:ilvl w:val="0"/>
          <w:numId w:val="8"/>
        </w:numPr>
        <w:tabs>
          <w:tab w:val="clear" w:pos="567"/>
        </w:tabs>
        <w:spacing w:line="240" w:lineRule="auto"/>
        <w:jc w:val="left"/>
        <w:rPr>
          <w:rFonts w:eastAsia="MS Mincho"/>
          <w:sz w:val="22"/>
          <w:szCs w:val="22"/>
          <w:lang w:val="pl-PL" w:eastAsia="ja-JP"/>
        </w:rPr>
      </w:pPr>
      <w:r w:rsidRPr="00BD22FE">
        <w:rPr>
          <w:rFonts w:eastAsia="MS Mincho"/>
          <w:sz w:val="22"/>
          <w:szCs w:val="22"/>
          <w:lang w:val="pl-PL" w:eastAsia="ja-JP"/>
        </w:rPr>
        <w:t>toczeń rumieniowaty układowy (zwany również „toczniem” lub „SLE”), choroba, w przebiegu której układ odpornościowy atakuje własny organizm;</w:t>
      </w:r>
    </w:p>
    <w:p w14:paraId="41BCDA59" w14:textId="77777777" w:rsidR="00A610E1" w:rsidRPr="00BD22FE" w:rsidRDefault="00A610E1" w:rsidP="00A610E1">
      <w:pPr>
        <w:pStyle w:val="BodyText"/>
        <w:numPr>
          <w:ilvl w:val="0"/>
          <w:numId w:val="8"/>
        </w:numPr>
        <w:tabs>
          <w:tab w:val="clear" w:pos="567"/>
        </w:tabs>
        <w:spacing w:line="240" w:lineRule="auto"/>
        <w:jc w:val="left"/>
        <w:rPr>
          <w:rFonts w:eastAsia="MS Mincho"/>
          <w:sz w:val="22"/>
          <w:szCs w:val="22"/>
          <w:lang w:val="pl-PL" w:eastAsia="ja-JP"/>
        </w:rPr>
      </w:pPr>
      <w:r w:rsidRPr="00BD22FE">
        <w:rPr>
          <w:rFonts w:eastAsia="MS Mincho"/>
          <w:sz w:val="22"/>
          <w:szCs w:val="22"/>
          <w:lang w:val="pl-PL" w:eastAsia="ja-JP"/>
        </w:rPr>
        <w:t>substancja czynna hydrochlorotiazyd może powodować rzadkie reakcje powodujące ograniczenie widzenia i ból oczu. Mogą to być objawy gromadzenia się płynu w unaczynionej błonie otaczającej oko (nadmiernego nagromadzenia płynu między naczyniówką a twardówką) lub zwiększonego ciśnienia w gałce ocznej, które mogą się pojawić w ciągu kilku godzin do kilku tygodni od przyjęcia leku MicardisPlus. Nieleczone mogą prowadzić do trwałego zaburzenia wzroku.</w:t>
      </w:r>
    </w:p>
    <w:p w14:paraId="05114ED8" w14:textId="77777777" w:rsidR="00A610E1" w:rsidRPr="00BD22FE" w:rsidRDefault="00A610E1" w:rsidP="00A610E1">
      <w:pPr>
        <w:pStyle w:val="BodyText"/>
        <w:numPr>
          <w:ilvl w:val="0"/>
          <w:numId w:val="8"/>
        </w:numPr>
        <w:tabs>
          <w:tab w:val="clear" w:pos="567"/>
        </w:tabs>
        <w:spacing w:line="240" w:lineRule="auto"/>
        <w:jc w:val="left"/>
        <w:rPr>
          <w:rFonts w:eastAsia="MS Mincho"/>
          <w:sz w:val="22"/>
          <w:szCs w:val="22"/>
          <w:lang w:val="pl-PL" w:eastAsia="ja-JP"/>
        </w:rPr>
      </w:pPr>
      <w:r w:rsidRPr="00BD22FE">
        <w:rPr>
          <w:sz w:val="22"/>
          <w:szCs w:val="22"/>
          <w:lang w:val="pl-PL"/>
        </w:rPr>
        <w:t>jeśli w przeszłości u pacjenta wystąpił nowotwór złośliwy skóry lub jeśli w trakcie leczenia pojawi się nieoczekiwana zmiana skórna. Leczenie hydrochlorotiazydem, zwłaszcza dużymi dawkami przez dłuższy czas, może zwiększyć ryzyko niektórych rodzajów nowotworów złośliwych skóry i warg (nieczerniakowy nowotwór złośliwy skóry). Podczas przyjmowania leku MicardisPlus należy chronić skórę przed działaniem światła słonecznego i promieniowaniem UV.</w:t>
      </w:r>
    </w:p>
    <w:p w14:paraId="040A6507" w14:textId="77777777" w:rsidR="00A610E1" w:rsidRPr="00BD22FE" w:rsidRDefault="00A610E1" w:rsidP="00A610E1">
      <w:pPr>
        <w:rPr>
          <w:sz w:val="22"/>
          <w:szCs w:val="22"/>
          <w:lang w:val="pl-PL"/>
        </w:rPr>
      </w:pPr>
    </w:p>
    <w:p w14:paraId="1DD265A2" w14:textId="77777777" w:rsidR="00A610E1" w:rsidRPr="00BD22FE" w:rsidRDefault="00A610E1" w:rsidP="00A610E1">
      <w:pPr>
        <w:keepNext/>
        <w:rPr>
          <w:sz w:val="22"/>
          <w:szCs w:val="22"/>
          <w:lang w:val="pl-PL"/>
        </w:rPr>
      </w:pPr>
      <w:r w:rsidRPr="00BD22FE">
        <w:rPr>
          <w:sz w:val="22"/>
          <w:szCs w:val="22"/>
          <w:lang w:val="pl-PL"/>
        </w:rPr>
        <w:t>Przed rozpoczęciem przyjmowania leku MicardisPlus należy omówić to z lekarzem:</w:t>
      </w:r>
    </w:p>
    <w:p w14:paraId="2B91B226" w14:textId="77777777" w:rsidR="00A610E1" w:rsidRPr="00BD22FE" w:rsidRDefault="00A610E1" w:rsidP="00A610E1">
      <w:pPr>
        <w:keepNext/>
        <w:numPr>
          <w:ilvl w:val="0"/>
          <w:numId w:val="16"/>
        </w:numPr>
        <w:ind w:left="567" w:hanging="567"/>
        <w:rPr>
          <w:sz w:val="22"/>
          <w:szCs w:val="22"/>
          <w:lang w:val="pl-PL"/>
        </w:rPr>
      </w:pPr>
      <w:r w:rsidRPr="00BD22FE">
        <w:rPr>
          <w:sz w:val="22"/>
          <w:szCs w:val="22"/>
          <w:lang w:val="pl-PL"/>
        </w:rPr>
        <w:t>jeśli pacjent przyjmuje którykolwiek z poniższych leków stosowanych w leczeniu wysokiego ciśnienia tętniczego krwi:</w:t>
      </w:r>
    </w:p>
    <w:p w14:paraId="0F6C1B6C" w14:textId="70989DDB" w:rsidR="00A610E1" w:rsidRPr="00BD22FE" w:rsidRDefault="00A610E1" w:rsidP="00A610E1">
      <w:pPr>
        <w:ind w:left="567"/>
        <w:rPr>
          <w:sz w:val="22"/>
          <w:szCs w:val="22"/>
          <w:lang w:val="pl-PL"/>
        </w:rPr>
      </w:pPr>
      <w:r w:rsidRPr="00BD22FE">
        <w:rPr>
          <w:sz w:val="22"/>
          <w:szCs w:val="22"/>
          <w:lang w:val="pl-PL"/>
        </w:rPr>
        <w:t>- inhibitor konwertazy angiotensyny (ang. Angiotensin Converting Enzyme Inhibitors, ACE) (na przykład enalapryl, lizynopryl, ramipryl), w szczególności jeśli pacjent ma zaburzenia czynności nerek związane z cukrzycą.</w:t>
      </w:r>
    </w:p>
    <w:p w14:paraId="4164B9E1" w14:textId="77777777" w:rsidR="00A610E1" w:rsidRPr="00BD22FE" w:rsidRDefault="00A610E1" w:rsidP="00A610E1">
      <w:pPr>
        <w:ind w:left="567"/>
        <w:rPr>
          <w:sz w:val="22"/>
          <w:szCs w:val="22"/>
          <w:lang w:val="pl-PL"/>
        </w:rPr>
      </w:pPr>
      <w:r w:rsidRPr="00BD22FE">
        <w:rPr>
          <w:sz w:val="22"/>
          <w:szCs w:val="22"/>
          <w:lang w:val="pl-PL"/>
        </w:rPr>
        <w:t>- aliskiren.</w:t>
      </w:r>
    </w:p>
    <w:p w14:paraId="503BB6B1" w14:textId="29ECBC0B" w:rsidR="00A610E1" w:rsidRPr="00BD22FE" w:rsidRDefault="00A610E1" w:rsidP="00A610E1">
      <w:pPr>
        <w:ind w:left="567"/>
        <w:rPr>
          <w:sz w:val="22"/>
          <w:szCs w:val="22"/>
          <w:lang w:val="pl-PL"/>
        </w:rPr>
      </w:pPr>
      <w:r w:rsidRPr="00BD22FE">
        <w:rPr>
          <w:sz w:val="22"/>
          <w:szCs w:val="22"/>
          <w:lang w:val="pl-PL"/>
        </w:rPr>
        <w:t>Lekarz prowadzący może monitorować czynność nerek, ciśnienie tętnicze krwi oraz stężenie elektrolitów (np. potasu) we krwi w regularnych odstępach czasu. Patrz także podpunkt „Kiedy nie przyjmować leku MicardisPlus”.</w:t>
      </w:r>
    </w:p>
    <w:p w14:paraId="1DDC88DB" w14:textId="77777777" w:rsidR="00A610E1" w:rsidRPr="00BD22FE" w:rsidRDefault="00A610E1" w:rsidP="00A610E1">
      <w:pPr>
        <w:numPr>
          <w:ilvl w:val="0"/>
          <w:numId w:val="16"/>
        </w:numPr>
        <w:ind w:left="567" w:hanging="567"/>
        <w:rPr>
          <w:sz w:val="22"/>
          <w:szCs w:val="22"/>
          <w:lang w:val="pl-PL"/>
        </w:rPr>
      </w:pPr>
      <w:r w:rsidRPr="00BD22FE">
        <w:rPr>
          <w:sz w:val="22"/>
          <w:szCs w:val="22"/>
          <w:lang w:val="pl-PL"/>
        </w:rPr>
        <w:lastRenderedPageBreak/>
        <w:t>jeśli pacjent przyjmuje digoksynę.</w:t>
      </w:r>
    </w:p>
    <w:p w14:paraId="307B0A42" w14:textId="77777777" w:rsidR="00A610E1" w:rsidRPr="00BD22FE" w:rsidRDefault="00A610E1" w:rsidP="00A610E1">
      <w:pPr>
        <w:numPr>
          <w:ilvl w:val="0"/>
          <w:numId w:val="16"/>
        </w:numPr>
        <w:ind w:left="567" w:hanging="567"/>
        <w:rPr>
          <w:sz w:val="22"/>
          <w:szCs w:val="22"/>
          <w:lang w:val="pl-PL"/>
        </w:rPr>
      </w:pPr>
      <w:r w:rsidRPr="00BD22FE">
        <w:rPr>
          <w:sz w:val="22"/>
          <w:szCs w:val="22"/>
          <w:lang w:val="pl-PL"/>
        </w:rPr>
        <w:t>jeśli w przeszłości po przyjęciu hydrochlorotiazydu u pacjenta występowały problemy z oddychaniem lub płucami (w tym zapalenie płuc lub gromadzenie się płynu w płucach). Jeśli po przyjęciu leku MicardisPlus u pacjenta wystąpi ciężka duszność lub trudności z oddychaniem, należy niezwłocznie zwrócić się o pomoc medyczną.</w:t>
      </w:r>
    </w:p>
    <w:p w14:paraId="7B455180" w14:textId="77777777" w:rsidR="00A610E1" w:rsidRPr="00BD22FE" w:rsidRDefault="00A610E1" w:rsidP="00A610E1">
      <w:pPr>
        <w:pStyle w:val="BodyText"/>
        <w:spacing w:line="240" w:lineRule="auto"/>
        <w:jc w:val="left"/>
        <w:rPr>
          <w:sz w:val="22"/>
          <w:szCs w:val="22"/>
          <w:lang w:val="pl-PL"/>
        </w:rPr>
      </w:pPr>
    </w:p>
    <w:p w14:paraId="5D032F33" w14:textId="47F46870" w:rsidR="002049D2" w:rsidRPr="00BD22FE" w:rsidRDefault="002049D2" w:rsidP="002049D2">
      <w:pPr>
        <w:rPr>
          <w:sz w:val="22"/>
          <w:szCs w:val="22"/>
          <w:lang w:val="pl-PL"/>
        </w:rPr>
      </w:pPr>
      <w:r w:rsidRPr="00BD22FE">
        <w:rPr>
          <w:sz w:val="22"/>
          <w:szCs w:val="22"/>
          <w:lang w:val="pl-PL"/>
        </w:rPr>
        <w:t>Jeśli po przyjęciu leku MicardisPlus u pacjenta wystąpi ból brzucha, nudności, wymioty lub biegunka, należy omówić to z lekarzem. Lekarz podejmie decyzję o dalszym leczeniu. Nie należy samodzielnie podejmować decyzji o przerwaniu przyjmowania leku MicardisPlus.</w:t>
      </w:r>
    </w:p>
    <w:p w14:paraId="5E369111" w14:textId="77777777" w:rsidR="002049D2" w:rsidRPr="00BD22FE" w:rsidRDefault="002049D2" w:rsidP="002049D2">
      <w:pPr>
        <w:pStyle w:val="BodyText"/>
        <w:spacing w:line="240" w:lineRule="auto"/>
        <w:jc w:val="left"/>
        <w:rPr>
          <w:sz w:val="22"/>
          <w:szCs w:val="22"/>
          <w:lang w:val="pl-PL"/>
        </w:rPr>
      </w:pPr>
    </w:p>
    <w:p w14:paraId="2D549F4D" w14:textId="64AD5F42" w:rsidR="00A610E1" w:rsidRPr="00BD22FE" w:rsidRDefault="00A610E1" w:rsidP="00A610E1">
      <w:pPr>
        <w:pStyle w:val="BodyText"/>
        <w:spacing w:line="240" w:lineRule="auto"/>
        <w:jc w:val="left"/>
        <w:rPr>
          <w:rFonts w:eastAsia="MS Mincho"/>
          <w:sz w:val="22"/>
          <w:szCs w:val="22"/>
          <w:lang w:val="pl-PL" w:eastAsia="ja-JP"/>
        </w:rPr>
      </w:pPr>
      <w:r w:rsidRPr="00BD22FE">
        <w:rPr>
          <w:sz w:val="22"/>
          <w:szCs w:val="22"/>
          <w:lang w:val="pl-PL"/>
        </w:rPr>
        <w:t>Należy poinformować lekarza o podejrzeniu (</w:t>
      </w:r>
      <w:r w:rsidRPr="00BD22FE">
        <w:rPr>
          <w:sz w:val="22"/>
          <w:szCs w:val="22"/>
          <w:u w:val="single"/>
          <w:lang w:val="pl-PL"/>
        </w:rPr>
        <w:t>lub planowaniu</w:t>
      </w:r>
      <w:r w:rsidRPr="00BD22FE">
        <w:rPr>
          <w:sz w:val="22"/>
          <w:szCs w:val="22"/>
          <w:lang w:val="pl-PL"/>
        </w:rPr>
        <w:t>) ciąży. Nie zaleca się stosowania leku MicardisPlus we wczesnym okresie ciąży oraz </w:t>
      </w:r>
      <w:r w:rsidRPr="00BD22FE">
        <w:rPr>
          <w:rFonts w:eastAsia="MS Mincho"/>
          <w:sz w:val="22"/>
          <w:szCs w:val="22"/>
          <w:lang w:val="pl-PL" w:eastAsia="ja-JP"/>
        </w:rPr>
        <w:t>nie wolno go przyjmować, jeśli pacjentka jest w ciąży dłużej niż 3 miesiące, ponieważ stosowany w tym okresie może poważnie zaszkodzić dziecku (patrz punkt „Ciąża”).</w:t>
      </w:r>
    </w:p>
    <w:p w14:paraId="227013EF" w14:textId="77777777" w:rsidR="00A610E1" w:rsidRPr="00BD22FE" w:rsidRDefault="00A610E1" w:rsidP="00A610E1">
      <w:pPr>
        <w:pStyle w:val="BodyText"/>
        <w:spacing w:line="240" w:lineRule="auto"/>
        <w:jc w:val="left"/>
        <w:rPr>
          <w:sz w:val="22"/>
          <w:szCs w:val="22"/>
          <w:lang w:val="pl-PL"/>
        </w:rPr>
      </w:pPr>
    </w:p>
    <w:p w14:paraId="40B96BD3" w14:textId="6A2C58DE" w:rsidR="00A610E1" w:rsidRPr="00BD22FE" w:rsidRDefault="00A610E1" w:rsidP="00A610E1">
      <w:pPr>
        <w:pStyle w:val="BodyText"/>
        <w:spacing w:line="240" w:lineRule="auto"/>
        <w:jc w:val="left"/>
        <w:rPr>
          <w:sz w:val="22"/>
          <w:szCs w:val="22"/>
          <w:lang w:val="pl-PL"/>
        </w:rPr>
      </w:pPr>
      <w:r w:rsidRPr="00BD22FE">
        <w:rPr>
          <w:sz w:val="22"/>
          <w:szCs w:val="22"/>
          <w:lang w:val="pl-PL"/>
        </w:rPr>
        <w:t>Leczenie hydrochlorotiazydem może prowadzić do zaburzenia równowagi elektrolitów w organizmie. Typowe objawy zaburzenia gospodarki płynowej lub elektrolitowej obejmują suchość błony śluzowej w jamie ustnej, osłabienie, letarg, senność, niepokój, bóle lub skurcze mięśniowe, nudności (mdłości), wymioty, zmęczenie mięśni oraz nieprawidłowo przyspieszone tętno (szybciej niż 100 uderzeń na minutę). W przypadku wystąpienia któregokolwiek z tych objawów należy poinformować lekarza.</w:t>
      </w:r>
    </w:p>
    <w:p w14:paraId="246A59BE" w14:textId="77777777" w:rsidR="00A610E1" w:rsidRPr="00BD22FE" w:rsidRDefault="00A610E1" w:rsidP="00A610E1">
      <w:pPr>
        <w:pStyle w:val="BodyText"/>
        <w:spacing w:line="240" w:lineRule="auto"/>
        <w:jc w:val="left"/>
        <w:rPr>
          <w:sz w:val="22"/>
          <w:szCs w:val="22"/>
          <w:lang w:val="pl-PL"/>
        </w:rPr>
      </w:pPr>
    </w:p>
    <w:p w14:paraId="192DAD87" w14:textId="0C691E3D" w:rsidR="00A610E1" w:rsidRPr="00BD22FE" w:rsidRDefault="00A610E1" w:rsidP="00A610E1">
      <w:pPr>
        <w:pStyle w:val="BodyText"/>
        <w:spacing w:line="240" w:lineRule="auto"/>
        <w:jc w:val="left"/>
        <w:rPr>
          <w:sz w:val="22"/>
          <w:szCs w:val="22"/>
          <w:lang w:val="pl-PL"/>
        </w:rPr>
      </w:pPr>
      <w:r w:rsidRPr="00BD22FE">
        <w:rPr>
          <w:sz w:val="22"/>
          <w:szCs w:val="22"/>
          <w:lang w:val="pl-PL"/>
        </w:rPr>
        <w:t>Należy również poinformować lekarza o wystąpieniu zwiększonej wrażliwości skóry na światło słoneczne z objawami oparzenia słonecznego (takimi jak zaczerwienienie, swędzenie, obrzęk, powstawanie pęcherzy) pojawiającymi się szybciej niż zazwyczaj.</w:t>
      </w:r>
    </w:p>
    <w:p w14:paraId="69F2ABA2" w14:textId="77777777" w:rsidR="00A610E1" w:rsidRPr="00BD22FE" w:rsidRDefault="00A610E1" w:rsidP="00A610E1">
      <w:pPr>
        <w:pStyle w:val="BodyText"/>
        <w:spacing w:line="240" w:lineRule="auto"/>
        <w:jc w:val="left"/>
        <w:rPr>
          <w:sz w:val="22"/>
          <w:szCs w:val="22"/>
          <w:lang w:val="pl-PL"/>
        </w:rPr>
      </w:pPr>
    </w:p>
    <w:p w14:paraId="1DAF53D9" w14:textId="77777777" w:rsidR="00A610E1" w:rsidRPr="00BD22FE" w:rsidRDefault="00A610E1" w:rsidP="00A610E1">
      <w:pPr>
        <w:pStyle w:val="BodyText"/>
        <w:spacing w:line="240" w:lineRule="auto"/>
        <w:jc w:val="left"/>
        <w:rPr>
          <w:rFonts w:eastAsia="MS Mincho"/>
          <w:sz w:val="22"/>
          <w:szCs w:val="22"/>
          <w:lang w:val="pl-PL" w:eastAsia="ja-JP"/>
        </w:rPr>
      </w:pPr>
      <w:r w:rsidRPr="00BD22FE">
        <w:rPr>
          <w:rFonts w:eastAsia="MS Mincho"/>
          <w:sz w:val="22"/>
          <w:szCs w:val="22"/>
          <w:lang w:val="pl-PL" w:eastAsia="ja-JP"/>
        </w:rPr>
        <w:t>W przypadku planowanego zabiegu chirurgicznego lub znieczulenia należy poinformować lekarza o przyjmowaniu leku MicardisPlus.</w:t>
      </w:r>
    </w:p>
    <w:p w14:paraId="6A30782F" w14:textId="77777777" w:rsidR="00A610E1" w:rsidRPr="00BD22FE" w:rsidRDefault="00A610E1" w:rsidP="00A610E1">
      <w:pPr>
        <w:rPr>
          <w:sz w:val="22"/>
          <w:szCs w:val="22"/>
          <w:lang w:val="pl-PL"/>
        </w:rPr>
      </w:pPr>
    </w:p>
    <w:p w14:paraId="607F806F" w14:textId="77777777" w:rsidR="00A610E1" w:rsidRPr="00BD22FE" w:rsidRDefault="00A610E1" w:rsidP="00A610E1">
      <w:pPr>
        <w:rPr>
          <w:sz w:val="22"/>
          <w:szCs w:val="22"/>
          <w:lang w:val="pl-PL"/>
        </w:rPr>
      </w:pPr>
      <w:r w:rsidRPr="00BD22FE">
        <w:rPr>
          <w:sz w:val="22"/>
          <w:szCs w:val="22"/>
          <w:lang w:val="pl-PL"/>
        </w:rPr>
        <w:t>Lek MicardisPlus może mniej skutecznie obniżać ciśnienie tętnicze krwi u osób rasy czarnej.</w:t>
      </w:r>
    </w:p>
    <w:p w14:paraId="166F089B" w14:textId="77777777" w:rsidR="00A610E1" w:rsidRPr="00BD22FE" w:rsidRDefault="00A610E1" w:rsidP="00A610E1">
      <w:pPr>
        <w:rPr>
          <w:rFonts w:eastAsia="MS Mincho"/>
          <w:sz w:val="22"/>
          <w:szCs w:val="22"/>
          <w:lang w:val="pl-PL" w:eastAsia="ja-JP"/>
        </w:rPr>
      </w:pPr>
    </w:p>
    <w:p w14:paraId="3CA9D376" w14:textId="77777777" w:rsidR="00A610E1" w:rsidRPr="00BD22FE" w:rsidRDefault="00A610E1" w:rsidP="00A610E1">
      <w:pPr>
        <w:keepNext/>
        <w:rPr>
          <w:sz w:val="22"/>
          <w:szCs w:val="22"/>
          <w:lang w:val="pl-PL" w:bidi="bn-IN"/>
        </w:rPr>
      </w:pPr>
      <w:r w:rsidRPr="00BD22FE">
        <w:rPr>
          <w:b/>
          <w:sz w:val="22"/>
          <w:szCs w:val="22"/>
          <w:lang w:val="pl-PL" w:bidi="bn-IN"/>
        </w:rPr>
        <w:t>Dzieci i młodzież</w:t>
      </w:r>
    </w:p>
    <w:p w14:paraId="5A2235B3" w14:textId="77777777" w:rsidR="00A610E1" w:rsidRPr="00BD22FE" w:rsidRDefault="00A610E1" w:rsidP="00A610E1">
      <w:pPr>
        <w:pStyle w:val="BodyText"/>
        <w:spacing w:line="240" w:lineRule="auto"/>
        <w:jc w:val="left"/>
        <w:rPr>
          <w:sz w:val="22"/>
          <w:szCs w:val="22"/>
          <w:lang w:val="pl-PL"/>
        </w:rPr>
      </w:pPr>
      <w:r w:rsidRPr="00BD22FE">
        <w:rPr>
          <w:sz w:val="22"/>
          <w:szCs w:val="22"/>
          <w:lang w:val="pl-PL"/>
        </w:rPr>
        <w:t>Stosowanie leku MicardisPlus u dzieci i młodzieży w wieku do 18 lat nie jest zalecane.</w:t>
      </w:r>
    </w:p>
    <w:p w14:paraId="6D72FA14" w14:textId="77777777" w:rsidR="00A610E1" w:rsidRPr="00BD22FE" w:rsidRDefault="00A610E1" w:rsidP="00A610E1">
      <w:pPr>
        <w:pStyle w:val="BodyText"/>
        <w:spacing w:line="240" w:lineRule="auto"/>
        <w:jc w:val="left"/>
        <w:rPr>
          <w:sz w:val="22"/>
          <w:szCs w:val="22"/>
          <w:lang w:val="pl-PL"/>
        </w:rPr>
      </w:pPr>
    </w:p>
    <w:p w14:paraId="6EF0BA3D" w14:textId="77777777" w:rsidR="00A610E1" w:rsidRPr="00BD22FE" w:rsidRDefault="00A610E1" w:rsidP="00A610E1">
      <w:pPr>
        <w:pStyle w:val="BodyText"/>
        <w:keepNext/>
        <w:spacing w:line="240" w:lineRule="auto"/>
        <w:jc w:val="left"/>
        <w:rPr>
          <w:b/>
          <w:sz w:val="22"/>
          <w:szCs w:val="22"/>
          <w:lang w:val="pl-PL"/>
        </w:rPr>
      </w:pPr>
      <w:r w:rsidRPr="00BD22FE">
        <w:rPr>
          <w:b/>
          <w:sz w:val="22"/>
          <w:szCs w:val="22"/>
          <w:lang w:val="pl-PL" w:bidi="bn-IN"/>
        </w:rPr>
        <w:t>Lek MicardisPlus a inne leki</w:t>
      </w:r>
    </w:p>
    <w:p w14:paraId="2425A26F" w14:textId="37B9D1DE" w:rsidR="00A610E1" w:rsidRPr="00BD22FE" w:rsidRDefault="00A610E1" w:rsidP="00A610E1">
      <w:pPr>
        <w:pStyle w:val="BodyText"/>
        <w:keepNext/>
        <w:spacing w:line="240" w:lineRule="auto"/>
        <w:jc w:val="left"/>
        <w:rPr>
          <w:sz w:val="22"/>
          <w:szCs w:val="22"/>
          <w:lang w:val="pl-PL"/>
        </w:rPr>
      </w:pPr>
      <w:r w:rsidRPr="00BD22FE">
        <w:rPr>
          <w:sz w:val="22"/>
          <w:szCs w:val="22"/>
          <w:lang w:val="pl-PL" w:bidi="bn-IN"/>
        </w:rPr>
        <w:t xml:space="preserve">Należy powiedzieć lekarzowi lub farmaceucie o wszystkich lekach przyjmowanych przez pacjenta obecnie lub ostatnio, a także o lekach, które pacjent planuje przyjmować. </w:t>
      </w:r>
      <w:r w:rsidRPr="00BD22FE">
        <w:rPr>
          <w:sz w:val="22"/>
          <w:szCs w:val="22"/>
          <w:lang w:val="pl-PL"/>
        </w:rPr>
        <w:t>Lekarz może zdecydować o zmianie dawki tych leków lub o podjęciu innych środków ostrożności. W niektórych przypadkach konieczne może być przerwanie przyjmowania któregoś z leków. Dotyczy to zwłaszcza jednoczesnego przyjmowania razem z lekiem MicardisPlus niżej wymienionych leków:</w:t>
      </w:r>
    </w:p>
    <w:p w14:paraId="52D541EF" w14:textId="77777777" w:rsidR="00A610E1" w:rsidRPr="00BD22FE" w:rsidRDefault="00A610E1" w:rsidP="00A610E1">
      <w:pPr>
        <w:pStyle w:val="BodyText"/>
        <w:keepNext/>
        <w:spacing w:line="240" w:lineRule="auto"/>
        <w:jc w:val="left"/>
        <w:rPr>
          <w:sz w:val="22"/>
          <w:szCs w:val="22"/>
          <w:lang w:val="pl-PL"/>
        </w:rPr>
      </w:pPr>
    </w:p>
    <w:p w14:paraId="5A4F3DD9" w14:textId="74CADE9A" w:rsidR="00A610E1" w:rsidRPr="00BD22FE" w:rsidRDefault="00A610E1" w:rsidP="00A610E1">
      <w:pPr>
        <w:pStyle w:val="BodyText"/>
        <w:numPr>
          <w:ilvl w:val="0"/>
          <w:numId w:val="29"/>
        </w:numPr>
        <w:spacing w:line="240" w:lineRule="auto"/>
        <w:ind w:left="567" w:hanging="567"/>
        <w:jc w:val="left"/>
        <w:rPr>
          <w:sz w:val="22"/>
          <w:szCs w:val="22"/>
          <w:lang w:val="pl-PL"/>
        </w:rPr>
      </w:pPr>
      <w:r w:rsidRPr="00BD22FE">
        <w:rPr>
          <w:sz w:val="22"/>
          <w:szCs w:val="22"/>
          <w:lang w:val="pl-PL"/>
        </w:rPr>
        <w:t>leków zawierających lit, stosowanych w leczeniu niektórych rodzajów depresji;</w:t>
      </w:r>
    </w:p>
    <w:p w14:paraId="2D04875F" w14:textId="25CABB46" w:rsidR="00A610E1" w:rsidRPr="00BD22FE" w:rsidRDefault="00A610E1" w:rsidP="00A610E1">
      <w:pPr>
        <w:pStyle w:val="BodyText"/>
        <w:numPr>
          <w:ilvl w:val="0"/>
          <w:numId w:val="29"/>
        </w:numPr>
        <w:spacing w:line="240" w:lineRule="auto"/>
        <w:ind w:left="567" w:hanging="567"/>
        <w:jc w:val="left"/>
        <w:rPr>
          <w:rFonts w:eastAsia="MS Mincho"/>
          <w:sz w:val="22"/>
          <w:szCs w:val="22"/>
          <w:lang w:val="pl-PL" w:eastAsia="ja-JP"/>
        </w:rPr>
      </w:pPr>
      <w:r w:rsidRPr="00BD22FE">
        <w:rPr>
          <w:rFonts w:eastAsia="MS Mincho"/>
          <w:sz w:val="22"/>
          <w:szCs w:val="22"/>
          <w:lang w:val="pl-PL" w:eastAsia="ja-JP"/>
        </w:rPr>
        <w:t>leki związane z występowaniem małego stężenia potasu we krwi (hipokaliemia), takie jak inne leki moczopędne (tabletki odwadniające), leki przeczyszczające (np. olej rycynowy), kortykosteroidy (np. prednizolon), ACTH (hormon), amfoterycyna (lek przeciwgrzybiczy), karbenoksolon (stosowany w leczeniu owrzodzeń jamy ustnej), sól sodowa penicyliny G (antybiotyk), kwas salicylowy oraz jego pochodne;</w:t>
      </w:r>
    </w:p>
    <w:p w14:paraId="21CA23AD" w14:textId="77777777" w:rsidR="00A610E1" w:rsidRPr="00BD22FE" w:rsidRDefault="00A610E1" w:rsidP="00A610E1">
      <w:pPr>
        <w:pStyle w:val="BodyText"/>
        <w:numPr>
          <w:ilvl w:val="0"/>
          <w:numId w:val="29"/>
        </w:numPr>
        <w:spacing w:line="240" w:lineRule="auto"/>
        <w:ind w:left="567" w:hanging="567"/>
        <w:jc w:val="left"/>
        <w:rPr>
          <w:rFonts w:eastAsia="MS Mincho"/>
          <w:sz w:val="22"/>
          <w:szCs w:val="22"/>
          <w:lang w:val="pl-PL" w:eastAsia="ja-JP"/>
        </w:rPr>
      </w:pPr>
      <w:r w:rsidRPr="00BD22FE">
        <w:rPr>
          <w:rFonts w:eastAsia="MS Mincho"/>
          <w:sz w:val="22"/>
          <w:szCs w:val="22"/>
          <w:lang w:val="pl-PL" w:eastAsia="ja-JP"/>
        </w:rPr>
        <w:t>jodowy środek kontrastowy stosowany do badania obrazowego;</w:t>
      </w:r>
    </w:p>
    <w:p w14:paraId="62C7675B" w14:textId="43EEB6D0" w:rsidR="00A610E1" w:rsidRPr="00BD22FE" w:rsidRDefault="00A610E1" w:rsidP="00A610E1">
      <w:pPr>
        <w:pStyle w:val="BodyText"/>
        <w:numPr>
          <w:ilvl w:val="0"/>
          <w:numId w:val="29"/>
        </w:numPr>
        <w:spacing w:line="240" w:lineRule="auto"/>
        <w:ind w:left="567" w:hanging="567"/>
        <w:jc w:val="left"/>
        <w:rPr>
          <w:rFonts w:eastAsia="MS Mincho"/>
          <w:sz w:val="22"/>
          <w:szCs w:val="22"/>
          <w:lang w:val="pl-PL" w:eastAsia="ja-JP"/>
        </w:rPr>
      </w:pPr>
      <w:r w:rsidRPr="00BD22FE">
        <w:rPr>
          <w:rFonts w:eastAsia="MS Mincho"/>
          <w:sz w:val="22"/>
          <w:szCs w:val="22"/>
          <w:lang w:val="pl-PL" w:eastAsia="ja-JP"/>
        </w:rPr>
        <w:t>leki mogące podwyższać stężenie potasu we krwi, takie jak leki moczopędne oszczędzające potas, suplementy potasu, substytuty soli zawierające potas, inhibitory ACE, cyklosporyna (lek immunosupresyjny) i inne produkty lecznicze, takie jak heparyna sodowa (lek przeciwzakrzepowy);</w:t>
      </w:r>
    </w:p>
    <w:p w14:paraId="16D50127" w14:textId="77777777" w:rsidR="00A610E1" w:rsidRPr="00BD22FE" w:rsidRDefault="00A610E1" w:rsidP="00A610E1">
      <w:pPr>
        <w:pStyle w:val="BodyText"/>
        <w:numPr>
          <w:ilvl w:val="0"/>
          <w:numId w:val="29"/>
        </w:numPr>
        <w:spacing w:line="240" w:lineRule="auto"/>
        <w:ind w:left="567" w:hanging="567"/>
        <w:jc w:val="left"/>
        <w:rPr>
          <w:sz w:val="22"/>
          <w:szCs w:val="22"/>
          <w:lang w:val="pl-PL"/>
        </w:rPr>
      </w:pPr>
      <w:r w:rsidRPr="00BD22FE">
        <w:rPr>
          <w:rFonts w:eastAsia="MS Mincho"/>
          <w:sz w:val="22"/>
          <w:szCs w:val="22"/>
          <w:lang w:val="pl-PL" w:eastAsia="ja-JP"/>
        </w:rPr>
        <w:t>leki, na które wpływają zmiany stężenia potasu we krwi, takie jak leki nasercowe (np. digoksyna) czy też leki regulujące częstość akcji serca (np. chinidyna, dyzopiramid, amiodaron, sotalol), leki używane w leczeniu zaburzeń psychicznych (np. tiorydazyna, chloropromazyna, lewomepromazyna) oraz inne leki, takie jak niektóre antybiotyki (np. sparfloksacyna, pentamidyna) lub pewne leki stosowane w terapii odczynów (reakcji) alergicznych (np. terfenadyna);</w:t>
      </w:r>
    </w:p>
    <w:p w14:paraId="5F89076C" w14:textId="37E81551" w:rsidR="00A610E1" w:rsidRPr="00BD22FE" w:rsidRDefault="00A610E1" w:rsidP="00A610E1">
      <w:pPr>
        <w:pStyle w:val="BodyText"/>
        <w:numPr>
          <w:ilvl w:val="0"/>
          <w:numId w:val="29"/>
        </w:numPr>
        <w:spacing w:line="240" w:lineRule="auto"/>
        <w:ind w:left="567" w:hanging="567"/>
        <w:jc w:val="left"/>
        <w:rPr>
          <w:rFonts w:eastAsia="MS Mincho"/>
          <w:sz w:val="22"/>
          <w:lang w:val="pl-PL"/>
        </w:rPr>
      </w:pPr>
      <w:r w:rsidRPr="00BD22FE">
        <w:rPr>
          <w:sz w:val="22"/>
          <w:szCs w:val="22"/>
          <w:lang w:val="pl-PL"/>
        </w:rPr>
        <w:lastRenderedPageBreak/>
        <w:t>leki stosowane w leczeniu cukrzycy (insulina lub leki doustne takie jak metformina);</w:t>
      </w:r>
    </w:p>
    <w:p w14:paraId="26EEAED3" w14:textId="5D869067" w:rsidR="00A610E1" w:rsidRPr="00BD22FE" w:rsidRDefault="00A610E1" w:rsidP="00A610E1">
      <w:pPr>
        <w:pStyle w:val="BodyText"/>
        <w:numPr>
          <w:ilvl w:val="0"/>
          <w:numId w:val="29"/>
        </w:numPr>
        <w:spacing w:line="240" w:lineRule="auto"/>
        <w:ind w:left="567" w:hanging="567"/>
        <w:jc w:val="left"/>
        <w:rPr>
          <w:rFonts w:eastAsia="MS Mincho"/>
          <w:sz w:val="22"/>
          <w:lang w:val="pl-PL"/>
        </w:rPr>
      </w:pPr>
      <w:r w:rsidRPr="00BD22FE">
        <w:rPr>
          <w:sz w:val="22"/>
          <w:szCs w:val="22"/>
          <w:lang w:val="pl-PL"/>
        </w:rPr>
        <w:t>kolestyramina i kolestypol, leki obniżające stężenie tłuszczów we krwi;</w:t>
      </w:r>
    </w:p>
    <w:p w14:paraId="0599D05D" w14:textId="77777777" w:rsidR="00A610E1" w:rsidRPr="00BD22FE" w:rsidRDefault="00A610E1" w:rsidP="00A610E1">
      <w:pPr>
        <w:pStyle w:val="BodyText"/>
        <w:numPr>
          <w:ilvl w:val="0"/>
          <w:numId w:val="29"/>
        </w:numPr>
        <w:spacing w:line="240" w:lineRule="auto"/>
        <w:ind w:left="567" w:hanging="567"/>
        <w:jc w:val="left"/>
        <w:rPr>
          <w:sz w:val="22"/>
          <w:szCs w:val="22"/>
          <w:lang w:val="pl-PL"/>
        </w:rPr>
      </w:pPr>
      <w:r w:rsidRPr="00BD22FE">
        <w:rPr>
          <w:sz w:val="22"/>
          <w:szCs w:val="22"/>
          <w:lang w:val="pl-PL"/>
        </w:rPr>
        <w:t>leki podwyższające ciśnienie tętnicze krwi takie jak noradrenalina;</w:t>
      </w:r>
    </w:p>
    <w:p w14:paraId="78DB2DF0" w14:textId="77777777" w:rsidR="00A610E1" w:rsidRPr="00BD22FE" w:rsidRDefault="00A610E1" w:rsidP="00A610E1">
      <w:pPr>
        <w:pStyle w:val="BodyText"/>
        <w:numPr>
          <w:ilvl w:val="0"/>
          <w:numId w:val="29"/>
        </w:numPr>
        <w:spacing w:line="240" w:lineRule="auto"/>
        <w:ind w:left="567" w:hanging="567"/>
        <w:jc w:val="left"/>
        <w:rPr>
          <w:sz w:val="22"/>
          <w:szCs w:val="22"/>
          <w:lang w:val="pl-PL"/>
        </w:rPr>
      </w:pPr>
      <w:r w:rsidRPr="00BD22FE">
        <w:rPr>
          <w:sz w:val="22"/>
          <w:szCs w:val="22"/>
          <w:lang w:val="pl-PL"/>
        </w:rPr>
        <w:t>leki zwiotczające mięśnie takie jak tubokuraryna;</w:t>
      </w:r>
    </w:p>
    <w:p w14:paraId="0B7E4C33" w14:textId="77777777" w:rsidR="00A610E1" w:rsidRPr="00BD22FE" w:rsidRDefault="00A610E1" w:rsidP="00A610E1">
      <w:pPr>
        <w:pStyle w:val="BodyText"/>
        <w:numPr>
          <w:ilvl w:val="0"/>
          <w:numId w:val="29"/>
        </w:numPr>
        <w:spacing w:line="240" w:lineRule="auto"/>
        <w:ind w:left="567" w:hanging="567"/>
        <w:jc w:val="left"/>
        <w:rPr>
          <w:sz w:val="22"/>
          <w:szCs w:val="22"/>
          <w:lang w:val="pl-PL"/>
        </w:rPr>
      </w:pPr>
      <w:r w:rsidRPr="00BD22FE">
        <w:rPr>
          <w:sz w:val="22"/>
          <w:szCs w:val="22"/>
          <w:lang w:val="pl-PL"/>
        </w:rPr>
        <w:t>suplementy wapnia i (lub) witaminy D;</w:t>
      </w:r>
    </w:p>
    <w:p w14:paraId="6673CC16" w14:textId="77777777" w:rsidR="00A610E1" w:rsidRPr="00BD22FE" w:rsidRDefault="00A610E1" w:rsidP="00A610E1">
      <w:pPr>
        <w:pStyle w:val="BodyText"/>
        <w:numPr>
          <w:ilvl w:val="0"/>
          <w:numId w:val="29"/>
        </w:numPr>
        <w:spacing w:line="240" w:lineRule="auto"/>
        <w:ind w:left="567" w:hanging="567"/>
        <w:jc w:val="left"/>
        <w:rPr>
          <w:rFonts w:eastAsia="MS Mincho"/>
          <w:sz w:val="22"/>
          <w:szCs w:val="22"/>
          <w:lang w:val="pl-PL" w:eastAsia="ja-JP"/>
        </w:rPr>
      </w:pPr>
      <w:r w:rsidRPr="00BD22FE">
        <w:rPr>
          <w:sz w:val="22"/>
          <w:szCs w:val="22"/>
          <w:lang w:val="pl-PL"/>
        </w:rPr>
        <w:t>leki o działaniu antycholinergicznym (stosowane w leczeniu szeregu zaburzeń, takich jak stany skurczowe w obrębie przewodu pokarmowego, skurcze pęcherza moczowego, astma, choroba lokomocyjna, skurcze mięśni, choroba Parkinsona oraz wspomagająco przy znieczuleniu), takie jak atropina i biperyden;</w:t>
      </w:r>
    </w:p>
    <w:p w14:paraId="03695FF5" w14:textId="77777777" w:rsidR="00A610E1" w:rsidRPr="00BD22FE" w:rsidRDefault="00A610E1" w:rsidP="00A610E1">
      <w:pPr>
        <w:pStyle w:val="BodyText"/>
        <w:numPr>
          <w:ilvl w:val="0"/>
          <w:numId w:val="29"/>
        </w:numPr>
        <w:spacing w:line="240" w:lineRule="auto"/>
        <w:ind w:left="567" w:hanging="567"/>
        <w:jc w:val="left"/>
        <w:rPr>
          <w:rFonts w:eastAsia="MS Mincho"/>
          <w:sz w:val="22"/>
          <w:szCs w:val="22"/>
          <w:lang w:val="pl-PL" w:eastAsia="ja-JP"/>
        </w:rPr>
      </w:pPr>
      <w:r w:rsidRPr="00BD22FE">
        <w:rPr>
          <w:sz w:val="22"/>
          <w:szCs w:val="22"/>
          <w:lang w:val="pl-PL"/>
        </w:rPr>
        <w:t>amantadyna (lek stosowany w chorobie Parkinsona, a także w leczeniu lub zapobieganiu pewnych chorób wirusowych);</w:t>
      </w:r>
    </w:p>
    <w:p w14:paraId="0F0EDE5A" w14:textId="0E5EA04E" w:rsidR="00A610E1" w:rsidRPr="00BD22FE" w:rsidRDefault="00A610E1" w:rsidP="00A610E1">
      <w:pPr>
        <w:pStyle w:val="BodyText"/>
        <w:numPr>
          <w:ilvl w:val="0"/>
          <w:numId w:val="29"/>
        </w:numPr>
        <w:spacing w:line="240" w:lineRule="auto"/>
        <w:ind w:left="567" w:hanging="567"/>
        <w:jc w:val="left"/>
        <w:rPr>
          <w:sz w:val="22"/>
          <w:szCs w:val="22"/>
          <w:lang w:val="pl-PL"/>
        </w:rPr>
      </w:pPr>
      <w:r w:rsidRPr="00BD22FE">
        <w:rPr>
          <w:sz w:val="22"/>
          <w:szCs w:val="22"/>
          <w:lang w:val="pl-PL"/>
        </w:rPr>
        <w:t>pozostałe leki stosowane w leczeniu wysokiego ciśnienia tętniczego krwi, kortykosteroidy, leki przeciwbólowe (np. niesteroidowe leki przeciwzapalne, NLPZ), leki stosowane w leczeniu nowotworów, dny moczanowej lub zapalenia stawów;</w:t>
      </w:r>
    </w:p>
    <w:p w14:paraId="44C7CD7A" w14:textId="5F387E7D" w:rsidR="00A610E1" w:rsidRPr="00BD22FE" w:rsidRDefault="00A610E1" w:rsidP="00A610E1">
      <w:pPr>
        <w:pStyle w:val="PlainText"/>
        <w:numPr>
          <w:ilvl w:val="0"/>
          <w:numId w:val="29"/>
        </w:numPr>
        <w:ind w:left="567" w:hanging="567"/>
        <w:rPr>
          <w:rFonts w:ascii="Times New Roman" w:eastAsia="Times New Roman" w:hAnsi="Times New Roman"/>
          <w:bCs/>
          <w:iCs/>
          <w:sz w:val="22"/>
          <w:lang w:val="pl-PL"/>
        </w:rPr>
      </w:pPr>
      <w:r w:rsidRPr="00BD22FE">
        <w:rPr>
          <w:rFonts w:ascii="Times New Roman" w:hAnsi="Times New Roman"/>
          <w:sz w:val="22"/>
          <w:szCs w:val="22"/>
          <w:lang w:val="pl-PL"/>
        </w:rPr>
        <w:t>przyjmowanie inhibitora ACE lub aliskirenu (patrz także informacje w podpunkcie „Kiedy nie przyjmować leku MicardisPlus” oraz „Ostrzeżenia i środki ostrożności”);</w:t>
      </w:r>
    </w:p>
    <w:p w14:paraId="09A1B157" w14:textId="77777777" w:rsidR="00A610E1" w:rsidRPr="00BD22FE" w:rsidRDefault="00A610E1" w:rsidP="00A610E1">
      <w:pPr>
        <w:pStyle w:val="PlainText"/>
        <w:numPr>
          <w:ilvl w:val="0"/>
          <w:numId w:val="29"/>
        </w:numPr>
        <w:ind w:left="567" w:hanging="567"/>
        <w:rPr>
          <w:rFonts w:ascii="Times New Roman" w:eastAsia="Times New Roman" w:hAnsi="Times New Roman"/>
          <w:bCs/>
          <w:iCs/>
          <w:sz w:val="22"/>
          <w:lang w:val="pl-PL"/>
        </w:rPr>
      </w:pPr>
      <w:r w:rsidRPr="00BD22FE">
        <w:rPr>
          <w:rFonts w:ascii="Times New Roman" w:eastAsia="Times New Roman" w:hAnsi="Times New Roman"/>
          <w:bCs/>
          <w:iCs/>
          <w:sz w:val="22"/>
          <w:lang w:val="pl-PL"/>
        </w:rPr>
        <w:t>digoksyna.</w:t>
      </w:r>
    </w:p>
    <w:p w14:paraId="1B1D0104" w14:textId="77777777" w:rsidR="00A610E1" w:rsidRPr="00BD22FE" w:rsidRDefault="00A610E1" w:rsidP="00A610E1">
      <w:pPr>
        <w:pStyle w:val="BodyText"/>
        <w:spacing w:line="240" w:lineRule="auto"/>
        <w:jc w:val="left"/>
        <w:rPr>
          <w:bCs/>
          <w:iCs/>
          <w:sz w:val="22"/>
          <w:szCs w:val="21"/>
          <w:lang w:val="pl-PL"/>
        </w:rPr>
      </w:pPr>
    </w:p>
    <w:p w14:paraId="42BCC8F3" w14:textId="53881044" w:rsidR="00A610E1" w:rsidRPr="00BD22FE" w:rsidRDefault="00A610E1" w:rsidP="00A610E1">
      <w:pPr>
        <w:autoSpaceDE w:val="0"/>
        <w:autoSpaceDN w:val="0"/>
        <w:adjustRightInd w:val="0"/>
        <w:rPr>
          <w:rStyle w:val="hps"/>
          <w:sz w:val="22"/>
          <w:szCs w:val="22"/>
          <w:lang w:val="pl-PL"/>
        </w:rPr>
      </w:pPr>
      <w:r w:rsidRPr="00BD22FE">
        <w:rPr>
          <w:bCs/>
          <w:iCs/>
          <w:sz w:val="22"/>
          <w:szCs w:val="21"/>
          <w:lang w:val="pl-PL"/>
        </w:rPr>
        <w:t>Lek MicardisPlus może nasilać działanie obniżające ciśnienie tętnicze krwi innych leków</w:t>
      </w:r>
      <w:r w:rsidRPr="00BD22FE">
        <w:rPr>
          <w:rStyle w:val="hps"/>
          <w:sz w:val="22"/>
          <w:szCs w:val="22"/>
          <w:lang w:val="pl-PL"/>
        </w:rPr>
        <w:t xml:space="preserve"> stosowanych w leczeniu nadciśnienia tętniczego lub</w:t>
      </w:r>
      <w:r w:rsidRPr="00BD22FE">
        <w:rPr>
          <w:sz w:val="22"/>
          <w:szCs w:val="22"/>
          <w:lang w:val="pl-PL"/>
        </w:rPr>
        <w:t xml:space="preserve"> </w:t>
      </w:r>
      <w:r w:rsidRPr="00BD22FE">
        <w:rPr>
          <w:rStyle w:val="hps"/>
          <w:sz w:val="22"/>
          <w:szCs w:val="22"/>
          <w:lang w:val="pl-PL"/>
        </w:rPr>
        <w:t>leków, które mogą</w:t>
      </w:r>
      <w:r w:rsidRPr="00BD22FE">
        <w:rPr>
          <w:sz w:val="22"/>
          <w:szCs w:val="22"/>
          <w:lang w:val="pl-PL"/>
        </w:rPr>
        <w:t xml:space="preserve"> wywołać </w:t>
      </w:r>
      <w:r w:rsidRPr="00BD22FE">
        <w:rPr>
          <w:rStyle w:val="hps"/>
          <w:sz w:val="22"/>
          <w:szCs w:val="22"/>
          <w:lang w:val="pl-PL"/>
        </w:rPr>
        <w:t>zmniejszenie ciśnienia tętniczego krwi</w:t>
      </w:r>
      <w:r w:rsidRPr="00BD22FE">
        <w:rPr>
          <w:sz w:val="22"/>
          <w:szCs w:val="22"/>
          <w:lang w:val="pl-PL"/>
        </w:rPr>
        <w:t xml:space="preserve"> </w:t>
      </w:r>
      <w:r w:rsidRPr="00BD22FE">
        <w:rPr>
          <w:rStyle w:val="hps"/>
          <w:sz w:val="22"/>
          <w:szCs w:val="22"/>
          <w:lang w:val="pl-PL"/>
        </w:rPr>
        <w:t>(np.</w:t>
      </w:r>
      <w:r w:rsidRPr="00BD22FE">
        <w:rPr>
          <w:sz w:val="22"/>
          <w:szCs w:val="22"/>
          <w:lang w:val="pl-PL"/>
        </w:rPr>
        <w:t xml:space="preserve"> </w:t>
      </w:r>
      <w:r w:rsidRPr="00BD22FE">
        <w:rPr>
          <w:rStyle w:val="hps"/>
          <w:sz w:val="22"/>
          <w:szCs w:val="22"/>
          <w:lang w:val="pl-PL"/>
        </w:rPr>
        <w:t>baklofen</w:t>
      </w:r>
      <w:r w:rsidRPr="00BD22FE">
        <w:rPr>
          <w:sz w:val="22"/>
          <w:szCs w:val="22"/>
          <w:lang w:val="pl-PL"/>
        </w:rPr>
        <w:t xml:space="preserve">, </w:t>
      </w:r>
      <w:r w:rsidRPr="00BD22FE">
        <w:rPr>
          <w:rStyle w:val="hps"/>
          <w:sz w:val="22"/>
          <w:szCs w:val="22"/>
          <w:lang w:val="pl-PL"/>
        </w:rPr>
        <w:t>amifostyna</w:t>
      </w:r>
      <w:r w:rsidRPr="00BD22FE">
        <w:rPr>
          <w:sz w:val="22"/>
          <w:szCs w:val="22"/>
          <w:lang w:val="pl-PL"/>
        </w:rPr>
        <w:t xml:space="preserve">). </w:t>
      </w:r>
      <w:r w:rsidRPr="00BD22FE">
        <w:rPr>
          <w:rStyle w:val="hps"/>
          <w:sz w:val="22"/>
          <w:szCs w:val="22"/>
          <w:lang w:val="pl-PL"/>
        </w:rPr>
        <w:t>Ponadto</w:t>
      </w:r>
      <w:r w:rsidRPr="00BD22FE">
        <w:rPr>
          <w:sz w:val="22"/>
          <w:szCs w:val="22"/>
          <w:lang w:val="pl-PL"/>
        </w:rPr>
        <w:t xml:space="preserve"> niskie ciśnienie </w:t>
      </w:r>
      <w:r w:rsidRPr="00BD22FE">
        <w:rPr>
          <w:rStyle w:val="hps"/>
          <w:sz w:val="22"/>
          <w:szCs w:val="22"/>
          <w:lang w:val="pl-PL"/>
        </w:rPr>
        <w:t>tętnicze</w:t>
      </w:r>
      <w:r w:rsidRPr="00BD22FE">
        <w:rPr>
          <w:sz w:val="22"/>
          <w:szCs w:val="22"/>
          <w:lang w:val="pl-PL"/>
        </w:rPr>
        <w:t xml:space="preserve"> krwi </w:t>
      </w:r>
      <w:r w:rsidRPr="00BD22FE">
        <w:rPr>
          <w:rStyle w:val="hps"/>
          <w:sz w:val="22"/>
          <w:szCs w:val="22"/>
          <w:lang w:val="pl-PL"/>
        </w:rPr>
        <w:t>mogą dodatkowo zmniejszyć:</w:t>
      </w:r>
      <w:r w:rsidRPr="00BD22FE">
        <w:rPr>
          <w:sz w:val="22"/>
          <w:szCs w:val="22"/>
          <w:lang w:val="pl-PL"/>
        </w:rPr>
        <w:t xml:space="preserve"> </w:t>
      </w:r>
      <w:r w:rsidRPr="00BD22FE">
        <w:rPr>
          <w:rStyle w:val="hps"/>
          <w:sz w:val="22"/>
          <w:szCs w:val="22"/>
          <w:lang w:val="pl-PL"/>
        </w:rPr>
        <w:t>alkohol, barbiturany,</w:t>
      </w:r>
      <w:r w:rsidRPr="00BD22FE">
        <w:rPr>
          <w:sz w:val="22"/>
          <w:szCs w:val="22"/>
          <w:lang w:val="pl-PL"/>
        </w:rPr>
        <w:t xml:space="preserve"> </w:t>
      </w:r>
      <w:r w:rsidRPr="00BD22FE">
        <w:rPr>
          <w:rStyle w:val="hps"/>
          <w:sz w:val="22"/>
          <w:szCs w:val="22"/>
          <w:lang w:val="pl-PL"/>
        </w:rPr>
        <w:t>narkotyki lub</w:t>
      </w:r>
      <w:r w:rsidRPr="00BD22FE">
        <w:rPr>
          <w:sz w:val="22"/>
          <w:szCs w:val="22"/>
          <w:lang w:val="pl-PL"/>
        </w:rPr>
        <w:t xml:space="preserve"> </w:t>
      </w:r>
      <w:r w:rsidRPr="00BD22FE">
        <w:rPr>
          <w:rStyle w:val="hps"/>
          <w:sz w:val="22"/>
          <w:szCs w:val="22"/>
          <w:lang w:val="pl-PL"/>
        </w:rPr>
        <w:t>leki przeciwdepresyjne</w:t>
      </w:r>
      <w:r w:rsidRPr="00BD22FE">
        <w:rPr>
          <w:sz w:val="22"/>
          <w:szCs w:val="22"/>
          <w:lang w:val="pl-PL"/>
        </w:rPr>
        <w:t xml:space="preserve">. </w:t>
      </w:r>
      <w:r w:rsidRPr="00BD22FE">
        <w:rPr>
          <w:rStyle w:val="hps"/>
          <w:sz w:val="22"/>
          <w:szCs w:val="22"/>
          <w:lang w:val="pl-PL"/>
        </w:rPr>
        <w:t>Objawem są zawroty głowy</w:t>
      </w:r>
      <w:r w:rsidRPr="00BD22FE">
        <w:rPr>
          <w:sz w:val="22"/>
          <w:szCs w:val="22"/>
          <w:lang w:val="pl-PL"/>
        </w:rPr>
        <w:t xml:space="preserve"> </w:t>
      </w:r>
      <w:r w:rsidRPr="00BD22FE">
        <w:rPr>
          <w:rStyle w:val="hps"/>
          <w:sz w:val="22"/>
          <w:szCs w:val="22"/>
          <w:lang w:val="pl-PL"/>
        </w:rPr>
        <w:t>przy wstawaniu</w:t>
      </w:r>
      <w:r w:rsidRPr="00BD22FE">
        <w:rPr>
          <w:sz w:val="22"/>
          <w:szCs w:val="22"/>
          <w:lang w:val="pl-PL"/>
        </w:rPr>
        <w:t>. W razie potrzeby dostosowania dawki innego leku przyjmowanego przez pacjenta podczas przyjmowania leku MicardisPlus należy poradzić się lekarza.</w:t>
      </w:r>
    </w:p>
    <w:p w14:paraId="5F75EB97" w14:textId="77777777" w:rsidR="00A610E1" w:rsidRPr="00BD22FE" w:rsidRDefault="00A610E1" w:rsidP="00A610E1">
      <w:pPr>
        <w:rPr>
          <w:sz w:val="22"/>
          <w:szCs w:val="22"/>
          <w:lang w:val="pl-PL"/>
        </w:rPr>
      </w:pPr>
    </w:p>
    <w:p w14:paraId="49DBED7A" w14:textId="587E2E35" w:rsidR="00A610E1" w:rsidRPr="00BD22FE" w:rsidRDefault="00A610E1" w:rsidP="00A610E1">
      <w:pPr>
        <w:pStyle w:val="BodyText"/>
        <w:spacing w:line="240" w:lineRule="auto"/>
        <w:jc w:val="left"/>
        <w:rPr>
          <w:iCs/>
          <w:sz w:val="22"/>
          <w:szCs w:val="22"/>
          <w:lang w:val="pl-PL"/>
        </w:rPr>
      </w:pPr>
      <w:r w:rsidRPr="00BD22FE">
        <w:rPr>
          <w:iCs/>
          <w:sz w:val="22"/>
          <w:szCs w:val="22"/>
          <w:lang w:val="pl-PL"/>
        </w:rPr>
        <w:t>Działanie leku MicardisPlus może być osłabione w przypadku przyjmowania NLPZ (niesteroidowych leków przeciwzapalnych, np. aspiryny lub ibuprofenu).</w:t>
      </w:r>
    </w:p>
    <w:p w14:paraId="15323132" w14:textId="77777777" w:rsidR="00A610E1" w:rsidRPr="00BD22FE" w:rsidRDefault="00A610E1" w:rsidP="00A610E1">
      <w:pPr>
        <w:pStyle w:val="BodyText"/>
        <w:spacing w:line="240" w:lineRule="auto"/>
        <w:jc w:val="left"/>
        <w:rPr>
          <w:iCs/>
          <w:sz w:val="22"/>
          <w:szCs w:val="22"/>
          <w:lang w:val="pl-PL"/>
        </w:rPr>
      </w:pPr>
    </w:p>
    <w:p w14:paraId="419616C4" w14:textId="77777777" w:rsidR="00A610E1" w:rsidRPr="00BD22FE" w:rsidRDefault="00A610E1" w:rsidP="00A610E1">
      <w:pPr>
        <w:pStyle w:val="BodyText"/>
        <w:keepNext/>
        <w:spacing w:line="240" w:lineRule="auto"/>
        <w:jc w:val="left"/>
        <w:rPr>
          <w:b/>
          <w:iCs/>
          <w:sz w:val="22"/>
          <w:szCs w:val="22"/>
          <w:lang w:val="pl-PL"/>
        </w:rPr>
      </w:pPr>
      <w:r w:rsidRPr="00BD22FE">
        <w:rPr>
          <w:b/>
          <w:iCs/>
          <w:sz w:val="22"/>
          <w:szCs w:val="22"/>
          <w:lang w:val="pl-PL"/>
        </w:rPr>
        <w:t>Stosowanie leku MicardisPlus z jedzeniem i alkoholem</w:t>
      </w:r>
    </w:p>
    <w:p w14:paraId="35F4419C" w14:textId="7BBF9C97" w:rsidR="00A610E1" w:rsidRPr="00BD22FE" w:rsidRDefault="00A610E1" w:rsidP="00A610E1">
      <w:pPr>
        <w:pStyle w:val="BodyText"/>
        <w:spacing w:line="240" w:lineRule="auto"/>
        <w:jc w:val="left"/>
        <w:rPr>
          <w:iCs/>
          <w:sz w:val="22"/>
          <w:szCs w:val="22"/>
          <w:lang w:val="pl-PL"/>
        </w:rPr>
      </w:pPr>
      <w:r w:rsidRPr="00BD22FE">
        <w:rPr>
          <w:iCs/>
          <w:sz w:val="22"/>
          <w:szCs w:val="22"/>
          <w:lang w:val="pl-PL"/>
        </w:rPr>
        <w:t>Lek MicardisPlus można przyjmować z posiłkiem lub niezależnie od posiłków.</w:t>
      </w:r>
    </w:p>
    <w:p w14:paraId="7685C06E" w14:textId="77777777" w:rsidR="00A610E1" w:rsidRPr="00BD22FE" w:rsidRDefault="00A610E1" w:rsidP="00A610E1">
      <w:pPr>
        <w:pStyle w:val="BodyText"/>
        <w:spacing w:line="240" w:lineRule="auto"/>
        <w:jc w:val="left"/>
        <w:rPr>
          <w:iCs/>
          <w:sz w:val="22"/>
          <w:szCs w:val="22"/>
          <w:lang w:val="pl-PL"/>
        </w:rPr>
      </w:pPr>
      <w:r w:rsidRPr="00BD22FE">
        <w:rPr>
          <w:iCs/>
          <w:sz w:val="22"/>
          <w:szCs w:val="22"/>
          <w:lang w:val="pl-PL"/>
        </w:rPr>
        <w:t>Należy unikać alkoholu do czasu rozmowy z lekarzem. Alkohol może dodatkowo obniżyć ciśnienie tętnicze krwi i (lub) nasilić ryzyko zawrotów głowy lub omdlenia.</w:t>
      </w:r>
    </w:p>
    <w:p w14:paraId="04343619" w14:textId="77777777" w:rsidR="00A610E1" w:rsidRPr="00BD22FE" w:rsidRDefault="00A610E1" w:rsidP="00A610E1">
      <w:pPr>
        <w:pStyle w:val="BodyText"/>
        <w:spacing w:line="240" w:lineRule="auto"/>
        <w:jc w:val="left"/>
        <w:rPr>
          <w:sz w:val="22"/>
          <w:szCs w:val="22"/>
          <w:lang w:val="pl-PL"/>
        </w:rPr>
      </w:pPr>
    </w:p>
    <w:p w14:paraId="620C138E" w14:textId="77777777" w:rsidR="00A610E1" w:rsidRPr="00BD22FE" w:rsidRDefault="00A610E1" w:rsidP="00A610E1">
      <w:pPr>
        <w:pStyle w:val="BodyText"/>
        <w:keepNext/>
        <w:spacing w:line="240" w:lineRule="auto"/>
        <w:jc w:val="left"/>
        <w:rPr>
          <w:b/>
          <w:sz w:val="22"/>
          <w:szCs w:val="22"/>
          <w:lang w:val="pl-PL"/>
        </w:rPr>
      </w:pPr>
      <w:r w:rsidRPr="00BD22FE">
        <w:rPr>
          <w:b/>
          <w:sz w:val="22"/>
          <w:szCs w:val="22"/>
          <w:lang w:val="pl-PL"/>
        </w:rPr>
        <w:t>Ciąża i karmienie piersią</w:t>
      </w:r>
    </w:p>
    <w:p w14:paraId="04570A74" w14:textId="77777777" w:rsidR="00A610E1" w:rsidRPr="00BD22FE" w:rsidRDefault="00A610E1" w:rsidP="00A610E1">
      <w:pPr>
        <w:pStyle w:val="BodyText"/>
        <w:keepNext/>
        <w:spacing w:line="240" w:lineRule="auto"/>
        <w:jc w:val="left"/>
        <w:rPr>
          <w:sz w:val="22"/>
          <w:szCs w:val="22"/>
          <w:u w:val="single"/>
          <w:lang w:val="pl-PL"/>
        </w:rPr>
      </w:pPr>
      <w:r w:rsidRPr="00BD22FE">
        <w:rPr>
          <w:sz w:val="22"/>
          <w:szCs w:val="22"/>
          <w:u w:val="single"/>
          <w:lang w:val="pl-PL"/>
        </w:rPr>
        <w:t>Ciąża</w:t>
      </w:r>
    </w:p>
    <w:p w14:paraId="0B22CE82" w14:textId="7E221C01" w:rsidR="00A610E1" w:rsidRPr="00BD22FE" w:rsidRDefault="00A610E1" w:rsidP="00A610E1">
      <w:pPr>
        <w:pStyle w:val="BodyText"/>
        <w:spacing w:line="240" w:lineRule="auto"/>
        <w:jc w:val="left"/>
        <w:rPr>
          <w:sz w:val="22"/>
          <w:szCs w:val="22"/>
          <w:lang w:val="pl-PL"/>
        </w:rPr>
      </w:pPr>
      <w:r w:rsidRPr="00BD22FE">
        <w:rPr>
          <w:sz w:val="22"/>
          <w:szCs w:val="22"/>
          <w:lang w:val="pl-PL"/>
        </w:rPr>
        <w:t>Należy poinformować lekarza o podejrzeniu (</w:t>
      </w:r>
      <w:r w:rsidRPr="00BD22FE">
        <w:rPr>
          <w:sz w:val="22"/>
          <w:szCs w:val="22"/>
          <w:u w:val="single"/>
          <w:lang w:val="pl-PL"/>
        </w:rPr>
        <w:t>lub planowaniu)</w:t>
      </w:r>
      <w:r w:rsidRPr="00BD22FE">
        <w:rPr>
          <w:sz w:val="22"/>
          <w:szCs w:val="22"/>
          <w:lang w:val="pl-PL"/>
        </w:rPr>
        <w:t xml:space="preserve"> ciąży. Zazwyczaj lekarz zaleci zaprzestanie przyjmowania leku MicardisPlus przed planowaną ciążą lub natychmiast po stwierdzeniu ciąży i zaleci przyjmowanie innego leku zamiast leku MicardisPlus. Lek MicardisPlus nie jest zalecany do stosowania w okresie ciąży i nie wolno go przyjmować po 3 miesiącu ciąży, ponieważ może poważnie zaszkodzić dziecku, jeśli jest stosowany po trzecim miesiącu ciąży.</w:t>
      </w:r>
    </w:p>
    <w:p w14:paraId="51590334" w14:textId="77777777" w:rsidR="00A610E1" w:rsidRPr="00BD22FE" w:rsidRDefault="00A610E1" w:rsidP="00A610E1">
      <w:pPr>
        <w:pStyle w:val="BodyText"/>
        <w:spacing w:line="240" w:lineRule="auto"/>
        <w:jc w:val="left"/>
        <w:rPr>
          <w:sz w:val="22"/>
          <w:szCs w:val="22"/>
          <w:lang w:val="pl-PL"/>
        </w:rPr>
      </w:pPr>
    </w:p>
    <w:p w14:paraId="5EDCC1A6" w14:textId="77777777" w:rsidR="00A610E1" w:rsidRPr="00BD22FE" w:rsidRDefault="00A610E1" w:rsidP="00A610E1">
      <w:pPr>
        <w:pStyle w:val="BodyText"/>
        <w:keepNext/>
        <w:spacing w:line="240" w:lineRule="auto"/>
        <w:jc w:val="left"/>
        <w:rPr>
          <w:sz w:val="22"/>
          <w:szCs w:val="22"/>
          <w:u w:val="single"/>
          <w:lang w:val="pl-PL"/>
        </w:rPr>
      </w:pPr>
      <w:r w:rsidRPr="00BD22FE">
        <w:rPr>
          <w:sz w:val="22"/>
          <w:szCs w:val="22"/>
          <w:u w:val="single"/>
          <w:lang w:val="pl-PL"/>
        </w:rPr>
        <w:t>Karmienie piersią</w:t>
      </w:r>
    </w:p>
    <w:p w14:paraId="55FDDC63" w14:textId="77777777" w:rsidR="00A610E1" w:rsidRPr="00BD22FE" w:rsidRDefault="00A610E1" w:rsidP="00A610E1">
      <w:pPr>
        <w:pStyle w:val="BodyText"/>
        <w:spacing w:line="240" w:lineRule="auto"/>
        <w:jc w:val="left"/>
        <w:rPr>
          <w:sz w:val="22"/>
          <w:szCs w:val="22"/>
          <w:lang w:val="pl-PL"/>
        </w:rPr>
      </w:pPr>
      <w:r w:rsidRPr="00BD22FE">
        <w:rPr>
          <w:sz w:val="22"/>
          <w:szCs w:val="22"/>
          <w:lang w:val="pl-PL"/>
        </w:rPr>
        <w:t>Należy powiedzieć lekarzowi o karmieniu piersią lub zamiarze karmienia piersią. Lek MicardisPlus nie jest zalecany do stosowania podczas karmienia piersią. Lekarz może wybrać inne leczenie podczas karmienia piersią.</w:t>
      </w:r>
    </w:p>
    <w:p w14:paraId="06FCAF10" w14:textId="77777777" w:rsidR="00A610E1" w:rsidRPr="00BD22FE" w:rsidRDefault="00A610E1" w:rsidP="00A610E1">
      <w:pPr>
        <w:pStyle w:val="BodyText"/>
        <w:spacing w:line="240" w:lineRule="auto"/>
        <w:jc w:val="left"/>
        <w:rPr>
          <w:sz w:val="22"/>
          <w:szCs w:val="22"/>
          <w:lang w:val="pl-PL"/>
        </w:rPr>
      </w:pPr>
    </w:p>
    <w:p w14:paraId="26D4BE46" w14:textId="77777777" w:rsidR="00A610E1" w:rsidRPr="00BD22FE" w:rsidRDefault="00A610E1" w:rsidP="00A610E1">
      <w:pPr>
        <w:pStyle w:val="BodyText"/>
        <w:keepNext/>
        <w:spacing w:line="240" w:lineRule="auto"/>
        <w:jc w:val="left"/>
        <w:rPr>
          <w:b/>
          <w:sz w:val="22"/>
          <w:szCs w:val="22"/>
          <w:lang w:val="pl-PL"/>
        </w:rPr>
      </w:pPr>
      <w:r w:rsidRPr="00BD22FE">
        <w:rPr>
          <w:b/>
          <w:sz w:val="22"/>
          <w:szCs w:val="22"/>
          <w:lang w:val="pl-PL"/>
        </w:rPr>
        <w:t>Prowadzenie pojazdów i obsługiwanie maszyn</w:t>
      </w:r>
    </w:p>
    <w:p w14:paraId="4A944584" w14:textId="77777777" w:rsidR="00A610E1" w:rsidRPr="00BD22FE" w:rsidRDefault="00A610E1" w:rsidP="00A610E1">
      <w:pPr>
        <w:rPr>
          <w:sz w:val="22"/>
          <w:szCs w:val="22"/>
          <w:lang w:val="pl-PL"/>
        </w:rPr>
      </w:pPr>
      <w:r w:rsidRPr="00BD22FE">
        <w:rPr>
          <w:sz w:val="22"/>
          <w:szCs w:val="22"/>
          <w:lang w:val="pl-PL"/>
        </w:rPr>
        <w:t>Niektórzy pacjenci przyjmujący lek MicardisPlus mogą odczuwać zawroty głowy, zemdleć lub mieć uczucie wirowania. W przypadku wystąpienia takich działań niepożądanych nie należy prowadzić pojazdów ani obsługiwać maszyn.</w:t>
      </w:r>
    </w:p>
    <w:p w14:paraId="353BBABC" w14:textId="77777777" w:rsidR="00A610E1" w:rsidRPr="00BD22FE" w:rsidRDefault="00A610E1" w:rsidP="00A610E1">
      <w:pPr>
        <w:pStyle w:val="BodyText"/>
        <w:spacing w:line="240" w:lineRule="auto"/>
        <w:jc w:val="left"/>
        <w:rPr>
          <w:sz w:val="22"/>
          <w:szCs w:val="22"/>
          <w:lang w:val="pl-PL"/>
        </w:rPr>
      </w:pPr>
    </w:p>
    <w:p w14:paraId="4F7799B5" w14:textId="77777777" w:rsidR="00A610E1" w:rsidRPr="00BD22FE" w:rsidRDefault="00A610E1" w:rsidP="00A610E1">
      <w:pPr>
        <w:pStyle w:val="BodyText"/>
        <w:keepNext/>
        <w:spacing w:line="240" w:lineRule="auto"/>
        <w:jc w:val="left"/>
        <w:rPr>
          <w:b/>
          <w:sz w:val="22"/>
          <w:szCs w:val="22"/>
          <w:lang w:val="pl-PL"/>
        </w:rPr>
      </w:pPr>
      <w:r w:rsidRPr="00BD22FE">
        <w:rPr>
          <w:b/>
          <w:sz w:val="22"/>
          <w:szCs w:val="22"/>
          <w:lang w:val="pl-PL"/>
        </w:rPr>
        <w:t>Lek MicardisPlus zawiera sód</w:t>
      </w:r>
    </w:p>
    <w:p w14:paraId="3A50A5AC" w14:textId="77777777" w:rsidR="00A610E1" w:rsidRPr="00BD22FE" w:rsidRDefault="00A610E1" w:rsidP="00A610E1">
      <w:pPr>
        <w:pStyle w:val="BodyText"/>
        <w:spacing w:line="240" w:lineRule="auto"/>
        <w:jc w:val="left"/>
        <w:rPr>
          <w:bCs/>
          <w:sz w:val="22"/>
          <w:szCs w:val="22"/>
          <w:lang w:val="pl-PL"/>
        </w:rPr>
      </w:pPr>
      <w:r w:rsidRPr="00BD22FE">
        <w:rPr>
          <w:bCs/>
          <w:sz w:val="22"/>
          <w:szCs w:val="22"/>
          <w:lang w:val="pl-PL"/>
        </w:rPr>
        <w:t xml:space="preserve">Lek zawiera mniej niż 1 mmol (23 mg) sodu na tabletkę, </w:t>
      </w:r>
      <w:r w:rsidRPr="00BD22FE">
        <w:rPr>
          <w:sz w:val="22"/>
          <w:szCs w:val="22"/>
          <w:lang w:val="pl-PL"/>
        </w:rPr>
        <w:t>to znaczy lek uznaje się za „wolny od sodu”.</w:t>
      </w:r>
    </w:p>
    <w:p w14:paraId="42F0870F" w14:textId="77777777" w:rsidR="00A610E1" w:rsidRPr="00BD22FE" w:rsidRDefault="00A610E1" w:rsidP="00A610E1">
      <w:pPr>
        <w:pStyle w:val="BodyText"/>
        <w:spacing w:line="240" w:lineRule="auto"/>
        <w:jc w:val="left"/>
        <w:rPr>
          <w:sz w:val="22"/>
          <w:szCs w:val="22"/>
          <w:lang w:val="pl-PL"/>
        </w:rPr>
      </w:pPr>
    </w:p>
    <w:p w14:paraId="207A208B" w14:textId="77777777" w:rsidR="00A610E1" w:rsidRPr="00BD22FE" w:rsidRDefault="00A610E1" w:rsidP="00A610E1">
      <w:pPr>
        <w:pStyle w:val="BodyText"/>
        <w:keepNext/>
        <w:spacing w:line="240" w:lineRule="auto"/>
        <w:jc w:val="left"/>
        <w:rPr>
          <w:b/>
          <w:sz w:val="22"/>
          <w:szCs w:val="22"/>
          <w:lang w:val="pl-PL"/>
        </w:rPr>
      </w:pPr>
      <w:r w:rsidRPr="00BD22FE">
        <w:rPr>
          <w:b/>
          <w:sz w:val="22"/>
          <w:szCs w:val="22"/>
          <w:lang w:val="pl-PL"/>
        </w:rPr>
        <w:t>Lek MicardisPlus zawiera cukier (laktozę)</w:t>
      </w:r>
    </w:p>
    <w:p w14:paraId="083F4306" w14:textId="77777777" w:rsidR="00A610E1" w:rsidRPr="00BD22FE" w:rsidRDefault="00A610E1" w:rsidP="00A610E1">
      <w:pPr>
        <w:pStyle w:val="BodyText"/>
        <w:spacing w:line="240" w:lineRule="auto"/>
        <w:jc w:val="left"/>
        <w:rPr>
          <w:bCs/>
          <w:sz w:val="22"/>
          <w:szCs w:val="22"/>
          <w:lang w:val="pl-PL"/>
        </w:rPr>
      </w:pPr>
      <w:r w:rsidRPr="00BD22FE">
        <w:rPr>
          <w:bCs/>
          <w:sz w:val="22"/>
          <w:szCs w:val="22"/>
          <w:lang w:val="pl-PL"/>
        </w:rPr>
        <w:t>Jeżeli stwierdzono wcześniej u pacjenta nietolerancję niektórych cukrów, pacjent powinien skontaktować się z lekarzem przed przyjęciem tego leku.</w:t>
      </w:r>
    </w:p>
    <w:p w14:paraId="7DFAFE70" w14:textId="77777777" w:rsidR="00A610E1" w:rsidRPr="00BD22FE" w:rsidRDefault="00A610E1" w:rsidP="00A610E1">
      <w:pPr>
        <w:pStyle w:val="BodyText"/>
        <w:spacing w:line="240" w:lineRule="auto"/>
        <w:jc w:val="left"/>
        <w:rPr>
          <w:sz w:val="22"/>
          <w:szCs w:val="22"/>
          <w:lang w:val="pl-PL"/>
        </w:rPr>
      </w:pPr>
    </w:p>
    <w:p w14:paraId="210016E9" w14:textId="77777777" w:rsidR="00A610E1" w:rsidRPr="00BD22FE" w:rsidRDefault="00A610E1" w:rsidP="00A610E1">
      <w:pPr>
        <w:pStyle w:val="BodyText"/>
        <w:keepNext/>
        <w:spacing w:line="240" w:lineRule="auto"/>
        <w:jc w:val="left"/>
        <w:rPr>
          <w:sz w:val="22"/>
          <w:szCs w:val="22"/>
          <w:lang w:val="pl-PL"/>
        </w:rPr>
      </w:pPr>
      <w:r w:rsidRPr="00BD22FE">
        <w:rPr>
          <w:b/>
          <w:sz w:val="22"/>
          <w:szCs w:val="22"/>
          <w:lang w:val="pl-PL"/>
        </w:rPr>
        <w:t>Lek MicardisPlus zawiera sorbitol</w:t>
      </w:r>
    </w:p>
    <w:p w14:paraId="716E93EE" w14:textId="77777777" w:rsidR="00A610E1" w:rsidRPr="00BD22FE" w:rsidRDefault="00A610E1" w:rsidP="00A610E1">
      <w:pPr>
        <w:pStyle w:val="BodyText"/>
        <w:spacing w:line="240" w:lineRule="auto"/>
        <w:jc w:val="left"/>
        <w:rPr>
          <w:sz w:val="22"/>
          <w:szCs w:val="22"/>
          <w:lang w:val="pl-PL"/>
        </w:rPr>
      </w:pPr>
      <w:r w:rsidRPr="00BD22FE">
        <w:rPr>
          <w:sz w:val="22"/>
          <w:szCs w:val="22"/>
          <w:lang w:val="pl-PL"/>
        </w:rPr>
        <w:t>Lek zawiera 338 mg sorbitolu w każdej tabletce. Sorbitol jest źródłem fruktozy. Jeżeli stwierdzono wcześniej u pacjenta nietolerancję niektórych cukrów lub stwierdzono wcześniej u pacjenta dziedziczną nietolerancję fruktozy, rzadką chorobę genetyczną, w której organizm pacjenta nie rozkłada fruktozy, pacjent powinien skontaktować się z lekarzem przed przyjęciem leku.</w:t>
      </w:r>
    </w:p>
    <w:p w14:paraId="11B0D7CE" w14:textId="77777777" w:rsidR="00A610E1" w:rsidRPr="00BD22FE" w:rsidRDefault="00A610E1" w:rsidP="00A610E1">
      <w:pPr>
        <w:pStyle w:val="BodyText"/>
        <w:spacing w:line="240" w:lineRule="auto"/>
        <w:jc w:val="left"/>
        <w:rPr>
          <w:sz w:val="22"/>
          <w:szCs w:val="22"/>
          <w:lang w:val="pl-PL"/>
        </w:rPr>
      </w:pPr>
    </w:p>
    <w:p w14:paraId="4853B3AE" w14:textId="77777777" w:rsidR="00A610E1" w:rsidRPr="00BD22FE" w:rsidRDefault="00A610E1" w:rsidP="00A610E1">
      <w:pPr>
        <w:pStyle w:val="BodyText"/>
        <w:spacing w:line="240" w:lineRule="auto"/>
        <w:jc w:val="left"/>
        <w:rPr>
          <w:sz w:val="22"/>
          <w:szCs w:val="22"/>
          <w:lang w:val="pl-PL"/>
        </w:rPr>
      </w:pPr>
    </w:p>
    <w:p w14:paraId="4E20FCBE" w14:textId="77777777" w:rsidR="00A610E1" w:rsidRPr="00BD22FE" w:rsidRDefault="00A610E1" w:rsidP="00A610E1">
      <w:pPr>
        <w:pStyle w:val="BodyText"/>
        <w:keepNext/>
        <w:spacing w:line="240" w:lineRule="auto"/>
        <w:ind w:left="567" w:hanging="567"/>
        <w:jc w:val="left"/>
        <w:rPr>
          <w:b/>
          <w:sz w:val="22"/>
          <w:szCs w:val="22"/>
          <w:lang w:val="pl-PL"/>
        </w:rPr>
      </w:pPr>
      <w:r w:rsidRPr="00BD22FE">
        <w:rPr>
          <w:b/>
          <w:sz w:val="22"/>
          <w:szCs w:val="22"/>
          <w:lang w:val="pl-PL"/>
        </w:rPr>
        <w:t>3.</w:t>
      </w:r>
      <w:r w:rsidRPr="00BD22FE">
        <w:rPr>
          <w:b/>
          <w:sz w:val="22"/>
          <w:szCs w:val="22"/>
          <w:lang w:val="pl-PL"/>
        </w:rPr>
        <w:tab/>
        <w:t>Jak przyjmować lek MicardisPlus</w:t>
      </w:r>
    </w:p>
    <w:p w14:paraId="628CD964" w14:textId="77777777" w:rsidR="00A610E1" w:rsidRPr="00BD22FE" w:rsidRDefault="00A610E1" w:rsidP="00A610E1">
      <w:pPr>
        <w:pStyle w:val="BodyText"/>
        <w:keepNext/>
        <w:spacing w:line="240" w:lineRule="auto"/>
        <w:jc w:val="left"/>
        <w:rPr>
          <w:sz w:val="22"/>
          <w:szCs w:val="22"/>
          <w:lang w:val="pl-PL"/>
        </w:rPr>
      </w:pPr>
    </w:p>
    <w:p w14:paraId="507CBF66" w14:textId="77777777" w:rsidR="00A610E1" w:rsidRPr="00BD22FE" w:rsidRDefault="00A610E1" w:rsidP="00A610E1">
      <w:pPr>
        <w:pStyle w:val="BodyText"/>
        <w:spacing w:line="240" w:lineRule="auto"/>
        <w:jc w:val="left"/>
        <w:rPr>
          <w:sz w:val="22"/>
          <w:szCs w:val="22"/>
          <w:lang w:val="pl-PL"/>
        </w:rPr>
      </w:pPr>
      <w:r w:rsidRPr="00BD22FE">
        <w:rPr>
          <w:sz w:val="22"/>
          <w:szCs w:val="22"/>
          <w:lang w:val="pl-PL"/>
        </w:rPr>
        <w:t>Ten lek należy zawsze przyjmować zgodnie z zaleceniami lekarza. W razie wątpliwości należy zwrócić się do lekarza lub farmaceuty.</w:t>
      </w:r>
    </w:p>
    <w:p w14:paraId="5CC77F60" w14:textId="77777777" w:rsidR="00A610E1" w:rsidRPr="00BD22FE" w:rsidRDefault="00A610E1" w:rsidP="00A610E1">
      <w:pPr>
        <w:pStyle w:val="BodyText"/>
        <w:spacing w:line="240" w:lineRule="auto"/>
        <w:jc w:val="left"/>
        <w:rPr>
          <w:sz w:val="22"/>
          <w:szCs w:val="22"/>
          <w:lang w:val="pl-PL"/>
        </w:rPr>
      </w:pPr>
    </w:p>
    <w:p w14:paraId="6C6E5F1D" w14:textId="7D994959" w:rsidR="00A610E1" w:rsidRPr="00BD22FE" w:rsidRDefault="00A610E1" w:rsidP="00A610E1">
      <w:pPr>
        <w:pStyle w:val="BodyText"/>
        <w:spacing w:line="240" w:lineRule="auto"/>
        <w:jc w:val="left"/>
        <w:rPr>
          <w:sz w:val="22"/>
          <w:szCs w:val="22"/>
          <w:lang w:val="pl-PL"/>
        </w:rPr>
      </w:pPr>
      <w:r w:rsidRPr="00BD22FE">
        <w:rPr>
          <w:sz w:val="22"/>
          <w:szCs w:val="22"/>
          <w:lang w:val="pl-PL"/>
        </w:rPr>
        <w:t>Zalecana dawka to jedna tabletka na dobę. Należy starać się przyjmować tabletkę o tej samej porze każdego dnia.</w:t>
      </w:r>
    </w:p>
    <w:p w14:paraId="6143C22F" w14:textId="7C9FC640" w:rsidR="00A610E1" w:rsidRPr="00BD22FE" w:rsidRDefault="00A610E1" w:rsidP="00A610E1">
      <w:pPr>
        <w:pStyle w:val="BodyText"/>
        <w:spacing w:line="240" w:lineRule="auto"/>
        <w:jc w:val="left"/>
        <w:rPr>
          <w:sz w:val="22"/>
          <w:szCs w:val="22"/>
          <w:lang w:val="pl-PL"/>
        </w:rPr>
      </w:pPr>
      <w:r w:rsidRPr="00BD22FE">
        <w:rPr>
          <w:sz w:val="22"/>
          <w:szCs w:val="22"/>
          <w:lang w:val="pl-PL"/>
        </w:rPr>
        <w:t xml:space="preserve">Lek MicardisPlus można przyjmować </w:t>
      </w:r>
      <w:r w:rsidRPr="00BD22FE">
        <w:rPr>
          <w:iCs/>
          <w:sz w:val="22"/>
          <w:szCs w:val="22"/>
          <w:lang w:val="pl-PL"/>
        </w:rPr>
        <w:t>z posiłkiem lub niezależnie od posiłków</w:t>
      </w:r>
      <w:r w:rsidRPr="00BD22FE">
        <w:rPr>
          <w:sz w:val="22"/>
          <w:szCs w:val="22"/>
          <w:lang w:val="pl-PL"/>
        </w:rPr>
        <w:t>. Tabletki należy połknąć w całości, popijając wodą lub napojem bezalkoholowym. Ważne jest, aby lek MicardisPlus przyjmować każdego dnia, dopóki lekarz nie zaleci inaczej.</w:t>
      </w:r>
    </w:p>
    <w:p w14:paraId="7F7D7F94" w14:textId="77777777" w:rsidR="00A610E1" w:rsidRPr="00BD22FE" w:rsidRDefault="00A610E1" w:rsidP="00A610E1">
      <w:pPr>
        <w:pStyle w:val="BodyText"/>
        <w:spacing w:line="240" w:lineRule="auto"/>
        <w:jc w:val="left"/>
        <w:rPr>
          <w:sz w:val="22"/>
          <w:szCs w:val="22"/>
          <w:lang w:val="pl-PL"/>
        </w:rPr>
      </w:pPr>
    </w:p>
    <w:p w14:paraId="0C94504C" w14:textId="77777777" w:rsidR="00A610E1" w:rsidRPr="00BD22FE" w:rsidRDefault="00A610E1" w:rsidP="00A610E1">
      <w:pPr>
        <w:pStyle w:val="BodyText"/>
        <w:spacing w:line="240" w:lineRule="auto"/>
        <w:jc w:val="left"/>
        <w:rPr>
          <w:sz w:val="22"/>
          <w:szCs w:val="22"/>
          <w:lang w:val="pl-PL"/>
        </w:rPr>
      </w:pPr>
      <w:r w:rsidRPr="00BD22FE">
        <w:rPr>
          <w:sz w:val="22"/>
          <w:szCs w:val="22"/>
          <w:lang w:val="pl-PL"/>
        </w:rPr>
        <w:t>Jeśli u pacjenta wątroba nie funkcjonuje właściwie, zwykła dawka nie powinna być większa niż 40 mg telmisartanu na dobę.</w:t>
      </w:r>
    </w:p>
    <w:p w14:paraId="30D92D15" w14:textId="77777777" w:rsidR="00A610E1" w:rsidRPr="00BD22FE" w:rsidRDefault="00A610E1" w:rsidP="00A610E1">
      <w:pPr>
        <w:pStyle w:val="BodyText"/>
        <w:spacing w:line="240" w:lineRule="auto"/>
        <w:jc w:val="left"/>
        <w:rPr>
          <w:sz w:val="22"/>
          <w:szCs w:val="22"/>
          <w:lang w:val="pl-PL"/>
        </w:rPr>
      </w:pPr>
    </w:p>
    <w:p w14:paraId="16A33E52" w14:textId="77777777" w:rsidR="00A610E1" w:rsidRPr="00BD22FE" w:rsidRDefault="00A610E1" w:rsidP="00A610E1">
      <w:pPr>
        <w:pStyle w:val="BodyText"/>
        <w:keepNext/>
        <w:spacing w:line="240" w:lineRule="auto"/>
        <w:jc w:val="left"/>
        <w:rPr>
          <w:b/>
          <w:sz w:val="22"/>
          <w:szCs w:val="22"/>
          <w:lang w:val="pl-PL"/>
        </w:rPr>
      </w:pPr>
      <w:r w:rsidRPr="00BD22FE">
        <w:rPr>
          <w:b/>
          <w:sz w:val="22"/>
          <w:szCs w:val="22"/>
          <w:lang w:val="pl-PL"/>
        </w:rPr>
        <w:t>Przyjęcie większej niż zalecana dawki leku MicardisPlus</w:t>
      </w:r>
    </w:p>
    <w:p w14:paraId="37EF3F41" w14:textId="1B63A38C" w:rsidR="00A610E1" w:rsidRPr="00BD22FE" w:rsidRDefault="00A610E1" w:rsidP="00A610E1">
      <w:pPr>
        <w:pStyle w:val="BodyText"/>
        <w:spacing w:line="240" w:lineRule="auto"/>
        <w:jc w:val="left"/>
        <w:rPr>
          <w:sz w:val="22"/>
          <w:szCs w:val="22"/>
          <w:lang w:val="pl-PL"/>
        </w:rPr>
      </w:pPr>
      <w:r w:rsidRPr="00BD22FE">
        <w:rPr>
          <w:sz w:val="22"/>
          <w:szCs w:val="22"/>
          <w:lang w:val="pl-PL"/>
        </w:rPr>
        <w:t>Jeżeli przez pomyłkę zostanie przyjęta zbyt duża liczba tabletek, mogą pojawić się takie objawy, jak niskie ciśnienie tętnicze krwi i przyspieszenie akcji serca. Zgłaszano także przypadki spowolnienia akcji serca, zawrotów głowy, wymiotów, pogorszenia czynności nerek, w tym niewydolności nerek. Z powodu zawartości hydrochlorotiazydu może także wystąpić wyraźnie niskie ciśnienie tętnicze krwi i niskie stężenia potasu we krwi, co może doprowadzić do nudności, senności i skurczów mięśni</w:t>
      </w:r>
      <w:r w:rsidRPr="00BD22FE">
        <w:rPr>
          <w:lang w:val="pl-PL"/>
        </w:rPr>
        <w:t xml:space="preserve"> </w:t>
      </w:r>
      <w:r w:rsidRPr="00BD22FE">
        <w:rPr>
          <w:sz w:val="22"/>
          <w:szCs w:val="22"/>
          <w:lang w:val="pl-PL"/>
        </w:rPr>
        <w:t>i (lub) nieregularne bicie serca związane z jednoczesnym stosowaniem leków, takich jak glikozydy naparstnicy lub niektóre leki antyarytmiczne. Należy niezwłocznie skontaktować się z lekarzem, farmaceutą lub z najbliższym szpitalnym oddziałem doraźnej pomocy medycznej.</w:t>
      </w:r>
    </w:p>
    <w:p w14:paraId="560234E3" w14:textId="77777777" w:rsidR="00A610E1" w:rsidRPr="00BD22FE" w:rsidRDefault="00A610E1" w:rsidP="00A610E1">
      <w:pPr>
        <w:pStyle w:val="BodyText"/>
        <w:spacing w:line="240" w:lineRule="auto"/>
        <w:jc w:val="left"/>
        <w:rPr>
          <w:sz w:val="22"/>
          <w:szCs w:val="22"/>
          <w:lang w:val="pl-PL"/>
        </w:rPr>
      </w:pPr>
    </w:p>
    <w:p w14:paraId="2DB3C5E7" w14:textId="77777777" w:rsidR="00A610E1" w:rsidRPr="00BD22FE" w:rsidRDefault="00A610E1" w:rsidP="00A610E1">
      <w:pPr>
        <w:pStyle w:val="BodyText"/>
        <w:keepNext/>
        <w:spacing w:line="240" w:lineRule="auto"/>
        <w:jc w:val="left"/>
        <w:rPr>
          <w:b/>
          <w:sz w:val="22"/>
          <w:szCs w:val="22"/>
          <w:lang w:val="pl-PL"/>
        </w:rPr>
      </w:pPr>
      <w:r w:rsidRPr="00BD22FE">
        <w:rPr>
          <w:b/>
          <w:sz w:val="22"/>
          <w:szCs w:val="22"/>
          <w:lang w:val="pl-PL"/>
        </w:rPr>
        <w:t>Pominięcie przyjęcia leku MicardisPlus</w:t>
      </w:r>
    </w:p>
    <w:p w14:paraId="64BBF5CC" w14:textId="77777777" w:rsidR="00A610E1" w:rsidRPr="00BD22FE" w:rsidRDefault="00A610E1" w:rsidP="00A610E1">
      <w:pPr>
        <w:pStyle w:val="BodyText"/>
        <w:spacing w:line="240" w:lineRule="auto"/>
        <w:jc w:val="left"/>
        <w:rPr>
          <w:sz w:val="22"/>
          <w:szCs w:val="22"/>
          <w:lang w:val="pl-PL"/>
        </w:rPr>
      </w:pPr>
      <w:r w:rsidRPr="00BD22FE">
        <w:rPr>
          <w:sz w:val="22"/>
          <w:szCs w:val="22"/>
          <w:lang w:val="pl-PL"/>
        </w:rPr>
        <w:t>Jeśli pacjent zapomni przyjąć dawkę leku, powinien zażyć go niezwłocznie po przypomnieniu sobie, tego samego dnia. Jeżeli tabletka nie zostanie przyjęta jednego dnia, należy przyjąć zwykle stosowaną dawkę następnego dnia.</w:t>
      </w:r>
      <w:r w:rsidRPr="00BD22FE">
        <w:rPr>
          <w:bCs/>
          <w:sz w:val="22"/>
          <w:szCs w:val="22"/>
          <w:lang w:val="pl-PL"/>
        </w:rPr>
        <w:t xml:space="preserve"> </w:t>
      </w:r>
      <w:r w:rsidRPr="00BD22FE">
        <w:rPr>
          <w:b/>
          <w:i/>
          <w:sz w:val="22"/>
          <w:szCs w:val="22"/>
          <w:lang w:val="pl-PL"/>
        </w:rPr>
        <w:t>Nie należy</w:t>
      </w:r>
      <w:r w:rsidRPr="00BD22FE">
        <w:rPr>
          <w:sz w:val="22"/>
          <w:szCs w:val="22"/>
          <w:lang w:val="pl-PL"/>
        </w:rPr>
        <w:t xml:space="preserve"> stosować dawki podwójnej w celu uzupełnienia pominiętej dawki.</w:t>
      </w:r>
    </w:p>
    <w:p w14:paraId="19D18CDF" w14:textId="77777777" w:rsidR="00A610E1" w:rsidRPr="00BD22FE" w:rsidRDefault="00A610E1" w:rsidP="00A610E1">
      <w:pPr>
        <w:pStyle w:val="BodyText"/>
        <w:spacing w:line="240" w:lineRule="auto"/>
        <w:jc w:val="left"/>
        <w:rPr>
          <w:sz w:val="22"/>
          <w:szCs w:val="22"/>
          <w:lang w:val="pl-PL"/>
        </w:rPr>
      </w:pPr>
    </w:p>
    <w:p w14:paraId="171600DC" w14:textId="77777777" w:rsidR="00A610E1" w:rsidRPr="00BD22FE" w:rsidRDefault="00A610E1" w:rsidP="00A610E1">
      <w:pPr>
        <w:pStyle w:val="BodyText"/>
        <w:spacing w:line="240" w:lineRule="auto"/>
        <w:jc w:val="left"/>
        <w:rPr>
          <w:sz w:val="22"/>
          <w:szCs w:val="22"/>
          <w:lang w:val="pl-PL"/>
        </w:rPr>
      </w:pPr>
      <w:r w:rsidRPr="00BD22FE">
        <w:rPr>
          <w:sz w:val="22"/>
          <w:szCs w:val="22"/>
          <w:lang w:val="pl-PL"/>
        </w:rPr>
        <w:t>W razie jakichkolwiek dalszych wątpliwości związanych ze stosowaniem tego leku, należy zwrócić się do lekarza lub farmaceuty.</w:t>
      </w:r>
    </w:p>
    <w:p w14:paraId="422BB417" w14:textId="77777777" w:rsidR="00A610E1" w:rsidRPr="00BD22FE" w:rsidRDefault="00A610E1" w:rsidP="00A610E1">
      <w:pPr>
        <w:pStyle w:val="BodyText"/>
        <w:spacing w:line="240" w:lineRule="auto"/>
        <w:jc w:val="left"/>
        <w:rPr>
          <w:sz w:val="22"/>
          <w:szCs w:val="22"/>
          <w:lang w:val="pl-PL"/>
        </w:rPr>
      </w:pPr>
    </w:p>
    <w:p w14:paraId="21A8AABA" w14:textId="77777777" w:rsidR="00A610E1" w:rsidRPr="00BD22FE" w:rsidRDefault="00A610E1" w:rsidP="00A610E1">
      <w:pPr>
        <w:pStyle w:val="BodyText"/>
        <w:spacing w:line="240" w:lineRule="auto"/>
        <w:jc w:val="left"/>
        <w:rPr>
          <w:sz w:val="22"/>
          <w:szCs w:val="22"/>
          <w:lang w:val="pl-PL"/>
        </w:rPr>
      </w:pPr>
    </w:p>
    <w:p w14:paraId="5EAA6946" w14:textId="77777777" w:rsidR="00A610E1" w:rsidRPr="00BD22FE" w:rsidRDefault="00A610E1" w:rsidP="00A610E1">
      <w:pPr>
        <w:pStyle w:val="BodyText"/>
        <w:keepNext/>
        <w:spacing w:line="240" w:lineRule="auto"/>
        <w:ind w:left="567" w:hanging="567"/>
        <w:jc w:val="left"/>
        <w:rPr>
          <w:b/>
          <w:sz w:val="22"/>
          <w:szCs w:val="22"/>
          <w:lang w:val="pl-PL"/>
        </w:rPr>
      </w:pPr>
      <w:r w:rsidRPr="00BD22FE">
        <w:rPr>
          <w:b/>
          <w:sz w:val="22"/>
          <w:szCs w:val="22"/>
          <w:lang w:val="pl-PL"/>
        </w:rPr>
        <w:t>4.</w:t>
      </w:r>
      <w:r w:rsidRPr="00BD22FE">
        <w:rPr>
          <w:b/>
          <w:sz w:val="22"/>
          <w:szCs w:val="22"/>
          <w:lang w:val="pl-PL"/>
        </w:rPr>
        <w:tab/>
        <w:t>Możliwe działania niepożądane</w:t>
      </w:r>
    </w:p>
    <w:p w14:paraId="4A959C1D" w14:textId="77777777" w:rsidR="00A610E1" w:rsidRPr="00BD22FE" w:rsidRDefault="00A610E1" w:rsidP="00A610E1">
      <w:pPr>
        <w:pStyle w:val="BodyText"/>
        <w:keepNext/>
        <w:spacing w:line="240" w:lineRule="auto"/>
        <w:jc w:val="left"/>
        <w:rPr>
          <w:bCs/>
          <w:sz w:val="22"/>
          <w:szCs w:val="22"/>
          <w:lang w:val="pl-PL"/>
        </w:rPr>
      </w:pPr>
    </w:p>
    <w:p w14:paraId="6892DDC6" w14:textId="77777777" w:rsidR="00A610E1" w:rsidRPr="00BD22FE" w:rsidRDefault="00A610E1" w:rsidP="00A610E1">
      <w:pPr>
        <w:pStyle w:val="BodyText"/>
        <w:spacing w:line="240" w:lineRule="auto"/>
        <w:jc w:val="left"/>
        <w:rPr>
          <w:sz w:val="22"/>
          <w:szCs w:val="22"/>
          <w:lang w:val="pl-PL"/>
        </w:rPr>
      </w:pPr>
      <w:r w:rsidRPr="00BD22FE">
        <w:rPr>
          <w:sz w:val="22"/>
          <w:szCs w:val="22"/>
          <w:lang w:val="pl-PL"/>
        </w:rPr>
        <w:t>Jak każdy lek, lek ten może powodować działania niepożądane, chociaż nie u każdego one wystąpią.</w:t>
      </w:r>
    </w:p>
    <w:p w14:paraId="6552DB94" w14:textId="77777777" w:rsidR="00A610E1" w:rsidRPr="00BD22FE" w:rsidRDefault="00A610E1" w:rsidP="00A610E1">
      <w:pPr>
        <w:pStyle w:val="BodyText"/>
        <w:spacing w:line="240" w:lineRule="auto"/>
        <w:jc w:val="left"/>
        <w:rPr>
          <w:sz w:val="22"/>
          <w:szCs w:val="22"/>
          <w:lang w:val="pl-PL"/>
        </w:rPr>
      </w:pPr>
    </w:p>
    <w:p w14:paraId="36BEB720" w14:textId="77777777" w:rsidR="00A610E1" w:rsidRPr="00BD22FE" w:rsidRDefault="00A610E1" w:rsidP="00A610E1">
      <w:pPr>
        <w:keepNext/>
        <w:rPr>
          <w:b/>
          <w:sz w:val="22"/>
          <w:szCs w:val="22"/>
          <w:lang w:val="pl-PL"/>
        </w:rPr>
      </w:pPr>
      <w:r w:rsidRPr="00BD22FE">
        <w:rPr>
          <w:b/>
          <w:sz w:val="22"/>
          <w:szCs w:val="22"/>
          <w:lang w:val="pl-PL"/>
        </w:rPr>
        <w:t>Niektóre działania niepożądane mogą być ciężkie i wymagają natychmiastowej pomocy medycznej:</w:t>
      </w:r>
    </w:p>
    <w:p w14:paraId="4D8411DA" w14:textId="77777777" w:rsidR="00A610E1" w:rsidRPr="00BD22FE" w:rsidRDefault="00A610E1" w:rsidP="00A610E1">
      <w:pPr>
        <w:keepNext/>
        <w:rPr>
          <w:sz w:val="22"/>
          <w:szCs w:val="22"/>
          <w:lang w:val="pl-PL"/>
        </w:rPr>
      </w:pPr>
      <w:r w:rsidRPr="00BD22FE">
        <w:rPr>
          <w:sz w:val="22"/>
          <w:szCs w:val="22"/>
          <w:lang w:val="pl-PL"/>
        </w:rPr>
        <w:t>W przypadku wystąpienia któregokolwiek z następujących objawów należy natychmiast skontaktować się z lekarzem:</w:t>
      </w:r>
    </w:p>
    <w:p w14:paraId="5EADC01F" w14:textId="77777777" w:rsidR="00A610E1" w:rsidRPr="00BD22FE" w:rsidRDefault="00A610E1" w:rsidP="00A610E1">
      <w:pPr>
        <w:keepNext/>
        <w:rPr>
          <w:sz w:val="22"/>
          <w:szCs w:val="22"/>
          <w:lang w:val="pl-PL"/>
        </w:rPr>
      </w:pPr>
    </w:p>
    <w:p w14:paraId="6612BE62" w14:textId="04224275" w:rsidR="00A610E1" w:rsidRPr="00BD22FE" w:rsidRDefault="00A610E1" w:rsidP="00A610E1">
      <w:pPr>
        <w:rPr>
          <w:sz w:val="22"/>
          <w:szCs w:val="22"/>
          <w:lang w:val="pl-PL"/>
        </w:rPr>
      </w:pPr>
      <w:r w:rsidRPr="00BD22FE">
        <w:rPr>
          <w:sz w:val="22"/>
          <w:szCs w:val="22"/>
          <w:lang w:val="pl-PL"/>
        </w:rPr>
        <w:t xml:space="preserve">Posocznica* (często nazywana zatruciem krwi, będąca ciężkim zakażeniem z reakcją zapalną całego organizmu), nagły obrzęk skóry i błon śluzowych (obrzęk naczynioruchowy, w tym zakończony zgonem); tworzenie się pęcherzy i złuszczanie się zewnętrznej warstwy skóry (toksyczne martwicze oddzielanie się naskórka). Te działania niepożądane występują rzadko (mogą wystąpić do 1 na 1 000 pacjentów) albo bardzo rzadko (toksyczne martwicze oddzielanie się naskórka; mogą wystąpić do 1 na 10 000 pacjentów), ale są niezwykle ciężkie; w takim przypadku należy przerwać przyjmowanie leku i natychmiast skontaktować się z lekarzem. Jeśli objawy te nie są leczone, mogą </w:t>
      </w:r>
      <w:r w:rsidRPr="00BD22FE">
        <w:rPr>
          <w:sz w:val="22"/>
          <w:szCs w:val="22"/>
          <w:lang w:val="pl-PL"/>
        </w:rPr>
        <w:lastRenderedPageBreak/>
        <w:t>zakończyć się zgonem. Zwiększoną częstość występowania posocznicy obserwowano u osób przyjmujących telmisartan w monoterapii, nie można jej jednak wykluczyć w przypadku terapii lekiem MicardisPlus.</w:t>
      </w:r>
    </w:p>
    <w:p w14:paraId="781EA3E5" w14:textId="77777777" w:rsidR="00A610E1" w:rsidRPr="00BD22FE" w:rsidRDefault="00A610E1" w:rsidP="00A610E1">
      <w:pPr>
        <w:rPr>
          <w:sz w:val="22"/>
          <w:szCs w:val="22"/>
          <w:u w:val="single"/>
          <w:lang w:val="pl-PL"/>
        </w:rPr>
      </w:pPr>
    </w:p>
    <w:p w14:paraId="4A82706B" w14:textId="77777777" w:rsidR="00A610E1" w:rsidRPr="00BD22FE" w:rsidRDefault="00A610E1" w:rsidP="00A610E1">
      <w:pPr>
        <w:keepNext/>
        <w:rPr>
          <w:b/>
          <w:sz w:val="22"/>
          <w:szCs w:val="22"/>
          <w:lang w:val="pl-PL"/>
        </w:rPr>
      </w:pPr>
      <w:r w:rsidRPr="00BD22FE">
        <w:rPr>
          <w:b/>
          <w:sz w:val="22"/>
          <w:szCs w:val="22"/>
          <w:lang w:val="pl-PL"/>
        </w:rPr>
        <w:t>Możliwe działania niepożądane leku MicardisPlus:</w:t>
      </w:r>
    </w:p>
    <w:p w14:paraId="091F85D3" w14:textId="77777777" w:rsidR="00A610E1" w:rsidRPr="00BD22FE" w:rsidRDefault="00A610E1" w:rsidP="00A610E1">
      <w:pPr>
        <w:pStyle w:val="BodyText"/>
        <w:keepNext/>
        <w:spacing w:line="240" w:lineRule="auto"/>
        <w:jc w:val="left"/>
        <w:rPr>
          <w:sz w:val="22"/>
          <w:szCs w:val="22"/>
          <w:lang w:val="pl-PL"/>
        </w:rPr>
      </w:pPr>
    </w:p>
    <w:p w14:paraId="195DB809" w14:textId="77777777" w:rsidR="00A610E1" w:rsidRPr="00BD22FE" w:rsidRDefault="00A610E1" w:rsidP="00A610E1">
      <w:pPr>
        <w:keepNext/>
        <w:rPr>
          <w:b/>
          <w:sz w:val="22"/>
          <w:szCs w:val="22"/>
          <w:lang w:val="pl-PL"/>
        </w:rPr>
      </w:pPr>
      <w:r w:rsidRPr="00BD22FE">
        <w:rPr>
          <w:b/>
          <w:sz w:val="22"/>
          <w:szCs w:val="22"/>
          <w:lang w:val="pl-PL"/>
        </w:rPr>
        <w:t>Częste działania niepożądane (mogą wystąpić do 1 na 10 pacjentów)</w:t>
      </w:r>
    </w:p>
    <w:p w14:paraId="3B69F694" w14:textId="77777777" w:rsidR="00A610E1" w:rsidRPr="00BD22FE" w:rsidRDefault="00A610E1" w:rsidP="00A610E1">
      <w:pPr>
        <w:pStyle w:val="BodyText"/>
        <w:spacing w:line="240" w:lineRule="auto"/>
        <w:jc w:val="left"/>
        <w:rPr>
          <w:sz w:val="22"/>
          <w:szCs w:val="22"/>
          <w:lang w:val="pl-PL"/>
        </w:rPr>
      </w:pPr>
      <w:r w:rsidRPr="00BD22FE">
        <w:rPr>
          <w:sz w:val="22"/>
          <w:szCs w:val="22"/>
          <w:lang w:val="pl-PL"/>
        </w:rPr>
        <w:t>Zawroty głowy.</w:t>
      </w:r>
    </w:p>
    <w:p w14:paraId="6B256647" w14:textId="77777777" w:rsidR="00A610E1" w:rsidRPr="00BD22FE" w:rsidRDefault="00A610E1" w:rsidP="00A610E1">
      <w:pPr>
        <w:pStyle w:val="BodyText"/>
        <w:spacing w:line="240" w:lineRule="auto"/>
        <w:jc w:val="left"/>
        <w:rPr>
          <w:sz w:val="22"/>
          <w:szCs w:val="22"/>
          <w:lang w:val="pl-PL"/>
        </w:rPr>
      </w:pPr>
    </w:p>
    <w:p w14:paraId="14D19BD2" w14:textId="77777777" w:rsidR="00A610E1" w:rsidRPr="00BD22FE" w:rsidRDefault="00A610E1" w:rsidP="00A610E1">
      <w:pPr>
        <w:keepNext/>
        <w:rPr>
          <w:b/>
          <w:bCs/>
          <w:sz w:val="22"/>
          <w:szCs w:val="22"/>
          <w:lang w:val="pl-PL"/>
        </w:rPr>
      </w:pPr>
      <w:r w:rsidRPr="00BD22FE">
        <w:rPr>
          <w:b/>
          <w:bCs/>
          <w:sz w:val="22"/>
          <w:szCs w:val="22"/>
          <w:lang w:val="pl-PL"/>
        </w:rPr>
        <w:t>Niezbyt częste działania niepożądane (mogą wystąpić do 1 na 100 pacjentów)</w:t>
      </w:r>
    </w:p>
    <w:p w14:paraId="48537BAA" w14:textId="77777777" w:rsidR="00A610E1" w:rsidRPr="00BD22FE" w:rsidRDefault="00A610E1" w:rsidP="00A610E1">
      <w:pPr>
        <w:pStyle w:val="BodyText"/>
        <w:spacing w:line="240" w:lineRule="auto"/>
        <w:jc w:val="left"/>
        <w:rPr>
          <w:sz w:val="22"/>
          <w:szCs w:val="22"/>
          <w:lang w:val="pl-PL"/>
        </w:rPr>
      </w:pPr>
      <w:r w:rsidRPr="00BD22FE">
        <w:rPr>
          <w:sz w:val="22"/>
          <w:szCs w:val="22"/>
          <w:lang w:val="pl-PL"/>
        </w:rPr>
        <w:t>Zmniejszenie stężenia potasu we krwi, lęk, omdlenia, uczucie mrowienia i drętwienia (parestezje), uczucie wirowania, przyspieszone tętno (częstoskurcz), zaburzenia rytmu serca, niskie ciśnienie tętnicze krwi, nagłe obniżenie ciśnienia tętniczego krwi podczas wstawania, skrócenie oddechu (duszność), biegunka, suchość błon śluzowych w jamie ustnej, wzdęcia, ból pleców, skurcze mięśni, ból mięśni, zaburzenia erekcji (niezdolność do uzyskania lub utrzymania erekcji), ból w klatce piersiowej, zwiększone stężenie kwasu moczowego we krwi.</w:t>
      </w:r>
    </w:p>
    <w:p w14:paraId="45BC0153" w14:textId="77777777" w:rsidR="00A610E1" w:rsidRPr="00BD22FE" w:rsidRDefault="00A610E1" w:rsidP="00A610E1">
      <w:pPr>
        <w:pStyle w:val="BodyText"/>
        <w:spacing w:line="240" w:lineRule="auto"/>
        <w:jc w:val="left"/>
        <w:rPr>
          <w:sz w:val="22"/>
          <w:szCs w:val="22"/>
          <w:lang w:val="pl-PL"/>
        </w:rPr>
      </w:pPr>
    </w:p>
    <w:p w14:paraId="588B9B74" w14:textId="77777777" w:rsidR="00A610E1" w:rsidRPr="00BD22FE" w:rsidRDefault="00A610E1" w:rsidP="00A610E1">
      <w:pPr>
        <w:keepNext/>
        <w:rPr>
          <w:b/>
          <w:bCs/>
          <w:sz w:val="22"/>
          <w:szCs w:val="22"/>
          <w:lang w:val="pl-PL"/>
        </w:rPr>
      </w:pPr>
      <w:r w:rsidRPr="00BD22FE">
        <w:rPr>
          <w:b/>
          <w:bCs/>
          <w:sz w:val="22"/>
          <w:szCs w:val="22"/>
          <w:lang w:val="pl-PL"/>
        </w:rPr>
        <w:t>Rzadkie działania niepożądane (mogą wystąpić do 1 na 1 000 pacjentów)</w:t>
      </w:r>
    </w:p>
    <w:p w14:paraId="7ED783DC" w14:textId="315C47AA" w:rsidR="00A610E1" w:rsidRPr="00BD22FE" w:rsidRDefault="00A610E1" w:rsidP="00A610E1">
      <w:pPr>
        <w:pStyle w:val="BodyText"/>
        <w:spacing w:line="240" w:lineRule="auto"/>
        <w:jc w:val="left"/>
        <w:rPr>
          <w:sz w:val="22"/>
          <w:szCs w:val="22"/>
          <w:lang w:val="pl-PL"/>
        </w:rPr>
      </w:pPr>
      <w:r w:rsidRPr="00BD22FE">
        <w:rPr>
          <w:sz w:val="22"/>
          <w:szCs w:val="22"/>
          <w:lang w:val="pl-PL"/>
        </w:rPr>
        <w:t>Zapalenie dróg oddechowych prowadzących do płuc (zapalenie oskrzeli), ból gardła, zapalenie zatok, zwiększenie stężenia kwasu moczowego, małe stężenie sodu, uczucie smutku (depresja), trudności w zasypianiu (bezsenność), zaburzenia snu, zaburzenia widzenia, niewyraźne widzenie, trudności w oddychaniu, ból brzucha, zaparcia, wzdęcia (niestrawność), nudności (wymioty), zapalenie błony śluzowej żołądka, nieprawidłowa czynność wątroby (występuje częściej u pacjentów pochodzenia japońskiego), zaczerwienienie skóry (rumień), reakcje alergiczne, takie jak świąd lub wysypka, zwiększona potliwość, pokrzywka, ból stawów i ból kończyn (ból nóg), skurcze mięśni, aktywacja lub zaostrzenie tocznia rumieniowatego układowego (choroba, w której organizm jest atakowany przez własny układ odpornościowy, co powoduje ból stawów, wysypki skórne i gorączkę), objawy grypopodobne, ból, zwiększone stężenie kreatyniny, zwiększona aktywność enzymów wątrobowych lub fosfokinazy kreatynowej we krwi.</w:t>
      </w:r>
    </w:p>
    <w:p w14:paraId="2CEA7D25" w14:textId="77777777" w:rsidR="00A610E1" w:rsidRPr="00BD22FE" w:rsidRDefault="00A610E1" w:rsidP="00A610E1">
      <w:pPr>
        <w:pStyle w:val="BodyText"/>
        <w:spacing w:line="240" w:lineRule="auto"/>
        <w:jc w:val="left"/>
        <w:rPr>
          <w:sz w:val="22"/>
          <w:szCs w:val="22"/>
          <w:lang w:val="pl-PL"/>
        </w:rPr>
      </w:pPr>
    </w:p>
    <w:p w14:paraId="3ACFAF69" w14:textId="77777777" w:rsidR="00A610E1" w:rsidRPr="00BD22FE" w:rsidRDefault="00A610E1" w:rsidP="00A610E1">
      <w:pPr>
        <w:rPr>
          <w:lang w:val="pl-PL"/>
        </w:rPr>
      </w:pPr>
      <w:r w:rsidRPr="00BD22FE">
        <w:rPr>
          <w:sz w:val="22"/>
          <w:szCs w:val="22"/>
          <w:lang w:val="pl-PL"/>
        </w:rPr>
        <w:t>Działania niepożądane zgłaszane dla jednego ze składników mogą wystąpić również podczas terapii lekiem MicardisPlus, nawet jeśli nie stwierdzono ich podczas badań klinicznych tego produktu.</w:t>
      </w:r>
    </w:p>
    <w:p w14:paraId="4C89271C" w14:textId="77777777" w:rsidR="00A610E1" w:rsidRPr="00BD22FE" w:rsidRDefault="00A610E1" w:rsidP="00A610E1">
      <w:pPr>
        <w:pStyle w:val="BodyText"/>
        <w:spacing w:line="240" w:lineRule="auto"/>
        <w:jc w:val="left"/>
        <w:rPr>
          <w:sz w:val="22"/>
          <w:szCs w:val="22"/>
          <w:lang w:val="pl-PL"/>
        </w:rPr>
      </w:pPr>
    </w:p>
    <w:p w14:paraId="44AE4074" w14:textId="77777777" w:rsidR="00A610E1" w:rsidRPr="00BD22FE" w:rsidRDefault="00A610E1" w:rsidP="00A610E1">
      <w:pPr>
        <w:pStyle w:val="BodyText"/>
        <w:keepNext/>
        <w:spacing w:line="240" w:lineRule="auto"/>
        <w:jc w:val="left"/>
        <w:rPr>
          <w:b/>
          <w:sz w:val="22"/>
          <w:szCs w:val="22"/>
          <w:lang w:val="pl-PL"/>
        </w:rPr>
      </w:pPr>
      <w:r w:rsidRPr="00BD22FE">
        <w:rPr>
          <w:b/>
          <w:sz w:val="22"/>
          <w:szCs w:val="22"/>
          <w:lang w:val="pl-PL"/>
        </w:rPr>
        <w:t>Telmisartan</w:t>
      </w:r>
    </w:p>
    <w:p w14:paraId="6BEB6F77" w14:textId="3C361156" w:rsidR="00A610E1" w:rsidRPr="00BD22FE" w:rsidRDefault="00A610E1" w:rsidP="00A610E1">
      <w:pPr>
        <w:pStyle w:val="BodyText"/>
        <w:keepNext/>
        <w:spacing w:line="240" w:lineRule="auto"/>
        <w:jc w:val="left"/>
        <w:rPr>
          <w:sz w:val="22"/>
          <w:szCs w:val="22"/>
          <w:lang w:val="pl-PL"/>
        </w:rPr>
      </w:pPr>
      <w:r w:rsidRPr="00BD22FE">
        <w:rPr>
          <w:sz w:val="22"/>
          <w:szCs w:val="22"/>
          <w:lang w:val="pl-PL"/>
        </w:rPr>
        <w:t>U pacjentów przyjmujących wyłącznie telmisartan obserwowano dodatkowo następujące działania niepożądane:</w:t>
      </w:r>
    </w:p>
    <w:p w14:paraId="42201374" w14:textId="77777777" w:rsidR="00A610E1" w:rsidRPr="00BD22FE" w:rsidRDefault="00A610E1" w:rsidP="00A610E1">
      <w:pPr>
        <w:pStyle w:val="BodyText"/>
        <w:keepNext/>
        <w:spacing w:line="240" w:lineRule="auto"/>
        <w:jc w:val="left"/>
        <w:rPr>
          <w:sz w:val="22"/>
          <w:szCs w:val="22"/>
          <w:lang w:val="pl-PL"/>
        </w:rPr>
      </w:pPr>
    </w:p>
    <w:p w14:paraId="63972048" w14:textId="77777777" w:rsidR="00A610E1" w:rsidRPr="00BD22FE" w:rsidRDefault="00A610E1" w:rsidP="00A610E1">
      <w:pPr>
        <w:keepNext/>
        <w:rPr>
          <w:b/>
          <w:bCs/>
          <w:sz w:val="22"/>
          <w:szCs w:val="22"/>
          <w:lang w:val="pl-PL"/>
        </w:rPr>
      </w:pPr>
      <w:r w:rsidRPr="00BD22FE">
        <w:rPr>
          <w:b/>
          <w:bCs/>
          <w:sz w:val="22"/>
          <w:szCs w:val="22"/>
          <w:lang w:val="pl-PL"/>
        </w:rPr>
        <w:t>Niezbyt częste działania niepożądane (mogą wystąpić do 1 na 100 pacjentów)</w:t>
      </w:r>
    </w:p>
    <w:p w14:paraId="37BE4D83" w14:textId="77777777" w:rsidR="00A610E1" w:rsidRPr="00BD22FE" w:rsidRDefault="00A610E1" w:rsidP="00A610E1">
      <w:pPr>
        <w:rPr>
          <w:sz w:val="22"/>
          <w:szCs w:val="22"/>
          <w:lang w:val="pl-PL"/>
        </w:rPr>
      </w:pPr>
      <w:r w:rsidRPr="00BD22FE">
        <w:rPr>
          <w:sz w:val="22"/>
          <w:szCs w:val="22"/>
          <w:lang w:val="pl-PL"/>
        </w:rPr>
        <w:t>Zakażenie górnych dróg oddechowych (np. ból gardła, zapalenie zatok, przeziębienie), zakażenia układu moczowego, zapalenie pęcherza moczowego, za mała liczba krwinek czerwonych (niedokrwistość), duże stężenie potasu, wolna czynność serca (bradykardia), kaszel, zaburzenie czynności nerek, w tym ostra niewydolność nerek, osłabienie.</w:t>
      </w:r>
    </w:p>
    <w:p w14:paraId="1AB06EE3" w14:textId="77777777" w:rsidR="00A610E1" w:rsidRPr="00BD22FE" w:rsidRDefault="00A610E1" w:rsidP="00A610E1">
      <w:pPr>
        <w:rPr>
          <w:sz w:val="22"/>
          <w:szCs w:val="22"/>
          <w:u w:val="single"/>
          <w:lang w:val="pl-PL"/>
        </w:rPr>
      </w:pPr>
    </w:p>
    <w:p w14:paraId="7D9ABB33" w14:textId="77777777" w:rsidR="00A610E1" w:rsidRPr="00BD22FE" w:rsidRDefault="00A610E1" w:rsidP="00A610E1">
      <w:pPr>
        <w:keepNext/>
        <w:rPr>
          <w:b/>
          <w:bCs/>
          <w:sz w:val="22"/>
          <w:szCs w:val="22"/>
          <w:lang w:val="pl-PL"/>
        </w:rPr>
      </w:pPr>
      <w:r w:rsidRPr="00BD22FE">
        <w:rPr>
          <w:b/>
          <w:bCs/>
          <w:sz w:val="22"/>
          <w:szCs w:val="22"/>
          <w:lang w:val="pl-PL"/>
        </w:rPr>
        <w:t>Rzadkie działania niepożądane (mogą wystąpić do 1 na 1 000 pacjentów)</w:t>
      </w:r>
    </w:p>
    <w:p w14:paraId="613042D1" w14:textId="77777777" w:rsidR="00A610E1" w:rsidRPr="00BD22FE" w:rsidRDefault="00A610E1" w:rsidP="00A610E1">
      <w:pPr>
        <w:rPr>
          <w:sz w:val="22"/>
          <w:szCs w:val="22"/>
          <w:lang w:val="pl-PL"/>
        </w:rPr>
      </w:pPr>
      <w:r w:rsidRPr="00BD22FE">
        <w:rPr>
          <w:sz w:val="22"/>
          <w:szCs w:val="22"/>
          <w:lang w:val="pl-PL"/>
        </w:rPr>
        <w:t>Mała liczba płytek krwi (małopłytkowość), zwiększenie liczby niektórych krwinek białych (eozynofilia), ciężka reakcja alergiczna (np. nadwrażliwość, reakcja anafilaktyczna), małe stężenie glukozy we krwi (u pacjentów z cukrzycą), senność, nieżyt żołądka, wyprysk (zaburzenie skóry), wysypka polekowa, toksyczna wysypka skórna, ból ścięgien (</w:t>
      </w:r>
      <w:r w:rsidRPr="00BD22FE">
        <w:rPr>
          <w:color w:val="000000"/>
          <w:sz w:val="22"/>
          <w:szCs w:val="22"/>
          <w:lang w:val="pl-PL" w:eastAsia="en-GB"/>
        </w:rPr>
        <w:t>objawy imitujące zapalenie ścięgien)</w:t>
      </w:r>
      <w:r w:rsidRPr="00BD22FE">
        <w:rPr>
          <w:sz w:val="22"/>
          <w:szCs w:val="22"/>
          <w:lang w:val="pl-PL"/>
        </w:rPr>
        <w:t>, zmniejszone stężenie hemoglobiny (białka krwi).</w:t>
      </w:r>
    </w:p>
    <w:p w14:paraId="39B399A8" w14:textId="77777777" w:rsidR="00A610E1" w:rsidRPr="00BD22FE" w:rsidRDefault="00A610E1" w:rsidP="00A610E1">
      <w:pPr>
        <w:rPr>
          <w:sz w:val="22"/>
          <w:szCs w:val="22"/>
          <w:u w:val="single"/>
          <w:lang w:val="pl-PL"/>
        </w:rPr>
      </w:pPr>
    </w:p>
    <w:p w14:paraId="3A1A8BC3" w14:textId="77777777" w:rsidR="00A610E1" w:rsidRPr="00BD22FE" w:rsidRDefault="00A610E1" w:rsidP="00A610E1">
      <w:pPr>
        <w:keepNext/>
        <w:rPr>
          <w:b/>
          <w:bCs/>
          <w:sz w:val="22"/>
          <w:szCs w:val="22"/>
          <w:lang w:val="pl-PL"/>
        </w:rPr>
      </w:pPr>
      <w:r w:rsidRPr="00BD22FE">
        <w:rPr>
          <w:b/>
          <w:bCs/>
          <w:sz w:val="22"/>
          <w:szCs w:val="22"/>
          <w:lang w:val="pl-PL"/>
        </w:rPr>
        <w:t xml:space="preserve">Bardzo rzadkie działania niepożądane </w:t>
      </w:r>
      <w:r w:rsidRPr="00BD22FE">
        <w:rPr>
          <w:rFonts w:eastAsia="SimSun"/>
          <w:b/>
          <w:bCs/>
          <w:sz w:val="22"/>
          <w:szCs w:val="22"/>
          <w:lang w:val="pl-PL" w:eastAsia="zh-CN"/>
        </w:rPr>
        <w:t>(mogą wystąpić do 1 na 10 000 pacjentów)</w:t>
      </w:r>
    </w:p>
    <w:p w14:paraId="2770877E" w14:textId="77777777" w:rsidR="00A610E1" w:rsidRPr="00BD22FE" w:rsidRDefault="00A610E1" w:rsidP="00A610E1">
      <w:pPr>
        <w:rPr>
          <w:sz w:val="22"/>
          <w:szCs w:val="22"/>
          <w:lang w:val="pl-PL"/>
        </w:rPr>
      </w:pPr>
      <w:r w:rsidRPr="00BD22FE">
        <w:rPr>
          <w:sz w:val="22"/>
          <w:szCs w:val="22"/>
          <w:lang w:val="pl-PL"/>
        </w:rPr>
        <w:t>Postępujące bliznowacenie pęcherzyków płucnych (śródmiąższowa choroba płuc)**</w:t>
      </w:r>
    </w:p>
    <w:p w14:paraId="2B97FB18" w14:textId="77777777" w:rsidR="00885305" w:rsidRPr="00BD22FE" w:rsidRDefault="00885305" w:rsidP="00885305">
      <w:pPr>
        <w:rPr>
          <w:sz w:val="22"/>
          <w:szCs w:val="22"/>
          <w:lang w:val="pl-PL"/>
        </w:rPr>
      </w:pPr>
    </w:p>
    <w:p w14:paraId="5996E426" w14:textId="77777777" w:rsidR="00885305" w:rsidRPr="00BD22FE" w:rsidRDefault="00885305" w:rsidP="00885305">
      <w:pPr>
        <w:keepNext/>
        <w:rPr>
          <w:b/>
          <w:bCs/>
          <w:sz w:val="22"/>
          <w:szCs w:val="22"/>
          <w:lang w:val="pl-PL"/>
        </w:rPr>
      </w:pPr>
      <w:r w:rsidRPr="00BD22FE">
        <w:rPr>
          <w:b/>
          <w:bCs/>
          <w:sz w:val="22"/>
          <w:szCs w:val="22"/>
          <w:lang w:val="pl-PL"/>
        </w:rPr>
        <w:t>Częstość nieznana (częstość nie może być określona na podstawie dostępnych danych)</w:t>
      </w:r>
    </w:p>
    <w:p w14:paraId="102450BE" w14:textId="31884D1B" w:rsidR="00885305" w:rsidRPr="00BD22FE" w:rsidRDefault="00885305" w:rsidP="00885305">
      <w:pPr>
        <w:rPr>
          <w:sz w:val="22"/>
          <w:szCs w:val="22"/>
          <w:lang w:val="pl-PL"/>
        </w:rPr>
      </w:pPr>
      <w:r w:rsidRPr="00BD22FE">
        <w:rPr>
          <w:sz w:val="22"/>
          <w:szCs w:val="22"/>
          <w:lang w:val="pl-PL"/>
        </w:rPr>
        <w:t>Obrzęk naczynioruchowy jelit - po zastosowaniu podobnych produktów występował obrzęk w jelicie z takimi objawami jak ból brzucha, nudności, wymioty i biegunka.</w:t>
      </w:r>
    </w:p>
    <w:p w14:paraId="230AA379" w14:textId="77777777" w:rsidR="00A610E1" w:rsidRPr="00BD22FE" w:rsidRDefault="00A610E1" w:rsidP="00A610E1">
      <w:pPr>
        <w:rPr>
          <w:sz w:val="22"/>
          <w:szCs w:val="22"/>
          <w:lang w:val="pl-PL"/>
        </w:rPr>
      </w:pPr>
    </w:p>
    <w:p w14:paraId="6A2E235C" w14:textId="77777777" w:rsidR="00A610E1" w:rsidRPr="00BD22FE" w:rsidRDefault="00A610E1" w:rsidP="00A610E1">
      <w:pPr>
        <w:rPr>
          <w:sz w:val="22"/>
          <w:szCs w:val="22"/>
          <w:lang w:val="pl-PL"/>
        </w:rPr>
      </w:pPr>
      <w:r w:rsidRPr="00BD22FE">
        <w:rPr>
          <w:sz w:val="22"/>
          <w:szCs w:val="22"/>
          <w:lang w:val="pl-PL"/>
        </w:rPr>
        <w:lastRenderedPageBreak/>
        <w:t>*Zjawisko to może być przypadkowe lub związane z mechanizmem, który nie został jeszcze poznany.</w:t>
      </w:r>
    </w:p>
    <w:p w14:paraId="070F686D" w14:textId="77777777" w:rsidR="00A610E1" w:rsidRPr="00BD22FE" w:rsidRDefault="00A610E1" w:rsidP="00A610E1">
      <w:pPr>
        <w:rPr>
          <w:sz w:val="22"/>
          <w:szCs w:val="22"/>
          <w:lang w:val="pl-PL"/>
        </w:rPr>
      </w:pPr>
    </w:p>
    <w:p w14:paraId="7525D591" w14:textId="77777777" w:rsidR="00A610E1" w:rsidRPr="00BD22FE" w:rsidRDefault="00A610E1" w:rsidP="00A610E1">
      <w:pPr>
        <w:rPr>
          <w:sz w:val="22"/>
          <w:szCs w:val="22"/>
          <w:lang w:val="pl-PL"/>
        </w:rPr>
      </w:pPr>
      <w:r w:rsidRPr="00BD22FE">
        <w:rPr>
          <w:sz w:val="22"/>
          <w:szCs w:val="22"/>
          <w:lang w:val="pl-PL"/>
        </w:rPr>
        <w:t>**Zgłaszano przypadki śródmiąższowej choroby płuc pozostające w związku czasowym z przyjmowaniem telmisartanu. Nie ustalono jednak związku przyczynowego ze stosowaniem telmisartanu.</w:t>
      </w:r>
    </w:p>
    <w:p w14:paraId="477F0FD1" w14:textId="77777777" w:rsidR="00A610E1" w:rsidRPr="00BD22FE" w:rsidRDefault="00A610E1" w:rsidP="00A610E1">
      <w:pPr>
        <w:rPr>
          <w:sz w:val="22"/>
          <w:szCs w:val="22"/>
          <w:highlight w:val="yellow"/>
          <w:lang w:val="pl-PL"/>
        </w:rPr>
      </w:pPr>
    </w:p>
    <w:p w14:paraId="708E8D61" w14:textId="77777777" w:rsidR="00A610E1" w:rsidRPr="00BD22FE" w:rsidRDefault="00A610E1" w:rsidP="00A610E1">
      <w:pPr>
        <w:pStyle w:val="BodyText"/>
        <w:keepNext/>
        <w:spacing w:line="240" w:lineRule="auto"/>
        <w:jc w:val="left"/>
        <w:rPr>
          <w:b/>
          <w:sz w:val="22"/>
          <w:szCs w:val="22"/>
          <w:u w:val="single"/>
          <w:lang w:val="pl-PL"/>
        </w:rPr>
      </w:pPr>
      <w:r w:rsidRPr="00BD22FE">
        <w:rPr>
          <w:b/>
          <w:sz w:val="22"/>
          <w:szCs w:val="22"/>
          <w:u w:val="single"/>
          <w:lang w:val="pl-PL"/>
        </w:rPr>
        <w:t>Hydrochlorotiazyd</w:t>
      </w:r>
    </w:p>
    <w:p w14:paraId="27D2B4E1" w14:textId="77777777" w:rsidR="00A610E1" w:rsidRPr="00BD22FE" w:rsidRDefault="00A610E1" w:rsidP="00A610E1">
      <w:pPr>
        <w:pStyle w:val="BodyText"/>
        <w:keepNext/>
        <w:spacing w:line="240" w:lineRule="auto"/>
        <w:jc w:val="left"/>
        <w:rPr>
          <w:sz w:val="22"/>
          <w:szCs w:val="22"/>
          <w:lang w:val="pl-PL"/>
        </w:rPr>
      </w:pPr>
      <w:r w:rsidRPr="00BD22FE">
        <w:rPr>
          <w:sz w:val="22"/>
          <w:szCs w:val="22"/>
          <w:lang w:val="pl-PL"/>
        </w:rPr>
        <w:t>U pacjentów przyjmujących wyłącznie hydrochlorotiazyd obserwowano dodatkowe następujące działania niepożądane:</w:t>
      </w:r>
    </w:p>
    <w:p w14:paraId="5971F247" w14:textId="77777777" w:rsidR="00A610E1" w:rsidRPr="00BD22FE" w:rsidRDefault="00A610E1" w:rsidP="00A610E1">
      <w:pPr>
        <w:pStyle w:val="BodyText"/>
        <w:keepNext/>
        <w:spacing w:line="240" w:lineRule="auto"/>
        <w:jc w:val="left"/>
        <w:rPr>
          <w:sz w:val="22"/>
          <w:szCs w:val="22"/>
          <w:lang w:val="pl-PL"/>
        </w:rPr>
      </w:pPr>
    </w:p>
    <w:p w14:paraId="03688622" w14:textId="77777777" w:rsidR="00A610E1" w:rsidRPr="00BD22FE" w:rsidRDefault="00A610E1" w:rsidP="00A610E1">
      <w:pPr>
        <w:keepNext/>
        <w:rPr>
          <w:b/>
          <w:bCs/>
          <w:sz w:val="22"/>
          <w:szCs w:val="22"/>
          <w:lang w:val="pl-PL"/>
        </w:rPr>
      </w:pPr>
      <w:r w:rsidRPr="00BD22FE">
        <w:rPr>
          <w:b/>
          <w:bCs/>
          <w:sz w:val="22"/>
          <w:szCs w:val="22"/>
          <w:lang w:val="pl-PL"/>
        </w:rPr>
        <w:t>Bardzo częste działania niepożądane (mogą wystąpić u więcej niż 1 na 10 pacjentów)</w:t>
      </w:r>
    </w:p>
    <w:p w14:paraId="5BEE6EE3" w14:textId="77777777" w:rsidR="00A610E1" w:rsidRPr="00BD22FE" w:rsidRDefault="00A610E1" w:rsidP="00A610E1">
      <w:pPr>
        <w:pStyle w:val="BodyText"/>
        <w:spacing w:line="240" w:lineRule="auto"/>
        <w:jc w:val="left"/>
        <w:rPr>
          <w:sz w:val="22"/>
          <w:szCs w:val="22"/>
          <w:lang w:val="pl-PL"/>
        </w:rPr>
      </w:pPr>
      <w:r w:rsidRPr="00BD22FE">
        <w:rPr>
          <w:sz w:val="22"/>
          <w:szCs w:val="22"/>
          <w:lang w:val="pl-PL"/>
        </w:rPr>
        <w:t>Podwyższone stężenie tłuszczów we krwi.</w:t>
      </w:r>
    </w:p>
    <w:p w14:paraId="6520DE91" w14:textId="77777777" w:rsidR="00A610E1" w:rsidRPr="00BD22FE" w:rsidRDefault="00A610E1" w:rsidP="00A610E1">
      <w:pPr>
        <w:pStyle w:val="BodyText"/>
        <w:spacing w:line="240" w:lineRule="auto"/>
        <w:jc w:val="left"/>
        <w:rPr>
          <w:sz w:val="22"/>
          <w:szCs w:val="22"/>
          <w:lang w:val="pl-PL"/>
        </w:rPr>
      </w:pPr>
    </w:p>
    <w:p w14:paraId="3907544A" w14:textId="77777777" w:rsidR="00A610E1" w:rsidRPr="00BD22FE" w:rsidRDefault="00A610E1" w:rsidP="00A610E1">
      <w:pPr>
        <w:keepNext/>
        <w:rPr>
          <w:b/>
          <w:bCs/>
          <w:sz w:val="22"/>
          <w:szCs w:val="22"/>
          <w:lang w:val="pl-PL"/>
        </w:rPr>
      </w:pPr>
      <w:r w:rsidRPr="00BD22FE">
        <w:rPr>
          <w:b/>
          <w:bCs/>
          <w:sz w:val="22"/>
          <w:szCs w:val="22"/>
          <w:lang w:val="pl-PL"/>
        </w:rPr>
        <w:t>Częste działania niepożądane (mogą wystąpić do 1 na 10 pacjentów)</w:t>
      </w:r>
    </w:p>
    <w:p w14:paraId="69397F22" w14:textId="77777777" w:rsidR="00A610E1" w:rsidRPr="00BD22FE" w:rsidRDefault="00A610E1" w:rsidP="00A610E1">
      <w:pPr>
        <w:rPr>
          <w:sz w:val="22"/>
          <w:szCs w:val="22"/>
          <w:lang w:val="pl-PL"/>
        </w:rPr>
      </w:pPr>
      <w:r w:rsidRPr="00BD22FE">
        <w:rPr>
          <w:sz w:val="22"/>
          <w:szCs w:val="22"/>
          <w:lang w:val="pl-PL"/>
        </w:rPr>
        <w:t>Nudności, małe stężenie magnezu we krwi, zmniejszony apetyt.</w:t>
      </w:r>
    </w:p>
    <w:p w14:paraId="5DCF3CE7" w14:textId="77777777" w:rsidR="00A610E1" w:rsidRPr="00BD22FE" w:rsidRDefault="00A610E1" w:rsidP="00A610E1">
      <w:pPr>
        <w:rPr>
          <w:sz w:val="22"/>
          <w:szCs w:val="22"/>
          <w:u w:val="single"/>
          <w:lang w:val="pl-PL"/>
        </w:rPr>
      </w:pPr>
    </w:p>
    <w:p w14:paraId="726045ED" w14:textId="77777777" w:rsidR="00A610E1" w:rsidRPr="00BD22FE" w:rsidRDefault="00A610E1" w:rsidP="00A610E1">
      <w:pPr>
        <w:keepNext/>
        <w:rPr>
          <w:b/>
          <w:bCs/>
          <w:sz w:val="22"/>
          <w:szCs w:val="22"/>
          <w:lang w:val="pl-PL"/>
        </w:rPr>
      </w:pPr>
      <w:r w:rsidRPr="00BD22FE">
        <w:rPr>
          <w:b/>
          <w:bCs/>
          <w:sz w:val="22"/>
          <w:szCs w:val="22"/>
          <w:lang w:val="pl-PL"/>
        </w:rPr>
        <w:t>Niezbyt częste działania niepożądane (mogą wystąpić do 1 na 100 pacjentów)</w:t>
      </w:r>
    </w:p>
    <w:p w14:paraId="72679765" w14:textId="77777777" w:rsidR="00A610E1" w:rsidRPr="00BD22FE" w:rsidRDefault="00A610E1" w:rsidP="00A610E1">
      <w:pPr>
        <w:rPr>
          <w:sz w:val="22"/>
          <w:szCs w:val="22"/>
          <w:u w:val="single"/>
          <w:lang w:val="pl-PL"/>
        </w:rPr>
      </w:pPr>
      <w:r w:rsidRPr="00BD22FE">
        <w:rPr>
          <w:sz w:val="22"/>
          <w:szCs w:val="22"/>
          <w:lang w:val="pl-PL"/>
        </w:rPr>
        <w:t>Ostra niewydolność nerek.</w:t>
      </w:r>
    </w:p>
    <w:p w14:paraId="0B27F91A" w14:textId="77777777" w:rsidR="00A610E1" w:rsidRPr="00BD22FE" w:rsidRDefault="00A610E1" w:rsidP="00A610E1">
      <w:pPr>
        <w:rPr>
          <w:sz w:val="22"/>
          <w:szCs w:val="22"/>
          <w:u w:val="single"/>
          <w:lang w:val="pl-PL"/>
        </w:rPr>
      </w:pPr>
    </w:p>
    <w:p w14:paraId="178C1438" w14:textId="77777777" w:rsidR="00A610E1" w:rsidRPr="00BD22FE" w:rsidRDefault="00A610E1" w:rsidP="00A610E1">
      <w:pPr>
        <w:keepNext/>
        <w:rPr>
          <w:b/>
          <w:bCs/>
          <w:sz w:val="22"/>
          <w:szCs w:val="22"/>
          <w:lang w:val="pl-PL"/>
        </w:rPr>
      </w:pPr>
      <w:r w:rsidRPr="00BD22FE">
        <w:rPr>
          <w:b/>
          <w:bCs/>
          <w:sz w:val="22"/>
          <w:szCs w:val="22"/>
          <w:lang w:val="pl-PL"/>
        </w:rPr>
        <w:t>Rzadkie działania niepożądane (mogą wystąpić do 1 na 1 000 pacjentów)</w:t>
      </w:r>
    </w:p>
    <w:p w14:paraId="73F05D8A" w14:textId="77777777" w:rsidR="00A610E1" w:rsidRPr="00BD22FE" w:rsidRDefault="00A610E1" w:rsidP="00A610E1">
      <w:pPr>
        <w:rPr>
          <w:sz w:val="22"/>
          <w:szCs w:val="22"/>
          <w:lang w:val="pl-PL"/>
        </w:rPr>
      </w:pPr>
      <w:r w:rsidRPr="00BD22FE">
        <w:rPr>
          <w:sz w:val="22"/>
          <w:szCs w:val="22"/>
          <w:lang w:val="pl-PL"/>
        </w:rPr>
        <w:t>Mała liczba płytek krwi (małopłytkowość), przez co wzrasta ryzyko wystąpienia krwawień lub siniaków (niewielkie, fioletowo-czerwone zmiany na skórze lub w innych tkankach, spowodowane przez krwawienie), duże stężenie wapnia we krwi, duże stężenie cukru we krwi, ból głowy, dyskomfort w jamie brzusznej, zażółcenie skóry lub oczu (żółtaczka), nadmiar substancji żółciowych we krwi (zastój żółci), reakcje nadwrażliwości na światło, niekontrolowane stężenie glukozy we krwi u pacjentów z rozpoznaną cukrzycą, obecność cukrów w moczu (glukozuria).</w:t>
      </w:r>
    </w:p>
    <w:p w14:paraId="674175FC" w14:textId="77777777" w:rsidR="00A610E1" w:rsidRPr="00BD22FE" w:rsidRDefault="00A610E1" w:rsidP="00A610E1">
      <w:pPr>
        <w:rPr>
          <w:sz w:val="22"/>
          <w:szCs w:val="22"/>
          <w:u w:val="single"/>
          <w:lang w:val="pl-PL"/>
        </w:rPr>
      </w:pPr>
    </w:p>
    <w:p w14:paraId="55583251" w14:textId="77777777" w:rsidR="00A610E1" w:rsidRPr="00BD22FE" w:rsidRDefault="00A610E1" w:rsidP="00A610E1">
      <w:pPr>
        <w:keepNext/>
        <w:rPr>
          <w:b/>
          <w:bCs/>
          <w:sz w:val="22"/>
          <w:szCs w:val="22"/>
          <w:lang w:val="pl-PL"/>
        </w:rPr>
      </w:pPr>
      <w:r w:rsidRPr="00BD22FE">
        <w:rPr>
          <w:b/>
          <w:bCs/>
          <w:sz w:val="22"/>
          <w:szCs w:val="22"/>
          <w:lang w:val="pl-PL"/>
        </w:rPr>
        <w:t xml:space="preserve">Bardzo rzadkie działania niepożądane </w:t>
      </w:r>
      <w:r w:rsidRPr="00BD22FE">
        <w:rPr>
          <w:rFonts w:eastAsia="SimSun"/>
          <w:b/>
          <w:bCs/>
          <w:sz w:val="22"/>
          <w:szCs w:val="22"/>
          <w:lang w:val="pl-PL" w:eastAsia="zh-CN"/>
        </w:rPr>
        <w:t>(mogą wystąpić do 1 na 10 000 pacjentów)</w:t>
      </w:r>
    </w:p>
    <w:p w14:paraId="338F2B3D" w14:textId="77777777" w:rsidR="00A610E1" w:rsidRPr="00BD22FE" w:rsidRDefault="00A610E1" w:rsidP="00A610E1">
      <w:pPr>
        <w:rPr>
          <w:sz w:val="22"/>
          <w:szCs w:val="22"/>
          <w:lang w:val="pl-PL"/>
        </w:rPr>
      </w:pPr>
      <w:r w:rsidRPr="00BD22FE">
        <w:rPr>
          <w:sz w:val="22"/>
          <w:szCs w:val="22"/>
          <w:lang w:val="pl-PL"/>
        </w:rPr>
        <w:t>Nieprawidłowy rozpad czerwonych krwinek (niedokrwistość hemolityczna), niezdolność szpiku kostnego do prawidłowego funkcjonowania, zmniejszenie liczby białych krwinek (leukopenia, agranulocytoza), ciężkie reakcje alergiczne (np. nadwrażliwość), wzrost pH ze względu na małe stężenie chlorków we krwi (zaburzenie równowagi kwasowo-zasadowej, alkaloza hipochloremiczna), ostra niewydolność oddechowa (objawy obejmują ciężką duszność, gorączkę, osłabienie i splątanie), zapalenie trzustki, zespół toczniopodobny (choroba naśladująca chorobę o nazwie toczeń rumieniowaty układowy, w którym</w:t>
      </w:r>
      <w:r w:rsidRPr="00BD22FE">
        <w:rPr>
          <w:spacing w:val="-1"/>
          <w:sz w:val="22"/>
          <w:szCs w:val="22"/>
          <w:lang w:val="pl-PL"/>
        </w:rPr>
        <w:t xml:space="preserve"> </w:t>
      </w:r>
      <w:r w:rsidRPr="00BD22FE">
        <w:rPr>
          <w:sz w:val="22"/>
          <w:szCs w:val="22"/>
          <w:lang w:val="pl-PL"/>
        </w:rPr>
        <w:t>organ</w:t>
      </w:r>
      <w:r w:rsidRPr="00BD22FE">
        <w:rPr>
          <w:spacing w:val="1"/>
          <w:sz w:val="22"/>
          <w:szCs w:val="22"/>
          <w:lang w:val="pl-PL"/>
        </w:rPr>
        <w:t>i</w:t>
      </w:r>
      <w:r w:rsidRPr="00BD22FE">
        <w:rPr>
          <w:sz w:val="22"/>
          <w:szCs w:val="22"/>
          <w:lang w:val="pl-PL"/>
        </w:rPr>
        <w:t>zm jest atakowany przez własny układ odpornościowy), zapalenie naczyń krwionośnych (martwicze zapalenie naczyń).</w:t>
      </w:r>
    </w:p>
    <w:p w14:paraId="167A8686" w14:textId="77777777" w:rsidR="00A610E1" w:rsidRPr="00BD22FE" w:rsidRDefault="00A610E1" w:rsidP="00A610E1">
      <w:pPr>
        <w:rPr>
          <w:sz w:val="22"/>
          <w:szCs w:val="22"/>
          <w:lang w:val="pl-PL"/>
        </w:rPr>
      </w:pPr>
    </w:p>
    <w:p w14:paraId="75878177" w14:textId="77777777" w:rsidR="00A610E1" w:rsidRPr="00BD22FE" w:rsidRDefault="00A610E1" w:rsidP="00A610E1">
      <w:pPr>
        <w:keepNext/>
        <w:rPr>
          <w:sz w:val="22"/>
          <w:szCs w:val="22"/>
          <w:u w:val="single"/>
          <w:lang w:val="pl-PL"/>
        </w:rPr>
      </w:pPr>
      <w:r w:rsidRPr="00BD22FE">
        <w:rPr>
          <w:b/>
          <w:bCs/>
          <w:sz w:val="22"/>
          <w:szCs w:val="22"/>
          <w:lang w:val="pl-PL"/>
        </w:rPr>
        <w:t xml:space="preserve">Częstość nieznana </w:t>
      </w:r>
      <w:r w:rsidRPr="00BD22FE">
        <w:rPr>
          <w:rFonts w:eastAsia="SimSun"/>
          <w:b/>
          <w:bCs/>
          <w:sz w:val="22"/>
          <w:szCs w:val="22"/>
          <w:lang w:val="pl-PL" w:eastAsia="zh-CN"/>
        </w:rPr>
        <w:t>(częstość nie może być określona</w:t>
      </w:r>
      <w:r w:rsidRPr="00BD22FE">
        <w:rPr>
          <w:rFonts w:eastAsia="SimSun"/>
          <w:b/>
          <w:sz w:val="22"/>
          <w:szCs w:val="22"/>
          <w:lang w:val="pl-PL" w:eastAsia="zh-CN"/>
        </w:rPr>
        <w:t xml:space="preserve"> na podstawie dostępnych danych)</w:t>
      </w:r>
    </w:p>
    <w:p w14:paraId="6A7EBAAC" w14:textId="0143DC26" w:rsidR="00A610E1" w:rsidRPr="00BD22FE" w:rsidRDefault="00A610E1" w:rsidP="00A610E1">
      <w:pPr>
        <w:pStyle w:val="BodyText"/>
        <w:spacing w:line="240" w:lineRule="auto"/>
        <w:jc w:val="left"/>
        <w:rPr>
          <w:sz w:val="22"/>
          <w:szCs w:val="22"/>
          <w:lang w:val="pl-PL"/>
        </w:rPr>
      </w:pPr>
      <w:r w:rsidRPr="00BD22FE">
        <w:rPr>
          <w:sz w:val="22"/>
          <w:szCs w:val="22"/>
          <w:lang w:val="pl-PL"/>
        </w:rPr>
        <w:t>Nowotwory złośliwe skóry i warg (nieczerniakowe nowotwory złośliwe skóry),</w:t>
      </w:r>
      <w:r w:rsidRPr="00BD22FE">
        <w:rPr>
          <w:sz w:val="22"/>
          <w:szCs w:val="22"/>
          <w:u w:val="single"/>
          <w:lang w:val="pl-PL"/>
        </w:rPr>
        <w:t xml:space="preserve"> </w:t>
      </w:r>
      <w:r w:rsidRPr="00BD22FE">
        <w:rPr>
          <w:sz w:val="22"/>
          <w:szCs w:val="22"/>
          <w:lang w:val="pl-PL"/>
        </w:rPr>
        <w:t xml:space="preserve">zmniejszenie liczby krwinek (niedokrwistość aplastyczna), </w:t>
      </w:r>
      <w:r w:rsidRPr="00BD22FE">
        <w:rPr>
          <w:rFonts w:eastAsia="MS Mincho"/>
          <w:sz w:val="22"/>
          <w:szCs w:val="22"/>
          <w:lang w:val="pl-PL" w:eastAsia="ja-JP"/>
        </w:rPr>
        <w:t>ograniczenie widzenia i ból oczu (prawdopodobnie objawy gromadzenia się płynu w unaczynionej błonie otaczającej oko – nadmiernego nagromadzenia płynu między naczyniówką a twardówką – lub ostrej jaskry z zamkniętym kątem przesączania),</w:t>
      </w:r>
      <w:r w:rsidRPr="00BD22FE">
        <w:rPr>
          <w:rFonts w:eastAsia="MS Mincho"/>
          <w:color w:val="92D050"/>
          <w:sz w:val="22"/>
          <w:szCs w:val="22"/>
          <w:lang w:val="pl-PL" w:eastAsia="ja-JP"/>
        </w:rPr>
        <w:t xml:space="preserve"> </w:t>
      </w:r>
      <w:r w:rsidRPr="00BD22FE">
        <w:rPr>
          <w:sz w:val="22"/>
          <w:szCs w:val="22"/>
          <w:lang w:val="pl-PL"/>
        </w:rPr>
        <w:t>zaburzenia skóry, takie jak zapalenie naczyń krwionośnych w skórze, zwiększona wrażliwość na światło słoneczne, wysypka, zaczerwienienie skóry, powstawanie pęcherzy na wargach, oczach i ustach, łuszczenie się skóry, gorączka (możliwe objawy rumienia wielopostaciowego), osłabienie, zaburzenia czynności nerek.</w:t>
      </w:r>
    </w:p>
    <w:p w14:paraId="1ACC4FD9" w14:textId="77777777" w:rsidR="00A610E1" w:rsidRPr="00BD22FE" w:rsidRDefault="00A610E1" w:rsidP="00A610E1">
      <w:pPr>
        <w:pStyle w:val="BodyText"/>
        <w:spacing w:line="240" w:lineRule="auto"/>
        <w:jc w:val="left"/>
        <w:rPr>
          <w:sz w:val="22"/>
          <w:szCs w:val="22"/>
          <w:lang w:val="pl-PL"/>
        </w:rPr>
      </w:pPr>
    </w:p>
    <w:p w14:paraId="2B1FF8DF" w14:textId="77777777" w:rsidR="00A610E1" w:rsidRPr="00BD22FE" w:rsidRDefault="00A610E1" w:rsidP="00A610E1">
      <w:pPr>
        <w:pStyle w:val="BodyText"/>
        <w:spacing w:line="240" w:lineRule="auto"/>
        <w:jc w:val="left"/>
        <w:rPr>
          <w:sz w:val="22"/>
          <w:szCs w:val="22"/>
          <w:lang w:val="pl-PL"/>
        </w:rPr>
      </w:pPr>
      <w:r w:rsidRPr="00BD22FE">
        <w:rPr>
          <w:sz w:val="22"/>
          <w:szCs w:val="22"/>
          <w:lang w:val="pl-PL"/>
        </w:rPr>
        <w:t>W odosobnionych przypadkach występowały niskie stężenia sodu, którym towarzyszyły objawy dotyczące mózgu lub nerwów (nudności, postępująca dezorientacja, brak zainteresowań lub energii).</w:t>
      </w:r>
    </w:p>
    <w:p w14:paraId="049B4FF8" w14:textId="77777777" w:rsidR="00A610E1" w:rsidRPr="00BD22FE" w:rsidRDefault="00A610E1" w:rsidP="00A610E1">
      <w:pPr>
        <w:pStyle w:val="BodyText"/>
        <w:spacing w:line="240" w:lineRule="auto"/>
        <w:jc w:val="left"/>
        <w:rPr>
          <w:sz w:val="22"/>
          <w:szCs w:val="22"/>
          <w:lang w:val="pl-PL"/>
        </w:rPr>
      </w:pPr>
    </w:p>
    <w:p w14:paraId="55577F1C" w14:textId="77777777" w:rsidR="00A610E1" w:rsidRPr="00BD22FE" w:rsidRDefault="00A610E1" w:rsidP="00A610E1">
      <w:pPr>
        <w:keepNext/>
        <w:numPr>
          <w:ilvl w:val="12"/>
          <w:numId w:val="0"/>
        </w:numPr>
        <w:rPr>
          <w:b/>
          <w:sz w:val="22"/>
          <w:szCs w:val="22"/>
          <w:lang w:val="pl-PL"/>
        </w:rPr>
      </w:pPr>
      <w:r w:rsidRPr="00BD22FE">
        <w:rPr>
          <w:b/>
          <w:sz w:val="22"/>
          <w:szCs w:val="22"/>
          <w:lang w:val="pl-PL"/>
        </w:rPr>
        <w:t>Zgłaszanie działań niepożądanych</w:t>
      </w:r>
    </w:p>
    <w:p w14:paraId="18B440D9" w14:textId="77777777" w:rsidR="00A610E1" w:rsidRPr="00BD22FE" w:rsidRDefault="00A610E1" w:rsidP="00A610E1">
      <w:pPr>
        <w:numPr>
          <w:ilvl w:val="12"/>
          <w:numId w:val="0"/>
        </w:numPr>
        <w:rPr>
          <w:sz w:val="22"/>
          <w:szCs w:val="22"/>
          <w:lang w:val="pl-PL"/>
        </w:rPr>
      </w:pPr>
      <w:r w:rsidRPr="00BD22FE">
        <w:rPr>
          <w:sz w:val="22"/>
          <w:szCs w:val="22"/>
          <w:lang w:val="pl-PL"/>
        </w:rPr>
        <w:t>Jeśli wystąpią jakiekolwiek objawy niepożądane, w tym wszelkie objawy niepożądane niewymienione w tej ulotce, należy powiedzieć o tym lekarzowi</w:t>
      </w:r>
      <w:r w:rsidRPr="00BD22FE">
        <w:rPr>
          <w:lang w:val="pl-PL"/>
        </w:rPr>
        <w:t xml:space="preserve"> </w:t>
      </w:r>
      <w:r w:rsidRPr="00BD22FE">
        <w:rPr>
          <w:sz w:val="22"/>
          <w:szCs w:val="22"/>
          <w:lang w:val="pl-PL"/>
        </w:rPr>
        <w:t xml:space="preserve">lub farmaceucie. Działania niepożądane można zgłaszać bezpośrednio do </w:t>
      </w:r>
      <w:r w:rsidRPr="00BD22FE">
        <w:rPr>
          <w:sz w:val="22"/>
          <w:szCs w:val="22"/>
          <w:highlight w:val="lightGray"/>
          <w:lang w:val="pl-PL"/>
        </w:rPr>
        <w:t>„krajowego systemu zgłaszania” wymienionego w </w:t>
      </w:r>
      <w:r>
        <w:fldChar w:fldCharType="begin"/>
      </w:r>
      <w:r w:rsidRPr="00DE4C52">
        <w:rPr>
          <w:lang w:val="pl-PL"/>
        </w:rPr>
        <w:instrText>HYPERLINK "https://www.ema.europa.eu/en/documents/template-form/qrd-appendix-v-adverse-drug-reaction-reporting-details_en.docx" \h</w:instrText>
      </w:r>
      <w:r>
        <w:fldChar w:fldCharType="separate"/>
      </w:r>
      <w:r w:rsidRPr="00BD22FE">
        <w:rPr>
          <w:rStyle w:val="Hyperlink"/>
          <w:sz w:val="22"/>
          <w:highlight w:val="lightGray"/>
          <w:lang w:val="pl-PL"/>
        </w:rPr>
        <w:t>załączniku V</w:t>
      </w:r>
      <w:r>
        <w:fldChar w:fldCharType="end"/>
      </w:r>
      <w:r w:rsidRPr="00BD22FE">
        <w:rPr>
          <w:sz w:val="22"/>
          <w:szCs w:val="22"/>
          <w:lang w:val="pl-PL"/>
        </w:rPr>
        <w:t>. Dzięki zgłaszaniu działań niepożądanych można będzie zgromadzić więcej informacji na temat bezpieczeństwa stosowania leku.</w:t>
      </w:r>
    </w:p>
    <w:p w14:paraId="562878FB" w14:textId="77777777" w:rsidR="00A610E1" w:rsidRPr="00BD22FE" w:rsidRDefault="00A610E1" w:rsidP="00A610E1">
      <w:pPr>
        <w:pStyle w:val="BodyText"/>
        <w:spacing w:line="240" w:lineRule="auto"/>
        <w:jc w:val="left"/>
        <w:rPr>
          <w:sz w:val="22"/>
          <w:szCs w:val="22"/>
          <w:lang w:val="pl-PL"/>
        </w:rPr>
      </w:pPr>
    </w:p>
    <w:p w14:paraId="69B61F34" w14:textId="77777777" w:rsidR="00A610E1" w:rsidRPr="00BD22FE" w:rsidRDefault="00A610E1" w:rsidP="00A610E1">
      <w:pPr>
        <w:pStyle w:val="BodyText"/>
        <w:spacing w:line="240" w:lineRule="auto"/>
        <w:jc w:val="left"/>
        <w:rPr>
          <w:sz w:val="22"/>
          <w:szCs w:val="22"/>
          <w:lang w:val="pl-PL"/>
        </w:rPr>
      </w:pPr>
    </w:p>
    <w:p w14:paraId="0AD80EEC" w14:textId="77777777" w:rsidR="00A610E1" w:rsidRPr="00BD22FE" w:rsidRDefault="00A610E1" w:rsidP="00A610E1">
      <w:pPr>
        <w:pStyle w:val="BodyText"/>
        <w:keepNext/>
        <w:spacing w:line="240" w:lineRule="auto"/>
        <w:ind w:left="567" w:hanging="567"/>
        <w:jc w:val="left"/>
        <w:rPr>
          <w:b/>
          <w:sz w:val="22"/>
          <w:szCs w:val="22"/>
          <w:lang w:val="pl-PL"/>
        </w:rPr>
      </w:pPr>
      <w:r w:rsidRPr="00BD22FE">
        <w:rPr>
          <w:b/>
          <w:sz w:val="22"/>
          <w:szCs w:val="22"/>
          <w:lang w:val="pl-PL"/>
        </w:rPr>
        <w:t>5.</w:t>
      </w:r>
      <w:r w:rsidRPr="00BD22FE">
        <w:rPr>
          <w:b/>
          <w:sz w:val="22"/>
          <w:szCs w:val="22"/>
          <w:lang w:val="pl-PL"/>
        </w:rPr>
        <w:tab/>
        <w:t>Jak przechowywać lek MicardisPlus</w:t>
      </w:r>
    </w:p>
    <w:p w14:paraId="1DC11EF8" w14:textId="77777777" w:rsidR="00A610E1" w:rsidRPr="00BD22FE" w:rsidRDefault="00A610E1" w:rsidP="00A610E1">
      <w:pPr>
        <w:pStyle w:val="BodyText"/>
        <w:keepNext/>
        <w:spacing w:line="240" w:lineRule="auto"/>
        <w:jc w:val="left"/>
        <w:rPr>
          <w:sz w:val="22"/>
          <w:szCs w:val="22"/>
          <w:lang w:val="pl-PL"/>
        </w:rPr>
      </w:pPr>
    </w:p>
    <w:p w14:paraId="14CDE285" w14:textId="77777777" w:rsidR="00A610E1" w:rsidRPr="00BD22FE" w:rsidRDefault="00A610E1" w:rsidP="00A610E1">
      <w:pPr>
        <w:pStyle w:val="BodyText"/>
        <w:spacing w:line="240" w:lineRule="auto"/>
        <w:jc w:val="left"/>
        <w:rPr>
          <w:sz w:val="22"/>
          <w:szCs w:val="22"/>
          <w:lang w:val="pl-PL"/>
        </w:rPr>
      </w:pPr>
      <w:r w:rsidRPr="00BD22FE">
        <w:rPr>
          <w:sz w:val="22"/>
          <w:szCs w:val="22"/>
          <w:lang w:val="pl-PL"/>
        </w:rPr>
        <w:t>Lek należy przechowywać w miejscu niewidocznym i niedostępnym dla dzieci.</w:t>
      </w:r>
    </w:p>
    <w:p w14:paraId="3977B44D" w14:textId="77777777" w:rsidR="00A610E1" w:rsidRPr="00BD22FE" w:rsidRDefault="00A610E1" w:rsidP="00A610E1">
      <w:pPr>
        <w:pStyle w:val="BodyText"/>
        <w:spacing w:line="240" w:lineRule="auto"/>
        <w:jc w:val="left"/>
        <w:rPr>
          <w:sz w:val="22"/>
          <w:szCs w:val="22"/>
          <w:lang w:val="pl-PL"/>
        </w:rPr>
      </w:pPr>
    </w:p>
    <w:p w14:paraId="404CB95A" w14:textId="77777777" w:rsidR="00A610E1" w:rsidRPr="00BD22FE" w:rsidRDefault="00A610E1" w:rsidP="00A610E1">
      <w:pPr>
        <w:pStyle w:val="BodyText"/>
        <w:spacing w:line="240" w:lineRule="auto"/>
        <w:jc w:val="left"/>
        <w:rPr>
          <w:sz w:val="22"/>
          <w:szCs w:val="22"/>
          <w:lang w:val="pl-PL"/>
        </w:rPr>
      </w:pPr>
      <w:r w:rsidRPr="00BD22FE">
        <w:rPr>
          <w:sz w:val="22"/>
          <w:szCs w:val="22"/>
          <w:lang w:val="pl-PL"/>
        </w:rPr>
        <w:t>Nie stosować tego leku po upływie terminu ważności zamieszczonego na pudełku po: Termin ważności. Termin ważności oznacza ostatni dzień podanego miesiąca.</w:t>
      </w:r>
    </w:p>
    <w:p w14:paraId="5A6F8131" w14:textId="77777777" w:rsidR="00A610E1" w:rsidRPr="00BD22FE" w:rsidRDefault="00A610E1" w:rsidP="00A610E1">
      <w:pPr>
        <w:pStyle w:val="BodyText"/>
        <w:spacing w:line="240" w:lineRule="auto"/>
        <w:jc w:val="left"/>
        <w:rPr>
          <w:sz w:val="22"/>
          <w:szCs w:val="22"/>
          <w:lang w:val="pl-PL"/>
        </w:rPr>
      </w:pPr>
    </w:p>
    <w:p w14:paraId="02BC2A4B" w14:textId="77777777" w:rsidR="00A610E1" w:rsidRPr="00BD22FE" w:rsidRDefault="00A610E1" w:rsidP="00A610E1">
      <w:pPr>
        <w:rPr>
          <w:sz w:val="22"/>
          <w:szCs w:val="22"/>
          <w:lang w:val="pl-PL"/>
        </w:rPr>
      </w:pPr>
      <w:r w:rsidRPr="00BD22FE">
        <w:rPr>
          <w:sz w:val="22"/>
          <w:szCs w:val="22"/>
          <w:lang w:val="pl-PL"/>
        </w:rPr>
        <w:t xml:space="preserve">Brak specjalnych zaleceń dotyczących temperatury przechowywania leku. Przechowywać w oryginalnym opakowaniu w celu ochrony przed wilgocią. </w:t>
      </w:r>
      <w:r w:rsidRPr="00BD22FE">
        <w:rPr>
          <w:rStyle w:val="hps"/>
          <w:sz w:val="22"/>
          <w:szCs w:val="22"/>
          <w:lang w:val="pl-PL"/>
        </w:rPr>
        <w:t>Tabletkę leku MicardisPlus należy wyjąć</w:t>
      </w:r>
      <w:r w:rsidRPr="00BD22FE">
        <w:rPr>
          <w:sz w:val="22"/>
          <w:szCs w:val="22"/>
          <w:lang w:val="pl-PL"/>
        </w:rPr>
        <w:t xml:space="preserve"> </w:t>
      </w:r>
      <w:r w:rsidRPr="00BD22FE">
        <w:rPr>
          <w:rStyle w:val="hps"/>
          <w:sz w:val="22"/>
          <w:szCs w:val="22"/>
          <w:lang w:val="pl-PL"/>
        </w:rPr>
        <w:t xml:space="preserve">ze </w:t>
      </w:r>
      <w:r w:rsidRPr="00BD22FE">
        <w:rPr>
          <w:sz w:val="22"/>
          <w:szCs w:val="22"/>
          <w:lang w:val="pl-PL"/>
        </w:rPr>
        <w:t>szczelnego</w:t>
      </w:r>
      <w:r w:rsidRPr="00BD22FE">
        <w:rPr>
          <w:rStyle w:val="hps"/>
          <w:sz w:val="22"/>
          <w:szCs w:val="22"/>
          <w:lang w:val="pl-PL"/>
        </w:rPr>
        <w:t xml:space="preserve"> blistra</w:t>
      </w:r>
      <w:r w:rsidRPr="00BD22FE">
        <w:rPr>
          <w:sz w:val="22"/>
          <w:szCs w:val="22"/>
          <w:lang w:val="pl-PL"/>
        </w:rPr>
        <w:t xml:space="preserve"> </w:t>
      </w:r>
      <w:r w:rsidRPr="00BD22FE">
        <w:rPr>
          <w:rStyle w:val="hps"/>
          <w:sz w:val="22"/>
          <w:szCs w:val="22"/>
          <w:lang w:val="pl-PL"/>
        </w:rPr>
        <w:t>bezpośrednio</w:t>
      </w:r>
      <w:r w:rsidRPr="00BD22FE">
        <w:rPr>
          <w:sz w:val="22"/>
          <w:szCs w:val="22"/>
          <w:lang w:val="pl-PL"/>
        </w:rPr>
        <w:t xml:space="preserve"> </w:t>
      </w:r>
      <w:r w:rsidRPr="00BD22FE">
        <w:rPr>
          <w:rStyle w:val="hps"/>
          <w:sz w:val="22"/>
          <w:szCs w:val="22"/>
          <w:lang w:val="pl-PL"/>
        </w:rPr>
        <w:t>przed</w:t>
      </w:r>
      <w:r w:rsidRPr="00BD22FE">
        <w:rPr>
          <w:sz w:val="22"/>
          <w:szCs w:val="22"/>
          <w:lang w:val="pl-PL"/>
        </w:rPr>
        <w:t xml:space="preserve"> </w:t>
      </w:r>
      <w:r w:rsidRPr="00BD22FE">
        <w:rPr>
          <w:rStyle w:val="hps"/>
          <w:sz w:val="22"/>
          <w:szCs w:val="22"/>
          <w:lang w:val="pl-PL"/>
        </w:rPr>
        <w:t>zażyciem.</w:t>
      </w:r>
    </w:p>
    <w:p w14:paraId="07AF2B88" w14:textId="77777777" w:rsidR="00A610E1" w:rsidRPr="00BD22FE" w:rsidRDefault="00A610E1" w:rsidP="00A610E1">
      <w:pPr>
        <w:pStyle w:val="BodyText"/>
        <w:spacing w:line="240" w:lineRule="auto"/>
        <w:jc w:val="left"/>
        <w:rPr>
          <w:sz w:val="22"/>
          <w:szCs w:val="22"/>
          <w:lang w:val="pl-PL"/>
        </w:rPr>
      </w:pPr>
    </w:p>
    <w:p w14:paraId="6625C14B" w14:textId="77777777" w:rsidR="00A610E1" w:rsidRPr="00BD22FE" w:rsidRDefault="00A610E1" w:rsidP="00A610E1">
      <w:pPr>
        <w:pStyle w:val="BodyText"/>
        <w:spacing w:line="240" w:lineRule="auto"/>
        <w:jc w:val="left"/>
        <w:rPr>
          <w:sz w:val="22"/>
          <w:szCs w:val="22"/>
          <w:lang w:val="pl-PL"/>
        </w:rPr>
      </w:pPr>
      <w:r w:rsidRPr="00BD22FE">
        <w:rPr>
          <w:sz w:val="22"/>
          <w:szCs w:val="22"/>
          <w:lang w:val="pl-PL"/>
        </w:rPr>
        <w:t>Czasami zdarza się, że zewnętrzna powłoka blistra odkleja się od wewnętrznej pomiędzy kieszeniami blistra. W tym przypadku nie ma potrzeby podejmowania żadnych działań.</w:t>
      </w:r>
    </w:p>
    <w:p w14:paraId="5175569E" w14:textId="77777777" w:rsidR="00A610E1" w:rsidRPr="00BD22FE" w:rsidRDefault="00A610E1" w:rsidP="00A610E1">
      <w:pPr>
        <w:pStyle w:val="BodyText"/>
        <w:spacing w:line="240" w:lineRule="auto"/>
        <w:jc w:val="left"/>
        <w:rPr>
          <w:sz w:val="22"/>
          <w:szCs w:val="22"/>
          <w:lang w:val="pl-PL"/>
        </w:rPr>
      </w:pPr>
    </w:p>
    <w:p w14:paraId="1D88CA09" w14:textId="77777777" w:rsidR="00A610E1" w:rsidRPr="00BD22FE" w:rsidRDefault="00A610E1" w:rsidP="00A610E1">
      <w:pPr>
        <w:rPr>
          <w:sz w:val="22"/>
          <w:szCs w:val="22"/>
          <w:lang w:val="pl-PL" w:bidi="bn-IN"/>
        </w:rPr>
      </w:pPr>
      <w:r w:rsidRPr="00BD22FE">
        <w:rPr>
          <w:sz w:val="22"/>
          <w:szCs w:val="22"/>
          <w:lang w:val="pl-PL" w:bidi="bn-IN"/>
        </w:rPr>
        <w:t>Leków nie należy wyrzucać do kanalizacji ani domowych pojemników na odpadki. Należy zapytać farmaceutę, jak usunąć leki, których się już nie używa. Takie postępowanie pomoże chronić środowisko.</w:t>
      </w:r>
    </w:p>
    <w:p w14:paraId="23BB7E8F" w14:textId="77777777" w:rsidR="00A610E1" w:rsidRPr="00BD22FE" w:rsidRDefault="00A610E1" w:rsidP="00A610E1">
      <w:pPr>
        <w:pStyle w:val="BodyText"/>
        <w:spacing w:line="240" w:lineRule="auto"/>
        <w:jc w:val="left"/>
        <w:rPr>
          <w:sz w:val="22"/>
          <w:szCs w:val="22"/>
          <w:lang w:val="pl-PL"/>
        </w:rPr>
      </w:pPr>
    </w:p>
    <w:p w14:paraId="6AF2EBC5" w14:textId="77777777" w:rsidR="00A610E1" w:rsidRPr="00BD22FE" w:rsidRDefault="00A610E1" w:rsidP="00A610E1">
      <w:pPr>
        <w:pStyle w:val="BodyText"/>
        <w:spacing w:line="240" w:lineRule="auto"/>
        <w:jc w:val="left"/>
        <w:rPr>
          <w:sz w:val="22"/>
          <w:szCs w:val="22"/>
          <w:lang w:val="pl-PL"/>
        </w:rPr>
      </w:pPr>
    </w:p>
    <w:p w14:paraId="044BCAC6" w14:textId="77777777" w:rsidR="00A610E1" w:rsidRPr="00BD22FE" w:rsidRDefault="00A610E1" w:rsidP="00A610E1">
      <w:pPr>
        <w:pStyle w:val="BodyText"/>
        <w:keepNext/>
        <w:spacing w:line="240" w:lineRule="auto"/>
        <w:ind w:left="567" w:hanging="567"/>
        <w:jc w:val="left"/>
        <w:rPr>
          <w:b/>
          <w:sz w:val="22"/>
          <w:szCs w:val="22"/>
          <w:lang w:val="pl-PL"/>
        </w:rPr>
      </w:pPr>
      <w:r w:rsidRPr="00BD22FE">
        <w:rPr>
          <w:b/>
          <w:sz w:val="22"/>
          <w:szCs w:val="22"/>
          <w:lang w:val="pl-PL" w:bidi="bn-IN"/>
        </w:rPr>
        <w:t>6.</w:t>
      </w:r>
      <w:r w:rsidRPr="00BD22FE">
        <w:rPr>
          <w:b/>
          <w:sz w:val="22"/>
          <w:szCs w:val="22"/>
          <w:lang w:val="pl-PL" w:bidi="bn-IN"/>
        </w:rPr>
        <w:tab/>
        <w:t>Zawartość opakowania i inne informacje</w:t>
      </w:r>
    </w:p>
    <w:p w14:paraId="6AAEB81D" w14:textId="77777777" w:rsidR="00A610E1" w:rsidRPr="00BD22FE" w:rsidRDefault="00A610E1" w:rsidP="00A610E1">
      <w:pPr>
        <w:pStyle w:val="BodyText"/>
        <w:keepNext/>
        <w:spacing w:line="240" w:lineRule="auto"/>
        <w:jc w:val="left"/>
        <w:rPr>
          <w:sz w:val="22"/>
          <w:szCs w:val="22"/>
          <w:lang w:val="pl-PL"/>
        </w:rPr>
      </w:pPr>
    </w:p>
    <w:p w14:paraId="4BDA147D" w14:textId="77777777" w:rsidR="00A610E1" w:rsidRPr="00BD22FE" w:rsidRDefault="00A610E1" w:rsidP="00A610E1">
      <w:pPr>
        <w:pStyle w:val="BodyText"/>
        <w:keepNext/>
        <w:spacing w:line="240" w:lineRule="auto"/>
        <w:jc w:val="left"/>
        <w:rPr>
          <w:b/>
          <w:sz w:val="22"/>
          <w:szCs w:val="22"/>
          <w:lang w:val="pl-PL"/>
        </w:rPr>
      </w:pPr>
      <w:r w:rsidRPr="00BD22FE">
        <w:rPr>
          <w:b/>
          <w:sz w:val="22"/>
          <w:szCs w:val="22"/>
          <w:lang w:val="pl-PL"/>
        </w:rPr>
        <w:t>Co zawiera lek MicardisPlus</w:t>
      </w:r>
    </w:p>
    <w:p w14:paraId="4254F9E3" w14:textId="2361515C" w:rsidR="00A610E1" w:rsidRPr="00BD22FE" w:rsidRDefault="00A610E1" w:rsidP="00A610E1">
      <w:pPr>
        <w:keepNext/>
        <w:numPr>
          <w:ilvl w:val="0"/>
          <w:numId w:val="27"/>
        </w:numPr>
        <w:ind w:left="567" w:hanging="567"/>
        <w:rPr>
          <w:sz w:val="22"/>
          <w:szCs w:val="22"/>
          <w:lang w:val="pl-PL"/>
        </w:rPr>
      </w:pPr>
      <w:r w:rsidRPr="00BD22FE">
        <w:rPr>
          <w:sz w:val="22"/>
          <w:szCs w:val="22"/>
          <w:lang w:val="pl-PL"/>
        </w:rPr>
        <w:t>Substancjami czynnymi leku są telmisartan i hydrochlorotiazyd.</w:t>
      </w:r>
    </w:p>
    <w:p w14:paraId="51035866" w14:textId="77777777" w:rsidR="00A610E1" w:rsidRPr="00BD22FE" w:rsidRDefault="00A610E1" w:rsidP="00A610E1">
      <w:pPr>
        <w:keepNext/>
        <w:ind w:left="567"/>
        <w:rPr>
          <w:sz w:val="22"/>
          <w:szCs w:val="22"/>
          <w:lang w:val="pl-PL"/>
        </w:rPr>
      </w:pPr>
      <w:r w:rsidRPr="00BD22FE">
        <w:rPr>
          <w:sz w:val="22"/>
          <w:szCs w:val="22"/>
          <w:lang w:val="pl-PL"/>
        </w:rPr>
        <w:t>Każda tabletka zawiera 80 mg telmisartanu i 12,5 mg hydrochlorotiazydu.</w:t>
      </w:r>
    </w:p>
    <w:p w14:paraId="08632038" w14:textId="77777777" w:rsidR="00A610E1" w:rsidRPr="00BD22FE" w:rsidRDefault="00A610E1" w:rsidP="00A610E1">
      <w:pPr>
        <w:numPr>
          <w:ilvl w:val="0"/>
          <w:numId w:val="27"/>
        </w:numPr>
        <w:ind w:left="567" w:hanging="567"/>
        <w:rPr>
          <w:sz w:val="22"/>
          <w:szCs w:val="22"/>
          <w:lang w:val="pl-PL"/>
        </w:rPr>
      </w:pPr>
      <w:r w:rsidRPr="00BD22FE">
        <w:rPr>
          <w:sz w:val="22"/>
          <w:szCs w:val="22"/>
          <w:lang w:val="pl-PL"/>
        </w:rPr>
        <w:t>Pozostałe składniki to: laktoza jednowodna, stearynian magnezu, skrobia kukurydziana, meglumina, mikrokrystaliczna celuloza, powidon K25, czerwony tlenek żelaza (E172), wodorotlenek sodu, skrobi glikolan sodu (typ A), sorbitol (E420).</w:t>
      </w:r>
    </w:p>
    <w:p w14:paraId="76CB21DA" w14:textId="77777777" w:rsidR="00A610E1" w:rsidRPr="00BD22FE" w:rsidRDefault="00A610E1" w:rsidP="00A610E1">
      <w:pPr>
        <w:pStyle w:val="BodyText"/>
        <w:spacing w:line="240" w:lineRule="auto"/>
        <w:jc w:val="left"/>
        <w:rPr>
          <w:sz w:val="22"/>
          <w:szCs w:val="22"/>
          <w:lang w:val="pl-PL"/>
        </w:rPr>
      </w:pPr>
    </w:p>
    <w:p w14:paraId="69DE955D" w14:textId="77777777" w:rsidR="00A610E1" w:rsidRPr="00BD22FE" w:rsidRDefault="00A610E1" w:rsidP="00A610E1">
      <w:pPr>
        <w:pStyle w:val="BodyText"/>
        <w:keepNext/>
        <w:spacing w:line="240" w:lineRule="auto"/>
        <w:jc w:val="left"/>
        <w:rPr>
          <w:b/>
          <w:sz w:val="22"/>
          <w:szCs w:val="22"/>
          <w:lang w:val="pl-PL"/>
        </w:rPr>
      </w:pPr>
      <w:r w:rsidRPr="00BD22FE">
        <w:rPr>
          <w:b/>
          <w:sz w:val="22"/>
          <w:szCs w:val="22"/>
          <w:lang w:val="pl-PL"/>
        </w:rPr>
        <w:t>Jak wygląda lek MicardisPlus i co zawiera opakowanie</w:t>
      </w:r>
    </w:p>
    <w:p w14:paraId="17B70BFC" w14:textId="77777777" w:rsidR="00A610E1" w:rsidRPr="00BD22FE" w:rsidRDefault="00A610E1" w:rsidP="00A610E1">
      <w:pPr>
        <w:pStyle w:val="BodyText"/>
        <w:spacing w:line="240" w:lineRule="auto"/>
        <w:jc w:val="left"/>
        <w:rPr>
          <w:sz w:val="22"/>
          <w:szCs w:val="22"/>
          <w:lang w:val="pl-PL"/>
        </w:rPr>
      </w:pPr>
      <w:r w:rsidRPr="00BD22FE">
        <w:rPr>
          <w:sz w:val="22"/>
          <w:szCs w:val="22"/>
          <w:lang w:val="pl-PL"/>
        </w:rPr>
        <w:t>Lek MicardisPlus 80 mg/12,5 mg tabletki to czerwono-białe, podłużne tabletki dwuwarstwowe, z wytłoczonym logo i kodem „H8”.</w:t>
      </w:r>
    </w:p>
    <w:p w14:paraId="64537472" w14:textId="5D538821" w:rsidR="00A610E1" w:rsidRPr="00BD22FE" w:rsidRDefault="00A610E1" w:rsidP="00A610E1">
      <w:pPr>
        <w:pStyle w:val="BodyText"/>
        <w:spacing w:line="240" w:lineRule="auto"/>
        <w:jc w:val="left"/>
        <w:rPr>
          <w:sz w:val="22"/>
          <w:szCs w:val="22"/>
          <w:lang w:val="pl-PL"/>
        </w:rPr>
      </w:pPr>
      <w:r w:rsidRPr="00BD22FE">
        <w:rPr>
          <w:sz w:val="22"/>
          <w:szCs w:val="22"/>
          <w:lang w:val="pl-PL"/>
        </w:rPr>
        <w:t>Lek MicardisPlus jest dostępny w blistrach zawierających 14, 28, 56, 84 lub 98 tabletek, lub w blistrach podzielnych na dawki pojedyncze zawierających 28 </w:t>
      </w:r>
      <w:r w:rsidRPr="00BD22FE">
        <w:rPr>
          <w:sz w:val="22"/>
          <w:lang w:val="pl-PL"/>
        </w:rPr>
        <w:t>×</w:t>
      </w:r>
      <w:r w:rsidRPr="00BD22FE">
        <w:rPr>
          <w:sz w:val="22"/>
          <w:szCs w:val="22"/>
          <w:lang w:val="pl-PL"/>
        </w:rPr>
        <w:t> 1, 30 </w:t>
      </w:r>
      <w:r w:rsidRPr="00BD22FE">
        <w:rPr>
          <w:sz w:val="22"/>
          <w:lang w:val="pl-PL"/>
        </w:rPr>
        <w:t>×</w:t>
      </w:r>
      <w:r w:rsidRPr="00BD22FE">
        <w:rPr>
          <w:sz w:val="22"/>
          <w:szCs w:val="22"/>
          <w:lang w:val="pl-PL"/>
        </w:rPr>
        <w:t> 1 lub 90 </w:t>
      </w:r>
      <w:r w:rsidRPr="00BD22FE">
        <w:rPr>
          <w:sz w:val="22"/>
          <w:lang w:val="pl-PL"/>
        </w:rPr>
        <w:t>×</w:t>
      </w:r>
      <w:r w:rsidRPr="00BD22FE">
        <w:rPr>
          <w:sz w:val="22"/>
          <w:szCs w:val="22"/>
          <w:lang w:val="pl-PL"/>
        </w:rPr>
        <w:t> 1 tabletka.</w:t>
      </w:r>
    </w:p>
    <w:p w14:paraId="49B2A575" w14:textId="77777777" w:rsidR="00A610E1" w:rsidRPr="00BD22FE" w:rsidRDefault="00A610E1" w:rsidP="00A610E1">
      <w:pPr>
        <w:pStyle w:val="BodyText"/>
        <w:spacing w:line="240" w:lineRule="auto"/>
        <w:jc w:val="left"/>
        <w:rPr>
          <w:sz w:val="22"/>
          <w:szCs w:val="22"/>
          <w:lang w:val="pl-PL"/>
        </w:rPr>
      </w:pPr>
    </w:p>
    <w:p w14:paraId="658268D8" w14:textId="7FA91356" w:rsidR="00A610E1" w:rsidRPr="00BD22FE" w:rsidRDefault="00A610E1" w:rsidP="00A610E1">
      <w:pPr>
        <w:pStyle w:val="BodyText"/>
        <w:spacing w:line="240" w:lineRule="auto"/>
        <w:jc w:val="left"/>
        <w:rPr>
          <w:sz w:val="22"/>
          <w:szCs w:val="22"/>
          <w:lang w:val="pl-PL"/>
        </w:rPr>
      </w:pPr>
      <w:r w:rsidRPr="00BD22FE">
        <w:rPr>
          <w:sz w:val="22"/>
          <w:szCs w:val="22"/>
          <w:lang w:val="pl-PL"/>
        </w:rPr>
        <w:t>Nie wszystkie wielkości opakowań muszą być dostępne w danym kraju.</w:t>
      </w:r>
    </w:p>
    <w:p w14:paraId="56FD2386" w14:textId="77777777" w:rsidR="00A610E1" w:rsidRPr="00BD22FE" w:rsidRDefault="00A610E1" w:rsidP="00A610E1">
      <w:pPr>
        <w:pStyle w:val="BodyText"/>
        <w:spacing w:line="240" w:lineRule="auto"/>
        <w:jc w:val="left"/>
        <w:rPr>
          <w:sz w:val="22"/>
          <w:szCs w:val="22"/>
          <w:lang w:val="pl-PL"/>
        </w:rPr>
      </w:pPr>
    </w:p>
    <w:tbl>
      <w:tblPr>
        <w:tblW w:w="5000" w:type="pct"/>
        <w:tblLook w:val="01E0" w:firstRow="1" w:lastRow="1" w:firstColumn="1" w:lastColumn="1" w:noHBand="0" w:noVBand="0"/>
      </w:tblPr>
      <w:tblGrid>
        <w:gridCol w:w="4535"/>
        <w:gridCol w:w="4535"/>
      </w:tblGrid>
      <w:tr w:rsidR="00A610E1" w:rsidRPr="00BD22FE" w14:paraId="34943472" w14:textId="77777777" w:rsidTr="00A610E1">
        <w:tc>
          <w:tcPr>
            <w:tcW w:w="2500" w:type="pct"/>
          </w:tcPr>
          <w:p w14:paraId="4848AB96" w14:textId="77777777" w:rsidR="00A610E1" w:rsidRPr="00BD22FE" w:rsidRDefault="00A610E1" w:rsidP="00A610E1">
            <w:pPr>
              <w:pStyle w:val="BodyText"/>
              <w:keepNext/>
              <w:spacing w:line="240" w:lineRule="auto"/>
              <w:jc w:val="left"/>
              <w:rPr>
                <w:b/>
                <w:sz w:val="22"/>
                <w:szCs w:val="22"/>
                <w:lang w:val="pl-PL"/>
              </w:rPr>
            </w:pPr>
            <w:r w:rsidRPr="00BD22FE">
              <w:rPr>
                <w:b/>
                <w:sz w:val="22"/>
                <w:szCs w:val="22"/>
                <w:lang w:val="pl-PL"/>
              </w:rPr>
              <w:lastRenderedPageBreak/>
              <w:t>Podmiot odpowiedzialny</w:t>
            </w:r>
          </w:p>
        </w:tc>
        <w:tc>
          <w:tcPr>
            <w:tcW w:w="2500" w:type="pct"/>
          </w:tcPr>
          <w:p w14:paraId="26EB8684" w14:textId="77777777" w:rsidR="00A610E1" w:rsidRPr="00BD22FE" w:rsidRDefault="00A610E1" w:rsidP="00A610E1">
            <w:pPr>
              <w:pStyle w:val="BodyText"/>
              <w:keepNext/>
              <w:spacing w:line="240" w:lineRule="auto"/>
              <w:jc w:val="left"/>
              <w:rPr>
                <w:b/>
                <w:sz w:val="22"/>
                <w:szCs w:val="22"/>
                <w:lang w:val="pl-PL"/>
              </w:rPr>
            </w:pPr>
            <w:r w:rsidRPr="00BD22FE">
              <w:rPr>
                <w:b/>
                <w:sz w:val="22"/>
                <w:szCs w:val="22"/>
                <w:lang w:val="pl-PL"/>
              </w:rPr>
              <w:t>Wytwórca</w:t>
            </w:r>
          </w:p>
        </w:tc>
      </w:tr>
      <w:tr w:rsidR="00A610E1" w:rsidRPr="00C53640" w14:paraId="24D5E226" w14:textId="77777777" w:rsidTr="00A610E1">
        <w:tc>
          <w:tcPr>
            <w:tcW w:w="2500" w:type="pct"/>
          </w:tcPr>
          <w:p w14:paraId="34ACBF9F" w14:textId="77777777" w:rsidR="00A610E1" w:rsidRPr="009D16CE" w:rsidRDefault="00A610E1" w:rsidP="00A610E1">
            <w:pPr>
              <w:pStyle w:val="BodyText"/>
              <w:keepNext/>
              <w:spacing w:line="240" w:lineRule="auto"/>
              <w:jc w:val="left"/>
              <w:rPr>
                <w:sz w:val="22"/>
                <w:szCs w:val="22"/>
                <w:lang w:val="de-DE"/>
              </w:rPr>
            </w:pPr>
            <w:r w:rsidRPr="009D16CE">
              <w:rPr>
                <w:sz w:val="22"/>
                <w:szCs w:val="22"/>
                <w:lang w:val="de-DE"/>
              </w:rPr>
              <w:t>Boehringer Ingelheim International GmbH</w:t>
            </w:r>
          </w:p>
          <w:p w14:paraId="6240182B" w14:textId="77777777" w:rsidR="00A610E1" w:rsidRPr="009D16CE" w:rsidRDefault="00A610E1" w:rsidP="00A610E1">
            <w:pPr>
              <w:pStyle w:val="BodyText"/>
              <w:keepNext/>
              <w:spacing w:line="240" w:lineRule="auto"/>
              <w:jc w:val="left"/>
              <w:rPr>
                <w:sz w:val="22"/>
                <w:szCs w:val="22"/>
                <w:lang w:val="de-DE"/>
              </w:rPr>
            </w:pPr>
            <w:r w:rsidRPr="009D16CE">
              <w:rPr>
                <w:sz w:val="22"/>
                <w:szCs w:val="22"/>
                <w:lang w:val="de-DE"/>
              </w:rPr>
              <w:t>Binger Str. 173</w:t>
            </w:r>
          </w:p>
          <w:p w14:paraId="4FEC088E" w14:textId="77777777" w:rsidR="00A610E1" w:rsidRPr="00C53640" w:rsidRDefault="00A610E1" w:rsidP="00A610E1">
            <w:pPr>
              <w:pStyle w:val="BodyText"/>
              <w:keepNext/>
              <w:spacing w:line="240" w:lineRule="auto"/>
              <w:jc w:val="left"/>
              <w:rPr>
                <w:sz w:val="22"/>
                <w:szCs w:val="22"/>
                <w:lang w:val="de-DE"/>
              </w:rPr>
            </w:pPr>
            <w:r w:rsidRPr="00C53640">
              <w:rPr>
                <w:sz w:val="22"/>
                <w:szCs w:val="22"/>
                <w:lang w:val="de-DE"/>
              </w:rPr>
              <w:t>55216 Ingelheim am Rhein</w:t>
            </w:r>
          </w:p>
          <w:p w14:paraId="2D110EBF" w14:textId="77777777" w:rsidR="00A610E1" w:rsidRPr="00BD22FE" w:rsidRDefault="00A610E1" w:rsidP="00A610E1">
            <w:pPr>
              <w:pStyle w:val="BodyText"/>
              <w:keepNext/>
              <w:spacing w:line="240" w:lineRule="auto"/>
              <w:jc w:val="left"/>
              <w:rPr>
                <w:sz w:val="22"/>
                <w:szCs w:val="22"/>
                <w:lang w:val="pl-PL"/>
              </w:rPr>
            </w:pPr>
            <w:r w:rsidRPr="00BD22FE">
              <w:rPr>
                <w:sz w:val="22"/>
                <w:szCs w:val="22"/>
                <w:lang w:val="pl-PL"/>
              </w:rPr>
              <w:t>Niemcy</w:t>
            </w:r>
          </w:p>
          <w:p w14:paraId="026F8317" w14:textId="77777777" w:rsidR="00A610E1" w:rsidRPr="00BD22FE" w:rsidRDefault="00A610E1" w:rsidP="00A610E1">
            <w:pPr>
              <w:pStyle w:val="BodyText"/>
              <w:keepNext/>
              <w:spacing w:line="240" w:lineRule="auto"/>
              <w:jc w:val="left"/>
              <w:rPr>
                <w:sz w:val="22"/>
                <w:szCs w:val="22"/>
                <w:lang w:val="pl-PL"/>
              </w:rPr>
            </w:pPr>
          </w:p>
        </w:tc>
        <w:tc>
          <w:tcPr>
            <w:tcW w:w="2500" w:type="pct"/>
          </w:tcPr>
          <w:p w14:paraId="048C3F8C" w14:textId="77777777" w:rsidR="00A610E1" w:rsidRPr="00DE4C52" w:rsidRDefault="00A610E1" w:rsidP="00A610E1">
            <w:pPr>
              <w:pStyle w:val="Default"/>
              <w:keepNext/>
              <w:rPr>
                <w:color w:val="auto"/>
                <w:sz w:val="22"/>
                <w:szCs w:val="22"/>
                <w:lang w:val="en-US"/>
              </w:rPr>
            </w:pPr>
            <w:r w:rsidRPr="00DE4C52">
              <w:rPr>
                <w:color w:val="auto"/>
                <w:sz w:val="22"/>
                <w:szCs w:val="22"/>
                <w:lang w:val="en-US"/>
              </w:rPr>
              <w:t>Boehringer Ingelheim Hellas Single Member S.A.</w:t>
            </w:r>
          </w:p>
          <w:p w14:paraId="136EA113" w14:textId="77777777" w:rsidR="00A610E1" w:rsidRPr="00DE4C52" w:rsidRDefault="00A610E1" w:rsidP="00A610E1">
            <w:pPr>
              <w:pStyle w:val="Default"/>
              <w:keepNext/>
              <w:rPr>
                <w:color w:val="auto"/>
                <w:sz w:val="22"/>
                <w:szCs w:val="22"/>
                <w:lang w:val="en-US"/>
              </w:rPr>
            </w:pPr>
            <w:r w:rsidRPr="00DE4C52">
              <w:rPr>
                <w:color w:val="auto"/>
                <w:sz w:val="22"/>
                <w:szCs w:val="22"/>
                <w:lang w:val="en-US"/>
              </w:rPr>
              <w:t>5th km Paiania – Markopoulo</w:t>
            </w:r>
          </w:p>
          <w:p w14:paraId="16261DC1" w14:textId="77777777" w:rsidR="00A610E1" w:rsidRPr="00BD22FE" w:rsidRDefault="00A610E1" w:rsidP="00A610E1">
            <w:pPr>
              <w:pStyle w:val="Default"/>
              <w:keepNext/>
              <w:rPr>
                <w:color w:val="auto"/>
                <w:sz w:val="22"/>
                <w:szCs w:val="22"/>
                <w:lang w:val="pl-PL"/>
              </w:rPr>
            </w:pPr>
            <w:r w:rsidRPr="00BD22FE">
              <w:rPr>
                <w:color w:val="auto"/>
                <w:sz w:val="22"/>
                <w:szCs w:val="22"/>
                <w:lang w:val="pl-PL"/>
              </w:rPr>
              <w:t>Koropi Attiki, 19441</w:t>
            </w:r>
          </w:p>
          <w:p w14:paraId="4F5020C2" w14:textId="77777777" w:rsidR="00A610E1" w:rsidRPr="009D16CE" w:rsidRDefault="00A610E1" w:rsidP="00A610E1">
            <w:pPr>
              <w:pStyle w:val="BodyText"/>
              <w:keepNext/>
              <w:spacing w:line="240" w:lineRule="auto"/>
              <w:jc w:val="left"/>
              <w:rPr>
                <w:sz w:val="22"/>
                <w:szCs w:val="22"/>
                <w:lang w:val="pl-PL"/>
              </w:rPr>
            </w:pPr>
            <w:r w:rsidRPr="009D16CE">
              <w:rPr>
                <w:sz w:val="22"/>
                <w:szCs w:val="22"/>
                <w:lang w:val="pl-PL"/>
              </w:rPr>
              <w:t>Grecja</w:t>
            </w:r>
          </w:p>
          <w:p w14:paraId="5005980B" w14:textId="77777777" w:rsidR="00A610E1" w:rsidRPr="009D16CE" w:rsidRDefault="00A610E1" w:rsidP="00A610E1">
            <w:pPr>
              <w:pStyle w:val="BodyText"/>
              <w:keepNext/>
              <w:spacing w:line="240" w:lineRule="auto"/>
              <w:jc w:val="left"/>
              <w:rPr>
                <w:sz w:val="22"/>
                <w:szCs w:val="22"/>
                <w:lang w:val="pl-PL"/>
              </w:rPr>
            </w:pPr>
          </w:p>
          <w:p w14:paraId="01A6ACD3" w14:textId="77777777" w:rsidR="00A610E1" w:rsidRPr="009D16CE" w:rsidRDefault="00A610E1" w:rsidP="00A610E1">
            <w:pPr>
              <w:pStyle w:val="BodyText"/>
              <w:keepNext/>
              <w:spacing w:line="240" w:lineRule="auto"/>
              <w:jc w:val="left"/>
              <w:rPr>
                <w:sz w:val="22"/>
                <w:szCs w:val="22"/>
                <w:lang w:val="pl-PL"/>
              </w:rPr>
            </w:pPr>
            <w:r w:rsidRPr="009D16CE">
              <w:rPr>
                <w:sz w:val="22"/>
                <w:szCs w:val="22"/>
                <w:lang w:val="pl-PL"/>
              </w:rPr>
              <w:t>i</w:t>
            </w:r>
          </w:p>
          <w:p w14:paraId="7240D16C" w14:textId="77777777" w:rsidR="00A610E1" w:rsidRPr="009D16CE" w:rsidRDefault="00A610E1" w:rsidP="00A610E1">
            <w:pPr>
              <w:pStyle w:val="BodyText"/>
              <w:keepNext/>
              <w:spacing w:line="240" w:lineRule="auto"/>
              <w:rPr>
                <w:sz w:val="22"/>
                <w:szCs w:val="22"/>
                <w:lang w:val="pl-PL"/>
              </w:rPr>
            </w:pPr>
          </w:p>
          <w:p w14:paraId="3BAF13F9" w14:textId="77777777" w:rsidR="00A610E1" w:rsidRPr="009D16CE" w:rsidRDefault="00A610E1" w:rsidP="00A610E1">
            <w:pPr>
              <w:pStyle w:val="BodyText"/>
              <w:keepNext/>
              <w:spacing w:line="240" w:lineRule="auto"/>
              <w:rPr>
                <w:sz w:val="22"/>
                <w:szCs w:val="22"/>
                <w:lang w:val="pl-PL"/>
              </w:rPr>
            </w:pPr>
            <w:r w:rsidRPr="009D16CE">
              <w:rPr>
                <w:sz w:val="22"/>
                <w:szCs w:val="22"/>
                <w:lang w:val="pl-PL"/>
              </w:rPr>
              <w:t>Rottendorf Pharma GmbH</w:t>
            </w:r>
          </w:p>
          <w:p w14:paraId="469E0083" w14:textId="77777777" w:rsidR="00A610E1" w:rsidRPr="00DE4C52" w:rsidRDefault="00A610E1" w:rsidP="00A610E1">
            <w:pPr>
              <w:pStyle w:val="BodyText"/>
              <w:keepNext/>
              <w:spacing w:line="240" w:lineRule="auto"/>
              <w:rPr>
                <w:sz w:val="22"/>
                <w:szCs w:val="22"/>
                <w:lang w:val="de-DE"/>
              </w:rPr>
            </w:pPr>
            <w:r w:rsidRPr="00DE4C52">
              <w:rPr>
                <w:sz w:val="22"/>
                <w:szCs w:val="22"/>
                <w:lang w:val="de-DE"/>
              </w:rPr>
              <w:t>Ostenfelder Strasse 51 - 61</w:t>
            </w:r>
          </w:p>
          <w:p w14:paraId="36867F40" w14:textId="77777777" w:rsidR="00A610E1" w:rsidRPr="00DE4C52" w:rsidRDefault="00A610E1" w:rsidP="00A610E1">
            <w:pPr>
              <w:pStyle w:val="BodyText"/>
              <w:keepNext/>
              <w:spacing w:line="240" w:lineRule="auto"/>
              <w:rPr>
                <w:sz w:val="22"/>
                <w:szCs w:val="22"/>
                <w:lang w:val="de-DE"/>
              </w:rPr>
            </w:pPr>
            <w:r w:rsidRPr="00DE4C52">
              <w:rPr>
                <w:sz w:val="22"/>
                <w:szCs w:val="22"/>
                <w:lang w:val="de-DE"/>
              </w:rPr>
              <w:t>59320 Ennigerloh</w:t>
            </w:r>
          </w:p>
          <w:p w14:paraId="60CC9609" w14:textId="77777777" w:rsidR="00A610E1" w:rsidRPr="00DE4C52" w:rsidRDefault="00A610E1" w:rsidP="00A610E1">
            <w:pPr>
              <w:pStyle w:val="BodyText"/>
              <w:keepNext/>
              <w:spacing w:line="240" w:lineRule="auto"/>
              <w:jc w:val="left"/>
              <w:rPr>
                <w:sz w:val="22"/>
                <w:szCs w:val="22"/>
                <w:lang w:val="de-DE"/>
              </w:rPr>
            </w:pPr>
            <w:r w:rsidRPr="00DE4C52">
              <w:rPr>
                <w:sz w:val="22"/>
                <w:szCs w:val="22"/>
                <w:lang w:val="de-DE"/>
              </w:rPr>
              <w:t>Niemcy</w:t>
            </w:r>
          </w:p>
          <w:p w14:paraId="23A4C4AB" w14:textId="77777777" w:rsidR="00A610E1" w:rsidRPr="00DE4C52" w:rsidRDefault="00A610E1" w:rsidP="00A610E1">
            <w:pPr>
              <w:pStyle w:val="BodyText"/>
              <w:keepNext/>
              <w:spacing w:line="240" w:lineRule="auto"/>
              <w:jc w:val="left"/>
              <w:rPr>
                <w:sz w:val="22"/>
                <w:szCs w:val="22"/>
                <w:lang w:val="de-DE"/>
              </w:rPr>
            </w:pPr>
          </w:p>
          <w:p w14:paraId="03198F18" w14:textId="77777777" w:rsidR="00A610E1" w:rsidRPr="00DE4C52" w:rsidRDefault="00A610E1" w:rsidP="00A610E1">
            <w:pPr>
              <w:pStyle w:val="BodyText"/>
              <w:keepNext/>
              <w:spacing w:line="240" w:lineRule="auto"/>
              <w:jc w:val="left"/>
              <w:rPr>
                <w:sz w:val="22"/>
                <w:szCs w:val="22"/>
                <w:lang w:val="de-DE"/>
              </w:rPr>
            </w:pPr>
            <w:r w:rsidRPr="00DE4C52">
              <w:rPr>
                <w:sz w:val="22"/>
                <w:szCs w:val="22"/>
                <w:lang w:val="de-DE"/>
              </w:rPr>
              <w:t>i</w:t>
            </w:r>
          </w:p>
          <w:p w14:paraId="06933D53" w14:textId="77777777" w:rsidR="00A610E1" w:rsidRPr="00DE4C52" w:rsidRDefault="00A610E1" w:rsidP="00A610E1">
            <w:pPr>
              <w:pStyle w:val="BodyText"/>
              <w:keepNext/>
              <w:spacing w:line="240" w:lineRule="auto"/>
              <w:jc w:val="left"/>
              <w:rPr>
                <w:sz w:val="22"/>
                <w:szCs w:val="22"/>
                <w:lang w:val="de-DE"/>
              </w:rPr>
            </w:pPr>
          </w:p>
          <w:p w14:paraId="59A45612" w14:textId="77777777" w:rsidR="00A610E1" w:rsidRPr="00DE4C52" w:rsidRDefault="00A610E1" w:rsidP="00A610E1">
            <w:pPr>
              <w:keepNext/>
              <w:autoSpaceDE w:val="0"/>
              <w:autoSpaceDN w:val="0"/>
              <w:rPr>
                <w:rFonts w:eastAsia="PMingLiU"/>
                <w:iCs/>
                <w:sz w:val="22"/>
                <w:szCs w:val="22"/>
                <w:lang w:val="de-DE"/>
              </w:rPr>
            </w:pPr>
            <w:r w:rsidRPr="00DE4C52">
              <w:rPr>
                <w:rFonts w:eastAsia="PMingLiU"/>
                <w:iCs/>
                <w:sz w:val="22"/>
                <w:szCs w:val="22"/>
                <w:lang w:val="de-DE"/>
              </w:rPr>
              <w:t>Boehringer Ingelheim France</w:t>
            </w:r>
          </w:p>
          <w:p w14:paraId="1086D4DD" w14:textId="77777777" w:rsidR="00A610E1" w:rsidRPr="00C53640" w:rsidRDefault="00A610E1" w:rsidP="00A610E1">
            <w:pPr>
              <w:keepNext/>
              <w:autoSpaceDE w:val="0"/>
              <w:autoSpaceDN w:val="0"/>
              <w:rPr>
                <w:rFonts w:eastAsia="PMingLiU"/>
                <w:iCs/>
                <w:sz w:val="22"/>
                <w:szCs w:val="22"/>
                <w:lang w:val="fr-FR"/>
              </w:rPr>
            </w:pPr>
            <w:r w:rsidRPr="00C53640">
              <w:rPr>
                <w:rFonts w:eastAsia="PMingLiU"/>
                <w:iCs/>
                <w:sz w:val="22"/>
                <w:szCs w:val="22"/>
                <w:lang w:val="fr-FR"/>
              </w:rPr>
              <w:t>100</w:t>
            </w:r>
            <w:r w:rsidRPr="00C53640">
              <w:rPr>
                <w:rFonts w:eastAsia="PMingLiU"/>
                <w:iCs/>
                <w:sz w:val="22"/>
                <w:szCs w:val="22"/>
                <w:lang w:val="fr-FR"/>
              </w:rPr>
              <w:noBreakHyphen/>
              <w:t>104 Avenue de France</w:t>
            </w:r>
          </w:p>
          <w:p w14:paraId="1FA0CECB" w14:textId="77777777" w:rsidR="00A610E1" w:rsidRPr="00C53640" w:rsidRDefault="00A610E1" w:rsidP="00A610E1">
            <w:pPr>
              <w:keepNext/>
              <w:autoSpaceDE w:val="0"/>
              <w:autoSpaceDN w:val="0"/>
              <w:rPr>
                <w:rFonts w:eastAsia="PMingLiU"/>
                <w:iCs/>
                <w:sz w:val="22"/>
                <w:szCs w:val="22"/>
                <w:lang w:val="fr-FR"/>
              </w:rPr>
            </w:pPr>
            <w:r w:rsidRPr="00C53640">
              <w:rPr>
                <w:rFonts w:eastAsia="PMingLiU"/>
                <w:iCs/>
                <w:sz w:val="22"/>
                <w:szCs w:val="22"/>
                <w:lang w:val="fr-FR"/>
              </w:rPr>
              <w:t xml:space="preserve">75013 </w:t>
            </w:r>
            <w:proofErr w:type="spellStart"/>
            <w:r w:rsidRPr="00C53640">
              <w:rPr>
                <w:rFonts w:eastAsia="PMingLiU"/>
                <w:iCs/>
                <w:sz w:val="22"/>
                <w:szCs w:val="22"/>
                <w:lang w:val="fr-FR"/>
              </w:rPr>
              <w:t>Paryż</w:t>
            </w:r>
            <w:proofErr w:type="spellEnd"/>
          </w:p>
          <w:p w14:paraId="772A1789" w14:textId="77777777" w:rsidR="00A610E1" w:rsidRPr="00C53640" w:rsidRDefault="00A610E1" w:rsidP="00A610E1">
            <w:pPr>
              <w:pStyle w:val="BodyText"/>
              <w:keepNext/>
              <w:spacing w:line="240" w:lineRule="auto"/>
              <w:jc w:val="left"/>
              <w:rPr>
                <w:sz w:val="22"/>
                <w:szCs w:val="22"/>
                <w:lang w:val="fr-FR"/>
              </w:rPr>
            </w:pPr>
            <w:proofErr w:type="spellStart"/>
            <w:r w:rsidRPr="00C53640">
              <w:rPr>
                <w:rFonts w:eastAsia="PMingLiU"/>
                <w:iCs/>
                <w:sz w:val="22"/>
                <w:szCs w:val="22"/>
                <w:lang w:val="fr-FR"/>
              </w:rPr>
              <w:t>Francja</w:t>
            </w:r>
            <w:proofErr w:type="spellEnd"/>
          </w:p>
        </w:tc>
      </w:tr>
    </w:tbl>
    <w:p w14:paraId="3C519D8D" w14:textId="77777777" w:rsidR="00A610E1" w:rsidRPr="00C53640" w:rsidRDefault="00A610E1" w:rsidP="00A610E1">
      <w:pPr>
        <w:pStyle w:val="BodyText"/>
        <w:spacing w:line="240" w:lineRule="auto"/>
        <w:jc w:val="left"/>
        <w:rPr>
          <w:sz w:val="22"/>
          <w:szCs w:val="22"/>
          <w:lang w:val="fr-FR"/>
        </w:rPr>
      </w:pPr>
    </w:p>
    <w:p w14:paraId="22160A95" w14:textId="77777777" w:rsidR="00A610E1" w:rsidRPr="00C53640" w:rsidRDefault="00A610E1" w:rsidP="00A610E1">
      <w:pPr>
        <w:pStyle w:val="BodyText"/>
        <w:spacing w:line="240" w:lineRule="auto"/>
        <w:jc w:val="left"/>
        <w:rPr>
          <w:sz w:val="22"/>
          <w:szCs w:val="22"/>
          <w:lang w:val="fr-FR"/>
        </w:rPr>
      </w:pPr>
      <w:r w:rsidRPr="00C53640">
        <w:rPr>
          <w:sz w:val="22"/>
          <w:szCs w:val="22"/>
          <w:lang w:val="fr-FR"/>
        </w:rPr>
        <w:br w:type="page"/>
      </w:r>
    </w:p>
    <w:p w14:paraId="42A0C03C" w14:textId="77777777" w:rsidR="00A610E1" w:rsidRPr="00BD22FE" w:rsidRDefault="00A610E1" w:rsidP="00A610E1">
      <w:pPr>
        <w:pStyle w:val="BodyText"/>
        <w:spacing w:line="240" w:lineRule="auto"/>
        <w:jc w:val="left"/>
        <w:rPr>
          <w:sz w:val="22"/>
          <w:szCs w:val="22"/>
          <w:lang w:val="pl-PL"/>
        </w:rPr>
      </w:pPr>
      <w:r w:rsidRPr="00BD22FE">
        <w:rPr>
          <w:sz w:val="22"/>
          <w:szCs w:val="22"/>
          <w:lang w:val="pl-PL"/>
        </w:rPr>
        <w:lastRenderedPageBreak/>
        <w:t>W celu uzyskania bardziej szczegółowych informacji dotyczących tego leku należy zwrócić się do miejscowego przedstawiciela podmiotu odpowiedzialnego:</w:t>
      </w:r>
    </w:p>
    <w:p w14:paraId="2BFB89ED" w14:textId="77777777" w:rsidR="00A610E1" w:rsidRPr="00BD22FE" w:rsidRDefault="00A610E1" w:rsidP="00A610E1">
      <w:pPr>
        <w:pStyle w:val="BodyText"/>
        <w:spacing w:line="240" w:lineRule="auto"/>
        <w:jc w:val="left"/>
        <w:rPr>
          <w:sz w:val="22"/>
          <w:szCs w:val="22"/>
          <w:lang w:val="pl-PL"/>
        </w:rPr>
      </w:pPr>
    </w:p>
    <w:tbl>
      <w:tblPr>
        <w:tblW w:w="5000" w:type="pct"/>
        <w:tblLook w:val="0000" w:firstRow="0" w:lastRow="0" w:firstColumn="0" w:lastColumn="0" w:noHBand="0" w:noVBand="0"/>
      </w:tblPr>
      <w:tblGrid>
        <w:gridCol w:w="4535"/>
        <w:gridCol w:w="4535"/>
      </w:tblGrid>
      <w:tr w:rsidR="00A610E1" w:rsidRPr="00BD22FE" w14:paraId="55FCAF3B" w14:textId="77777777" w:rsidTr="00A610E1">
        <w:tc>
          <w:tcPr>
            <w:tcW w:w="2500" w:type="pct"/>
          </w:tcPr>
          <w:p w14:paraId="6BE7118D" w14:textId="77777777" w:rsidR="00A610E1" w:rsidRPr="009D16CE" w:rsidRDefault="00A610E1" w:rsidP="00A610E1">
            <w:pPr>
              <w:pStyle w:val="BodyText"/>
              <w:spacing w:line="240" w:lineRule="auto"/>
              <w:jc w:val="left"/>
              <w:rPr>
                <w:b/>
                <w:sz w:val="22"/>
                <w:szCs w:val="22"/>
                <w:lang w:val="de-DE"/>
              </w:rPr>
            </w:pPr>
            <w:r w:rsidRPr="009D16CE">
              <w:rPr>
                <w:b/>
                <w:bCs/>
                <w:sz w:val="22"/>
                <w:szCs w:val="22"/>
                <w:lang w:val="de-DE"/>
              </w:rPr>
              <w:t>België/Belgique/Belgien</w:t>
            </w:r>
          </w:p>
          <w:p w14:paraId="1A9940DE" w14:textId="77777777" w:rsidR="00A610E1" w:rsidRPr="009D16CE" w:rsidRDefault="00A610E1" w:rsidP="00A610E1">
            <w:pPr>
              <w:pStyle w:val="BodyText"/>
              <w:spacing w:line="240" w:lineRule="auto"/>
              <w:jc w:val="left"/>
              <w:rPr>
                <w:sz w:val="22"/>
                <w:szCs w:val="22"/>
                <w:lang w:val="de-DE" w:eastAsia="ja-JP"/>
              </w:rPr>
            </w:pPr>
            <w:r w:rsidRPr="009D16CE">
              <w:rPr>
                <w:rFonts w:eastAsia="MS Mincho"/>
                <w:sz w:val="22"/>
                <w:szCs w:val="22"/>
                <w:lang w:val="de-DE" w:eastAsia="ja-JP"/>
              </w:rPr>
              <w:t>Boehringer Ingelheim SComm</w:t>
            </w:r>
          </w:p>
          <w:p w14:paraId="045A34D5" w14:textId="77777777" w:rsidR="00A610E1" w:rsidRPr="00BD22FE" w:rsidRDefault="00A610E1" w:rsidP="00A610E1">
            <w:pPr>
              <w:pStyle w:val="BodyText"/>
              <w:spacing w:line="240" w:lineRule="auto"/>
              <w:jc w:val="left"/>
              <w:rPr>
                <w:sz w:val="22"/>
                <w:szCs w:val="22"/>
                <w:lang w:val="pl-PL" w:eastAsia="ja-JP"/>
              </w:rPr>
            </w:pPr>
            <w:r w:rsidRPr="00BD22FE">
              <w:rPr>
                <w:sz w:val="22"/>
                <w:szCs w:val="22"/>
                <w:lang w:val="pl-PL" w:eastAsia="ja-JP"/>
              </w:rPr>
              <w:t>Tél/Tel: +32 2 773 33 11</w:t>
            </w:r>
          </w:p>
          <w:p w14:paraId="13A97AFD" w14:textId="77777777" w:rsidR="00A610E1" w:rsidRPr="00BD22FE" w:rsidRDefault="00A610E1" w:rsidP="00A610E1">
            <w:pPr>
              <w:pStyle w:val="BodyText"/>
              <w:spacing w:line="240" w:lineRule="auto"/>
              <w:jc w:val="left"/>
              <w:rPr>
                <w:sz w:val="22"/>
                <w:szCs w:val="22"/>
                <w:lang w:val="pl-PL"/>
              </w:rPr>
            </w:pPr>
          </w:p>
        </w:tc>
        <w:tc>
          <w:tcPr>
            <w:tcW w:w="2500" w:type="pct"/>
          </w:tcPr>
          <w:p w14:paraId="67E00ACF" w14:textId="77777777" w:rsidR="00A610E1" w:rsidRPr="00DE4C52" w:rsidRDefault="00A610E1" w:rsidP="00A610E1">
            <w:pPr>
              <w:rPr>
                <w:sz w:val="22"/>
                <w:szCs w:val="22"/>
                <w:lang w:val="de-DE"/>
              </w:rPr>
            </w:pPr>
            <w:r w:rsidRPr="00DE4C52">
              <w:rPr>
                <w:b/>
                <w:bCs/>
                <w:sz w:val="22"/>
                <w:szCs w:val="22"/>
                <w:lang w:val="de-DE"/>
              </w:rPr>
              <w:t>Lietuva</w:t>
            </w:r>
          </w:p>
          <w:p w14:paraId="190B8B4E" w14:textId="77777777" w:rsidR="00A610E1" w:rsidRPr="00DE4C52" w:rsidRDefault="00A610E1" w:rsidP="00A610E1">
            <w:pPr>
              <w:rPr>
                <w:sz w:val="22"/>
                <w:szCs w:val="22"/>
                <w:lang w:val="de-DE" w:eastAsia="ja-JP"/>
              </w:rPr>
            </w:pPr>
            <w:r w:rsidRPr="00DE4C52">
              <w:rPr>
                <w:sz w:val="22"/>
                <w:szCs w:val="22"/>
                <w:lang w:val="de-DE" w:eastAsia="ja-JP"/>
              </w:rPr>
              <w:t>Boehringer Ingelheim RCV GmbH &amp; Co KG</w:t>
            </w:r>
          </w:p>
          <w:p w14:paraId="6AEBFC96" w14:textId="77777777" w:rsidR="00A610E1" w:rsidRPr="00BD22FE" w:rsidRDefault="00A610E1" w:rsidP="00A610E1">
            <w:pPr>
              <w:rPr>
                <w:sz w:val="22"/>
                <w:szCs w:val="22"/>
                <w:lang w:val="pl-PL" w:eastAsia="ja-JP"/>
              </w:rPr>
            </w:pPr>
            <w:r w:rsidRPr="00BD22FE">
              <w:rPr>
                <w:sz w:val="22"/>
                <w:szCs w:val="22"/>
                <w:lang w:val="pl-PL" w:eastAsia="ja-JP"/>
              </w:rPr>
              <w:t>Lietuvos filialas</w:t>
            </w:r>
          </w:p>
          <w:p w14:paraId="7A45EABE" w14:textId="77777777" w:rsidR="00A610E1" w:rsidRPr="00BD22FE" w:rsidRDefault="00A610E1" w:rsidP="00A610E1">
            <w:pPr>
              <w:rPr>
                <w:sz w:val="22"/>
                <w:szCs w:val="22"/>
                <w:lang w:val="pl-PL"/>
              </w:rPr>
            </w:pPr>
            <w:r w:rsidRPr="00BD22FE">
              <w:rPr>
                <w:sz w:val="22"/>
                <w:szCs w:val="22"/>
                <w:lang w:val="pl-PL" w:eastAsia="ja-JP"/>
              </w:rPr>
              <w:t>Tel.: +370 5 2595942</w:t>
            </w:r>
          </w:p>
          <w:p w14:paraId="674B7CB9" w14:textId="77777777" w:rsidR="00A610E1" w:rsidRPr="00BD22FE" w:rsidRDefault="00A610E1" w:rsidP="00A610E1">
            <w:pPr>
              <w:pStyle w:val="BodyText"/>
              <w:spacing w:line="240" w:lineRule="auto"/>
              <w:jc w:val="left"/>
              <w:rPr>
                <w:sz w:val="22"/>
                <w:szCs w:val="22"/>
                <w:lang w:val="pl-PL"/>
              </w:rPr>
            </w:pPr>
          </w:p>
        </w:tc>
      </w:tr>
      <w:tr w:rsidR="00A610E1" w:rsidRPr="00DE4C52" w14:paraId="34DFA43A" w14:textId="77777777" w:rsidTr="00A610E1">
        <w:tc>
          <w:tcPr>
            <w:tcW w:w="2500" w:type="pct"/>
          </w:tcPr>
          <w:p w14:paraId="59DB4518" w14:textId="77777777" w:rsidR="00A610E1" w:rsidRPr="00166B77" w:rsidRDefault="00A610E1" w:rsidP="00A610E1">
            <w:pPr>
              <w:autoSpaceDE w:val="0"/>
              <w:autoSpaceDN w:val="0"/>
              <w:adjustRightInd w:val="0"/>
              <w:rPr>
                <w:b/>
                <w:bCs/>
                <w:sz w:val="22"/>
                <w:szCs w:val="22"/>
              </w:rPr>
            </w:pPr>
            <w:r w:rsidRPr="00BD22FE">
              <w:rPr>
                <w:b/>
                <w:bCs/>
                <w:sz w:val="22"/>
                <w:szCs w:val="22"/>
                <w:lang w:val="pl-PL"/>
              </w:rPr>
              <w:t>България</w:t>
            </w:r>
          </w:p>
          <w:p w14:paraId="4BF6A1AE" w14:textId="77777777" w:rsidR="00A610E1" w:rsidRPr="00BD22FE" w:rsidRDefault="00A610E1" w:rsidP="00A610E1">
            <w:pPr>
              <w:rPr>
                <w:sz w:val="22"/>
                <w:szCs w:val="22"/>
                <w:lang w:val="pl-PL"/>
              </w:rPr>
            </w:pPr>
            <w:r w:rsidRPr="00BD22FE">
              <w:rPr>
                <w:rFonts w:eastAsia="MS Mincho"/>
                <w:sz w:val="22"/>
                <w:szCs w:val="22"/>
                <w:lang w:val="pl-PL" w:eastAsia="ja-JP"/>
              </w:rPr>
              <w:t>Бьорингер</w:t>
            </w:r>
            <w:r w:rsidRPr="00166B77">
              <w:rPr>
                <w:rFonts w:eastAsia="MS Mincho"/>
                <w:sz w:val="22"/>
                <w:szCs w:val="22"/>
                <w:lang w:eastAsia="ja-JP"/>
              </w:rPr>
              <w:t xml:space="preserve"> </w:t>
            </w:r>
            <w:r w:rsidRPr="00BD22FE">
              <w:rPr>
                <w:rFonts w:eastAsia="MS Mincho"/>
                <w:sz w:val="22"/>
                <w:szCs w:val="22"/>
                <w:lang w:val="pl-PL" w:eastAsia="ja-JP"/>
              </w:rPr>
              <w:t>Ингелхайм</w:t>
            </w:r>
            <w:r w:rsidRPr="00166B77">
              <w:rPr>
                <w:rFonts w:eastAsia="MS Mincho"/>
                <w:sz w:val="22"/>
                <w:szCs w:val="22"/>
                <w:lang w:eastAsia="ja-JP"/>
              </w:rPr>
              <w:t xml:space="preserve"> </w:t>
            </w:r>
            <w:r w:rsidRPr="00BD22FE">
              <w:rPr>
                <w:rFonts w:eastAsia="MS Mincho"/>
                <w:sz w:val="22"/>
                <w:szCs w:val="22"/>
                <w:lang w:val="pl-PL" w:eastAsia="ja-JP"/>
              </w:rPr>
              <w:t>РЦВ</w:t>
            </w:r>
            <w:r w:rsidRPr="00166B77">
              <w:rPr>
                <w:rFonts w:eastAsia="MS Mincho"/>
                <w:sz w:val="22"/>
                <w:szCs w:val="22"/>
                <w:lang w:eastAsia="ja-JP"/>
              </w:rPr>
              <w:t xml:space="preserve"> </w:t>
            </w:r>
            <w:r w:rsidRPr="00BD22FE">
              <w:rPr>
                <w:rFonts w:eastAsia="MS Mincho"/>
                <w:sz w:val="22"/>
                <w:szCs w:val="22"/>
                <w:lang w:val="pl-PL" w:eastAsia="ja-JP"/>
              </w:rPr>
              <w:t>ГмбХ</w:t>
            </w:r>
            <w:r w:rsidRPr="00166B77">
              <w:rPr>
                <w:rFonts w:eastAsia="MS Mincho"/>
                <w:sz w:val="22"/>
                <w:szCs w:val="22"/>
                <w:lang w:eastAsia="ja-JP"/>
              </w:rPr>
              <w:t xml:space="preserve"> </w:t>
            </w:r>
            <w:r w:rsidRPr="00BD22FE">
              <w:rPr>
                <w:rFonts w:eastAsia="MS Mincho"/>
                <w:sz w:val="22"/>
                <w:szCs w:val="22"/>
                <w:lang w:val="pl-PL" w:eastAsia="ja-JP"/>
              </w:rPr>
              <w:t>и</w:t>
            </w:r>
            <w:r w:rsidRPr="00166B77">
              <w:rPr>
                <w:rFonts w:eastAsia="MS Mincho"/>
                <w:sz w:val="22"/>
                <w:szCs w:val="22"/>
                <w:lang w:eastAsia="ja-JP"/>
              </w:rPr>
              <w:t xml:space="preserve"> </w:t>
            </w:r>
            <w:r w:rsidRPr="00BD22FE">
              <w:rPr>
                <w:rFonts w:eastAsia="MS Mincho"/>
                <w:sz w:val="22"/>
                <w:szCs w:val="22"/>
                <w:lang w:val="pl-PL" w:eastAsia="ja-JP"/>
              </w:rPr>
              <w:t>Ко</w:t>
            </w:r>
            <w:r w:rsidRPr="00166B77">
              <w:rPr>
                <w:rFonts w:eastAsia="MS Mincho"/>
                <w:sz w:val="22"/>
                <w:szCs w:val="22"/>
                <w:lang w:eastAsia="ja-JP"/>
              </w:rPr>
              <w:t xml:space="preserve">. </w:t>
            </w:r>
            <w:r w:rsidRPr="00BD22FE">
              <w:rPr>
                <w:rFonts w:eastAsia="MS Mincho"/>
                <w:sz w:val="22"/>
                <w:szCs w:val="22"/>
                <w:lang w:val="pl-PL" w:eastAsia="ja-JP"/>
              </w:rPr>
              <w:t>КГ - клон България</w:t>
            </w:r>
          </w:p>
          <w:p w14:paraId="4FA562A2" w14:textId="77777777" w:rsidR="00A610E1" w:rsidRPr="00BD22FE" w:rsidRDefault="00A610E1" w:rsidP="00A610E1">
            <w:pPr>
              <w:autoSpaceDE w:val="0"/>
              <w:autoSpaceDN w:val="0"/>
              <w:adjustRightInd w:val="0"/>
              <w:rPr>
                <w:sz w:val="22"/>
                <w:szCs w:val="22"/>
                <w:lang w:val="pl-PL"/>
              </w:rPr>
            </w:pPr>
            <w:r w:rsidRPr="00BD22FE">
              <w:rPr>
                <w:rFonts w:eastAsia="MS Mincho"/>
                <w:sz w:val="22"/>
                <w:szCs w:val="22"/>
                <w:lang w:val="pl-PL" w:eastAsia="ja-JP"/>
              </w:rPr>
              <w:t>Тел: +359 2 958 79 98</w:t>
            </w:r>
          </w:p>
          <w:p w14:paraId="16C5B333" w14:textId="77777777" w:rsidR="00A610E1" w:rsidRPr="00BD22FE" w:rsidRDefault="00A610E1" w:rsidP="00A610E1">
            <w:pPr>
              <w:pStyle w:val="BodyText"/>
              <w:spacing w:line="240" w:lineRule="auto"/>
              <w:jc w:val="left"/>
              <w:rPr>
                <w:sz w:val="22"/>
                <w:szCs w:val="22"/>
                <w:lang w:val="pl-PL"/>
              </w:rPr>
            </w:pPr>
          </w:p>
        </w:tc>
        <w:tc>
          <w:tcPr>
            <w:tcW w:w="2500" w:type="pct"/>
          </w:tcPr>
          <w:p w14:paraId="397876E8" w14:textId="77777777" w:rsidR="00A610E1" w:rsidRPr="009D16CE" w:rsidRDefault="00A610E1" w:rsidP="00A610E1">
            <w:pPr>
              <w:pStyle w:val="BodyText"/>
              <w:spacing w:line="240" w:lineRule="auto"/>
              <w:jc w:val="left"/>
              <w:rPr>
                <w:b/>
                <w:sz w:val="22"/>
                <w:szCs w:val="22"/>
                <w:lang w:val="de-DE"/>
              </w:rPr>
            </w:pPr>
            <w:r w:rsidRPr="009D16CE">
              <w:rPr>
                <w:b/>
                <w:bCs/>
                <w:sz w:val="22"/>
                <w:szCs w:val="22"/>
                <w:lang w:val="de-DE"/>
              </w:rPr>
              <w:t>Luxembourg/Luxemburg</w:t>
            </w:r>
          </w:p>
          <w:p w14:paraId="5D7671C7" w14:textId="77777777" w:rsidR="00A610E1" w:rsidRPr="009D16CE" w:rsidRDefault="00A610E1" w:rsidP="00A610E1">
            <w:pPr>
              <w:pStyle w:val="BodyText"/>
              <w:spacing w:line="240" w:lineRule="auto"/>
              <w:jc w:val="left"/>
              <w:rPr>
                <w:sz w:val="22"/>
                <w:szCs w:val="22"/>
                <w:lang w:val="de-DE" w:eastAsia="ja-JP"/>
              </w:rPr>
            </w:pPr>
            <w:r w:rsidRPr="009D16CE">
              <w:rPr>
                <w:rFonts w:eastAsia="MS Mincho"/>
                <w:sz w:val="22"/>
                <w:szCs w:val="22"/>
                <w:lang w:val="de-DE" w:eastAsia="ja-JP"/>
              </w:rPr>
              <w:t>Boehringer Ingelheim SComm</w:t>
            </w:r>
          </w:p>
          <w:p w14:paraId="23F7D4C8" w14:textId="77777777" w:rsidR="00A610E1" w:rsidRPr="009D16CE" w:rsidRDefault="00A610E1" w:rsidP="00A610E1">
            <w:pPr>
              <w:pStyle w:val="BodyText"/>
              <w:spacing w:line="240" w:lineRule="auto"/>
              <w:jc w:val="left"/>
              <w:rPr>
                <w:sz w:val="22"/>
                <w:szCs w:val="22"/>
                <w:lang w:val="de-DE" w:eastAsia="ja-JP"/>
              </w:rPr>
            </w:pPr>
            <w:r w:rsidRPr="009D16CE">
              <w:rPr>
                <w:sz w:val="22"/>
                <w:szCs w:val="22"/>
                <w:lang w:val="de-DE" w:eastAsia="ja-JP"/>
              </w:rPr>
              <w:t>Tél/Tel: +32 2 773 33 11</w:t>
            </w:r>
          </w:p>
          <w:p w14:paraId="75AACF4D" w14:textId="77777777" w:rsidR="00A610E1" w:rsidRPr="009D16CE" w:rsidRDefault="00A610E1" w:rsidP="00A610E1">
            <w:pPr>
              <w:pStyle w:val="BodyText"/>
              <w:spacing w:line="240" w:lineRule="auto"/>
              <w:jc w:val="left"/>
              <w:rPr>
                <w:sz w:val="22"/>
                <w:szCs w:val="22"/>
                <w:lang w:val="de-DE"/>
              </w:rPr>
            </w:pPr>
          </w:p>
        </w:tc>
      </w:tr>
      <w:tr w:rsidR="00A610E1" w:rsidRPr="00BD22FE" w14:paraId="3DD27936" w14:textId="77777777" w:rsidTr="00A610E1">
        <w:tc>
          <w:tcPr>
            <w:tcW w:w="2500" w:type="pct"/>
          </w:tcPr>
          <w:p w14:paraId="02AC043D" w14:textId="77777777" w:rsidR="00A610E1" w:rsidRPr="009D16CE" w:rsidRDefault="00A610E1" w:rsidP="00A610E1">
            <w:pPr>
              <w:pStyle w:val="BodyText"/>
              <w:spacing w:line="240" w:lineRule="auto"/>
              <w:jc w:val="left"/>
              <w:rPr>
                <w:b/>
                <w:sz w:val="22"/>
                <w:szCs w:val="22"/>
                <w:lang w:val="de-DE"/>
              </w:rPr>
            </w:pPr>
            <w:r w:rsidRPr="009D16CE">
              <w:rPr>
                <w:b/>
                <w:bCs/>
                <w:sz w:val="22"/>
                <w:szCs w:val="22"/>
                <w:lang w:val="de-DE"/>
              </w:rPr>
              <w:t>Česká republika</w:t>
            </w:r>
          </w:p>
          <w:p w14:paraId="1C2B505C" w14:textId="77777777" w:rsidR="00A610E1" w:rsidRPr="009D16CE" w:rsidRDefault="00A610E1" w:rsidP="00A610E1">
            <w:pPr>
              <w:pStyle w:val="BodyText"/>
              <w:spacing w:line="240" w:lineRule="auto"/>
              <w:jc w:val="left"/>
              <w:rPr>
                <w:sz w:val="22"/>
                <w:szCs w:val="22"/>
                <w:lang w:val="de-DE" w:eastAsia="ja-JP"/>
              </w:rPr>
            </w:pPr>
            <w:r w:rsidRPr="009D16CE">
              <w:rPr>
                <w:sz w:val="22"/>
                <w:szCs w:val="22"/>
                <w:lang w:val="de-DE" w:eastAsia="ja-JP"/>
              </w:rPr>
              <w:t>Boehringer Ingelheim spol. s r.o.</w:t>
            </w:r>
          </w:p>
          <w:p w14:paraId="44B695BE" w14:textId="77777777" w:rsidR="00A610E1" w:rsidRPr="00BD22FE" w:rsidRDefault="00A610E1" w:rsidP="00A610E1">
            <w:pPr>
              <w:pStyle w:val="BodyText"/>
              <w:spacing w:line="240" w:lineRule="auto"/>
              <w:jc w:val="left"/>
              <w:rPr>
                <w:sz w:val="22"/>
                <w:szCs w:val="22"/>
                <w:lang w:val="pl-PL"/>
              </w:rPr>
            </w:pPr>
            <w:r w:rsidRPr="00BD22FE">
              <w:rPr>
                <w:sz w:val="22"/>
                <w:szCs w:val="22"/>
                <w:lang w:val="pl-PL" w:eastAsia="ja-JP"/>
              </w:rPr>
              <w:t>Tel: +420 234 655 111</w:t>
            </w:r>
          </w:p>
        </w:tc>
        <w:tc>
          <w:tcPr>
            <w:tcW w:w="2500" w:type="pct"/>
          </w:tcPr>
          <w:p w14:paraId="2B9B6CF8" w14:textId="77777777" w:rsidR="00A610E1" w:rsidRPr="009D16CE" w:rsidRDefault="00A610E1" w:rsidP="00A610E1">
            <w:pPr>
              <w:pStyle w:val="BodyText"/>
              <w:spacing w:line="240" w:lineRule="auto"/>
              <w:jc w:val="left"/>
              <w:rPr>
                <w:b/>
                <w:bCs/>
                <w:sz w:val="22"/>
                <w:szCs w:val="22"/>
                <w:lang w:val="pl-PL"/>
              </w:rPr>
            </w:pPr>
            <w:r w:rsidRPr="009D16CE">
              <w:rPr>
                <w:b/>
                <w:bCs/>
                <w:sz w:val="22"/>
                <w:szCs w:val="22"/>
                <w:lang w:val="pl-PL"/>
              </w:rPr>
              <w:t>Magyarország</w:t>
            </w:r>
          </w:p>
          <w:p w14:paraId="04B042DC" w14:textId="77777777" w:rsidR="00A610E1" w:rsidRPr="009D16CE" w:rsidRDefault="00A610E1" w:rsidP="00A610E1">
            <w:pPr>
              <w:pStyle w:val="BodyText"/>
              <w:spacing w:line="240" w:lineRule="auto"/>
              <w:jc w:val="left"/>
              <w:rPr>
                <w:sz w:val="22"/>
                <w:szCs w:val="22"/>
                <w:lang w:val="pl-PL" w:eastAsia="de-DE"/>
              </w:rPr>
            </w:pPr>
            <w:r w:rsidRPr="009D16CE">
              <w:rPr>
                <w:sz w:val="22"/>
                <w:szCs w:val="22"/>
                <w:lang w:val="pl-PL" w:eastAsia="de-DE"/>
              </w:rPr>
              <w:t>Boehringer Ingelheim RCV GmbH &amp; Co KG</w:t>
            </w:r>
          </w:p>
          <w:p w14:paraId="7901A073" w14:textId="77777777" w:rsidR="00A610E1" w:rsidRPr="00BD22FE" w:rsidRDefault="00A610E1" w:rsidP="00A610E1">
            <w:pPr>
              <w:pStyle w:val="BodyText"/>
              <w:spacing w:line="240" w:lineRule="auto"/>
              <w:jc w:val="left"/>
              <w:rPr>
                <w:sz w:val="22"/>
                <w:szCs w:val="22"/>
                <w:lang w:val="pl-PL" w:eastAsia="de-DE"/>
              </w:rPr>
            </w:pPr>
            <w:r w:rsidRPr="00BD22FE">
              <w:rPr>
                <w:bCs/>
                <w:sz w:val="22"/>
                <w:szCs w:val="22"/>
                <w:lang w:val="pl-PL"/>
              </w:rPr>
              <w:t xml:space="preserve">Magyarországi </w:t>
            </w:r>
            <w:r w:rsidRPr="00BD22FE">
              <w:rPr>
                <w:sz w:val="22"/>
                <w:szCs w:val="22"/>
                <w:lang w:val="pl-PL" w:eastAsia="de-DE"/>
              </w:rPr>
              <w:t>Fióktelepe</w:t>
            </w:r>
          </w:p>
          <w:p w14:paraId="4E755443" w14:textId="77777777" w:rsidR="00A610E1" w:rsidRPr="00BD22FE" w:rsidRDefault="00A610E1" w:rsidP="00A610E1">
            <w:pPr>
              <w:pStyle w:val="BodyText"/>
              <w:spacing w:line="240" w:lineRule="auto"/>
              <w:jc w:val="left"/>
              <w:rPr>
                <w:sz w:val="22"/>
                <w:szCs w:val="22"/>
                <w:lang w:val="pl-PL"/>
              </w:rPr>
            </w:pPr>
            <w:r w:rsidRPr="00BD22FE">
              <w:rPr>
                <w:sz w:val="22"/>
                <w:szCs w:val="22"/>
                <w:lang w:val="pl-PL" w:eastAsia="de-DE"/>
              </w:rPr>
              <w:t xml:space="preserve">Tel.: </w:t>
            </w:r>
            <w:r w:rsidRPr="00BD22FE">
              <w:rPr>
                <w:sz w:val="22"/>
                <w:szCs w:val="22"/>
                <w:lang w:val="pl-PL"/>
              </w:rPr>
              <w:t>+36 1 299 89 00</w:t>
            </w:r>
          </w:p>
          <w:p w14:paraId="062E6B2E" w14:textId="77777777" w:rsidR="00A610E1" w:rsidRPr="00BD22FE" w:rsidRDefault="00A610E1" w:rsidP="00A610E1">
            <w:pPr>
              <w:pStyle w:val="BodyText"/>
              <w:spacing w:line="240" w:lineRule="auto"/>
              <w:jc w:val="left"/>
              <w:rPr>
                <w:sz w:val="22"/>
                <w:szCs w:val="22"/>
                <w:lang w:val="pl-PL"/>
              </w:rPr>
            </w:pPr>
          </w:p>
        </w:tc>
      </w:tr>
      <w:tr w:rsidR="00A610E1" w:rsidRPr="00BD22FE" w14:paraId="00110B22" w14:textId="77777777" w:rsidTr="00A610E1">
        <w:tc>
          <w:tcPr>
            <w:tcW w:w="2500" w:type="pct"/>
          </w:tcPr>
          <w:p w14:paraId="4E80DA9E" w14:textId="77777777" w:rsidR="00A610E1" w:rsidRPr="009D16CE" w:rsidRDefault="00A610E1" w:rsidP="00A610E1">
            <w:pPr>
              <w:pStyle w:val="BodyText"/>
              <w:spacing w:line="240" w:lineRule="auto"/>
              <w:jc w:val="left"/>
              <w:rPr>
                <w:b/>
                <w:sz w:val="22"/>
                <w:szCs w:val="22"/>
                <w:lang w:val="de-DE"/>
              </w:rPr>
            </w:pPr>
            <w:r w:rsidRPr="009D16CE">
              <w:rPr>
                <w:b/>
                <w:bCs/>
                <w:sz w:val="22"/>
                <w:szCs w:val="22"/>
                <w:lang w:val="de-DE"/>
              </w:rPr>
              <w:t>Danmark</w:t>
            </w:r>
          </w:p>
          <w:p w14:paraId="4E038503" w14:textId="77777777" w:rsidR="00A610E1" w:rsidRPr="009D16CE" w:rsidRDefault="00A610E1" w:rsidP="00A610E1">
            <w:pPr>
              <w:pStyle w:val="BodyText"/>
              <w:spacing w:line="240" w:lineRule="auto"/>
              <w:jc w:val="left"/>
              <w:rPr>
                <w:sz w:val="22"/>
                <w:szCs w:val="22"/>
                <w:lang w:val="de-DE" w:eastAsia="ja-JP"/>
              </w:rPr>
            </w:pPr>
            <w:r w:rsidRPr="009D16CE">
              <w:rPr>
                <w:sz w:val="22"/>
                <w:szCs w:val="22"/>
                <w:lang w:val="de-DE" w:eastAsia="ja-JP"/>
              </w:rPr>
              <w:t>Boehringer Ingelheim Danmark A/S</w:t>
            </w:r>
          </w:p>
          <w:p w14:paraId="7E249AEA" w14:textId="77777777" w:rsidR="00A610E1" w:rsidRPr="00BD22FE" w:rsidRDefault="00A610E1" w:rsidP="00A610E1">
            <w:pPr>
              <w:pStyle w:val="BodyText"/>
              <w:spacing w:line="240" w:lineRule="auto"/>
              <w:jc w:val="left"/>
              <w:rPr>
                <w:sz w:val="22"/>
                <w:szCs w:val="22"/>
                <w:lang w:val="pl-PL" w:eastAsia="ja-JP"/>
              </w:rPr>
            </w:pPr>
            <w:r w:rsidRPr="00BD22FE">
              <w:rPr>
                <w:sz w:val="22"/>
                <w:szCs w:val="22"/>
                <w:lang w:val="pl-PL" w:eastAsia="ja-JP"/>
              </w:rPr>
              <w:t>Tlf.: +45 39 15 88 88</w:t>
            </w:r>
          </w:p>
          <w:p w14:paraId="5D57F02D" w14:textId="77777777" w:rsidR="00A610E1" w:rsidRPr="00BD22FE" w:rsidRDefault="00A610E1" w:rsidP="00A610E1">
            <w:pPr>
              <w:pStyle w:val="BodyText"/>
              <w:spacing w:line="240" w:lineRule="auto"/>
              <w:jc w:val="left"/>
              <w:rPr>
                <w:sz w:val="22"/>
                <w:szCs w:val="22"/>
                <w:lang w:val="pl-PL"/>
              </w:rPr>
            </w:pPr>
          </w:p>
        </w:tc>
        <w:tc>
          <w:tcPr>
            <w:tcW w:w="2500" w:type="pct"/>
          </w:tcPr>
          <w:p w14:paraId="11A5E137" w14:textId="77777777" w:rsidR="00A610E1" w:rsidRPr="009D16CE" w:rsidRDefault="00A610E1" w:rsidP="00A610E1">
            <w:pPr>
              <w:pStyle w:val="BodyText"/>
              <w:spacing w:line="240" w:lineRule="auto"/>
              <w:jc w:val="left"/>
              <w:rPr>
                <w:b/>
                <w:bCs/>
                <w:sz w:val="22"/>
                <w:szCs w:val="22"/>
                <w:lang w:val="de-DE"/>
              </w:rPr>
            </w:pPr>
            <w:r w:rsidRPr="009D16CE">
              <w:rPr>
                <w:b/>
                <w:bCs/>
                <w:sz w:val="22"/>
                <w:szCs w:val="22"/>
                <w:lang w:val="de-DE"/>
              </w:rPr>
              <w:t>Malta</w:t>
            </w:r>
          </w:p>
          <w:p w14:paraId="23BDBFEB" w14:textId="77777777" w:rsidR="00A610E1" w:rsidRPr="009D16CE" w:rsidRDefault="00A610E1" w:rsidP="00A610E1">
            <w:pPr>
              <w:rPr>
                <w:sz w:val="22"/>
                <w:szCs w:val="22"/>
                <w:lang w:val="de-DE" w:eastAsia="ja-JP"/>
              </w:rPr>
            </w:pPr>
            <w:r w:rsidRPr="009D16CE">
              <w:rPr>
                <w:sz w:val="22"/>
                <w:szCs w:val="22"/>
                <w:lang w:val="de-DE" w:eastAsia="ja-JP"/>
              </w:rPr>
              <w:t>Boehringer Ingelheim Ireland Ltd.</w:t>
            </w:r>
          </w:p>
          <w:p w14:paraId="4178520B" w14:textId="77777777" w:rsidR="00A610E1" w:rsidRPr="00BD22FE" w:rsidRDefault="00A610E1" w:rsidP="00A610E1">
            <w:pPr>
              <w:pStyle w:val="BodyText"/>
              <w:spacing w:line="240" w:lineRule="auto"/>
              <w:jc w:val="left"/>
              <w:rPr>
                <w:sz w:val="22"/>
                <w:szCs w:val="22"/>
                <w:lang w:val="pl-PL" w:eastAsia="ja-JP"/>
              </w:rPr>
            </w:pPr>
            <w:r w:rsidRPr="00BD22FE">
              <w:rPr>
                <w:sz w:val="22"/>
                <w:szCs w:val="22"/>
                <w:lang w:val="pl-PL" w:eastAsia="ja-JP"/>
              </w:rPr>
              <w:t>Tel: +353 1 295 9620</w:t>
            </w:r>
          </w:p>
          <w:p w14:paraId="3FF04843" w14:textId="77777777" w:rsidR="00A610E1" w:rsidRPr="00BD22FE" w:rsidRDefault="00A610E1" w:rsidP="00A610E1">
            <w:pPr>
              <w:pStyle w:val="BodyText"/>
              <w:spacing w:line="240" w:lineRule="auto"/>
              <w:jc w:val="left"/>
              <w:rPr>
                <w:sz w:val="22"/>
                <w:szCs w:val="22"/>
                <w:lang w:val="pl-PL"/>
              </w:rPr>
            </w:pPr>
          </w:p>
        </w:tc>
      </w:tr>
      <w:tr w:rsidR="00A610E1" w:rsidRPr="00BD22FE" w14:paraId="3EFF8CC3" w14:textId="77777777" w:rsidTr="00A610E1">
        <w:tc>
          <w:tcPr>
            <w:tcW w:w="2500" w:type="pct"/>
          </w:tcPr>
          <w:p w14:paraId="28E4D432" w14:textId="77777777" w:rsidR="00A610E1" w:rsidRPr="009D16CE" w:rsidRDefault="00A610E1" w:rsidP="00A610E1">
            <w:pPr>
              <w:pStyle w:val="BodyText"/>
              <w:spacing w:line="240" w:lineRule="auto"/>
              <w:jc w:val="left"/>
              <w:rPr>
                <w:b/>
                <w:sz w:val="22"/>
                <w:szCs w:val="22"/>
                <w:lang w:val="de-DE"/>
              </w:rPr>
            </w:pPr>
            <w:r w:rsidRPr="009D16CE">
              <w:rPr>
                <w:b/>
                <w:bCs/>
                <w:sz w:val="22"/>
                <w:szCs w:val="22"/>
                <w:lang w:val="de-DE"/>
              </w:rPr>
              <w:t>Deutschland</w:t>
            </w:r>
          </w:p>
          <w:p w14:paraId="6DAD4885" w14:textId="77777777" w:rsidR="00A610E1" w:rsidRPr="00BD22FE" w:rsidRDefault="00A610E1" w:rsidP="00A610E1">
            <w:pPr>
              <w:pStyle w:val="BodyText"/>
              <w:spacing w:line="240" w:lineRule="auto"/>
              <w:jc w:val="left"/>
              <w:rPr>
                <w:sz w:val="22"/>
                <w:szCs w:val="22"/>
                <w:lang w:val="pl-PL" w:eastAsia="ja-JP"/>
              </w:rPr>
            </w:pPr>
            <w:r w:rsidRPr="009D16CE">
              <w:rPr>
                <w:sz w:val="22"/>
                <w:szCs w:val="22"/>
                <w:lang w:val="de-DE" w:eastAsia="ja-JP"/>
              </w:rPr>
              <w:t xml:space="preserve">Boehringer Ingelheim Pharma GmbH &amp; Co. </w:t>
            </w:r>
            <w:r w:rsidRPr="00BD22FE">
              <w:rPr>
                <w:sz w:val="22"/>
                <w:szCs w:val="22"/>
                <w:lang w:val="pl-PL" w:eastAsia="ja-JP"/>
              </w:rPr>
              <w:t>KG</w:t>
            </w:r>
          </w:p>
          <w:p w14:paraId="1C25238D" w14:textId="77777777" w:rsidR="00A610E1" w:rsidRPr="00BD22FE" w:rsidRDefault="00A610E1" w:rsidP="00A610E1">
            <w:pPr>
              <w:pStyle w:val="BodyText"/>
              <w:spacing w:line="240" w:lineRule="auto"/>
              <w:jc w:val="left"/>
              <w:rPr>
                <w:sz w:val="22"/>
                <w:szCs w:val="22"/>
                <w:lang w:val="pl-PL" w:eastAsia="ja-JP"/>
              </w:rPr>
            </w:pPr>
            <w:r w:rsidRPr="00BD22FE">
              <w:rPr>
                <w:sz w:val="22"/>
                <w:szCs w:val="22"/>
                <w:lang w:val="pl-PL" w:eastAsia="ja-JP"/>
              </w:rPr>
              <w:t>Tel: +49 (0) 800 77 90 900</w:t>
            </w:r>
          </w:p>
          <w:p w14:paraId="20671B7B" w14:textId="77777777" w:rsidR="00A610E1" w:rsidRPr="00BD22FE" w:rsidRDefault="00A610E1" w:rsidP="00A610E1">
            <w:pPr>
              <w:pStyle w:val="BodyText"/>
              <w:spacing w:line="240" w:lineRule="auto"/>
              <w:jc w:val="left"/>
              <w:rPr>
                <w:sz w:val="22"/>
                <w:szCs w:val="22"/>
                <w:lang w:val="pl-PL"/>
              </w:rPr>
            </w:pPr>
          </w:p>
        </w:tc>
        <w:tc>
          <w:tcPr>
            <w:tcW w:w="2500" w:type="pct"/>
          </w:tcPr>
          <w:p w14:paraId="2E96076A" w14:textId="77777777" w:rsidR="00A610E1" w:rsidRPr="009D16CE" w:rsidRDefault="00A610E1" w:rsidP="00A610E1">
            <w:pPr>
              <w:pStyle w:val="BodyText"/>
              <w:spacing w:line="240" w:lineRule="auto"/>
              <w:jc w:val="left"/>
              <w:rPr>
                <w:b/>
                <w:sz w:val="22"/>
                <w:szCs w:val="22"/>
                <w:lang w:val="de-DE"/>
              </w:rPr>
            </w:pPr>
            <w:r w:rsidRPr="009D16CE">
              <w:rPr>
                <w:b/>
                <w:bCs/>
                <w:sz w:val="22"/>
                <w:szCs w:val="22"/>
                <w:lang w:val="de-DE"/>
              </w:rPr>
              <w:t>Nederland</w:t>
            </w:r>
          </w:p>
          <w:p w14:paraId="4CA73D28" w14:textId="77777777" w:rsidR="00A610E1" w:rsidRPr="009D16CE" w:rsidRDefault="00A610E1" w:rsidP="00A610E1">
            <w:pPr>
              <w:pStyle w:val="BodyText"/>
              <w:spacing w:line="240" w:lineRule="auto"/>
              <w:jc w:val="left"/>
              <w:rPr>
                <w:sz w:val="22"/>
                <w:szCs w:val="22"/>
                <w:lang w:val="de-DE" w:eastAsia="ja-JP"/>
              </w:rPr>
            </w:pPr>
            <w:r w:rsidRPr="009D16CE">
              <w:rPr>
                <w:sz w:val="22"/>
                <w:szCs w:val="22"/>
                <w:lang w:val="de-DE" w:eastAsia="ja-JP"/>
              </w:rPr>
              <w:t>Boehringer Ingelheim B.V.</w:t>
            </w:r>
          </w:p>
          <w:p w14:paraId="46E20498" w14:textId="77777777" w:rsidR="00A610E1" w:rsidRPr="00BD22FE" w:rsidRDefault="00A610E1" w:rsidP="00A610E1">
            <w:pPr>
              <w:pStyle w:val="BodyText"/>
              <w:spacing w:line="240" w:lineRule="auto"/>
              <w:jc w:val="left"/>
              <w:rPr>
                <w:sz w:val="22"/>
                <w:szCs w:val="22"/>
                <w:lang w:val="pl-PL" w:eastAsia="ja-JP"/>
              </w:rPr>
            </w:pPr>
            <w:r w:rsidRPr="00BD22FE">
              <w:rPr>
                <w:sz w:val="22"/>
                <w:szCs w:val="22"/>
                <w:lang w:val="pl-PL" w:eastAsia="ja-JP"/>
              </w:rPr>
              <w:t>Tel: +31 (0) 800 22 55 889</w:t>
            </w:r>
          </w:p>
          <w:p w14:paraId="67D7059F" w14:textId="77777777" w:rsidR="00A610E1" w:rsidRPr="00BD22FE" w:rsidRDefault="00A610E1" w:rsidP="00A610E1">
            <w:pPr>
              <w:pStyle w:val="BodyText"/>
              <w:spacing w:line="240" w:lineRule="auto"/>
              <w:jc w:val="left"/>
              <w:rPr>
                <w:sz w:val="22"/>
                <w:szCs w:val="22"/>
                <w:lang w:val="pl-PL"/>
              </w:rPr>
            </w:pPr>
          </w:p>
        </w:tc>
      </w:tr>
      <w:tr w:rsidR="00A610E1" w:rsidRPr="00BD22FE" w14:paraId="3C46022B" w14:textId="77777777" w:rsidTr="00A610E1">
        <w:tc>
          <w:tcPr>
            <w:tcW w:w="2500" w:type="pct"/>
          </w:tcPr>
          <w:p w14:paraId="6CC7F32C" w14:textId="77777777" w:rsidR="00A610E1" w:rsidRPr="00DE4C52" w:rsidRDefault="00A610E1" w:rsidP="00A610E1">
            <w:pPr>
              <w:rPr>
                <w:b/>
                <w:bCs/>
                <w:sz w:val="22"/>
                <w:szCs w:val="22"/>
                <w:lang w:val="de-DE"/>
              </w:rPr>
            </w:pPr>
            <w:r w:rsidRPr="00DE4C52">
              <w:rPr>
                <w:b/>
                <w:bCs/>
                <w:sz w:val="22"/>
                <w:szCs w:val="22"/>
                <w:lang w:val="de-DE"/>
              </w:rPr>
              <w:t>Eesti</w:t>
            </w:r>
          </w:p>
          <w:p w14:paraId="4DC8D31F" w14:textId="77777777" w:rsidR="00A610E1" w:rsidRPr="00DE4C52" w:rsidRDefault="00A610E1" w:rsidP="00A610E1">
            <w:pPr>
              <w:rPr>
                <w:sz w:val="22"/>
                <w:szCs w:val="22"/>
                <w:lang w:val="de-DE" w:eastAsia="ja-JP"/>
              </w:rPr>
            </w:pPr>
            <w:r w:rsidRPr="00DE4C52">
              <w:rPr>
                <w:sz w:val="22"/>
                <w:szCs w:val="22"/>
                <w:lang w:val="de-DE" w:eastAsia="ja-JP"/>
              </w:rPr>
              <w:t>Boehringer Ingelheim RCV GmbH &amp; Co KG</w:t>
            </w:r>
          </w:p>
          <w:p w14:paraId="2C583B15" w14:textId="77777777" w:rsidR="00A610E1" w:rsidRPr="00C53640" w:rsidRDefault="00A610E1" w:rsidP="00A610E1">
            <w:pPr>
              <w:rPr>
                <w:sz w:val="22"/>
                <w:szCs w:val="22"/>
                <w:lang w:eastAsia="de-DE"/>
              </w:rPr>
            </w:pPr>
            <w:r w:rsidRPr="00C53640">
              <w:rPr>
                <w:sz w:val="22"/>
                <w:szCs w:val="22"/>
                <w:lang w:eastAsia="de-DE"/>
              </w:rPr>
              <w:t xml:space="preserve">Eesti </w:t>
            </w:r>
            <w:proofErr w:type="spellStart"/>
            <w:r w:rsidRPr="00C53640">
              <w:rPr>
                <w:sz w:val="22"/>
                <w:szCs w:val="22"/>
                <w:lang w:eastAsia="de-DE"/>
              </w:rPr>
              <w:t>filiaal</w:t>
            </w:r>
            <w:proofErr w:type="spellEnd"/>
          </w:p>
          <w:p w14:paraId="4FDF60E8" w14:textId="77777777" w:rsidR="00A610E1" w:rsidRPr="00BD22FE" w:rsidRDefault="00A610E1" w:rsidP="00A610E1">
            <w:pPr>
              <w:rPr>
                <w:sz w:val="22"/>
                <w:szCs w:val="22"/>
                <w:lang w:val="pl-PL" w:eastAsia="ja-JP"/>
              </w:rPr>
            </w:pPr>
            <w:r w:rsidRPr="00BD22FE">
              <w:rPr>
                <w:sz w:val="22"/>
                <w:szCs w:val="22"/>
                <w:lang w:val="pl-PL" w:eastAsia="ja-JP"/>
              </w:rPr>
              <w:t>Tel: +372 612 8000</w:t>
            </w:r>
          </w:p>
          <w:p w14:paraId="47957AAC" w14:textId="77777777" w:rsidR="00A610E1" w:rsidRPr="00BD22FE" w:rsidRDefault="00A610E1" w:rsidP="00A610E1">
            <w:pPr>
              <w:pStyle w:val="BodyText"/>
              <w:spacing w:line="240" w:lineRule="auto"/>
              <w:jc w:val="left"/>
              <w:rPr>
                <w:sz w:val="22"/>
                <w:szCs w:val="22"/>
                <w:lang w:val="pl-PL"/>
              </w:rPr>
            </w:pPr>
          </w:p>
        </w:tc>
        <w:tc>
          <w:tcPr>
            <w:tcW w:w="2500" w:type="pct"/>
          </w:tcPr>
          <w:p w14:paraId="4C9002E2" w14:textId="77777777" w:rsidR="00A610E1" w:rsidRPr="009D16CE" w:rsidRDefault="00A610E1" w:rsidP="00A610E1">
            <w:pPr>
              <w:pStyle w:val="BodyText"/>
              <w:spacing w:line="240" w:lineRule="auto"/>
              <w:jc w:val="left"/>
              <w:rPr>
                <w:b/>
                <w:sz w:val="22"/>
                <w:szCs w:val="22"/>
                <w:lang w:val="de-DE"/>
              </w:rPr>
            </w:pPr>
            <w:r w:rsidRPr="009D16CE">
              <w:rPr>
                <w:b/>
                <w:bCs/>
                <w:sz w:val="22"/>
                <w:szCs w:val="22"/>
                <w:lang w:val="de-DE"/>
              </w:rPr>
              <w:t>Norge</w:t>
            </w:r>
          </w:p>
          <w:p w14:paraId="4BCB6F3E" w14:textId="6769745D" w:rsidR="00A610E1" w:rsidRPr="009D16CE" w:rsidRDefault="00A610E1" w:rsidP="00A610E1">
            <w:pPr>
              <w:pStyle w:val="BodyText"/>
              <w:spacing w:line="240" w:lineRule="auto"/>
              <w:jc w:val="left"/>
              <w:rPr>
                <w:sz w:val="22"/>
                <w:szCs w:val="22"/>
                <w:lang w:val="de-DE" w:eastAsia="ja-JP"/>
              </w:rPr>
            </w:pPr>
            <w:r w:rsidRPr="009D16CE">
              <w:rPr>
                <w:sz w:val="22"/>
                <w:szCs w:val="22"/>
                <w:lang w:val="de-DE" w:eastAsia="ja-JP"/>
              </w:rPr>
              <w:t>Boehringer Ingelheim Danmark</w:t>
            </w:r>
            <w:ins w:id="20" w:author="translator" w:date="2026-03-16T16:17:00Z">
              <w:r w:rsidR="005A5DC0" w:rsidRPr="00C67077">
                <w:rPr>
                  <w:sz w:val="22"/>
                  <w:szCs w:val="22"/>
                  <w:lang w:eastAsia="ja-JP"/>
                </w:rPr>
                <w:t xml:space="preserve"> A/S NUF</w:t>
              </w:r>
            </w:ins>
          </w:p>
          <w:p w14:paraId="567780E1" w14:textId="6578B735" w:rsidR="00A610E1" w:rsidRPr="009D16CE" w:rsidDel="005A5DC0" w:rsidRDefault="00A610E1" w:rsidP="00A610E1">
            <w:pPr>
              <w:widowControl w:val="0"/>
              <w:rPr>
                <w:del w:id="21" w:author="translator" w:date="2026-03-16T16:17:00Z"/>
                <w:sz w:val="22"/>
                <w:szCs w:val="22"/>
                <w:lang w:val="de-DE" w:eastAsia="ja-JP"/>
              </w:rPr>
            </w:pPr>
            <w:del w:id="22" w:author="translator" w:date="2026-03-16T16:17:00Z">
              <w:r w:rsidRPr="009D16CE" w:rsidDel="005A5DC0">
                <w:rPr>
                  <w:sz w:val="22"/>
                  <w:szCs w:val="22"/>
                  <w:lang w:val="de-DE" w:eastAsia="ja-JP"/>
                </w:rPr>
                <w:delText>Norwegian branch</w:delText>
              </w:r>
            </w:del>
          </w:p>
          <w:p w14:paraId="41980C08" w14:textId="77777777" w:rsidR="00A610E1" w:rsidRPr="00BD22FE" w:rsidRDefault="00A610E1" w:rsidP="00A610E1">
            <w:pPr>
              <w:pStyle w:val="BodyText"/>
              <w:spacing w:line="240" w:lineRule="auto"/>
              <w:jc w:val="left"/>
              <w:rPr>
                <w:sz w:val="22"/>
                <w:szCs w:val="22"/>
                <w:lang w:val="pl-PL" w:eastAsia="ja-JP"/>
              </w:rPr>
            </w:pPr>
            <w:r w:rsidRPr="00BD22FE">
              <w:rPr>
                <w:sz w:val="22"/>
                <w:szCs w:val="22"/>
                <w:lang w:val="pl-PL" w:eastAsia="ja-JP"/>
              </w:rPr>
              <w:t>Tlf: +47 66 76 13 00</w:t>
            </w:r>
          </w:p>
          <w:p w14:paraId="01127603" w14:textId="77777777" w:rsidR="00A610E1" w:rsidRPr="00BD22FE" w:rsidRDefault="00A610E1" w:rsidP="00A610E1">
            <w:pPr>
              <w:pStyle w:val="BodyText"/>
              <w:spacing w:line="240" w:lineRule="auto"/>
              <w:jc w:val="left"/>
              <w:rPr>
                <w:sz w:val="22"/>
                <w:szCs w:val="22"/>
                <w:lang w:val="pl-PL"/>
              </w:rPr>
            </w:pPr>
          </w:p>
        </w:tc>
      </w:tr>
      <w:tr w:rsidR="00A610E1" w:rsidRPr="00BD22FE" w14:paraId="54742526" w14:textId="77777777" w:rsidTr="00A610E1">
        <w:tc>
          <w:tcPr>
            <w:tcW w:w="2500" w:type="pct"/>
          </w:tcPr>
          <w:p w14:paraId="64CE047C" w14:textId="77777777" w:rsidR="00A610E1" w:rsidRPr="00166B77" w:rsidRDefault="00A610E1" w:rsidP="00A610E1">
            <w:pPr>
              <w:pStyle w:val="BodyText"/>
              <w:spacing w:line="240" w:lineRule="auto"/>
              <w:jc w:val="left"/>
              <w:rPr>
                <w:b/>
                <w:sz w:val="22"/>
                <w:szCs w:val="22"/>
                <w:lang w:val="en-US"/>
              </w:rPr>
            </w:pPr>
            <w:r w:rsidRPr="00BD22FE">
              <w:rPr>
                <w:b/>
                <w:bCs/>
                <w:sz w:val="22"/>
                <w:szCs w:val="22"/>
                <w:lang w:val="pl-PL"/>
              </w:rPr>
              <w:t>Ελλάδα</w:t>
            </w:r>
          </w:p>
          <w:p w14:paraId="4E8EFEAF" w14:textId="77777777" w:rsidR="00A610E1" w:rsidRPr="00166B77" w:rsidRDefault="00A610E1" w:rsidP="00A610E1">
            <w:pPr>
              <w:rPr>
                <w:sz w:val="22"/>
                <w:szCs w:val="22"/>
                <w:lang w:eastAsia="ja-JP"/>
              </w:rPr>
            </w:pPr>
            <w:r w:rsidRPr="00166B77">
              <w:rPr>
                <w:sz w:val="22"/>
                <w:szCs w:val="22"/>
                <w:lang w:eastAsia="ja-JP"/>
              </w:rPr>
              <w:t xml:space="preserve">Boehringer Ingelheim </w:t>
            </w:r>
            <w:r w:rsidRPr="00BD22FE">
              <w:rPr>
                <w:sz w:val="22"/>
                <w:szCs w:val="22"/>
                <w:lang w:val="pl-PL" w:eastAsia="ja-JP"/>
              </w:rPr>
              <w:t>Ελλάς</w:t>
            </w:r>
            <w:r w:rsidRPr="00166B77">
              <w:rPr>
                <w:sz w:val="22"/>
                <w:szCs w:val="22"/>
                <w:lang w:eastAsia="ja-JP"/>
              </w:rPr>
              <w:t xml:space="preserve"> </w:t>
            </w:r>
            <w:r w:rsidRPr="00BD22FE">
              <w:rPr>
                <w:sz w:val="22"/>
                <w:szCs w:val="22"/>
                <w:lang w:val="pl-PL" w:eastAsia="ja-JP"/>
              </w:rPr>
              <w:t>Μονοπρόσωπη</w:t>
            </w:r>
            <w:r w:rsidRPr="00166B77">
              <w:rPr>
                <w:sz w:val="22"/>
                <w:szCs w:val="22"/>
                <w:lang w:eastAsia="ja-JP"/>
              </w:rPr>
              <w:t xml:space="preserve"> </w:t>
            </w:r>
            <w:r w:rsidRPr="00BD22FE">
              <w:rPr>
                <w:sz w:val="22"/>
                <w:szCs w:val="22"/>
                <w:lang w:val="pl-PL" w:eastAsia="ja-JP"/>
              </w:rPr>
              <w:t>Α</w:t>
            </w:r>
            <w:r w:rsidRPr="00166B77">
              <w:rPr>
                <w:sz w:val="22"/>
                <w:szCs w:val="22"/>
                <w:lang w:eastAsia="ja-JP"/>
              </w:rPr>
              <w:t>.</w:t>
            </w:r>
            <w:r w:rsidRPr="00BD22FE">
              <w:rPr>
                <w:sz w:val="22"/>
                <w:szCs w:val="22"/>
                <w:lang w:val="pl-PL" w:eastAsia="ja-JP"/>
              </w:rPr>
              <w:t>Ε</w:t>
            </w:r>
            <w:r w:rsidRPr="00166B77">
              <w:rPr>
                <w:sz w:val="22"/>
                <w:szCs w:val="22"/>
                <w:lang w:eastAsia="ja-JP"/>
              </w:rPr>
              <w:t>.</w:t>
            </w:r>
          </w:p>
          <w:p w14:paraId="5ECD6028" w14:textId="77777777" w:rsidR="00A610E1" w:rsidRPr="00BD22FE" w:rsidRDefault="00A610E1" w:rsidP="00A610E1">
            <w:pPr>
              <w:rPr>
                <w:sz w:val="22"/>
                <w:szCs w:val="22"/>
                <w:lang w:val="pl-PL" w:eastAsia="ja-JP"/>
              </w:rPr>
            </w:pPr>
            <w:r w:rsidRPr="00BD22FE">
              <w:rPr>
                <w:sz w:val="22"/>
                <w:szCs w:val="22"/>
                <w:lang w:val="pl-PL" w:eastAsia="ja-JP"/>
              </w:rPr>
              <w:t>Tηλ: +30 2 10 89 06 300</w:t>
            </w:r>
          </w:p>
          <w:p w14:paraId="07EEBD8B" w14:textId="77777777" w:rsidR="00A610E1" w:rsidRPr="00BD22FE" w:rsidRDefault="00A610E1" w:rsidP="00A610E1">
            <w:pPr>
              <w:pStyle w:val="BodyText"/>
              <w:spacing w:line="240" w:lineRule="auto"/>
              <w:jc w:val="left"/>
              <w:rPr>
                <w:sz w:val="22"/>
                <w:szCs w:val="22"/>
                <w:lang w:val="pl-PL"/>
              </w:rPr>
            </w:pPr>
          </w:p>
        </w:tc>
        <w:tc>
          <w:tcPr>
            <w:tcW w:w="2500" w:type="pct"/>
          </w:tcPr>
          <w:p w14:paraId="6CEA3D42" w14:textId="77777777" w:rsidR="00A610E1" w:rsidRPr="00DE4C52" w:rsidRDefault="00A610E1" w:rsidP="00A610E1">
            <w:pPr>
              <w:rPr>
                <w:sz w:val="22"/>
                <w:szCs w:val="22"/>
                <w:lang w:val="de-DE"/>
              </w:rPr>
            </w:pPr>
            <w:r w:rsidRPr="00DE4C52">
              <w:rPr>
                <w:b/>
                <w:bCs/>
                <w:sz w:val="22"/>
                <w:szCs w:val="22"/>
                <w:lang w:val="de-DE"/>
              </w:rPr>
              <w:t>Österreich</w:t>
            </w:r>
          </w:p>
          <w:p w14:paraId="713CFCEB" w14:textId="77777777" w:rsidR="00A610E1" w:rsidRPr="00DE4C52" w:rsidRDefault="00A610E1" w:rsidP="00A610E1">
            <w:pPr>
              <w:autoSpaceDE w:val="0"/>
              <w:autoSpaceDN w:val="0"/>
              <w:adjustRightInd w:val="0"/>
              <w:rPr>
                <w:sz w:val="22"/>
                <w:szCs w:val="22"/>
                <w:lang w:val="de-DE" w:eastAsia="de-DE"/>
              </w:rPr>
            </w:pPr>
            <w:r w:rsidRPr="00DE4C52">
              <w:rPr>
                <w:sz w:val="22"/>
                <w:szCs w:val="22"/>
                <w:lang w:val="de-DE" w:eastAsia="de-DE"/>
              </w:rPr>
              <w:t>Boehringer Ingelheim RCV GmbH &amp; Co KG</w:t>
            </w:r>
          </w:p>
          <w:p w14:paraId="4BBFAB99" w14:textId="77777777" w:rsidR="00A610E1" w:rsidRPr="00BD22FE" w:rsidRDefault="00A610E1" w:rsidP="00A610E1">
            <w:pPr>
              <w:pStyle w:val="BodyText"/>
              <w:spacing w:line="240" w:lineRule="auto"/>
              <w:jc w:val="left"/>
              <w:rPr>
                <w:sz w:val="22"/>
                <w:szCs w:val="22"/>
                <w:lang w:val="pl-PL" w:eastAsia="de-DE"/>
              </w:rPr>
            </w:pPr>
            <w:r w:rsidRPr="00BD22FE">
              <w:rPr>
                <w:sz w:val="22"/>
                <w:szCs w:val="22"/>
                <w:lang w:val="pl-PL" w:eastAsia="de-DE"/>
              </w:rPr>
              <w:t>Tel: +43 1 80 105</w:t>
            </w:r>
            <w:r w:rsidRPr="00BD22FE">
              <w:rPr>
                <w:sz w:val="22"/>
                <w:szCs w:val="22"/>
                <w:lang w:val="pl-PL" w:eastAsia="de-DE"/>
              </w:rPr>
              <w:noBreakHyphen/>
              <w:t>7870</w:t>
            </w:r>
          </w:p>
          <w:p w14:paraId="1326D989" w14:textId="77777777" w:rsidR="00A610E1" w:rsidRPr="00BD22FE" w:rsidRDefault="00A610E1" w:rsidP="00A610E1">
            <w:pPr>
              <w:pStyle w:val="BodyText"/>
              <w:spacing w:line="240" w:lineRule="auto"/>
              <w:jc w:val="left"/>
              <w:rPr>
                <w:sz w:val="22"/>
                <w:szCs w:val="22"/>
                <w:lang w:val="pl-PL"/>
              </w:rPr>
            </w:pPr>
          </w:p>
        </w:tc>
      </w:tr>
      <w:tr w:rsidR="00A610E1" w:rsidRPr="00BD22FE" w14:paraId="51F08F94" w14:textId="77777777" w:rsidTr="00A610E1">
        <w:tc>
          <w:tcPr>
            <w:tcW w:w="2500" w:type="pct"/>
          </w:tcPr>
          <w:p w14:paraId="06C20E7B" w14:textId="77777777" w:rsidR="00A610E1" w:rsidRPr="00C53640" w:rsidRDefault="00A610E1" w:rsidP="00A610E1">
            <w:pPr>
              <w:pStyle w:val="BodyText"/>
              <w:spacing w:line="240" w:lineRule="auto"/>
              <w:jc w:val="left"/>
              <w:rPr>
                <w:b/>
                <w:bCs/>
                <w:sz w:val="22"/>
                <w:szCs w:val="22"/>
                <w:lang w:val="es-ES"/>
              </w:rPr>
            </w:pPr>
            <w:r w:rsidRPr="00C53640">
              <w:rPr>
                <w:b/>
                <w:bCs/>
                <w:sz w:val="22"/>
                <w:szCs w:val="22"/>
                <w:lang w:val="es-ES"/>
              </w:rPr>
              <w:t>España</w:t>
            </w:r>
          </w:p>
          <w:p w14:paraId="5DB238D5" w14:textId="77777777" w:rsidR="00A610E1" w:rsidRPr="00C53640" w:rsidRDefault="00A610E1" w:rsidP="00A610E1">
            <w:pPr>
              <w:pStyle w:val="BodyText"/>
              <w:spacing w:line="240" w:lineRule="auto"/>
              <w:jc w:val="left"/>
              <w:rPr>
                <w:sz w:val="22"/>
                <w:szCs w:val="22"/>
                <w:lang w:val="es-ES" w:eastAsia="ja-JP"/>
              </w:rPr>
            </w:pPr>
            <w:r w:rsidRPr="00C53640">
              <w:rPr>
                <w:sz w:val="22"/>
                <w:szCs w:val="22"/>
                <w:lang w:val="es-ES" w:eastAsia="ja-JP"/>
              </w:rPr>
              <w:t>Boehringer Ingelheim España S.A.</w:t>
            </w:r>
          </w:p>
          <w:p w14:paraId="193B2D68" w14:textId="77777777" w:rsidR="00A610E1" w:rsidRPr="00BD22FE" w:rsidRDefault="00A610E1" w:rsidP="00A610E1">
            <w:pPr>
              <w:pStyle w:val="BodyText"/>
              <w:spacing w:line="240" w:lineRule="auto"/>
              <w:jc w:val="left"/>
              <w:rPr>
                <w:sz w:val="22"/>
                <w:szCs w:val="22"/>
                <w:lang w:val="pl-PL"/>
              </w:rPr>
            </w:pPr>
            <w:r w:rsidRPr="00BD22FE">
              <w:rPr>
                <w:sz w:val="22"/>
                <w:szCs w:val="22"/>
                <w:lang w:val="pl-PL" w:eastAsia="ja-JP"/>
              </w:rPr>
              <w:t>Tel: +34 93 404 51 00</w:t>
            </w:r>
          </w:p>
          <w:p w14:paraId="0E49A316" w14:textId="77777777" w:rsidR="00A610E1" w:rsidRPr="00BD22FE" w:rsidRDefault="00A610E1" w:rsidP="00A610E1">
            <w:pPr>
              <w:pStyle w:val="BodyText"/>
              <w:spacing w:line="240" w:lineRule="auto"/>
              <w:jc w:val="left"/>
              <w:rPr>
                <w:sz w:val="22"/>
                <w:szCs w:val="22"/>
                <w:lang w:val="pl-PL"/>
              </w:rPr>
            </w:pPr>
          </w:p>
        </w:tc>
        <w:tc>
          <w:tcPr>
            <w:tcW w:w="2500" w:type="pct"/>
          </w:tcPr>
          <w:p w14:paraId="3A022E3A" w14:textId="77777777" w:rsidR="00A610E1" w:rsidRPr="00BD22FE" w:rsidRDefault="00A610E1" w:rsidP="00A610E1">
            <w:pPr>
              <w:pStyle w:val="BodyText"/>
              <w:spacing w:line="240" w:lineRule="auto"/>
              <w:jc w:val="left"/>
              <w:rPr>
                <w:b/>
                <w:bCs/>
                <w:iCs/>
                <w:sz w:val="22"/>
                <w:szCs w:val="22"/>
                <w:lang w:val="pl-PL"/>
              </w:rPr>
            </w:pPr>
            <w:r w:rsidRPr="00BD22FE">
              <w:rPr>
                <w:b/>
                <w:bCs/>
                <w:sz w:val="22"/>
                <w:szCs w:val="22"/>
                <w:lang w:val="pl-PL"/>
              </w:rPr>
              <w:t>Polska</w:t>
            </w:r>
          </w:p>
          <w:p w14:paraId="00B4397F" w14:textId="77777777" w:rsidR="00A610E1" w:rsidRPr="00BD22FE" w:rsidRDefault="00A610E1" w:rsidP="00A610E1">
            <w:pPr>
              <w:pStyle w:val="BodyText"/>
              <w:spacing w:line="240" w:lineRule="auto"/>
              <w:jc w:val="left"/>
              <w:rPr>
                <w:sz w:val="22"/>
                <w:szCs w:val="22"/>
                <w:lang w:val="pl-PL" w:eastAsia="ja-JP"/>
              </w:rPr>
            </w:pPr>
            <w:r w:rsidRPr="00BD22FE">
              <w:rPr>
                <w:sz w:val="22"/>
                <w:szCs w:val="22"/>
                <w:lang w:val="pl-PL" w:eastAsia="ja-JP"/>
              </w:rPr>
              <w:t>Boehringer Ingelheim Sp. z o.o.</w:t>
            </w:r>
          </w:p>
          <w:p w14:paraId="1D0E691F" w14:textId="77777777" w:rsidR="00A610E1" w:rsidRPr="00BD22FE" w:rsidRDefault="00A610E1" w:rsidP="00A610E1">
            <w:pPr>
              <w:pStyle w:val="BodyText"/>
              <w:spacing w:line="240" w:lineRule="auto"/>
              <w:jc w:val="left"/>
              <w:rPr>
                <w:sz w:val="22"/>
                <w:szCs w:val="22"/>
                <w:lang w:val="pl-PL" w:eastAsia="ja-JP"/>
              </w:rPr>
            </w:pPr>
            <w:r w:rsidRPr="00BD22FE">
              <w:rPr>
                <w:sz w:val="22"/>
                <w:szCs w:val="22"/>
                <w:lang w:val="pl-PL" w:eastAsia="ja-JP"/>
              </w:rPr>
              <w:t>Tel.: +48 22 699 0 699</w:t>
            </w:r>
          </w:p>
          <w:p w14:paraId="4CE395A4" w14:textId="77777777" w:rsidR="00A610E1" w:rsidRPr="00BD22FE" w:rsidRDefault="00A610E1" w:rsidP="00A610E1">
            <w:pPr>
              <w:pStyle w:val="BodyText"/>
              <w:spacing w:line="240" w:lineRule="auto"/>
              <w:jc w:val="left"/>
              <w:rPr>
                <w:sz w:val="22"/>
                <w:szCs w:val="22"/>
                <w:lang w:val="pl-PL"/>
              </w:rPr>
            </w:pPr>
          </w:p>
        </w:tc>
      </w:tr>
      <w:tr w:rsidR="00A610E1" w:rsidRPr="00BD22FE" w14:paraId="4C9826B2" w14:textId="77777777" w:rsidTr="00A610E1">
        <w:tc>
          <w:tcPr>
            <w:tcW w:w="2500" w:type="pct"/>
          </w:tcPr>
          <w:p w14:paraId="14C0FE94" w14:textId="77777777" w:rsidR="00A610E1" w:rsidRPr="009D16CE" w:rsidRDefault="00A610E1" w:rsidP="00A610E1">
            <w:pPr>
              <w:pStyle w:val="BodyText"/>
              <w:spacing w:line="240" w:lineRule="auto"/>
              <w:jc w:val="left"/>
              <w:rPr>
                <w:b/>
                <w:bCs/>
                <w:sz w:val="22"/>
                <w:szCs w:val="22"/>
                <w:lang w:val="de-DE"/>
              </w:rPr>
            </w:pPr>
            <w:r w:rsidRPr="009D16CE">
              <w:rPr>
                <w:b/>
                <w:bCs/>
                <w:sz w:val="22"/>
                <w:szCs w:val="22"/>
                <w:lang w:val="de-DE"/>
              </w:rPr>
              <w:t>France</w:t>
            </w:r>
          </w:p>
          <w:p w14:paraId="4AF33720" w14:textId="77777777" w:rsidR="00A610E1" w:rsidRPr="009D16CE" w:rsidRDefault="00A610E1" w:rsidP="00A610E1">
            <w:pPr>
              <w:pStyle w:val="BodyText"/>
              <w:spacing w:line="240" w:lineRule="auto"/>
              <w:jc w:val="left"/>
              <w:rPr>
                <w:sz w:val="22"/>
                <w:szCs w:val="22"/>
                <w:lang w:val="de-DE" w:eastAsia="ja-JP"/>
              </w:rPr>
            </w:pPr>
            <w:r w:rsidRPr="009D16CE">
              <w:rPr>
                <w:sz w:val="22"/>
                <w:szCs w:val="22"/>
                <w:lang w:val="de-DE" w:eastAsia="ja-JP"/>
              </w:rPr>
              <w:t>Boehringer Ingelheim France S.A.S.</w:t>
            </w:r>
          </w:p>
          <w:p w14:paraId="6F96ABC7" w14:textId="77777777" w:rsidR="00A610E1" w:rsidRPr="00BD22FE" w:rsidRDefault="00A610E1" w:rsidP="00A610E1">
            <w:pPr>
              <w:pStyle w:val="BodyText"/>
              <w:spacing w:line="240" w:lineRule="auto"/>
              <w:jc w:val="left"/>
              <w:rPr>
                <w:bCs/>
                <w:sz w:val="22"/>
                <w:szCs w:val="22"/>
                <w:lang w:val="pl-PL"/>
              </w:rPr>
            </w:pPr>
            <w:r w:rsidRPr="00BD22FE">
              <w:rPr>
                <w:sz w:val="22"/>
                <w:szCs w:val="22"/>
                <w:lang w:val="pl-PL" w:eastAsia="ja-JP"/>
              </w:rPr>
              <w:t>Tél: +33 3 26 50 45 33</w:t>
            </w:r>
          </w:p>
        </w:tc>
        <w:tc>
          <w:tcPr>
            <w:tcW w:w="2500" w:type="pct"/>
          </w:tcPr>
          <w:p w14:paraId="0248D361" w14:textId="77777777" w:rsidR="00A610E1" w:rsidRPr="00C53640" w:rsidRDefault="00A610E1" w:rsidP="00A610E1">
            <w:pPr>
              <w:pStyle w:val="BodyText"/>
              <w:spacing w:line="240" w:lineRule="auto"/>
              <w:jc w:val="left"/>
              <w:rPr>
                <w:b/>
                <w:sz w:val="22"/>
                <w:szCs w:val="22"/>
                <w:lang w:val="pt-PT"/>
              </w:rPr>
            </w:pPr>
            <w:r w:rsidRPr="00C53640">
              <w:rPr>
                <w:b/>
                <w:bCs/>
                <w:sz w:val="22"/>
                <w:szCs w:val="22"/>
                <w:lang w:val="pt-PT"/>
              </w:rPr>
              <w:t>Portugal</w:t>
            </w:r>
          </w:p>
          <w:p w14:paraId="3EE1DADF" w14:textId="77777777" w:rsidR="00A610E1" w:rsidRPr="00C53640" w:rsidRDefault="00A610E1" w:rsidP="00A610E1">
            <w:pPr>
              <w:pStyle w:val="BodyText"/>
              <w:spacing w:line="240" w:lineRule="auto"/>
              <w:jc w:val="left"/>
              <w:rPr>
                <w:sz w:val="22"/>
                <w:szCs w:val="22"/>
                <w:lang w:val="pt-PT" w:eastAsia="ja-JP"/>
              </w:rPr>
            </w:pPr>
            <w:r w:rsidRPr="00C53640">
              <w:rPr>
                <w:sz w:val="22"/>
                <w:szCs w:val="22"/>
                <w:lang w:val="pt-PT" w:eastAsia="ja-JP"/>
              </w:rPr>
              <w:t>Boehringer Ingelheim Portugal, Lda.</w:t>
            </w:r>
          </w:p>
          <w:p w14:paraId="79968469" w14:textId="77777777" w:rsidR="00A610E1" w:rsidRPr="00BD22FE" w:rsidRDefault="00A610E1" w:rsidP="00A610E1">
            <w:pPr>
              <w:pStyle w:val="BodyText"/>
              <w:spacing w:line="240" w:lineRule="auto"/>
              <w:jc w:val="left"/>
              <w:rPr>
                <w:sz w:val="22"/>
                <w:szCs w:val="22"/>
                <w:lang w:val="pl-PL" w:eastAsia="ja-JP"/>
              </w:rPr>
            </w:pPr>
            <w:r w:rsidRPr="00BD22FE">
              <w:rPr>
                <w:sz w:val="22"/>
                <w:szCs w:val="22"/>
                <w:lang w:val="pl-PL" w:eastAsia="ja-JP"/>
              </w:rPr>
              <w:t>Tel: +351 21 313 53 00</w:t>
            </w:r>
          </w:p>
          <w:p w14:paraId="1E62BA77" w14:textId="77777777" w:rsidR="00A610E1" w:rsidRPr="00BD22FE" w:rsidRDefault="00A610E1" w:rsidP="00A610E1">
            <w:pPr>
              <w:pStyle w:val="BodyText"/>
              <w:spacing w:line="240" w:lineRule="auto"/>
              <w:jc w:val="left"/>
              <w:rPr>
                <w:sz w:val="22"/>
                <w:szCs w:val="22"/>
                <w:lang w:val="pl-PL"/>
              </w:rPr>
            </w:pPr>
          </w:p>
        </w:tc>
      </w:tr>
      <w:tr w:rsidR="00A610E1" w:rsidRPr="00BD22FE" w14:paraId="4825A31F" w14:textId="77777777" w:rsidTr="00A610E1">
        <w:tc>
          <w:tcPr>
            <w:tcW w:w="2500" w:type="pct"/>
          </w:tcPr>
          <w:p w14:paraId="04114EBD" w14:textId="77777777" w:rsidR="00A610E1" w:rsidRPr="00DE4C52" w:rsidRDefault="00A610E1" w:rsidP="00A610E1">
            <w:pPr>
              <w:pStyle w:val="HeadNoNum1"/>
              <w:suppressAutoHyphens w:val="0"/>
              <w:rPr>
                <w:noProof w:val="0"/>
                <w:lang w:val="de-DE"/>
              </w:rPr>
            </w:pPr>
            <w:r w:rsidRPr="00DE4C52">
              <w:rPr>
                <w:noProof w:val="0"/>
                <w:szCs w:val="22"/>
                <w:lang w:val="de-DE"/>
              </w:rPr>
              <w:br w:type="page"/>
            </w:r>
            <w:r w:rsidRPr="00DE4C52">
              <w:rPr>
                <w:noProof w:val="0"/>
                <w:lang w:val="de-DE"/>
              </w:rPr>
              <w:t>Hrvatska</w:t>
            </w:r>
          </w:p>
          <w:p w14:paraId="2706547F" w14:textId="77777777" w:rsidR="00A610E1" w:rsidRPr="00DE4C52" w:rsidRDefault="00A610E1" w:rsidP="00A610E1">
            <w:pPr>
              <w:pStyle w:val="HeadNoNum1"/>
              <w:suppressAutoHyphens w:val="0"/>
              <w:rPr>
                <w:b w:val="0"/>
                <w:noProof w:val="0"/>
                <w:lang w:val="de-DE"/>
              </w:rPr>
            </w:pPr>
            <w:r w:rsidRPr="00DE4C52">
              <w:rPr>
                <w:b w:val="0"/>
                <w:noProof w:val="0"/>
                <w:lang w:val="de-DE"/>
              </w:rPr>
              <w:t>Boehringer Ingelheim Zagreb d.o.o.</w:t>
            </w:r>
          </w:p>
          <w:p w14:paraId="38E44994" w14:textId="77777777" w:rsidR="00A610E1" w:rsidRPr="00BD22FE" w:rsidRDefault="00A610E1" w:rsidP="00A610E1">
            <w:pPr>
              <w:pStyle w:val="HeadNoNum1"/>
              <w:suppressAutoHyphens w:val="0"/>
              <w:rPr>
                <w:b w:val="0"/>
                <w:noProof w:val="0"/>
                <w:lang w:val="pl-PL"/>
              </w:rPr>
            </w:pPr>
            <w:r w:rsidRPr="00BD22FE">
              <w:rPr>
                <w:b w:val="0"/>
                <w:noProof w:val="0"/>
                <w:lang w:val="pl-PL"/>
              </w:rPr>
              <w:t>Tel: +385 1 2444 600</w:t>
            </w:r>
          </w:p>
          <w:p w14:paraId="28E78A82" w14:textId="77777777" w:rsidR="00A610E1" w:rsidRPr="00BD22FE" w:rsidRDefault="00A610E1" w:rsidP="00A610E1">
            <w:pPr>
              <w:pStyle w:val="BodyText"/>
              <w:spacing w:line="240" w:lineRule="auto"/>
              <w:jc w:val="left"/>
              <w:rPr>
                <w:sz w:val="22"/>
                <w:szCs w:val="22"/>
                <w:lang w:val="pl-PL"/>
              </w:rPr>
            </w:pPr>
          </w:p>
        </w:tc>
        <w:tc>
          <w:tcPr>
            <w:tcW w:w="2500" w:type="pct"/>
          </w:tcPr>
          <w:p w14:paraId="55B96B9A" w14:textId="77777777" w:rsidR="00A610E1" w:rsidRPr="00BD22FE" w:rsidRDefault="00A610E1" w:rsidP="00A610E1">
            <w:pPr>
              <w:pStyle w:val="BodyText"/>
              <w:spacing w:line="240" w:lineRule="auto"/>
              <w:jc w:val="left"/>
              <w:rPr>
                <w:b/>
                <w:bCs/>
                <w:sz w:val="22"/>
                <w:szCs w:val="22"/>
                <w:lang w:val="pl-PL"/>
              </w:rPr>
            </w:pPr>
            <w:r w:rsidRPr="00BD22FE">
              <w:rPr>
                <w:b/>
                <w:bCs/>
                <w:sz w:val="22"/>
                <w:szCs w:val="22"/>
                <w:lang w:val="pl-PL"/>
              </w:rPr>
              <w:t>România</w:t>
            </w:r>
          </w:p>
          <w:p w14:paraId="4561CCA2" w14:textId="0942EF0A" w:rsidR="00A610E1" w:rsidRPr="00BD22FE" w:rsidRDefault="00A610E1" w:rsidP="00A610E1">
            <w:pPr>
              <w:pStyle w:val="BodyText"/>
              <w:spacing w:line="240" w:lineRule="auto"/>
              <w:jc w:val="left"/>
              <w:rPr>
                <w:sz w:val="22"/>
                <w:szCs w:val="22"/>
                <w:lang w:val="pl-PL"/>
              </w:rPr>
            </w:pPr>
            <w:r w:rsidRPr="00BD22FE">
              <w:rPr>
                <w:sz w:val="22"/>
                <w:szCs w:val="22"/>
                <w:lang w:val="pl-PL"/>
              </w:rPr>
              <w:t>Boehringer Ingelheim RCV GmbH &amp; Co KG Viena - Sucursala Bucureşti</w:t>
            </w:r>
          </w:p>
          <w:p w14:paraId="53F44CF3" w14:textId="77777777" w:rsidR="00A610E1" w:rsidRPr="00BD22FE" w:rsidRDefault="00A610E1" w:rsidP="00A610E1">
            <w:pPr>
              <w:pStyle w:val="BodyText"/>
              <w:spacing w:line="240" w:lineRule="auto"/>
              <w:jc w:val="left"/>
              <w:rPr>
                <w:sz w:val="22"/>
                <w:szCs w:val="22"/>
                <w:lang w:val="pl-PL"/>
              </w:rPr>
            </w:pPr>
            <w:r w:rsidRPr="00BD22FE">
              <w:rPr>
                <w:sz w:val="22"/>
                <w:szCs w:val="22"/>
                <w:lang w:val="pl-PL"/>
              </w:rPr>
              <w:t>Tel: +40 21 302 28 00</w:t>
            </w:r>
          </w:p>
          <w:p w14:paraId="5E38E7E8" w14:textId="77777777" w:rsidR="00A610E1" w:rsidRPr="00BD22FE" w:rsidRDefault="00A610E1" w:rsidP="00A610E1">
            <w:pPr>
              <w:pStyle w:val="BodyText"/>
              <w:spacing w:line="240" w:lineRule="auto"/>
              <w:jc w:val="left"/>
              <w:rPr>
                <w:sz w:val="22"/>
                <w:szCs w:val="22"/>
                <w:lang w:val="pl-PL"/>
              </w:rPr>
            </w:pPr>
          </w:p>
        </w:tc>
      </w:tr>
      <w:tr w:rsidR="00A610E1" w:rsidRPr="00BD22FE" w14:paraId="522D51CA" w14:textId="77777777" w:rsidTr="00A610E1">
        <w:tc>
          <w:tcPr>
            <w:tcW w:w="2500" w:type="pct"/>
          </w:tcPr>
          <w:p w14:paraId="66EFAF0E" w14:textId="77777777" w:rsidR="00A610E1" w:rsidRPr="009D16CE" w:rsidRDefault="00A610E1" w:rsidP="00A610E1">
            <w:pPr>
              <w:pStyle w:val="BodyText"/>
              <w:spacing w:line="240" w:lineRule="auto"/>
              <w:jc w:val="left"/>
              <w:rPr>
                <w:b/>
                <w:sz w:val="22"/>
                <w:szCs w:val="22"/>
                <w:lang w:val="de-DE"/>
              </w:rPr>
            </w:pPr>
            <w:r w:rsidRPr="009D16CE">
              <w:rPr>
                <w:b/>
                <w:bCs/>
                <w:sz w:val="22"/>
                <w:szCs w:val="22"/>
                <w:lang w:val="de-DE"/>
              </w:rPr>
              <w:t>Ireland</w:t>
            </w:r>
          </w:p>
          <w:p w14:paraId="141BA147" w14:textId="77777777" w:rsidR="00A610E1" w:rsidRPr="009D16CE" w:rsidRDefault="00A610E1" w:rsidP="00A610E1">
            <w:pPr>
              <w:pStyle w:val="BodyText"/>
              <w:spacing w:line="240" w:lineRule="auto"/>
              <w:jc w:val="left"/>
              <w:rPr>
                <w:sz w:val="22"/>
                <w:szCs w:val="22"/>
                <w:lang w:val="de-DE" w:eastAsia="ja-JP"/>
              </w:rPr>
            </w:pPr>
            <w:r w:rsidRPr="009D16CE">
              <w:rPr>
                <w:sz w:val="22"/>
                <w:szCs w:val="22"/>
                <w:lang w:val="de-DE" w:eastAsia="ja-JP"/>
              </w:rPr>
              <w:t>Boehringer Ingelheim Ireland Ltd.</w:t>
            </w:r>
          </w:p>
          <w:p w14:paraId="0306D792" w14:textId="77777777" w:rsidR="00A610E1" w:rsidRPr="00BD22FE" w:rsidRDefault="00A610E1" w:rsidP="00A610E1">
            <w:pPr>
              <w:pStyle w:val="BodyText"/>
              <w:spacing w:line="240" w:lineRule="auto"/>
              <w:jc w:val="left"/>
              <w:rPr>
                <w:sz w:val="22"/>
                <w:szCs w:val="22"/>
                <w:lang w:val="pl-PL"/>
              </w:rPr>
            </w:pPr>
            <w:r w:rsidRPr="00BD22FE">
              <w:rPr>
                <w:sz w:val="22"/>
                <w:szCs w:val="22"/>
                <w:lang w:val="pl-PL" w:eastAsia="ja-JP"/>
              </w:rPr>
              <w:t>Tel: +353 1 295 9620</w:t>
            </w:r>
          </w:p>
        </w:tc>
        <w:tc>
          <w:tcPr>
            <w:tcW w:w="2500" w:type="pct"/>
          </w:tcPr>
          <w:p w14:paraId="3888A70C" w14:textId="77777777" w:rsidR="00A610E1" w:rsidRPr="009D16CE" w:rsidRDefault="00A610E1" w:rsidP="00A610E1">
            <w:pPr>
              <w:pStyle w:val="BodyText"/>
              <w:spacing w:line="240" w:lineRule="auto"/>
              <w:jc w:val="left"/>
              <w:rPr>
                <w:b/>
                <w:sz w:val="22"/>
                <w:szCs w:val="22"/>
                <w:lang w:val="pl-PL"/>
              </w:rPr>
            </w:pPr>
            <w:r w:rsidRPr="009D16CE">
              <w:rPr>
                <w:b/>
                <w:bCs/>
                <w:sz w:val="22"/>
                <w:szCs w:val="22"/>
                <w:lang w:val="pl-PL"/>
              </w:rPr>
              <w:t>Slovenija</w:t>
            </w:r>
          </w:p>
          <w:p w14:paraId="6D7D5B3D" w14:textId="77777777" w:rsidR="00A610E1" w:rsidRPr="009D16CE" w:rsidRDefault="00A610E1" w:rsidP="00A610E1">
            <w:pPr>
              <w:pStyle w:val="BodyText"/>
              <w:spacing w:line="240" w:lineRule="auto"/>
              <w:jc w:val="left"/>
              <w:rPr>
                <w:sz w:val="22"/>
                <w:szCs w:val="22"/>
                <w:lang w:val="pl-PL" w:eastAsia="ja-JP"/>
              </w:rPr>
            </w:pPr>
            <w:r w:rsidRPr="009D16CE">
              <w:rPr>
                <w:sz w:val="22"/>
                <w:szCs w:val="22"/>
                <w:lang w:val="pl-PL" w:eastAsia="ja-JP"/>
              </w:rPr>
              <w:t>Boehringer Ingelheim RCV GmbH &amp; Co KG</w:t>
            </w:r>
          </w:p>
          <w:p w14:paraId="7D2228DE" w14:textId="77777777" w:rsidR="00A610E1" w:rsidRPr="00BD22FE" w:rsidRDefault="00A610E1" w:rsidP="00A610E1">
            <w:pPr>
              <w:pStyle w:val="BodyText"/>
              <w:spacing w:line="240" w:lineRule="auto"/>
              <w:jc w:val="left"/>
              <w:rPr>
                <w:sz w:val="22"/>
                <w:szCs w:val="22"/>
                <w:lang w:val="pl-PL" w:eastAsia="ja-JP"/>
              </w:rPr>
            </w:pPr>
            <w:r w:rsidRPr="00BD22FE">
              <w:rPr>
                <w:sz w:val="22"/>
                <w:szCs w:val="22"/>
                <w:lang w:val="pl-PL" w:eastAsia="ja-JP"/>
              </w:rPr>
              <w:t>Podružnica Ljubljana</w:t>
            </w:r>
          </w:p>
          <w:p w14:paraId="2286DAA4" w14:textId="77777777" w:rsidR="00A610E1" w:rsidRPr="00BD22FE" w:rsidRDefault="00A610E1" w:rsidP="00A610E1">
            <w:pPr>
              <w:pStyle w:val="BodyText"/>
              <w:spacing w:line="240" w:lineRule="auto"/>
              <w:jc w:val="left"/>
              <w:rPr>
                <w:sz w:val="22"/>
                <w:szCs w:val="22"/>
                <w:lang w:val="pl-PL" w:eastAsia="ja-JP"/>
              </w:rPr>
            </w:pPr>
            <w:r w:rsidRPr="00BD22FE">
              <w:rPr>
                <w:sz w:val="22"/>
                <w:szCs w:val="22"/>
                <w:lang w:val="pl-PL" w:eastAsia="ja-JP"/>
              </w:rPr>
              <w:t>Tel: +386 1 586 40 00</w:t>
            </w:r>
          </w:p>
          <w:p w14:paraId="2A7E8126" w14:textId="77777777" w:rsidR="00A610E1" w:rsidRPr="00BD22FE" w:rsidRDefault="00A610E1" w:rsidP="00A610E1">
            <w:pPr>
              <w:pStyle w:val="BodyText"/>
              <w:spacing w:line="240" w:lineRule="auto"/>
              <w:jc w:val="left"/>
              <w:rPr>
                <w:bCs/>
                <w:sz w:val="22"/>
                <w:szCs w:val="22"/>
                <w:lang w:val="pl-PL"/>
              </w:rPr>
            </w:pPr>
          </w:p>
        </w:tc>
      </w:tr>
      <w:tr w:rsidR="00A610E1" w:rsidRPr="00BD22FE" w14:paraId="23D027D3" w14:textId="77777777" w:rsidTr="00A610E1">
        <w:tc>
          <w:tcPr>
            <w:tcW w:w="2500" w:type="pct"/>
          </w:tcPr>
          <w:p w14:paraId="2FA79B0F" w14:textId="77777777" w:rsidR="00A610E1" w:rsidRPr="00BD22FE" w:rsidRDefault="00A610E1" w:rsidP="00A610E1">
            <w:pPr>
              <w:pStyle w:val="BodyText"/>
              <w:keepNext/>
              <w:spacing w:line="240" w:lineRule="auto"/>
              <w:jc w:val="left"/>
              <w:rPr>
                <w:b/>
                <w:bCs/>
                <w:sz w:val="22"/>
                <w:szCs w:val="22"/>
                <w:lang w:val="pl-PL"/>
              </w:rPr>
            </w:pPr>
            <w:r w:rsidRPr="00BD22FE">
              <w:rPr>
                <w:b/>
                <w:bCs/>
                <w:sz w:val="22"/>
                <w:szCs w:val="22"/>
                <w:lang w:val="pl-PL"/>
              </w:rPr>
              <w:lastRenderedPageBreak/>
              <w:t>Ísland</w:t>
            </w:r>
          </w:p>
          <w:p w14:paraId="4BF45EC6" w14:textId="77777777" w:rsidR="00A610E1" w:rsidRPr="00BD22FE" w:rsidRDefault="00A610E1" w:rsidP="00A610E1">
            <w:pPr>
              <w:pStyle w:val="BodyText"/>
              <w:spacing w:line="240" w:lineRule="auto"/>
              <w:jc w:val="left"/>
              <w:rPr>
                <w:sz w:val="22"/>
                <w:szCs w:val="22"/>
                <w:lang w:val="pl-PL" w:eastAsia="ja-JP"/>
              </w:rPr>
            </w:pPr>
            <w:r w:rsidRPr="00BD22FE">
              <w:rPr>
                <w:sz w:val="22"/>
                <w:szCs w:val="22"/>
                <w:lang w:val="pl-PL" w:eastAsia="ja-JP"/>
              </w:rPr>
              <w:t>Vistor ehf.</w:t>
            </w:r>
          </w:p>
          <w:p w14:paraId="78E4A0FA" w14:textId="77777777" w:rsidR="00A610E1" w:rsidRPr="00BD22FE" w:rsidRDefault="00A610E1" w:rsidP="00A610E1">
            <w:pPr>
              <w:pStyle w:val="BodyText"/>
              <w:spacing w:line="240" w:lineRule="auto"/>
              <w:jc w:val="left"/>
              <w:rPr>
                <w:sz w:val="22"/>
                <w:szCs w:val="22"/>
                <w:lang w:val="pl-PL"/>
              </w:rPr>
            </w:pPr>
            <w:r w:rsidRPr="00BD22FE">
              <w:rPr>
                <w:sz w:val="22"/>
                <w:szCs w:val="22"/>
                <w:lang w:val="pl-PL"/>
              </w:rPr>
              <w:t>Sími</w:t>
            </w:r>
            <w:r w:rsidRPr="00BD22FE">
              <w:rPr>
                <w:sz w:val="22"/>
                <w:szCs w:val="22"/>
                <w:lang w:val="pl-PL" w:eastAsia="ja-JP"/>
              </w:rPr>
              <w:t>: +354 535 7000</w:t>
            </w:r>
          </w:p>
          <w:p w14:paraId="760088DC" w14:textId="77777777" w:rsidR="00A610E1" w:rsidRPr="00BD22FE" w:rsidRDefault="00A610E1" w:rsidP="00A610E1">
            <w:pPr>
              <w:pStyle w:val="BodyText"/>
              <w:spacing w:line="240" w:lineRule="auto"/>
              <w:jc w:val="left"/>
              <w:rPr>
                <w:bCs/>
                <w:sz w:val="22"/>
                <w:szCs w:val="22"/>
                <w:lang w:val="pl-PL"/>
              </w:rPr>
            </w:pPr>
          </w:p>
        </w:tc>
        <w:tc>
          <w:tcPr>
            <w:tcW w:w="2500" w:type="pct"/>
          </w:tcPr>
          <w:p w14:paraId="0D8F4B73" w14:textId="77777777" w:rsidR="00A610E1" w:rsidRPr="00DE4C52" w:rsidRDefault="00A610E1" w:rsidP="00A610E1">
            <w:pPr>
              <w:pStyle w:val="BodyText"/>
              <w:spacing w:line="240" w:lineRule="auto"/>
              <w:jc w:val="left"/>
              <w:rPr>
                <w:b/>
                <w:bCs/>
                <w:sz w:val="22"/>
                <w:szCs w:val="22"/>
                <w:lang w:val="de-DE"/>
              </w:rPr>
            </w:pPr>
            <w:r w:rsidRPr="00DE4C52">
              <w:rPr>
                <w:b/>
                <w:bCs/>
                <w:sz w:val="22"/>
                <w:szCs w:val="22"/>
                <w:lang w:val="de-DE"/>
              </w:rPr>
              <w:t>Slovenská republika</w:t>
            </w:r>
          </w:p>
          <w:p w14:paraId="4D4E2111" w14:textId="77777777" w:rsidR="00A610E1" w:rsidRPr="00DE4C52" w:rsidRDefault="00A610E1" w:rsidP="00A610E1">
            <w:pPr>
              <w:pStyle w:val="BodyText"/>
              <w:spacing w:line="240" w:lineRule="auto"/>
              <w:jc w:val="left"/>
              <w:rPr>
                <w:sz w:val="22"/>
                <w:szCs w:val="22"/>
                <w:lang w:val="de-DE" w:eastAsia="ja-JP"/>
              </w:rPr>
            </w:pPr>
            <w:r w:rsidRPr="00DE4C52">
              <w:rPr>
                <w:sz w:val="22"/>
                <w:szCs w:val="22"/>
                <w:lang w:val="de-DE" w:eastAsia="ja-JP"/>
              </w:rPr>
              <w:t>Boehringer Ingelheim RCV GmbH &amp; Co KG</w:t>
            </w:r>
          </w:p>
          <w:p w14:paraId="49575C0C" w14:textId="77777777" w:rsidR="00A610E1" w:rsidRPr="00BD22FE" w:rsidRDefault="00A610E1" w:rsidP="00A610E1">
            <w:pPr>
              <w:pStyle w:val="BodyText"/>
              <w:spacing w:line="240" w:lineRule="auto"/>
              <w:jc w:val="left"/>
              <w:rPr>
                <w:sz w:val="22"/>
                <w:szCs w:val="22"/>
                <w:lang w:val="pl-PL" w:eastAsia="de-DE"/>
              </w:rPr>
            </w:pPr>
            <w:r w:rsidRPr="00BD22FE">
              <w:rPr>
                <w:sz w:val="22"/>
                <w:szCs w:val="22"/>
                <w:lang w:val="pl-PL" w:eastAsia="de-DE"/>
              </w:rPr>
              <w:t>organizačná zložka</w:t>
            </w:r>
          </w:p>
          <w:p w14:paraId="37730E27" w14:textId="77777777" w:rsidR="00A610E1" w:rsidRPr="00BD22FE" w:rsidRDefault="00A610E1" w:rsidP="00A610E1">
            <w:pPr>
              <w:pStyle w:val="BodyText"/>
              <w:spacing w:line="240" w:lineRule="auto"/>
              <w:jc w:val="left"/>
              <w:rPr>
                <w:sz w:val="22"/>
                <w:szCs w:val="22"/>
                <w:lang w:val="pl-PL" w:eastAsia="de-DE"/>
              </w:rPr>
            </w:pPr>
            <w:r w:rsidRPr="00BD22FE">
              <w:rPr>
                <w:sz w:val="22"/>
                <w:szCs w:val="22"/>
                <w:lang w:val="pl-PL" w:eastAsia="de-DE"/>
              </w:rPr>
              <w:t>Tel: +421 2 5810 1211</w:t>
            </w:r>
          </w:p>
          <w:p w14:paraId="53F2C72F" w14:textId="77777777" w:rsidR="00A610E1" w:rsidRPr="00BD22FE" w:rsidRDefault="00A610E1" w:rsidP="00A610E1">
            <w:pPr>
              <w:pStyle w:val="BodyText"/>
              <w:spacing w:line="240" w:lineRule="auto"/>
              <w:jc w:val="left"/>
              <w:rPr>
                <w:sz w:val="22"/>
                <w:szCs w:val="22"/>
                <w:lang w:val="pl-PL"/>
              </w:rPr>
            </w:pPr>
          </w:p>
        </w:tc>
      </w:tr>
      <w:tr w:rsidR="00A610E1" w:rsidRPr="00C53640" w14:paraId="538F646C" w14:textId="77777777" w:rsidTr="00A610E1">
        <w:tc>
          <w:tcPr>
            <w:tcW w:w="2500" w:type="pct"/>
          </w:tcPr>
          <w:p w14:paraId="039483A7" w14:textId="77777777" w:rsidR="00A610E1" w:rsidRPr="00DE4C52" w:rsidRDefault="00A610E1" w:rsidP="00A610E1">
            <w:pPr>
              <w:pStyle w:val="BodyText"/>
              <w:spacing w:line="240" w:lineRule="auto"/>
              <w:jc w:val="left"/>
              <w:rPr>
                <w:b/>
                <w:sz w:val="22"/>
                <w:szCs w:val="22"/>
                <w:lang w:val="de-DE"/>
              </w:rPr>
            </w:pPr>
            <w:r w:rsidRPr="00DE4C52">
              <w:rPr>
                <w:b/>
                <w:bCs/>
                <w:sz w:val="22"/>
                <w:szCs w:val="22"/>
                <w:lang w:val="de-DE"/>
              </w:rPr>
              <w:t>Italia</w:t>
            </w:r>
          </w:p>
          <w:p w14:paraId="738B4168" w14:textId="77777777" w:rsidR="00A610E1" w:rsidRPr="00DE4C52" w:rsidRDefault="00A610E1" w:rsidP="00A610E1">
            <w:pPr>
              <w:pStyle w:val="BodyText"/>
              <w:spacing w:line="240" w:lineRule="auto"/>
              <w:jc w:val="left"/>
              <w:rPr>
                <w:sz w:val="22"/>
                <w:szCs w:val="22"/>
                <w:lang w:val="de-DE" w:eastAsia="ja-JP"/>
              </w:rPr>
            </w:pPr>
            <w:r w:rsidRPr="00DE4C52">
              <w:rPr>
                <w:sz w:val="22"/>
                <w:szCs w:val="22"/>
                <w:lang w:val="de-DE" w:eastAsia="ja-JP"/>
              </w:rPr>
              <w:t>Boehringer Ingelheim Italia S.p.A.</w:t>
            </w:r>
          </w:p>
          <w:p w14:paraId="40592546" w14:textId="77777777" w:rsidR="00A610E1" w:rsidRPr="00BD22FE" w:rsidRDefault="00A610E1" w:rsidP="00A610E1">
            <w:pPr>
              <w:pStyle w:val="BodyText"/>
              <w:spacing w:line="240" w:lineRule="auto"/>
              <w:jc w:val="left"/>
              <w:rPr>
                <w:bCs/>
                <w:sz w:val="22"/>
                <w:szCs w:val="22"/>
                <w:lang w:val="pl-PL"/>
              </w:rPr>
            </w:pPr>
            <w:r w:rsidRPr="00BD22FE">
              <w:rPr>
                <w:sz w:val="22"/>
                <w:szCs w:val="22"/>
                <w:lang w:val="pl-PL" w:eastAsia="ja-JP"/>
              </w:rPr>
              <w:t>Tel: +39 02 5355 1</w:t>
            </w:r>
          </w:p>
        </w:tc>
        <w:tc>
          <w:tcPr>
            <w:tcW w:w="2500" w:type="pct"/>
          </w:tcPr>
          <w:p w14:paraId="36F7B6E3" w14:textId="77777777" w:rsidR="00A610E1" w:rsidRPr="00DE4C52" w:rsidRDefault="00A610E1" w:rsidP="00A610E1">
            <w:pPr>
              <w:pStyle w:val="BodyText"/>
              <w:spacing w:line="240" w:lineRule="auto"/>
              <w:jc w:val="left"/>
              <w:rPr>
                <w:b/>
                <w:sz w:val="22"/>
                <w:szCs w:val="22"/>
                <w:lang w:val="de-DE"/>
              </w:rPr>
            </w:pPr>
            <w:r w:rsidRPr="00DE4C52">
              <w:rPr>
                <w:b/>
                <w:bCs/>
                <w:sz w:val="22"/>
                <w:szCs w:val="22"/>
                <w:lang w:val="de-DE"/>
              </w:rPr>
              <w:t>Suomi/Finland</w:t>
            </w:r>
          </w:p>
          <w:p w14:paraId="582FEEBE" w14:textId="77777777" w:rsidR="00A610E1" w:rsidRPr="00DE4C52" w:rsidRDefault="00A610E1" w:rsidP="00A610E1">
            <w:pPr>
              <w:pStyle w:val="BodyText"/>
              <w:spacing w:line="240" w:lineRule="auto"/>
              <w:jc w:val="left"/>
              <w:rPr>
                <w:sz w:val="22"/>
                <w:szCs w:val="22"/>
                <w:lang w:val="de-DE" w:eastAsia="ja-JP"/>
              </w:rPr>
            </w:pPr>
            <w:r w:rsidRPr="00DE4C52">
              <w:rPr>
                <w:sz w:val="22"/>
                <w:szCs w:val="22"/>
                <w:lang w:val="de-DE" w:eastAsia="ja-JP"/>
              </w:rPr>
              <w:t>Boehringer Ingelheim Finland Ky</w:t>
            </w:r>
          </w:p>
          <w:p w14:paraId="41E6C56A" w14:textId="77777777" w:rsidR="00A610E1" w:rsidRPr="00BD22FE" w:rsidRDefault="00A610E1" w:rsidP="00A610E1">
            <w:pPr>
              <w:pStyle w:val="BodyText"/>
              <w:spacing w:line="240" w:lineRule="auto"/>
              <w:jc w:val="left"/>
              <w:rPr>
                <w:sz w:val="22"/>
                <w:szCs w:val="22"/>
                <w:lang w:val="pl-PL"/>
              </w:rPr>
            </w:pPr>
            <w:r w:rsidRPr="00BD22FE">
              <w:rPr>
                <w:sz w:val="22"/>
                <w:szCs w:val="22"/>
                <w:lang w:val="pl-PL" w:eastAsia="ja-JP"/>
              </w:rPr>
              <w:t>Puh/Tel: +358 10 3102 800</w:t>
            </w:r>
          </w:p>
          <w:p w14:paraId="4D305DE8" w14:textId="77777777" w:rsidR="00A610E1" w:rsidRPr="00BD22FE" w:rsidRDefault="00A610E1" w:rsidP="00A610E1">
            <w:pPr>
              <w:pStyle w:val="BodyText"/>
              <w:spacing w:line="240" w:lineRule="auto"/>
              <w:jc w:val="left"/>
              <w:rPr>
                <w:bCs/>
                <w:sz w:val="22"/>
                <w:szCs w:val="22"/>
                <w:lang w:val="pl-PL"/>
              </w:rPr>
            </w:pPr>
          </w:p>
        </w:tc>
      </w:tr>
      <w:tr w:rsidR="00A610E1" w:rsidRPr="00DE4C52" w14:paraId="4BF77D45" w14:textId="77777777" w:rsidTr="00A610E1">
        <w:tc>
          <w:tcPr>
            <w:tcW w:w="2500" w:type="pct"/>
          </w:tcPr>
          <w:p w14:paraId="3F0C6697" w14:textId="77777777" w:rsidR="00A610E1" w:rsidRPr="00DE4C52" w:rsidRDefault="00A610E1" w:rsidP="00A610E1">
            <w:pPr>
              <w:pStyle w:val="BodyText"/>
              <w:spacing w:line="240" w:lineRule="auto"/>
              <w:jc w:val="left"/>
              <w:rPr>
                <w:b/>
                <w:bCs/>
                <w:sz w:val="22"/>
                <w:szCs w:val="22"/>
                <w:lang w:val="en-US"/>
              </w:rPr>
            </w:pPr>
            <w:r w:rsidRPr="00BD22FE">
              <w:rPr>
                <w:b/>
                <w:bCs/>
                <w:sz w:val="22"/>
                <w:szCs w:val="22"/>
                <w:lang w:val="pl-PL"/>
              </w:rPr>
              <w:t>Κύπρος</w:t>
            </w:r>
          </w:p>
          <w:p w14:paraId="59C88326" w14:textId="77777777" w:rsidR="00A610E1" w:rsidRPr="00DE4C52" w:rsidRDefault="00A610E1" w:rsidP="00A610E1">
            <w:pPr>
              <w:rPr>
                <w:sz w:val="22"/>
                <w:szCs w:val="22"/>
                <w:lang w:eastAsia="ja-JP"/>
              </w:rPr>
            </w:pPr>
            <w:r w:rsidRPr="00DE4C52">
              <w:rPr>
                <w:sz w:val="22"/>
                <w:szCs w:val="22"/>
                <w:lang w:eastAsia="ja-JP"/>
              </w:rPr>
              <w:t xml:space="preserve">Boehringer Ingelheim </w:t>
            </w:r>
            <w:r w:rsidRPr="00BD22FE">
              <w:rPr>
                <w:sz w:val="22"/>
                <w:szCs w:val="22"/>
                <w:lang w:val="pl-PL" w:eastAsia="ja-JP"/>
              </w:rPr>
              <w:t>Ελλάς</w:t>
            </w:r>
            <w:r w:rsidRPr="00DE4C52">
              <w:rPr>
                <w:sz w:val="22"/>
                <w:szCs w:val="22"/>
                <w:lang w:eastAsia="ja-JP"/>
              </w:rPr>
              <w:t xml:space="preserve"> </w:t>
            </w:r>
            <w:r w:rsidRPr="00BD22FE">
              <w:rPr>
                <w:sz w:val="22"/>
                <w:szCs w:val="22"/>
                <w:lang w:val="pl-PL" w:eastAsia="ja-JP"/>
              </w:rPr>
              <w:t>Μονοπρόσωπη</w:t>
            </w:r>
            <w:r w:rsidRPr="00DE4C52">
              <w:rPr>
                <w:sz w:val="22"/>
                <w:szCs w:val="22"/>
                <w:lang w:eastAsia="ja-JP"/>
              </w:rPr>
              <w:t xml:space="preserve"> </w:t>
            </w:r>
            <w:r w:rsidRPr="00BD22FE">
              <w:rPr>
                <w:sz w:val="22"/>
                <w:szCs w:val="22"/>
                <w:lang w:val="pl-PL" w:eastAsia="ja-JP"/>
              </w:rPr>
              <w:t>Α</w:t>
            </w:r>
            <w:r w:rsidRPr="00DE4C52">
              <w:rPr>
                <w:sz w:val="22"/>
                <w:szCs w:val="22"/>
                <w:lang w:eastAsia="ja-JP"/>
              </w:rPr>
              <w:t>.</w:t>
            </w:r>
            <w:r w:rsidRPr="00BD22FE">
              <w:rPr>
                <w:sz w:val="22"/>
                <w:szCs w:val="22"/>
                <w:lang w:val="pl-PL" w:eastAsia="ja-JP"/>
              </w:rPr>
              <w:t>Ε</w:t>
            </w:r>
            <w:r w:rsidRPr="00DE4C52">
              <w:rPr>
                <w:sz w:val="22"/>
                <w:szCs w:val="22"/>
                <w:lang w:eastAsia="ja-JP"/>
              </w:rPr>
              <w:t>.</w:t>
            </w:r>
          </w:p>
          <w:p w14:paraId="7C5C2FE7" w14:textId="77777777" w:rsidR="00A610E1" w:rsidRPr="00BD22FE" w:rsidRDefault="00A610E1" w:rsidP="00A610E1">
            <w:pPr>
              <w:rPr>
                <w:sz w:val="22"/>
                <w:szCs w:val="22"/>
                <w:lang w:val="pl-PL" w:eastAsia="ja-JP"/>
              </w:rPr>
            </w:pPr>
            <w:r w:rsidRPr="00BD22FE">
              <w:rPr>
                <w:sz w:val="22"/>
                <w:szCs w:val="22"/>
                <w:lang w:val="pl-PL" w:eastAsia="ja-JP"/>
              </w:rPr>
              <w:t>Tηλ: +30 2 10 89 06 300</w:t>
            </w:r>
          </w:p>
          <w:p w14:paraId="77A6AEB8" w14:textId="77777777" w:rsidR="00A610E1" w:rsidRPr="00BD22FE" w:rsidRDefault="00A610E1" w:rsidP="00A610E1">
            <w:pPr>
              <w:pStyle w:val="BodyText"/>
              <w:spacing w:line="240" w:lineRule="auto"/>
              <w:jc w:val="left"/>
              <w:rPr>
                <w:sz w:val="22"/>
                <w:szCs w:val="22"/>
                <w:lang w:val="pl-PL"/>
              </w:rPr>
            </w:pPr>
          </w:p>
        </w:tc>
        <w:tc>
          <w:tcPr>
            <w:tcW w:w="2500" w:type="pct"/>
          </w:tcPr>
          <w:p w14:paraId="5089C825" w14:textId="77777777" w:rsidR="00A610E1" w:rsidRPr="009D16CE" w:rsidRDefault="00A610E1" w:rsidP="00A610E1">
            <w:pPr>
              <w:pStyle w:val="BodyText"/>
              <w:spacing w:line="240" w:lineRule="auto"/>
              <w:jc w:val="left"/>
              <w:rPr>
                <w:b/>
                <w:bCs/>
                <w:sz w:val="22"/>
                <w:szCs w:val="22"/>
                <w:lang w:val="de-DE"/>
              </w:rPr>
            </w:pPr>
            <w:r w:rsidRPr="009D16CE">
              <w:rPr>
                <w:b/>
                <w:bCs/>
                <w:sz w:val="22"/>
                <w:szCs w:val="22"/>
                <w:lang w:val="de-DE"/>
              </w:rPr>
              <w:t>Sverige</w:t>
            </w:r>
          </w:p>
          <w:p w14:paraId="50D024A8" w14:textId="77777777" w:rsidR="00A610E1" w:rsidRPr="009D16CE" w:rsidRDefault="00A610E1" w:rsidP="00A610E1">
            <w:pPr>
              <w:pStyle w:val="BodyText"/>
              <w:spacing w:line="240" w:lineRule="auto"/>
              <w:jc w:val="left"/>
              <w:rPr>
                <w:sz w:val="22"/>
                <w:szCs w:val="22"/>
                <w:lang w:val="de-DE" w:eastAsia="ja-JP"/>
              </w:rPr>
            </w:pPr>
            <w:r w:rsidRPr="009D16CE">
              <w:rPr>
                <w:sz w:val="22"/>
                <w:szCs w:val="22"/>
                <w:lang w:val="de-DE" w:eastAsia="ja-JP"/>
              </w:rPr>
              <w:t>Boehringer Ingelheim AB</w:t>
            </w:r>
          </w:p>
          <w:p w14:paraId="5C1B2C7A" w14:textId="77777777" w:rsidR="00A610E1" w:rsidRPr="009D16CE" w:rsidRDefault="00A610E1" w:rsidP="00A610E1">
            <w:pPr>
              <w:pStyle w:val="BodyText"/>
              <w:spacing w:line="240" w:lineRule="auto"/>
              <w:jc w:val="left"/>
              <w:rPr>
                <w:sz w:val="22"/>
                <w:szCs w:val="22"/>
                <w:lang w:val="de-DE" w:eastAsia="ja-JP"/>
              </w:rPr>
            </w:pPr>
            <w:r w:rsidRPr="009D16CE">
              <w:rPr>
                <w:sz w:val="22"/>
                <w:szCs w:val="22"/>
                <w:lang w:val="de-DE" w:eastAsia="ja-JP"/>
              </w:rPr>
              <w:t>Tel: +46 8 721 21 00</w:t>
            </w:r>
          </w:p>
          <w:p w14:paraId="1986304B" w14:textId="77777777" w:rsidR="00A610E1" w:rsidRPr="009D16CE" w:rsidRDefault="00A610E1" w:rsidP="00A610E1">
            <w:pPr>
              <w:pStyle w:val="BodyText"/>
              <w:spacing w:line="240" w:lineRule="auto"/>
              <w:jc w:val="left"/>
              <w:rPr>
                <w:sz w:val="22"/>
                <w:szCs w:val="22"/>
                <w:lang w:val="de-DE"/>
              </w:rPr>
            </w:pPr>
          </w:p>
        </w:tc>
      </w:tr>
      <w:tr w:rsidR="00A610E1" w:rsidRPr="00BD22FE" w14:paraId="1F7E52D5" w14:textId="77777777" w:rsidTr="00A610E1">
        <w:tc>
          <w:tcPr>
            <w:tcW w:w="2500" w:type="pct"/>
          </w:tcPr>
          <w:p w14:paraId="708D999A" w14:textId="77777777" w:rsidR="00A610E1" w:rsidRPr="009D16CE" w:rsidRDefault="00A610E1" w:rsidP="00A610E1">
            <w:pPr>
              <w:pStyle w:val="BodyText"/>
              <w:spacing w:line="240" w:lineRule="auto"/>
              <w:jc w:val="left"/>
              <w:rPr>
                <w:b/>
                <w:bCs/>
                <w:sz w:val="22"/>
                <w:szCs w:val="22"/>
                <w:lang w:val="de-DE"/>
              </w:rPr>
            </w:pPr>
            <w:r w:rsidRPr="009D16CE">
              <w:rPr>
                <w:b/>
                <w:bCs/>
                <w:sz w:val="22"/>
                <w:szCs w:val="22"/>
                <w:lang w:val="de-DE"/>
              </w:rPr>
              <w:t>Latvija</w:t>
            </w:r>
          </w:p>
          <w:p w14:paraId="034AAB79" w14:textId="77777777" w:rsidR="00A610E1" w:rsidRPr="009D16CE" w:rsidRDefault="00A610E1" w:rsidP="00A610E1">
            <w:pPr>
              <w:rPr>
                <w:sz w:val="22"/>
                <w:szCs w:val="22"/>
                <w:lang w:val="de-DE" w:eastAsia="ja-JP"/>
              </w:rPr>
            </w:pPr>
            <w:r w:rsidRPr="009D16CE">
              <w:rPr>
                <w:sz w:val="22"/>
                <w:szCs w:val="22"/>
                <w:lang w:val="de-DE" w:eastAsia="ja-JP"/>
              </w:rPr>
              <w:t>Boehringer Ingelheim RCV GmbH &amp; Co KG</w:t>
            </w:r>
          </w:p>
          <w:p w14:paraId="62A1049E" w14:textId="77777777" w:rsidR="00A610E1" w:rsidRPr="00BD22FE" w:rsidRDefault="00A610E1" w:rsidP="00A610E1">
            <w:pPr>
              <w:pStyle w:val="BodyText"/>
              <w:spacing w:line="240" w:lineRule="auto"/>
              <w:jc w:val="left"/>
              <w:rPr>
                <w:sz w:val="22"/>
                <w:szCs w:val="22"/>
                <w:lang w:val="pl-PL" w:eastAsia="ja-JP"/>
              </w:rPr>
            </w:pPr>
            <w:r w:rsidRPr="00BD22FE">
              <w:rPr>
                <w:sz w:val="22"/>
                <w:szCs w:val="22"/>
                <w:lang w:val="pl-PL"/>
              </w:rPr>
              <w:t>Latvijas filiāle</w:t>
            </w:r>
          </w:p>
          <w:p w14:paraId="563AFC10" w14:textId="77777777" w:rsidR="00A610E1" w:rsidRPr="00BD22FE" w:rsidRDefault="00A610E1" w:rsidP="00A610E1">
            <w:pPr>
              <w:pStyle w:val="BodyText"/>
              <w:spacing w:line="240" w:lineRule="auto"/>
              <w:jc w:val="left"/>
              <w:rPr>
                <w:sz w:val="22"/>
                <w:szCs w:val="22"/>
                <w:lang w:val="pl-PL"/>
              </w:rPr>
            </w:pPr>
            <w:r w:rsidRPr="00BD22FE">
              <w:rPr>
                <w:sz w:val="22"/>
                <w:szCs w:val="22"/>
                <w:lang w:val="pl-PL" w:eastAsia="ja-JP"/>
              </w:rPr>
              <w:t>Tel: +371 67 240 011</w:t>
            </w:r>
          </w:p>
          <w:p w14:paraId="2FE4DA6A" w14:textId="77777777" w:rsidR="00A610E1" w:rsidRPr="00BD22FE" w:rsidRDefault="00A610E1" w:rsidP="00A610E1">
            <w:pPr>
              <w:rPr>
                <w:sz w:val="22"/>
                <w:szCs w:val="22"/>
                <w:lang w:val="pl-PL"/>
              </w:rPr>
            </w:pPr>
          </w:p>
        </w:tc>
        <w:tc>
          <w:tcPr>
            <w:tcW w:w="2500" w:type="pct"/>
          </w:tcPr>
          <w:p w14:paraId="523A3E8C" w14:textId="77777777" w:rsidR="00A610E1" w:rsidRPr="00BD22FE" w:rsidRDefault="00A610E1" w:rsidP="00A610E1">
            <w:pPr>
              <w:rPr>
                <w:sz w:val="22"/>
                <w:szCs w:val="22"/>
                <w:lang w:val="pl-PL"/>
              </w:rPr>
            </w:pPr>
          </w:p>
        </w:tc>
      </w:tr>
    </w:tbl>
    <w:p w14:paraId="4C3C8447" w14:textId="77777777" w:rsidR="00A610E1" w:rsidRPr="00BD22FE" w:rsidRDefault="00A610E1" w:rsidP="00A610E1">
      <w:pPr>
        <w:pStyle w:val="BodyText"/>
        <w:spacing w:line="240" w:lineRule="auto"/>
        <w:jc w:val="left"/>
        <w:rPr>
          <w:sz w:val="22"/>
          <w:szCs w:val="22"/>
          <w:lang w:val="pl-PL"/>
        </w:rPr>
      </w:pPr>
    </w:p>
    <w:p w14:paraId="48AB7BE6" w14:textId="77777777" w:rsidR="00A610E1" w:rsidRPr="00BD22FE" w:rsidRDefault="00A610E1" w:rsidP="00A610E1">
      <w:pPr>
        <w:numPr>
          <w:ilvl w:val="12"/>
          <w:numId w:val="0"/>
        </w:numPr>
        <w:rPr>
          <w:sz w:val="22"/>
          <w:szCs w:val="22"/>
          <w:lang w:val="pl-PL" w:bidi="bn-IN"/>
        </w:rPr>
      </w:pPr>
      <w:r w:rsidRPr="00BD22FE">
        <w:rPr>
          <w:b/>
          <w:sz w:val="22"/>
          <w:szCs w:val="22"/>
          <w:lang w:val="pl-PL" w:bidi="bn-IN"/>
        </w:rPr>
        <w:t>Data ostatniej aktualizacji ulotki: {MM/RRRR}</w:t>
      </w:r>
    </w:p>
    <w:p w14:paraId="75BCF3CE" w14:textId="77777777" w:rsidR="00A610E1" w:rsidRPr="00BD22FE" w:rsidRDefault="00A610E1" w:rsidP="00A610E1">
      <w:pPr>
        <w:pStyle w:val="BodyText"/>
        <w:spacing w:line="240" w:lineRule="auto"/>
        <w:jc w:val="left"/>
        <w:rPr>
          <w:sz w:val="22"/>
          <w:szCs w:val="22"/>
          <w:lang w:val="pl-PL"/>
        </w:rPr>
      </w:pPr>
    </w:p>
    <w:p w14:paraId="6CE20A16" w14:textId="77777777" w:rsidR="00A610E1" w:rsidRPr="00BD22FE" w:rsidRDefault="00A610E1" w:rsidP="00A610E1">
      <w:pPr>
        <w:pStyle w:val="BodyText"/>
        <w:keepNext/>
        <w:spacing w:line="240" w:lineRule="auto"/>
        <w:jc w:val="left"/>
        <w:rPr>
          <w:b/>
          <w:sz w:val="22"/>
          <w:szCs w:val="22"/>
          <w:lang w:val="pl-PL"/>
        </w:rPr>
      </w:pPr>
      <w:r w:rsidRPr="00BD22FE">
        <w:rPr>
          <w:b/>
          <w:sz w:val="22"/>
          <w:szCs w:val="22"/>
          <w:lang w:val="pl-PL"/>
        </w:rPr>
        <w:t>Inne źródła informacji</w:t>
      </w:r>
    </w:p>
    <w:p w14:paraId="36A9EFB2" w14:textId="77777777" w:rsidR="00A610E1" w:rsidRPr="00BD22FE" w:rsidRDefault="00A610E1" w:rsidP="00A610E1">
      <w:pPr>
        <w:pStyle w:val="BodyText"/>
        <w:spacing w:line="240" w:lineRule="auto"/>
        <w:jc w:val="left"/>
        <w:rPr>
          <w:sz w:val="22"/>
          <w:szCs w:val="22"/>
          <w:lang w:val="pl-PL"/>
        </w:rPr>
      </w:pPr>
      <w:r w:rsidRPr="00BD22FE">
        <w:rPr>
          <w:sz w:val="22"/>
          <w:szCs w:val="22"/>
          <w:lang w:val="pl-PL"/>
        </w:rPr>
        <w:t xml:space="preserve">Szczegółowe informacje o tym leku znajdują się na stronie internetowej Europejskiej Agencji Leków </w:t>
      </w:r>
      <w:r>
        <w:fldChar w:fldCharType="begin"/>
      </w:r>
      <w:r>
        <w:instrText>HYPERLINK "https://www.ema.europa.eu"</w:instrText>
      </w:r>
      <w:r>
        <w:fldChar w:fldCharType="separate"/>
      </w:r>
      <w:r w:rsidRPr="00BD22FE">
        <w:rPr>
          <w:rStyle w:val="Hyperlink"/>
          <w:sz w:val="22"/>
          <w:szCs w:val="22"/>
          <w:lang w:val="pl-PL"/>
        </w:rPr>
        <w:t>https://www.ema.europa.eu</w:t>
      </w:r>
      <w:r>
        <w:fldChar w:fldCharType="end"/>
      </w:r>
      <w:r w:rsidRPr="00BD22FE">
        <w:rPr>
          <w:sz w:val="22"/>
          <w:szCs w:val="22"/>
          <w:lang w:val="pl-PL"/>
        </w:rPr>
        <w:t>.</w:t>
      </w:r>
    </w:p>
    <w:p w14:paraId="305D4353" w14:textId="77777777" w:rsidR="00A610E1" w:rsidRPr="00BD22FE" w:rsidRDefault="00A610E1" w:rsidP="00A610E1">
      <w:pPr>
        <w:pStyle w:val="BodyText"/>
        <w:spacing w:line="240" w:lineRule="auto"/>
        <w:jc w:val="left"/>
        <w:rPr>
          <w:sz w:val="22"/>
          <w:szCs w:val="22"/>
          <w:lang w:val="pl-PL"/>
        </w:rPr>
      </w:pPr>
    </w:p>
    <w:p w14:paraId="04ECA1D2" w14:textId="77777777" w:rsidR="00A610E1" w:rsidRPr="00BD22FE" w:rsidRDefault="00A610E1" w:rsidP="00A610E1">
      <w:pPr>
        <w:jc w:val="both"/>
        <w:rPr>
          <w:sz w:val="22"/>
          <w:szCs w:val="22"/>
          <w:lang w:val="pl-PL"/>
        </w:rPr>
      </w:pPr>
      <w:r w:rsidRPr="00BD22FE">
        <w:rPr>
          <w:b/>
          <w:sz w:val="22"/>
          <w:szCs w:val="22"/>
          <w:lang w:val="pl-PL"/>
        </w:rPr>
        <w:br w:type="page"/>
      </w:r>
    </w:p>
    <w:p w14:paraId="0508A087" w14:textId="14D67C95" w:rsidR="00A610E1" w:rsidRPr="00BD22FE" w:rsidRDefault="00A610E1" w:rsidP="00A610E1">
      <w:pPr>
        <w:pStyle w:val="BodyText"/>
        <w:spacing w:line="240" w:lineRule="auto"/>
        <w:jc w:val="center"/>
        <w:rPr>
          <w:b/>
          <w:sz w:val="22"/>
          <w:szCs w:val="22"/>
          <w:lang w:val="pl-PL" w:bidi="bn-IN"/>
        </w:rPr>
      </w:pPr>
      <w:r w:rsidRPr="00BD22FE">
        <w:rPr>
          <w:b/>
          <w:sz w:val="22"/>
          <w:szCs w:val="22"/>
          <w:lang w:val="pl-PL" w:bidi="bn-IN"/>
        </w:rPr>
        <w:lastRenderedPageBreak/>
        <w:t>Ulotka dołączona do opakowania: informacja dla użytkownika</w:t>
      </w:r>
    </w:p>
    <w:p w14:paraId="3703071A" w14:textId="77777777" w:rsidR="00A610E1" w:rsidRPr="00BD22FE" w:rsidRDefault="00A610E1" w:rsidP="00A610E1">
      <w:pPr>
        <w:pStyle w:val="BodyText"/>
        <w:spacing w:line="240" w:lineRule="auto"/>
        <w:jc w:val="center"/>
        <w:rPr>
          <w:sz w:val="22"/>
          <w:szCs w:val="22"/>
          <w:lang w:val="pl-PL"/>
        </w:rPr>
      </w:pPr>
    </w:p>
    <w:p w14:paraId="39B06820" w14:textId="77777777" w:rsidR="00A610E1" w:rsidRPr="00BD22FE" w:rsidRDefault="00A610E1" w:rsidP="00A610E1">
      <w:pPr>
        <w:pStyle w:val="BodyText"/>
        <w:spacing w:line="240" w:lineRule="auto"/>
        <w:jc w:val="center"/>
        <w:rPr>
          <w:b/>
          <w:sz w:val="22"/>
          <w:szCs w:val="22"/>
          <w:lang w:val="pl-PL"/>
        </w:rPr>
      </w:pPr>
      <w:r w:rsidRPr="00BD22FE">
        <w:rPr>
          <w:b/>
          <w:sz w:val="22"/>
          <w:szCs w:val="22"/>
          <w:lang w:val="pl-PL"/>
        </w:rPr>
        <w:t>MicardisPlus 80 mg/25 mg tabletki</w:t>
      </w:r>
    </w:p>
    <w:p w14:paraId="3F9762C0" w14:textId="77777777" w:rsidR="00A610E1" w:rsidRPr="00BD22FE" w:rsidRDefault="00A610E1" w:rsidP="00A610E1">
      <w:pPr>
        <w:pStyle w:val="BodyText"/>
        <w:spacing w:line="240" w:lineRule="auto"/>
        <w:jc w:val="center"/>
        <w:rPr>
          <w:sz w:val="22"/>
          <w:szCs w:val="22"/>
          <w:lang w:val="pl-PL"/>
        </w:rPr>
      </w:pPr>
      <w:r w:rsidRPr="00BD22FE">
        <w:rPr>
          <w:sz w:val="22"/>
          <w:szCs w:val="22"/>
          <w:lang w:val="pl-PL"/>
        </w:rPr>
        <w:t>telmisartan/hydrochlorotiazyd</w:t>
      </w:r>
    </w:p>
    <w:p w14:paraId="2DB43266" w14:textId="77777777" w:rsidR="00A610E1" w:rsidRPr="00BD22FE" w:rsidRDefault="00A610E1" w:rsidP="00A610E1">
      <w:pPr>
        <w:pStyle w:val="BodyText"/>
        <w:spacing w:line="240" w:lineRule="auto"/>
        <w:jc w:val="left"/>
        <w:rPr>
          <w:sz w:val="22"/>
          <w:szCs w:val="22"/>
          <w:lang w:val="pl-PL"/>
        </w:rPr>
      </w:pPr>
    </w:p>
    <w:p w14:paraId="74FE33F1" w14:textId="77777777" w:rsidR="00A610E1" w:rsidRPr="00BD22FE" w:rsidRDefault="00A610E1" w:rsidP="00A610E1">
      <w:pPr>
        <w:keepNext/>
        <w:rPr>
          <w:b/>
          <w:sz w:val="22"/>
          <w:szCs w:val="22"/>
          <w:lang w:val="pl-PL" w:bidi="bn-IN"/>
        </w:rPr>
      </w:pPr>
      <w:r w:rsidRPr="00BD22FE">
        <w:rPr>
          <w:b/>
          <w:sz w:val="22"/>
          <w:szCs w:val="22"/>
          <w:lang w:val="pl-PL" w:bidi="bn-IN"/>
        </w:rPr>
        <w:t>Należy uważnie zapoznać się z treścią ulotki przed zażyciem leku, ponieważ zawiera ona informacje ważne dla pacjenta.</w:t>
      </w:r>
    </w:p>
    <w:p w14:paraId="571B89ED" w14:textId="77777777" w:rsidR="00A610E1" w:rsidRPr="00BD22FE" w:rsidRDefault="00A610E1" w:rsidP="00A610E1">
      <w:pPr>
        <w:numPr>
          <w:ilvl w:val="0"/>
          <w:numId w:val="12"/>
        </w:numPr>
        <w:ind w:left="567" w:hanging="567"/>
        <w:rPr>
          <w:sz w:val="22"/>
          <w:szCs w:val="22"/>
          <w:lang w:val="pl-PL" w:bidi="bn-IN"/>
        </w:rPr>
      </w:pPr>
      <w:r w:rsidRPr="00BD22FE">
        <w:rPr>
          <w:sz w:val="22"/>
          <w:szCs w:val="22"/>
          <w:lang w:val="pl-PL" w:bidi="bn-IN"/>
        </w:rPr>
        <w:t>Należy zachować tę ulotkę, aby w razie potrzeby móc ją ponownie przeczytać.</w:t>
      </w:r>
    </w:p>
    <w:p w14:paraId="56874028" w14:textId="77777777" w:rsidR="00A610E1" w:rsidRPr="00BD22FE" w:rsidRDefault="00A610E1" w:rsidP="00A610E1">
      <w:pPr>
        <w:numPr>
          <w:ilvl w:val="0"/>
          <w:numId w:val="12"/>
        </w:numPr>
        <w:ind w:left="567" w:hanging="567"/>
        <w:rPr>
          <w:sz w:val="22"/>
          <w:szCs w:val="22"/>
          <w:lang w:val="pl-PL" w:bidi="bn-IN"/>
        </w:rPr>
      </w:pPr>
      <w:r w:rsidRPr="00BD22FE">
        <w:rPr>
          <w:sz w:val="22"/>
          <w:szCs w:val="22"/>
          <w:lang w:val="pl-PL" w:bidi="bn-IN"/>
        </w:rPr>
        <w:t>W razie jakichkolwiek wątpliwości należy zwrócić się do lekarza lub farmaceuty.</w:t>
      </w:r>
    </w:p>
    <w:p w14:paraId="1DB5306D" w14:textId="77777777" w:rsidR="00A610E1" w:rsidRPr="00BD22FE" w:rsidRDefault="00A610E1" w:rsidP="00A610E1">
      <w:pPr>
        <w:numPr>
          <w:ilvl w:val="0"/>
          <w:numId w:val="12"/>
        </w:numPr>
        <w:ind w:left="567" w:hanging="567"/>
        <w:rPr>
          <w:sz w:val="22"/>
          <w:szCs w:val="22"/>
          <w:lang w:val="pl-PL" w:bidi="bn-IN"/>
        </w:rPr>
      </w:pPr>
      <w:r w:rsidRPr="00BD22FE">
        <w:rPr>
          <w:sz w:val="22"/>
          <w:szCs w:val="22"/>
          <w:lang w:val="pl-PL" w:bidi="bn-IN"/>
        </w:rPr>
        <w:t>Lek ten przepisano ściśle określonej osobie. Nie należy go przekazywać innym. Lek może zaszkodzić innej osobie, nawet jeśli objawy jej choroby są takie same.</w:t>
      </w:r>
    </w:p>
    <w:p w14:paraId="4B0F7CAB" w14:textId="77777777" w:rsidR="00A610E1" w:rsidRPr="00BD22FE" w:rsidRDefault="00A610E1" w:rsidP="00A610E1">
      <w:pPr>
        <w:numPr>
          <w:ilvl w:val="0"/>
          <w:numId w:val="12"/>
        </w:numPr>
        <w:ind w:left="567" w:hanging="567"/>
        <w:rPr>
          <w:sz w:val="22"/>
          <w:szCs w:val="22"/>
          <w:lang w:val="pl-PL" w:bidi="bn-IN"/>
        </w:rPr>
      </w:pPr>
      <w:r w:rsidRPr="00BD22FE">
        <w:rPr>
          <w:sz w:val="22"/>
          <w:szCs w:val="22"/>
          <w:lang w:val="pl-PL" w:bidi="bn-IN"/>
        </w:rPr>
        <w:t>Jeśli u pacjenta wystąpią jakiekolwiek objawy niepożądane, w tym wszelkie objawy niepożądane niewymienione w tej ulotce, należy powiedzieć o tym lekarzowi lub farmaceucie.</w:t>
      </w:r>
      <w:r w:rsidRPr="00BD22FE">
        <w:rPr>
          <w:lang w:val="pl-PL"/>
        </w:rPr>
        <w:t xml:space="preserve"> </w:t>
      </w:r>
      <w:r w:rsidRPr="00BD22FE">
        <w:rPr>
          <w:sz w:val="22"/>
          <w:szCs w:val="22"/>
          <w:lang w:val="pl-PL" w:bidi="bn-IN"/>
        </w:rPr>
        <w:t>Patrz punkt 4.</w:t>
      </w:r>
    </w:p>
    <w:p w14:paraId="2C2E995E" w14:textId="77777777" w:rsidR="00A610E1" w:rsidRPr="00BD22FE" w:rsidRDefault="00A610E1" w:rsidP="00A610E1">
      <w:pPr>
        <w:pStyle w:val="BodyText"/>
        <w:spacing w:line="240" w:lineRule="auto"/>
        <w:jc w:val="left"/>
        <w:rPr>
          <w:sz w:val="22"/>
          <w:szCs w:val="22"/>
          <w:lang w:val="pl-PL"/>
        </w:rPr>
      </w:pPr>
    </w:p>
    <w:p w14:paraId="12BE7E8C" w14:textId="77777777" w:rsidR="00A610E1" w:rsidRPr="00BD22FE" w:rsidRDefault="00A610E1" w:rsidP="00A610E1">
      <w:pPr>
        <w:pStyle w:val="BodyText"/>
        <w:keepNext/>
        <w:spacing w:line="240" w:lineRule="auto"/>
        <w:jc w:val="left"/>
        <w:rPr>
          <w:b/>
          <w:sz w:val="22"/>
          <w:szCs w:val="22"/>
          <w:lang w:val="pl-PL"/>
        </w:rPr>
      </w:pPr>
      <w:r w:rsidRPr="00BD22FE">
        <w:rPr>
          <w:b/>
          <w:sz w:val="22"/>
          <w:szCs w:val="22"/>
          <w:lang w:val="pl-PL"/>
        </w:rPr>
        <w:t>Spis treści ulotki</w:t>
      </w:r>
    </w:p>
    <w:p w14:paraId="31097AB5" w14:textId="77777777" w:rsidR="00A610E1" w:rsidRPr="00BD22FE" w:rsidRDefault="00A610E1" w:rsidP="00A610E1">
      <w:pPr>
        <w:pStyle w:val="BodyText"/>
        <w:keepNext/>
        <w:spacing w:line="240" w:lineRule="auto"/>
        <w:jc w:val="left"/>
        <w:rPr>
          <w:sz w:val="22"/>
          <w:szCs w:val="22"/>
          <w:lang w:val="pl-PL"/>
        </w:rPr>
      </w:pPr>
    </w:p>
    <w:p w14:paraId="53B52DEC" w14:textId="77777777" w:rsidR="00A610E1" w:rsidRPr="00BD22FE" w:rsidRDefault="00A610E1" w:rsidP="00A610E1">
      <w:pPr>
        <w:pStyle w:val="BodyText"/>
        <w:spacing w:line="240" w:lineRule="auto"/>
        <w:ind w:left="567" w:hanging="567"/>
        <w:jc w:val="left"/>
        <w:rPr>
          <w:sz w:val="22"/>
          <w:szCs w:val="22"/>
          <w:lang w:val="pl-PL"/>
        </w:rPr>
      </w:pPr>
      <w:r w:rsidRPr="00BD22FE">
        <w:rPr>
          <w:sz w:val="22"/>
          <w:szCs w:val="22"/>
          <w:lang w:val="pl-PL"/>
        </w:rPr>
        <w:t>1.</w:t>
      </w:r>
      <w:r w:rsidRPr="00BD22FE">
        <w:rPr>
          <w:sz w:val="22"/>
          <w:szCs w:val="22"/>
          <w:lang w:val="pl-PL"/>
        </w:rPr>
        <w:tab/>
        <w:t>Co to jest lek MicardisPlus i w jakim celu się go stosuje</w:t>
      </w:r>
    </w:p>
    <w:p w14:paraId="68AF8B1A" w14:textId="77777777" w:rsidR="00A610E1" w:rsidRPr="00BD22FE" w:rsidRDefault="00A610E1" w:rsidP="00A610E1">
      <w:pPr>
        <w:pStyle w:val="BodyText"/>
        <w:spacing w:line="240" w:lineRule="auto"/>
        <w:ind w:left="567" w:hanging="567"/>
        <w:jc w:val="left"/>
        <w:rPr>
          <w:sz w:val="22"/>
          <w:szCs w:val="22"/>
          <w:lang w:val="pl-PL"/>
        </w:rPr>
      </w:pPr>
      <w:r w:rsidRPr="00BD22FE">
        <w:rPr>
          <w:sz w:val="22"/>
          <w:szCs w:val="22"/>
          <w:lang w:val="pl-PL"/>
        </w:rPr>
        <w:t>2.</w:t>
      </w:r>
      <w:r w:rsidRPr="00BD22FE">
        <w:rPr>
          <w:sz w:val="22"/>
          <w:szCs w:val="22"/>
          <w:lang w:val="pl-PL"/>
        </w:rPr>
        <w:tab/>
        <w:t>Informacje ważne przed przyjęciem leku MicardisPlus</w:t>
      </w:r>
    </w:p>
    <w:p w14:paraId="31785284" w14:textId="77777777" w:rsidR="00A610E1" w:rsidRPr="00BD22FE" w:rsidRDefault="00A610E1" w:rsidP="00A610E1">
      <w:pPr>
        <w:pStyle w:val="BodyText"/>
        <w:spacing w:line="240" w:lineRule="auto"/>
        <w:ind w:left="567" w:hanging="567"/>
        <w:jc w:val="left"/>
        <w:rPr>
          <w:sz w:val="22"/>
          <w:szCs w:val="22"/>
          <w:vertAlign w:val="superscript"/>
          <w:lang w:val="pl-PL"/>
        </w:rPr>
      </w:pPr>
      <w:r w:rsidRPr="00BD22FE">
        <w:rPr>
          <w:sz w:val="22"/>
          <w:szCs w:val="22"/>
          <w:lang w:val="pl-PL"/>
        </w:rPr>
        <w:t>3.</w:t>
      </w:r>
      <w:r w:rsidRPr="00BD22FE">
        <w:rPr>
          <w:sz w:val="22"/>
          <w:szCs w:val="22"/>
          <w:lang w:val="pl-PL"/>
        </w:rPr>
        <w:tab/>
        <w:t>Jak przyjmować lek MicardisPlus</w:t>
      </w:r>
    </w:p>
    <w:p w14:paraId="70026545" w14:textId="77777777" w:rsidR="00A610E1" w:rsidRPr="00BD22FE" w:rsidRDefault="00A610E1" w:rsidP="00A610E1">
      <w:pPr>
        <w:pStyle w:val="BodyText"/>
        <w:spacing w:line="240" w:lineRule="auto"/>
        <w:ind w:left="567" w:hanging="567"/>
        <w:jc w:val="left"/>
        <w:rPr>
          <w:sz w:val="22"/>
          <w:szCs w:val="22"/>
          <w:lang w:val="pl-PL"/>
        </w:rPr>
      </w:pPr>
      <w:r w:rsidRPr="00BD22FE">
        <w:rPr>
          <w:sz w:val="22"/>
          <w:szCs w:val="22"/>
          <w:lang w:val="pl-PL"/>
        </w:rPr>
        <w:t>4.</w:t>
      </w:r>
      <w:r w:rsidRPr="00BD22FE">
        <w:rPr>
          <w:sz w:val="22"/>
          <w:szCs w:val="22"/>
          <w:lang w:val="pl-PL"/>
        </w:rPr>
        <w:tab/>
        <w:t>Możliwe działania niepożądane</w:t>
      </w:r>
    </w:p>
    <w:p w14:paraId="26F407AC" w14:textId="77777777" w:rsidR="00A610E1" w:rsidRPr="00BD22FE" w:rsidRDefault="00A610E1" w:rsidP="00A610E1">
      <w:pPr>
        <w:pStyle w:val="BodyText"/>
        <w:spacing w:line="240" w:lineRule="auto"/>
        <w:ind w:left="567" w:hanging="567"/>
        <w:jc w:val="left"/>
        <w:rPr>
          <w:sz w:val="22"/>
          <w:szCs w:val="22"/>
          <w:lang w:val="pl-PL"/>
        </w:rPr>
      </w:pPr>
      <w:r w:rsidRPr="00BD22FE">
        <w:rPr>
          <w:sz w:val="22"/>
          <w:szCs w:val="22"/>
          <w:lang w:val="pl-PL"/>
        </w:rPr>
        <w:t>5.</w:t>
      </w:r>
      <w:r w:rsidRPr="00BD22FE">
        <w:rPr>
          <w:sz w:val="22"/>
          <w:szCs w:val="22"/>
          <w:lang w:val="pl-PL"/>
        </w:rPr>
        <w:tab/>
        <w:t>Jak przechowywać lek MicardisPlus</w:t>
      </w:r>
    </w:p>
    <w:p w14:paraId="7AD711D8" w14:textId="77777777" w:rsidR="00A610E1" w:rsidRPr="00BD22FE" w:rsidRDefault="00A610E1" w:rsidP="00A610E1">
      <w:pPr>
        <w:pStyle w:val="BodyText"/>
        <w:spacing w:line="240" w:lineRule="auto"/>
        <w:ind w:left="567" w:hanging="567"/>
        <w:jc w:val="left"/>
        <w:rPr>
          <w:sz w:val="22"/>
          <w:szCs w:val="22"/>
          <w:lang w:val="pl-PL"/>
        </w:rPr>
      </w:pPr>
      <w:r w:rsidRPr="00BD22FE">
        <w:rPr>
          <w:sz w:val="22"/>
          <w:szCs w:val="22"/>
          <w:lang w:val="pl-PL"/>
        </w:rPr>
        <w:t>6.</w:t>
      </w:r>
      <w:r w:rsidRPr="00BD22FE">
        <w:rPr>
          <w:sz w:val="22"/>
          <w:szCs w:val="22"/>
          <w:lang w:val="pl-PL"/>
        </w:rPr>
        <w:tab/>
      </w:r>
      <w:r w:rsidRPr="00BD22FE">
        <w:rPr>
          <w:sz w:val="22"/>
          <w:szCs w:val="22"/>
          <w:lang w:val="pl-PL" w:bidi="bn-IN"/>
        </w:rPr>
        <w:t>Zawartość opakowania i inne informacje</w:t>
      </w:r>
    </w:p>
    <w:p w14:paraId="27D48CCC" w14:textId="77777777" w:rsidR="00A610E1" w:rsidRPr="00BD22FE" w:rsidRDefault="00A610E1" w:rsidP="00A610E1">
      <w:pPr>
        <w:pStyle w:val="BodyText"/>
        <w:spacing w:line="240" w:lineRule="auto"/>
        <w:jc w:val="left"/>
        <w:rPr>
          <w:sz w:val="22"/>
          <w:szCs w:val="22"/>
          <w:lang w:val="pl-PL"/>
        </w:rPr>
      </w:pPr>
    </w:p>
    <w:p w14:paraId="202A355E" w14:textId="77777777" w:rsidR="00A610E1" w:rsidRPr="00BD22FE" w:rsidRDefault="00A610E1" w:rsidP="00A610E1">
      <w:pPr>
        <w:pStyle w:val="BodyText"/>
        <w:spacing w:line="240" w:lineRule="auto"/>
        <w:jc w:val="left"/>
        <w:rPr>
          <w:sz w:val="22"/>
          <w:szCs w:val="22"/>
          <w:lang w:val="pl-PL"/>
        </w:rPr>
      </w:pPr>
    </w:p>
    <w:p w14:paraId="0E4E2706" w14:textId="77777777" w:rsidR="00A610E1" w:rsidRPr="00BD22FE" w:rsidRDefault="00A610E1" w:rsidP="00A610E1">
      <w:pPr>
        <w:pStyle w:val="BodyText"/>
        <w:keepNext/>
        <w:spacing w:line="240" w:lineRule="auto"/>
        <w:ind w:left="567" w:hanging="567"/>
        <w:jc w:val="left"/>
        <w:rPr>
          <w:b/>
          <w:sz w:val="22"/>
          <w:szCs w:val="22"/>
          <w:lang w:val="pl-PL"/>
        </w:rPr>
      </w:pPr>
      <w:r w:rsidRPr="00BD22FE">
        <w:rPr>
          <w:b/>
          <w:sz w:val="22"/>
          <w:szCs w:val="22"/>
          <w:lang w:val="pl-PL"/>
        </w:rPr>
        <w:t>1.</w:t>
      </w:r>
      <w:r w:rsidRPr="00BD22FE">
        <w:rPr>
          <w:b/>
          <w:sz w:val="22"/>
          <w:szCs w:val="22"/>
          <w:lang w:val="pl-PL"/>
        </w:rPr>
        <w:tab/>
        <w:t>Co to jest lek MicardisPlus i w jakim celu się go stosuje</w:t>
      </w:r>
    </w:p>
    <w:p w14:paraId="673BDCC8" w14:textId="77777777" w:rsidR="00A610E1" w:rsidRPr="00BD22FE" w:rsidRDefault="00A610E1" w:rsidP="00A610E1">
      <w:pPr>
        <w:pStyle w:val="BodyText"/>
        <w:keepNext/>
        <w:spacing w:line="240" w:lineRule="auto"/>
        <w:jc w:val="left"/>
        <w:rPr>
          <w:sz w:val="22"/>
          <w:szCs w:val="22"/>
          <w:lang w:val="pl-PL"/>
        </w:rPr>
      </w:pPr>
    </w:p>
    <w:p w14:paraId="7E91C90F" w14:textId="77777777" w:rsidR="00A610E1" w:rsidRPr="00BD22FE" w:rsidRDefault="00A610E1" w:rsidP="00A610E1">
      <w:pPr>
        <w:pStyle w:val="BodyText"/>
        <w:spacing w:line="240" w:lineRule="auto"/>
        <w:jc w:val="left"/>
        <w:rPr>
          <w:sz w:val="22"/>
          <w:szCs w:val="22"/>
          <w:lang w:val="pl-PL"/>
        </w:rPr>
      </w:pPr>
      <w:r w:rsidRPr="00BD22FE">
        <w:rPr>
          <w:sz w:val="22"/>
          <w:szCs w:val="22"/>
          <w:lang w:val="pl-PL"/>
        </w:rPr>
        <w:t>MicardisPlus jest lekiem złożonym, zawierającym dwie substancje czynne, telmisartan i hydrochlorotiazyd w jednej tabletce. Obie substancje wspomagają kontrolę wysokiego ciśnienia tętniczego krwi.</w:t>
      </w:r>
    </w:p>
    <w:p w14:paraId="39DB2D93" w14:textId="77777777" w:rsidR="00A610E1" w:rsidRPr="00BD22FE" w:rsidRDefault="00A610E1" w:rsidP="00A610E1">
      <w:pPr>
        <w:pStyle w:val="BodyText"/>
        <w:spacing w:line="240" w:lineRule="auto"/>
        <w:jc w:val="left"/>
        <w:rPr>
          <w:sz w:val="22"/>
          <w:szCs w:val="22"/>
          <w:lang w:val="pl-PL"/>
        </w:rPr>
      </w:pPr>
    </w:p>
    <w:p w14:paraId="2532F64D" w14:textId="273E85BA" w:rsidR="00A610E1" w:rsidRPr="00BD22FE" w:rsidRDefault="00A610E1" w:rsidP="00A610E1">
      <w:pPr>
        <w:pStyle w:val="BodyText"/>
        <w:numPr>
          <w:ilvl w:val="0"/>
          <w:numId w:val="10"/>
        </w:numPr>
        <w:tabs>
          <w:tab w:val="clear" w:pos="2520"/>
        </w:tabs>
        <w:spacing w:line="240" w:lineRule="auto"/>
        <w:ind w:left="567" w:hanging="567"/>
        <w:jc w:val="left"/>
        <w:rPr>
          <w:sz w:val="22"/>
          <w:szCs w:val="22"/>
          <w:lang w:val="pl-PL"/>
        </w:rPr>
      </w:pPr>
      <w:r w:rsidRPr="00BD22FE">
        <w:rPr>
          <w:sz w:val="22"/>
          <w:szCs w:val="22"/>
          <w:lang w:val="pl-PL"/>
        </w:rPr>
        <w:t>Telmisartan należy do grupy leków zwanych blokerami receptora angiotensyny II. Angiotensyna II jest substancją wytwarzaną przez organizm, która powoduje zwężenie naczyń krwionośnych, co prowadzi do zwiększenia ciśnienia tętniczego krwi. Telmisartan hamuje działanie angiotensyny II, dzięki czemu naczynia krwionośne się rozkurczają, a ciśnienie tętnicze krwi ulega obniżeniu.</w:t>
      </w:r>
    </w:p>
    <w:p w14:paraId="2F1FBEAB" w14:textId="77777777" w:rsidR="00A610E1" w:rsidRPr="00BD22FE" w:rsidRDefault="00A610E1" w:rsidP="00A610E1">
      <w:pPr>
        <w:pStyle w:val="BodyText"/>
        <w:spacing w:line="240" w:lineRule="auto"/>
        <w:ind w:left="540" w:hanging="540"/>
        <w:jc w:val="left"/>
        <w:rPr>
          <w:sz w:val="22"/>
          <w:szCs w:val="22"/>
          <w:lang w:val="pl-PL"/>
        </w:rPr>
      </w:pPr>
    </w:p>
    <w:p w14:paraId="6FE25FAA" w14:textId="77777777" w:rsidR="00A610E1" w:rsidRPr="00BD22FE" w:rsidRDefault="00A610E1" w:rsidP="00A610E1">
      <w:pPr>
        <w:pStyle w:val="BodyText"/>
        <w:numPr>
          <w:ilvl w:val="0"/>
          <w:numId w:val="6"/>
        </w:numPr>
        <w:tabs>
          <w:tab w:val="clear" w:pos="2520"/>
        </w:tabs>
        <w:spacing w:line="240" w:lineRule="auto"/>
        <w:ind w:left="567" w:hanging="567"/>
        <w:jc w:val="left"/>
        <w:rPr>
          <w:sz w:val="22"/>
          <w:szCs w:val="22"/>
          <w:lang w:val="pl-PL"/>
        </w:rPr>
      </w:pPr>
      <w:r w:rsidRPr="00BD22FE">
        <w:rPr>
          <w:sz w:val="22"/>
          <w:szCs w:val="22"/>
          <w:lang w:val="pl-PL"/>
        </w:rPr>
        <w:t>Hydrochlorotiazyd należy do grupy leków zwanych tiazydowymi lekami moczopędnymi, zwiększa wydalanie moczu, co prowadzi do obniżenia ciśnienia tętniczego krwi.</w:t>
      </w:r>
    </w:p>
    <w:p w14:paraId="5A7CE9C7" w14:textId="77777777" w:rsidR="00A610E1" w:rsidRPr="00BD22FE" w:rsidRDefault="00A610E1" w:rsidP="00A610E1">
      <w:pPr>
        <w:pStyle w:val="BodyText"/>
        <w:spacing w:line="240" w:lineRule="auto"/>
        <w:jc w:val="left"/>
        <w:rPr>
          <w:sz w:val="22"/>
          <w:szCs w:val="22"/>
          <w:lang w:val="pl-PL"/>
        </w:rPr>
      </w:pPr>
    </w:p>
    <w:p w14:paraId="27F4FBB4" w14:textId="7E456348" w:rsidR="00A610E1" w:rsidRPr="00BD22FE" w:rsidRDefault="00A610E1" w:rsidP="00A610E1">
      <w:pPr>
        <w:pStyle w:val="BodyText"/>
        <w:spacing w:line="240" w:lineRule="auto"/>
        <w:jc w:val="left"/>
        <w:rPr>
          <w:sz w:val="22"/>
          <w:szCs w:val="22"/>
          <w:lang w:val="pl-PL"/>
        </w:rPr>
      </w:pPr>
      <w:r w:rsidRPr="00BD22FE">
        <w:rPr>
          <w:sz w:val="22"/>
          <w:szCs w:val="22"/>
          <w:lang w:val="pl-PL"/>
        </w:rPr>
        <w:t>Nieleczone wysokie ciśnienie tętnicze krwi może powodować uszkodzenie naczyń krwionośnych w różnych narządach, co niekiedy może prowadzić do zawału serca, niewydolności serca lub nerek, udaru lub utraty wzroku. Zwykle przed pojawieniem się powyższych powikłań nie obserwuje się żadnych objawów wysokiego ciśnienia tętniczego krwi. Z tego względu ważne jest, aby regularnie mierzyć ciśnienie tętnicze krwi, żeby sprawdzić, czy mieści się ono w zakresie wartości prawidłowych.</w:t>
      </w:r>
    </w:p>
    <w:p w14:paraId="7C69030D" w14:textId="77777777" w:rsidR="00A610E1" w:rsidRPr="00BD22FE" w:rsidRDefault="00A610E1" w:rsidP="00A610E1">
      <w:pPr>
        <w:pStyle w:val="BodyText"/>
        <w:spacing w:line="240" w:lineRule="auto"/>
        <w:jc w:val="left"/>
        <w:rPr>
          <w:sz w:val="22"/>
          <w:szCs w:val="22"/>
          <w:lang w:val="pl-PL"/>
        </w:rPr>
      </w:pPr>
    </w:p>
    <w:p w14:paraId="63A701AE" w14:textId="374C8C96" w:rsidR="00A610E1" w:rsidRPr="00BD22FE" w:rsidRDefault="00A610E1" w:rsidP="00A610E1">
      <w:pPr>
        <w:pStyle w:val="BodyText"/>
        <w:spacing w:line="240" w:lineRule="auto"/>
        <w:jc w:val="left"/>
        <w:rPr>
          <w:rFonts w:eastAsia="MS Mincho"/>
          <w:sz w:val="22"/>
          <w:szCs w:val="22"/>
          <w:lang w:val="pl-PL" w:eastAsia="ja-JP"/>
        </w:rPr>
      </w:pPr>
      <w:r w:rsidRPr="009D16CE">
        <w:rPr>
          <w:rFonts w:eastAsia="MS Mincho"/>
          <w:bCs/>
          <w:sz w:val="22"/>
          <w:szCs w:val="22"/>
          <w:lang w:val="pl-PL" w:eastAsia="ja-JP"/>
        </w:rPr>
        <w:t>Lek MicardisPlus jest stosowany</w:t>
      </w:r>
      <w:r w:rsidRPr="00BD22FE">
        <w:rPr>
          <w:rFonts w:eastAsia="MS Mincho"/>
          <w:sz w:val="22"/>
          <w:szCs w:val="22"/>
          <w:lang w:val="pl-PL" w:eastAsia="ja-JP"/>
        </w:rPr>
        <w:t xml:space="preserve"> w leczeniu wysokiego ciśnienia tętniczego (samoistnego nadciśnienia tętniczego) u dorosłych, u których ciśnienie tętnicze krwi nie jest wystarczająco kontrolowane przez lek MicardisPlus 80/12,5 mg, lub u pacjentów, którzy wcześniej byli ustabilizowani przez telmisartan i hydrochlorotiazyd stosowany oddzielnie.</w:t>
      </w:r>
    </w:p>
    <w:p w14:paraId="18F86913" w14:textId="77777777" w:rsidR="00A610E1" w:rsidRPr="00BD22FE" w:rsidRDefault="00A610E1" w:rsidP="00A610E1">
      <w:pPr>
        <w:pStyle w:val="BodyText"/>
        <w:spacing w:line="240" w:lineRule="auto"/>
        <w:jc w:val="left"/>
        <w:rPr>
          <w:sz w:val="22"/>
          <w:szCs w:val="22"/>
          <w:lang w:val="pl-PL"/>
        </w:rPr>
      </w:pPr>
    </w:p>
    <w:p w14:paraId="0CE3B0DB" w14:textId="77777777" w:rsidR="00A610E1" w:rsidRPr="00BD22FE" w:rsidRDefault="00A610E1" w:rsidP="00A610E1">
      <w:pPr>
        <w:pStyle w:val="BodyText"/>
        <w:spacing w:line="240" w:lineRule="auto"/>
        <w:jc w:val="left"/>
        <w:rPr>
          <w:sz w:val="22"/>
          <w:szCs w:val="22"/>
          <w:lang w:val="pl-PL"/>
        </w:rPr>
      </w:pPr>
    </w:p>
    <w:p w14:paraId="160488D1" w14:textId="77777777" w:rsidR="00A610E1" w:rsidRPr="00BD22FE" w:rsidRDefault="00A610E1" w:rsidP="00A610E1">
      <w:pPr>
        <w:pStyle w:val="BodyText"/>
        <w:keepNext/>
        <w:spacing w:line="240" w:lineRule="auto"/>
        <w:ind w:left="567" w:hanging="567"/>
        <w:jc w:val="left"/>
        <w:rPr>
          <w:b/>
          <w:sz w:val="22"/>
          <w:szCs w:val="22"/>
          <w:lang w:val="pl-PL"/>
        </w:rPr>
      </w:pPr>
      <w:r w:rsidRPr="00BD22FE">
        <w:rPr>
          <w:b/>
          <w:sz w:val="22"/>
          <w:szCs w:val="22"/>
          <w:lang w:val="pl-PL"/>
        </w:rPr>
        <w:lastRenderedPageBreak/>
        <w:t>2.</w:t>
      </w:r>
      <w:r w:rsidRPr="00BD22FE">
        <w:rPr>
          <w:b/>
          <w:sz w:val="22"/>
          <w:szCs w:val="22"/>
          <w:lang w:val="pl-PL"/>
        </w:rPr>
        <w:tab/>
        <w:t>Informacje ważne przed przyjęciem leku MicardisPlus</w:t>
      </w:r>
    </w:p>
    <w:p w14:paraId="470189CD" w14:textId="77777777" w:rsidR="00A610E1" w:rsidRPr="00BD22FE" w:rsidRDefault="00A610E1" w:rsidP="00A610E1">
      <w:pPr>
        <w:pStyle w:val="BodyText"/>
        <w:keepNext/>
        <w:spacing w:line="240" w:lineRule="auto"/>
        <w:jc w:val="left"/>
        <w:rPr>
          <w:sz w:val="22"/>
          <w:szCs w:val="22"/>
          <w:lang w:val="pl-PL"/>
        </w:rPr>
      </w:pPr>
    </w:p>
    <w:p w14:paraId="21104914" w14:textId="77777777" w:rsidR="00A610E1" w:rsidRPr="00BD22FE" w:rsidRDefault="00A610E1" w:rsidP="00A610E1">
      <w:pPr>
        <w:pStyle w:val="BodyText"/>
        <w:keepNext/>
        <w:spacing w:line="240" w:lineRule="auto"/>
        <w:jc w:val="left"/>
        <w:rPr>
          <w:b/>
          <w:sz w:val="22"/>
          <w:szCs w:val="22"/>
          <w:lang w:val="pl-PL"/>
        </w:rPr>
      </w:pPr>
      <w:r w:rsidRPr="00BD22FE">
        <w:rPr>
          <w:b/>
          <w:sz w:val="22"/>
          <w:szCs w:val="22"/>
          <w:lang w:val="pl-PL"/>
        </w:rPr>
        <w:t>Kiedy nie przyjmować leku MicardisPlus</w:t>
      </w:r>
    </w:p>
    <w:p w14:paraId="08D0424F" w14:textId="77777777" w:rsidR="00A610E1" w:rsidRPr="00BD22FE" w:rsidRDefault="00A610E1" w:rsidP="00A610E1">
      <w:pPr>
        <w:numPr>
          <w:ilvl w:val="0"/>
          <w:numId w:val="13"/>
        </w:numPr>
        <w:tabs>
          <w:tab w:val="clear" w:pos="567"/>
        </w:tabs>
        <w:rPr>
          <w:sz w:val="22"/>
          <w:szCs w:val="22"/>
          <w:lang w:val="pl-PL" w:bidi="bn-IN"/>
        </w:rPr>
      </w:pPr>
      <w:r w:rsidRPr="00BD22FE">
        <w:rPr>
          <w:sz w:val="22"/>
          <w:szCs w:val="22"/>
          <w:lang w:val="pl-PL"/>
        </w:rPr>
        <w:t xml:space="preserve">jeśli pacjent ma uczulenie na telmisartan lub którykolwiek z pozostałych składników </w:t>
      </w:r>
      <w:r w:rsidRPr="00BD22FE">
        <w:rPr>
          <w:sz w:val="22"/>
          <w:szCs w:val="22"/>
          <w:lang w:val="pl-PL" w:bidi="bn-IN"/>
        </w:rPr>
        <w:t>tego leku (wymienionych w punkcie 6);</w:t>
      </w:r>
    </w:p>
    <w:p w14:paraId="388C9376" w14:textId="77777777" w:rsidR="00A610E1" w:rsidRPr="00BD22FE" w:rsidRDefault="00A610E1" w:rsidP="00A610E1">
      <w:pPr>
        <w:numPr>
          <w:ilvl w:val="0"/>
          <w:numId w:val="7"/>
        </w:numPr>
        <w:tabs>
          <w:tab w:val="clear" w:pos="720"/>
        </w:tabs>
        <w:ind w:left="567" w:hanging="567"/>
        <w:rPr>
          <w:sz w:val="22"/>
          <w:szCs w:val="22"/>
          <w:lang w:val="pl-PL"/>
        </w:rPr>
      </w:pPr>
      <w:r w:rsidRPr="00BD22FE">
        <w:rPr>
          <w:sz w:val="22"/>
          <w:szCs w:val="22"/>
          <w:lang w:val="pl-PL"/>
        </w:rPr>
        <w:t>jeśli pacjent ma uczulenie na hydrochlorotiazyd lub którekolwiek pochodne sulfonamidów;</w:t>
      </w:r>
    </w:p>
    <w:p w14:paraId="0401E9A4" w14:textId="1492C472" w:rsidR="00A610E1" w:rsidRPr="00BD22FE" w:rsidRDefault="00A610E1" w:rsidP="00A610E1">
      <w:pPr>
        <w:pStyle w:val="BodyText"/>
        <w:numPr>
          <w:ilvl w:val="0"/>
          <w:numId w:val="7"/>
        </w:numPr>
        <w:tabs>
          <w:tab w:val="clear" w:pos="720"/>
        </w:tabs>
        <w:spacing w:line="240" w:lineRule="auto"/>
        <w:ind w:left="567" w:hanging="567"/>
        <w:jc w:val="left"/>
        <w:rPr>
          <w:sz w:val="22"/>
          <w:szCs w:val="22"/>
          <w:lang w:val="pl-PL"/>
        </w:rPr>
      </w:pPr>
      <w:r w:rsidRPr="00BD22FE">
        <w:rPr>
          <w:sz w:val="22"/>
          <w:szCs w:val="22"/>
          <w:lang w:val="pl-PL"/>
        </w:rPr>
        <w:t>po 3. miesiącu ciąży (Również należy unikać stosowania leku MicardisPlus we wczesnym okresie ciąży – patrz punkt „Ciąża”);</w:t>
      </w:r>
    </w:p>
    <w:p w14:paraId="586CEEE6" w14:textId="0024DF1F" w:rsidR="00A610E1" w:rsidRPr="00BD22FE" w:rsidRDefault="00A610E1" w:rsidP="00A610E1">
      <w:pPr>
        <w:pStyle w:val="BodyText"/>
        <w:numPr>
          <w:ilvl w:val="0"/>
          <w:numId w:val="7"/>
        </w:numPr>
        <w:tabs>
          <w:tab w:val="clear" w:pos="720"/>
        </w:tabs>
        <w:spacing w:line="240" w:lineRule="auto"/>
        <w:ind w:left="567" w:hanging="567"/>
        <w:jc w:val="left"/>
        <w:rPr>
          <w:sz w:val="22"/>
          <w:szCs w:val="22"/>
          <w:lang w:val="pl-PL"/>
        </w:rPr>
      </w:pPr>
      <w:r w:rsidRPr="00BD22FE">
        <w:rPr>
          <w:sz w:val="22"/>
          <w:szCs w:val="22"/>
          <w:lang w:val="pl-PL"/>
        </w:rPr>
        <w:t>jeśli u pacjenta występują ciężkie zaburzenia czynności wątroby, takie jak zastój żółci lub zwężenie drogi jej odpływu (problemy z odpływem żółci z wątroby i pęcherzyka żółciowego) lub jakakolwiek inna ciężka choroba wątroby;</w:t>
      </w:r>
    </w:p>
    <w:p w14:paraId="6615E1D7" w14:textId="77777777" w:rsidR="00A610E1" w:rsidRPr="00BD22FE" w:rsidRDefault="00A610E1" w:rsidP="00A610E1">
      <w:pPr>
        <w:pStyle w:val="BodyText"/>
        <w:numPr>
          <w:ilvl w:val="0"/>
          <w:numId w:val="7"/>
        </w:numPr>
        <w:tabs>
          <w:tab w:val="clear" w:pos="720"/>
        </w:tabs>
        <w:spacing w:line="240" w:lineRule="auto"/>
        <w:ind w:left="567" w:hanging="567"/>
        <w:jc w:val="left"/>
        <w:rPr>
          <w:sz w:val="22"/>
          <w:szCs w:val="22"/>
          <w:lang w:val="pl-PL"/>
        </w:rPr>
      </w:pPr>
      <w:r w:rsidRPr="00BD22FE">
        <w:rPr>
          <w:sz w:val="22"/>
          <w:szCs w:val="22"/>
          <w:lang w:val="pl-PL"/>
        </w:rPr>
        <w:t>jeśli pacjent ma ciężką chorobę nerek lub bezmocz (mniej niż 100 ml moczu na dobę);</w:t>
      </w:r>
    </w:p>
    <w:p w14:paraId="7085F1B5" w14:textId="77777777" w:rsidR="00A610E1" w:rsidRPr="00BD22FE" w:rsidRDefault="00A610E1" w:rsidP="00A610E1">
      <w:pPr>
        <w:pStyle w:val="BodyText"/>
        <w:numPr>
          <w:ilvl w:val="0"/>
          <w:numId w:val="7"/>
        </w:numPr>
        <w:tabs>
          <w:tab w:val="clear" w:pos="720"/>
        </w:tabs>
        <w:spacing w:line="240" w:lineRule="auto"/>
        <w:ind w:left="567" w:hanging="567"/>
        <w:jc w:val="left"/>
        <w:rPr>
          <w:sz w:val="22"/>
          <w:szCs w:val="22"/>
          <w:lang w:val="pl-PL"/>
        </w:rPr>
      </w:pPr>
      <w:r w:rsidRPr="00BD22FE">
        <w:rPr>
          <w:sz w:val="22"/>
          <w:szCs w:val="22"/>
          <w:lang w:val="pl-PL"/>
        </w:rPr>
        <w:t>jeśli lekarz stwierdzi występowanie małego stężenia potasu lub dużego stężenia wapnia we krwi, które nie ulegają poprawie na skutek leczenia;</w:t>
      </w:r>
    </w:p>
    <w:p w14:paraId="5D96AF94" w14:textId="77777777" w:rsidR="00A610E1" w:rsidRPr="00BD22FE" w:rsidRDefault="00A610E1" w:rsidP="00A610E1">
      <w:pPr>
        <w:numPr>
          <w:ilvl w:val="0"/>
          <w:numId w:val="7"/>
        </w:numPr>
        <w:tabs>
          <w:tab w:val="clear" w:pos="720"/>
        </w:tabs>
        <w:ind w:left="567" w:hanging="567"/>
        <w:rPr>
          <w:sz w:val="22"/>
          <w:szCs w:val="22"/>
          <w:lang w:val="pl-PL"/>
        </w:rPr>
      </w:pPr>
      <w:r w:rsidRPr="00BD22FE">
        <w:rPr>
          <w:sz w:val="22"/>
          <w:szCs w:val="22"/>
          <w:lang w:val="pl-PL"/>
        </w:rPr>
        <w:t>jeśli pacjent ma cukrzycę lub zaburzenia czynności nerek i jest leczony lekiem obniżającym ciśnienie tętnicze krwi zawierającym aliskiren.</w:t>
      </w:r>
    </w:p>
    <w:p w14:paraId="78DAA04C" w14:textId="77777777" w:rsidR="00A610E1" w:rsidRPr="00BD22FE" w:rsidRDefault="00A610E1" w:rsidP="00A610E1">
      <w:pPr>
        <w:pStyle w:val="BodyText"/>
        <w:spacing w:line="240" w:lineRule="auto"/>
        <w:jc w:val="left"/>
        <w:rPr>
          <w:sz w:val="22"/>
          <w:szCs w:val="22"/>
          <w:lang w:val="pl-PL"/>
        </w:rPr>
      </w:pPr>
    </w:p>
    <w:p w14:paraId="76447426" w14:textId="3A94EDE7" w:rsidR="00A610E1" w:rsidRPr="00BD22FE" w:rsidRDefault="00A610E1" w:rsidP="00A610E1">
      <w:pPr>
        <w:pStyle w:val="BodyText"/>
        <w:spacing w:line="240" w:lineRule="auto"/>
        <w:jc w:val="left"/>
        <w:rPr>
          <w:sz w:val="22"/>
          <w:szCs w:val="22"/>
          <w:lang w:val="pl-PL"/>
        </w:rPr>
      </w:pPr>
      <w:r w:rsidRPr="00BD22FE">
        <w:rPr>
          <w:sz w:val="22"/>
          <w:szCs w:val="22"/>
          <w:lang w:val="pl-PL"/>
        </w:rPr>
        <w:t>Jeżeli którakolwiek powyższa sytuacja dotyczy pacjenta, należy poinformować lekarza lub farmaceutę przed przyjęciem leku MicardisPlus.</w:t>
      </w:r>
    </w:p>
    <w:p w14:paraId="3B28CF6A" w14:textId="77777777" w:rsidR="00A610E1" w:rsidRPr="00BD22FE" w:rsidRDefault="00A610E1" w:rsidP="00A610E1">
      <w:pPr>
        <w:pStyle w:val="BodyText"/>
        <w:spacing w:line="240" w:lineRule="auto"/>
        <w:jc w:val="left"/>
        <w:rPr>
          <w:sz w:val="22"/>
          <w:szCs w:val="22"/>
          <w:lang w:val="pl-PL"/>
        </w:rPr>
      </w:pPr>
    </w:p>
    <w:p w14:paraId="27A9E7DB" w14:textId="77777777" w:rsidR="00A610E1" w:rsidRPr="00BD22FE" w:rsidRDefault="00A610E1" w:rsidP="00A610E1">
      <w:pPr>
        <w:keepNext/>
        <w:rPr>
          <w:b/>
          <w:sz w:val="22"/>
          <w:szCs w:val="22"/>
          <w:lang w:val="pl-PL" w:bidi="bn-IN"/>
        </w:rPr>
      </w:pPr>
      <w:r w:rsidRPr="00BD22FE">
        <w:rPr>
          <w:b/>
          <w:sz w:val="22"/>
          <w:szCs w:val="22"/>
          <w:lang w:val="pl-PL" w:bidi="bn-IN"/>
        </w:rPr>
        <w:t>Ostrzeżenia i środki ostrożności</w:t>
      </w:r>
    </w:p>
    <w:p w14:paraId="3C3087F0" w14:textId="77777777" w:rsidR="00A610E1" w:rsidRPr="00BD22FE" w:rsidRDefault="00A610E1" w:rsidP="00A610E1">
      <w:pPr>
        <w:pStyle w:val="BodyText"/>
        <w:keepNext/>
        <w:spacing w:line="240" w:lineRule="auto"/>
        <w:jc w:val="left"/>
        <w:rPr>
          <w:sz w:val="22"/>
          <w:szCs w:val="22"/>
          <w:lang w:val="pl-PL"/>
        </w:rPr>
      </w:pPr>
      <w:r w:rsidRPr="00BD22FE">
        <w:rPr>
          <w:sz w:val="22"/>
          <w:szCs w:val="22"/>
          <w:lang w:val="pl-PL"/>
        </w:rPr>
        <w:t>Przed rozpoczęciem przyjmowania leku MicardisPlus należy omówić to z lekarzem, jeśli u pacjenta występują lub występowały którekolwiek z poniższych stanów lub chorób:</w:t>
      </w:r>
    </w:p>
    <w:p w14:paraId="2CDBD1B0" w14:textId="77777777" w:rsidR="00A610E1" w:rsidRPr="00BD22FE" w:rsidRDefault="00A610E1" w:rsidP="00A610E1">
      <w:pPr>
        <w:pStyle w:val="BodyText"/>
        <w:keepNext/>
        <w:spacing w:line="240" w:lineRule="auto"/>
        <w:jc w:val="left"/>
        <w:rPr>
          <w:sz w:val="22"/>
          <w:szCs w:val="22"/>
          <w:lang w:val="pl-PL"/>
        </w:rPr>
      </w:pPr>
    </w:p>
    <w:p w14:paraId="60FFC3C1" w14:textId="7E778B0F" w:rsidR="00A610E1" w:rsidRPr="00BD22FE" w:rsidRDefault="00A610E1" w:rsidP="00A610E1">
      <w:pPr>
        <w:pStyle w:val="BodyText"/>
        <w:numPr>
          <w:ilvl w:val="0"/>
          <w:numId w:val="8"/>
        </w:numPr>
        <w:tabs>
          <w:tab w:val="clear" w:pos="567"/>
        </w:tabs>
        <w:spacing w:line="240" w:lineRule="auto"/>
        <w:jc w:val="left"/>
        <w:rPr>
          <w:rFonts w:eastAsia="MS Mincho"/>
          <w:sz w:val="22"/>
          <w:szCs w:val="22"/>
          <w:lang w:val="pl-PL" w:eastAsia="ja-JP"/>
        </w:rPr>
      </w:pPr>
      <w:r w:rsidRPr="00BD22FE">
        <w:rPr>
          <w:rFonts w:eastAsia="MS Mincho"/>
          <w:sz w:val="22"/>
          <w:szCs w:val="22"/>
          <w:lang w:val="pl-PL" w:eastAsia="ja-JP"/>
        </w:rPr>
        <w:t>niskie ciśnienie tętnicze krwi (niedociśnienie), którego prawdopodobieństwo wystąpienia jest większe, jeśli pacjent jest odwodniony (nadmierna utrata wody z organizmu) lub ma niedobór soli z powodu stosowania leków moczopędnych (tabletek odwadniających), diety ubogosolnej, biegunki, wymiotów lub hemofiltracji;</w:t>
      </w:r>
    </w:p>
    <w:p w14:paraId="4F05A87E" w14:textId="77777777" w:rsidR="00A610E1" w:rsidRPr="00BD22FE" w:rsidRDefault="00A610E1" w:rsidP="00A610E1">
      <w:pPr>
        <w:pStyle w:val="BodyText"/>
        <w:numPr>
          <w:ilvl w:val="0"/>
          <w:numId w:val="8"/>
        </w:numPr>
        <w:tabs>
          <w:tab w:val="clear" w:pos="567"/>
        </w:tabs>
        <w:spacing w:line="240" w:lineRule="auto"/>
        <w:jc w:val="left"/>
        <w:rPr>
          <w:rFonts w:eastAsia="MS Mincho"/>
          <w:sz w:val="22"/>
          <w:szCs w:val="22"/>
          <w:lang w:val="pl-PL" w:eastAsia="ja-JP"/>
        </w:rPr>
      </w:pPr>
      <w:r w:rsidRPr="00BD22FE">
        <w:rPr>
          <w:rFonts w:eastAsia="MS Mincho"/>
          <w:sz w:val="22"/>
          <w:szCs w:val="22"/>
          <w:lang w:val="pl-PL" w:eastAsia="ja-JP"/>
        </w:rPr>
        <w:t>choroba nerek lub stan po przeszczepieniu nerki;</w:t>
      </w:r>
    </w:p>
    <w:p w14:paraId="0CEC2B98" w14:textId="093C6EF9" w:rsidR="00A610E1" w:rsidRPr="00BD22FE" w:rsidRDefault="00A610E1" w:rsidP="00A610E1">
      <w:pPr>
        <w:pStyle w:val="BodyText"/>
        <w:numPr>
          <w:ilvl w:val="0"/>
          <w:numId w:val="8"/>
        </w:numPr>
        <w:tabs>
          <w:tab w:val="clear" w:pos="567"/>
        </w:tabs>
        <w:spacing w:line="240" w:lineRule="auto"/>
        <w:jc w:val="left"/>
        <w:rPr>
          <w:rFonts w:eastAsia="MS Mincho"/>
          <w:sz w:val="22"/>
          <w:szCs w:val="22"/>
          <w:lang w:val="pl-PL" w:eastAsia="ja-JP"/>
        </w:rPr>
      </w:pPr>
      <w:r w:rsidRPr="00BD22FE">
        <w:rPr>
          <w:rFonts w:eastAsia="MS Mincho"/>
          <w:sz w:val="22"/>
          <w:szCs w:val="22"/>
          <w:lang w:val="pl-PL" w:eastAsia="ja-JP"/>
        </w:rPr>
        <w:t>zwężenie tętnicy nerkowej (zwężenie naczyń krwionośnych zaopatrujących jedną lub obydwie nerki);</w:t>
      </w:r>
    </w:p>
    <w:p w14:paraId="5B512CBA" w14:textId="77777777" w:rsidR="00A610E1" w:rsidRPr="00BD22FE" w:rsidRDefault="00A610E1" w:rsidP="00A610E1">
      <w:pPr>
        <w:pStyle w:val="BodyText"/>
        <w:numPr>
          <w:ilvl w:val="0"/>
          <w:numId w:val="8"/>
        </w:numPr>
        <w:tabs>
          <w:tab w:val="clear" w:pos="567"/>
        </w:tabs>
        <w:spacing w:line="240" w:lineRule="auto"/>
        <w:jc w:val="left"/>
        <w:rPr>
          <w:rFonts w:eastAsia="MS Mincho"/>
          <w:sz w:val="22"/>
          <w:szCs w:val="22"/>
          <w:lang w:val="pl-PL" w:eastAsia="ja-JP"/>
        </w:rPr>
      </w:pPr>
      <w:r w:rsidRPr="00BD22FE">
        <w:rPr>
          <w:rFonts w:eastAsia="MS Mincho"/>
          <w:sz w:val="22"/>
          <w:szCs w:val="22"/>
          <w:lang w:val="pl-PL" w:eastAsia="ja-JP"/>
        </w:rPr>
        <w:t>choroba wątroby;</w:t>
      </w:r>
    </w:p>
    <w:p w14:paraId="542DB27C" w14:textId="6E79F3DC" w:rsidR="00A610E1" w:rsidRPr="00BD22FE" w:rsidRDefault="00A610E1" w:rsidP="00A610E1">
      <w:pPr>
        <w:pStyle w:val="BodyText"/>
        <w:numPr>
          <w:ilvl w:val="0"/>
          <w:numId w:val="8"/>
        </w:numPr>
        <w:tabs>
          <w:tab w:val="clear" w:pos="567"/>
        </w:tabs>
        <w:spacing w:line="240" w:lineRule="auto"/>
        <w:jc w:val="left"/>
        <w:rPr>
          <w:rFonts w:eastAsia="MS Mincho"/>
          <w:sz w:val="22"/>
          <w:szCs w:val="22"/>
          <w:lang w:val="pl-PL" w:eastAsia="ja-JP"/>
        </w:rPr>
      </w:pPr>
      <w:r w:rsidRPr="00BD22FE">
        <w:rPr>
          <w:sz w:val="22"/>
          <w:szCs w:val="22"/>
          <w:lang w:val="pl-PL"/>
        </w:rPr>
        <w:t>zaburzenia dotyczące</w:t>
      </w:r>
      <w:r w:rsidRPr="00BD22FE">
        <w:rPr>
          <w:rFonts w:eastAsia="MS Mincho"/>
          <w:sz w:val="22"/>
          <w:szCs w:val="22"/>
          <w:lang w:val="pl-PL" w:eastAsia="ja-JP"/>
        </w:rPr>
        <w:t xml:space="preserve"> serca;</w:t>
      </w:r>
    </w:p>
    <w:p w14:paraId="782533DB" w14:textId="77777777" w:rsidR="00A610E1" w:rsidRPr="00BD22FE" w:rsidRDefault="00A610E1" w:rsidP="00A610E1">
      <w:pPr>
        <w:pStyle w:val="BodyText"/>
        <w:numPr>
          <w:ilvl w:val="0"/>
          <w:numId w:val="8"/>
        </w:numPr>
        <w:tabs>
          <w:tab w:val="clear" w:pos="567"/>
        </w:tabs>
        <w:spacing w:line="240" w:lineRule="auto"/>
        <w:jc w:val="left"/>
        <w:rPr>
          <w:rFonts w:eastAsia="MS Mincho"/>
          <w:sz w:val="22"/>
          <w:szCs w:val="22"/>
          <w:lang w:val="pl-PL" w:eastAsia="ja-JP"/>
        </w:rPr>
      </w:pPr>
      <w:r w:rsidRPr="00BD22FE">
        <w:rPr>
          <w:rFonts w:eastAsia="MS Mincho"/>
          <w:sz w:val="22"/>
          <w:szCs w:val="22"/>
          <w:lang w:val="pl-PL" w:eastAsia="ja-JP"/>
        </w:rPr>
        <w:t>cukrzyca;</w:t>
      </w:r>
    </w:p>
    <w:p w14:paraId="46435F94" w14:textId="77777777" w:rsidR="00A610E1" w:rsidRPr="00BD22FE" w:rsidRDefault="00A610E1" w:rsidP="00A610E1">
      <w:pPr>
        <w:pStyle w:val="BodyText"/>
        <w:numPr>
          <w:ilvl w:val="0"/>
          <w:numId w:val="8"/>
        </w:numPr>
        <w:tabs>
          <w:tab w:val="clear" w:pos="567"/>
        </w:tabs>
        <w:spacing w:line="240" w:lineRule="auto"/>
        <w:jc w:val="left"/>
        <w:rPr>
          <w:rFonts w:eastAsia="MS Mincho"/>
          <w:sz w:val="22"/>
          <w:szCs w:val="22"/>
          <w:lang w:val="pl-PL" w:eastAsia="ja-JP"/>
        </w:rPr>
      </w:pPr>
      <w:r w:rsidRPr="00BD22FE">
        <w:rPr>
          <w:rFonts w:eastAsia="MS Mincho"/>
          <w:sz w:val="22"/>
          <w:szCs w:val="22"/>
          <w:lang w:val="pl-PL" w:eastAsia="ja-JP"/>
        </w:rPr>
        <w:t>dna moczanowa;</w:t>
      </w:r>
    </w:p>
    <w:p w14:paraId="21B696E5" w14:textId="72AC54B6" w:rsidR="00A610E1" w:rsidRPr="00BD22FE" w:rsidRDefault="00A610E1" w:rsidP="00A610E1">
      <w:pPr>
        <w:pStyle w:val="BodyText"/>
        <w:numPr>
          <w:ilvl w:val="0"/>
          <w:numId w:val="8"/>
        </w:numPr>
        <w:tabs>
          <w:tab w:val="clear" w:pos="567"/>
        </w:tabs>
        <w:spacing w:line="240" w:lineRule="auto"/>
        <w:jc w:val="left"/>
        <w:rPr>
          <w:rFonts w:eastAsia="MS Mincho"/>
          <w:sz w:val="22"/>
          <w:szCs w:val="22"/>
          <w:lang w:val="pl-PL" w:eastAsia="ja-JP"/>
        </w:rPr>
      </w:pPr>
      <w:r w:rsidRPr="00BD22FE">
        <w:rPr>
          <w:rFonts w:eastAsia="MS Mincho"/>
          <w:sz w:val="22"/>
          <w:szCs w:val="22"/>
          <w:lang w:val="pl-PL" w:eastAsia="ja-JP"/>
        </w:rPr>
        <w:t xml:space="preserve">zwiększone stężenie aldosteronu (zatrzymanie wody i soli w organizmie, </w:t>
      </w:r>
      <w:r w:rsidRPr="00BD22FE">
        <w:rPr>
          <w:sz w:val="22"/>
          <w:szCs w:val="22"/>
          <w:lang w:val="pl-PL"/>
        </w:rPr>
        <w:t xml:space="preserve">któremu towarzyszą </w:t>
      </w:r>
      <w:r w:rsidRPr="00BD22FE">
        <w:rPr>
          <w:rFonts w:eastAsia="MS Mincho"/>
          <w:sz w:val="22"/>
          <w:szCs w:val="22"/>
          <w:lang w:val="pl-PL" w:eastAsia="ja-JP"/>
        </w:rPr>
        <w:t xml:space="preserve">zaburzenia równowagi </w:t>
      </w:r>
      <w:r w:rsidRPr="00BD22FE">
        <w:rPr>
          <w:sz w:val="22"/>
          <w:szCs w:val="22"/>
          <w:lang w:val="pl-PL"/>
        </w:rPr>
        <w:t>różnych składników mineralnych we krwi</w:t>
      </w:r>
      <w:r w:rsidRPr="00BD22FE">
        <w:rPr>
          <w:rFonts w:eastAsia="MS Mincho"/>
          <w:sz w:val="22"/>
          <w:szCs w:val="22"/>
          <w:lang w:val="pl-PL" w:eastAsia="ja-JP"/>
        </w:rPr>
        <w:t>);</w:t>
      </w:r>
    </w:p>
    <w:p w14:paraId="74C798C5" w14:textId="77777777" w:rsidR="00A610E1" w:rsidRPr="00BD22FE" w:rsidRDefault="00A610E1" w:rsidP="00A610E1">
      <w:pPr>
        <w:pStyle w:val="BodyText"/>
        <w:numPr>
          <w:ilvl w:val="0"/>
          <w:numId w:val="8"/>
        </w:numPr>
        <w:tabs>
          <w:tab w:val="clear" w:pos="567"/>
        </w:tabs>
        <w:spacing w:line="240" w:lineRule="auto"/>
        <w:jc w:val="left"/>
        <w:rPr>
          <w:rFonts w:eastAsia="MS Mincho"/>
          <w:sz w:val="22"/>
          <w:szCs w:val="22"/>
          <w:lang w:val="pl-PL" w:eastAsia="ja-JP"/>
        </w:rPr>
      </w:pPr>
      <w:r w:rsidRPr="00BD22FE">
        <w:rPr>
          <w:rFonts w:eastAsia="MS Mincho"/>
          <w:sz w:val="22"/>
          <w:szCs w:val="22"/>
          <w:lang w:val="pl-PL" w:eastAsia="ja-JP"/>
        </w:rPr>
        <w:t>toczeń rumieniowaty układowy (zwany również „toczniem” lub „SLE”), choroba, w przebiegu której układ odpornościowy atakuje własny organizm;</w:t>
      </w:r>
    </w:p>
    <w:p w14:paraId="283CA5A5" w14:textId="77777777" w:rsidR="00A610E1" w:rsidRPr="00BD22FE" w:rsidRDefault="00A610E1" w:rsidP="00A610E1">
      <w:pPr>
        <w:pStyle w:val="BodyText"/>
        <w:numPr>
          <w:ilvl w:val="0"/>
          <w:numId w:val="8"/>
        </w:numPr>
        <w:tabs>
          <w:tab w:val="clear" w:pos="567"/>
        </w:tabs>
        <w:spacing w:line="240" w:lineRule="auto"/>
        <w:jc w:val="left"/>
        <w:rPr>
          <w:rFonts w:eastAsia="MS Mincho"/>
          <w:sz w:val="22"/>
          <w:szCs w:val="22"/>
          <w:lang w:val="pl-PL" w:eastAsia="ja-JP"/>
        </w:rPr>
      </w:pPr>
      <w:r w:rsidRPr="00BD22FE">
        <w:rPr>
          <w:rFonts w:eastAsia="MS Mincho"/>
          <w:sz w:val="22"/>
          <w:szCs w:val="22"/>
          <w:lang w:val="pl-PL" w:eastAsia="ja-JP"/>
        </w:rPr>
        <w:t>substancja czynna hydrochlorotiazyd może powodować rzadkie reakcje powodujące ograniczenie widzenia i ból oczu. Mogą to być objawy gromadzenia się płynu w unaczynionej błonie otaczającej oko (nadmiernego nagromadzenia płynu między naczyniówką a twardówką) lub zwiększonego ciśnienia w gałce ocznej, które mogą się pojawić w ciągu kilku godzin do kilku tygodni od przyjęcia leku MicardisPlus. Nieleczone mogą prowadzić do trwałego zaburzenia wzroku.</w:t>
      </w:r>
    </w:p>
    <w:p w14:paraId="39AB69F5" w14:textId="77777777" w:rsidR="00A610E1" w:rsidRPr="00BD22FE" w:rsidRDefault="00A610E1" w:rsidP="00A610E1">
      <w:pPr>
        <w:pStyle w:val="BodyText"/>
        <w:numPr>
          <w:ilvl w:val="0"/>
          <w:numId w:val="8"/>
        </w:numPr>
        <w:tabs>
          <w:tab w:val="clear" w:pos="567"/>
        </w:tabs>
        <w:spacing w:line="240" w:lineRule="auto"/>
        <w:jc w:val="left"/>
        <w:rPr>
          <w:rFonts w:eastAsia="MS Mincho"/>
          <w:sz w:val="22"/>
          <w:szCs w:val="22"/>
          <w:lang w:val="pl-PL" w:eastAsia="ja-JP"/>
        </w:rPr>
      </w:pPr>
      <w:r w:rsidRPr="00BD22FE">
        <w:rPr>
          <w:sz w:val="22"/>
          <w:szCs w:val="22"/>
          <w:lang w:val="pl-PL"/>
        </w:rPr>
        <w:t>jeśli w przeszłości u pacjenta wystąpił nowotwór złośliwy skóry lub jeśli w trakcie leczenia pojawi się nieoczekiwana zmiana skórna. Leczenie hydrochlorotiazydem, zwłaszcza dużymi dawkami przez dłuższy czas, może zwiększyć ryzyko niektórych rodzajów nowotworów złośliwych skóry i warg (nieczerniakowy nowotwór złośliwy skóry). Podczas przyjmowania leku MicardisPlus należy chronić skórę przed działaniem światła słonecznego i promieniowaniem UV.</w:t>
      </w:r>
    </w:p>
    <w:p w14:paraId="000CACA2" w14:textId="77777777" w:rsidR="00A610E1" w:rsidRPr="00BD22FE" w:rsidRDefault="00A610E1" w:rsidP="00A610E1">
      <w:pPr>
        <w:rPr>
          <w:sz w:val="22"/>
          <w:szCs w:val="22"/>
          <w:lang w:val="pl-PL"/>
        </w:rPr>
      </w:pPr>
    </w:p>
    <w:p w14:paraId="0147610D" w14:textId="77777777" w:rsidR="00A610E1" w:rsidRPr="00BD22FE" w:rsidRDefault="00A610E1" w:rsidP="00A610E1">
      <w:pPr>
        <w:keepNext/>
        <w:rPr>
          <w:sz w:val="22"/>
          <w:szCs w:val="22"/>
          <w:lang w:val="pl-PL"/>
        </w:rPr>
      </w:pPr>
      <w:r w:rsidRPr="00BD22FE">
        <w:rPr>
          <w:sz w:val="22"/>
          <w:szCs w:val="22"/>
          <w:lang w:val="pl-PL"/>
        </w:rPr>
        <w:lastRenderedPageBreak/>
        <w:t>Przed rozpoczęciem przyjmowania leku MicardisPlus należy omówić to z lekarzem:</w:t>
      </w:r>
    </w:p>
    <w:p w14:paraId="2A62EAEB" w14:textId="77777777" w:rsidR="00A610E1" w:rsidRPr="00BD22FE" w:rsidRDefault="00A610E1" w:rsidP="00A610E1">
      <w:pPr>
        <w:keepNext/>
        <w:numPr>
          <w:ilvl w:val="0"/>
          <w:numId w:val="16"/>
        </w:numPr>
        <w:ind w:left="567" w:hanging="567"/>
        <w:rPr>
          <w:sz w:val="22"/>
          <w:szCs w:val="22"/>
          <w:lang w:val="pl-PL"/>
        </w:rPr>
      </w:pPr>
      <w:r w:rsidRPr="00BD22FE">
        <w:rPr>
          <w:sz w:val="22"/>
          <w:szCs w:val="22"/>
          <w:lang w:val="pl-PL"/>
        </w:rPr>
        <w:t>jeśli pacjent przyjmuje którykolwiek z poniższych leków stosowanych w leczeniu wysokiego ciśnienia tętniczego krwi:</w:t>
      </w:r>
    </w:p>
    <w:p w14:paraId="2FDB0D89" w14:textId="6237001F" w:rsidR="00A610E1" w:rsidRPr="00BD22FE" w:rsidRDefault="00A610E1" w:rsidP="00A610E1">
      <w:pPr>
        <w:ind w:left="567"/>
        <w:rPr>
          <w:sz w:val="22"/>
          <w:szCs w:val="22"/>
          <w:lang w:val="pl-PL"/>
        </w:rPr>
      </w:pPr>
      <w:r w:rsidRPr="00BD22FE">
        <w:rPr>
          <w:sz w:val="22"/>
          <w:szCs w:val="22"/>
          <w:lang w:val="pl-PL"/>
        </w:rPr>
        <w:t>- inhibitor konwertazy angiotensyny (ang. Angiotensin Converting Enzyme Inhibitors, ACE) (na przykład enalapryl, lizynopryl, ramipryl), w szczególności jeśli pacjent ma zaburzenia czynności nerek związane z cukrzycą.</w:t>
      </w:r>
    </w:p>
    <w:p w14:paraId="01A3069B" w14:textId="77777777" w:rsidR="00A610E1" w:rsidRPr="00BD22FE" w:rsidRDefault="00A610E1" w:rsidP="00A610E1">
      <w:pPr>
        <w:ind w:left="567"/>
        <w:rPr>
          <w:sz w:val="22"/>
          <w:szCs w:val="22"/>
          <w:lang w:val="pl-PL"/>
        </w:rPr>
      </w:pPr>
      <w:r w:rsidRPr="00BD22FE">
        <w:rPr>
          <w:sz w:val="22"/>
          <w:szCs w:val="22"/>
          <w:lang w:val="pl-PL"/>
        </w:rPr>
        <w:t>- aliskiren.</w:t>
      </w:r>
    </w:p>
    <w:p w14:paraId="664126DF" w14:textId="730C8B50" w:rsidR="00A610E1" w:rsidRPr="00BD22FE" w:rsidRDefault="00A610E1" w:rsidP="00A610E1">
      <w:pPr>
        <w:ind w:left="567"/>
        <w:rPr>
          <w:sz w:val="22"/>
          <w:szCs w:val="22"/>
          <w:lang w:val="pl-PL"/>
        </w:rPr>
      </w:pPr>
      <w:r w:rsidRPr="00BD22FE">
        <w:rPr>
          <w:sz w:val="22"/>
          <w:szCs w:val="22"/>
          <w:lang w:val="pl-PL"/>
        </w:rPr>
        <w:t>Lekarz prowadzący może monitorować czynność nerek, ciśnienie tętnicze krwi oraz stężenie elektrolitów (np. potasu) we krwi w regularnych odstępach czasu. Patrz także podpunkt „Kiedy nie przyjmować leku MicardisPlus”.</w:t>
      </w:r>
    </w:p>
    <w:p w14:paraId="6C7D2C8D" w14:textId="77777777" w:rsidR="00A610E1" w:rsidRPr="00BD22FE" w:rsidRDefault="00A610E1" w:rsidP="00A610E1">
      <w:pPr>
        <w:numPr>
          <w:ilvl w:val="0"/>
          <w:numId w:val="16"/>
        </w:numPr>
        <w:ind w:left="567" w:hanging="567"/>
        <w:rPr>
          <w:sz w:val="22"/>
          <w:szCs w:val="22"/>
          <w:lang w:val="pl-PL"/>
        </w:rPr>
      </w:pPr>
      <w:r w:rsidRPr="00BD22FE">
        <w:rPr>
          <w:sz w:val="22"/>
          <w:szCs w:val="22"/>
          <w:lang w:val="pl-PL"/>
        </w:rPr>
        <w:t>jeśli pacjent przyjmuje digoksynę.</w:t>
      </w:r>
    </w:p>
    <w:p w14:paraId="192305FA" w14:textId="77777777" w:rsidR="00A610E1" w:rsidRPr="00BD22FE" w:rsidRDefault="00A610E1" w:rsidP="00A610E1">
      <w:pPr>
        <w:numPr>
          <w:ilvl w:val="0"/>
          <w:numId w:val="16"/>
        </w:numPr>
        <w:ind w:left="567" w:hanging="567"/>
        <w:rPr>
          <w:sz w:val="22"/>
          <w:szCs w:val="22"/>
          <w:lang w:val="pl-PL"/>
        </w:rPr>
      </w:pPr>
      <w:r w:rsidRPr="00BD22FE">
        <w:rPr>
          <w:sz w:val="22"/>
          <w:szCs w:val="22"/>
          <w:lang w:val="pl-PL"/>
        </w:rPr>
        <w:t>jeśli w przeszłości po przyjęciu hydrochlorotiazydu u pacjenta występowały problemy z oddychaniem lub płucami (w tym zapalenie płuc lub gromadzenie się płynu w płucach). Jeśli po przyjęciu leku MicardisPlus u pacjenta wystąpi ciężka duszność lub trudności z oddychaniem, należy niezwłocznie zwrócić się o pomoc medyczną.</w:t>
      </w:r>
    </w:p>
    <w:p w14:paraId="6FA8F8E5" w14:textId="77777777" w:rsidR="00A610E1" w:rsidRPr="00BD22FE" w:rsidRDefault="00A610E1" w:rsidP="00A610E1">
      <w:pPr>
        <w:pStyle w:val="BodyText"/>
        <w:spacing w:line="240" w:lineRule="auto"/>
        <w:jc w:val="left"/>
        <w:rPr>
          <w:sz w:val="22"/>
          <w:szCs w:val="22"/>
          <w:lang w:val="pl-PL"/>
        </w:rPr>
      </w:pPr>
    </w:p>
    <w:p w14:paraId="6E681556" w14:textId="06576C54" w:rsidR="002049D2" w:rsidRPr="00BD22FE" w:rsidRDefault="002049D2" w:rsidP="002049D2">
      <w:pPr>
        <w:rPr>
          <w:sz w:val="22"/>
          <w:szCs w:val="22"/>
          <w:lang w:val="pl-PL"/>
        </w:rPr>
      </w:pPr>
      <w:r w:rsidRPr="00BD22FE">
        <w:rPr>
          <w:sz w:val="22"/>
          <w:szCs w:val="22"/>
          <w:lang w:val="pl-PL"/>
        </w:rPr>
        <w:t>Jeśli po przyjęciu leku MicardisPlus u pacjenta wystąpi ból brzucha, nudności, wymioty lub biegunka, należy omówić to z lekarzem. Lekarz podejmie decyzję o dalszym leczeniu. Nie należy samodzielnie podejmować decyzji o przerwaniu przyjmowania leku MicardisPlus.</w:t>
      </w:r>
    </w:p>
    <w:p w14:paraId="2A076E1E" w14:textId="77777777" w:rsidR="002049D2" w:rsidRPr="00BD22FE" w:rsidRDefault="002049D2" w:rsidP="002049D2">
      <w:pPr>
        <w:pStyle w:val="BodyText"/>
        <w:spacing w:line="240" w:lineRule="auto"/>
        <w:jc w:val="left"/>
        <w:rPr>
          <w:sz w:val="22"/>
          <w:szCs w:val="22"/>
          <w:lang w:val="pl-PL"/>
        </w:rPr>
      </w:pPr>
    </w:p>
    <w:p w14:paraId="4061686C" w14:textId="34ACA234" w:rsidR="00A610E1" w:rsidRPr="00BD22FE" w:rsidRDefault="00A610E1" w:rsidP="00A610E1">
      <w:pPr>
        <w:pStyle w:val="BodyText"/>
        <w:spacing w:line="240" w:lineRule="auto"/>
        <w:jc w:val="left"/>
        <w:rPr>
          <w:rFonts w:eastAsia="MS Mincho"/>
          <w:sz w:val="22"/>
          <w:szCs w:val="22"/>
          <w:lang w:val="pl-PL" w:eastAsia="ja-JP"/>
        </w:rPr>
      </w:pPr>
      <w:r w:rsidRPr="00BD22FE">
        <w:rPr>
          <w:sz w:val="22"/>
          <w:szCs w:val="22"/>
          <w:lang w:val="pl-PL"/>
        </w:rPr>
        <w:t>Należy poinformować lekarza o podejrzeniu (</w:t>
      </w:r>
      <w:r w:rsidRPr="00BD22FE">
        <w:rPr>
          <w:sz w:val="22"/>
          <w:szCs w:val="22"/>
          <w:u w:val="single"/>
          <w:lang w:val="pl-PL"/>
        </w:rPr>
        <w:t>lub planowaniu</w:t>
      </w:r>
      <w:r w:rsidRPr="00BD22FE">
        <w:rPr>
          <w:sz w:val="22"/>
          <w:szCs w:val="22"/>
          <w:lang w:val="pl-PL"/>
        </w:rPr>
        <w:t>) ciąży. Nie zaleca się stosowania leku MicardisPlus we wczesnym okresie ciąży oraz </w:t>
      </w:r>
      <w:r w:rsidRPr="00BD22FE">
        <w:rPr>
          <w:rFonts w:eastAsia="MS Mincho"/>
          <w:sz w:val="22"/>
          <w:szCs w:val="22"/>
          <w:lang w:val="pl-PL" w:eastAsia="ja-JP"/>
        </w:rPr>
        <w:t>nie wolno go przyjmować, jeśli pacjentka jest w ciąży dłużej niż 3 miesiące, ponieważ stosowany w tym okresie może poważnie zaszkodzić dziecku (patrz punkt „Ciąża”).</w:t>
      </w:r>
    </w:p>
    <w:p w14:paraId="73EFBB31" w14:textId="77777777" w:rsidR="00A610E1" w:rsidRPr="00BD22FE" w:rsidRDefault="00A610E1" w:rsidP="00A610E1">
      <w:pPr>
        <w:pStyle w:val="BodyText"/>
        <w:spacing w:line="240" w:lineRule="auto"/>
        <w:jc w:val="left"/>
        <w:rPr>
          <w:sz w:val="22"/>
          <w:szCs w:val="22"/>
          <w:lang w:val="pl-PL"/>
        </w:rPr>
      </w:pPr>
    </w:p>
    <w:p w14:paraId="4EED3D56" w14:textId="5DD767CD" w:rsidR="00A610E1" w:rsidRPr="00BD22FE" w:rsidRDefault="00A610E1" w:rsidP="00A610E1">
      <w:pPr>
        <w:pStyle w:val="BodyText"/>
        <w:spacing w:line="240" w:lineRule="auto"/>
        <w:jc w:val="left"/>
        <w:rPr>
          <w:sz w:val="22"/>
          <w:szCs w:val="22"/>
          <w:lang w:val="pl-PL"/>
        </w:rPr>
      </w:pPr>
      <w:r w:rsidRPr="00BD22FE">
        <w:rPr>
          <w:sz w:val="22"/>
          <w:szCs w:val="22"/>
          <w:lang w:val="pl-PL"/>
        </w:rPr>
        <w:t>Leczenie hydrochlorotiazydem może prowadzić do zaburzenia równowagi elektrolitów w organizmie. Typowe objawy zaburzenia gospodarki płynowej lub elektrolitowej obejmują suchość błony śluzowej w jamie ustnej, osłabienie, letarg, senność, niepokój, bóle lub skurcze mięśniowe, nudności (mdłości), wymioty, zmęczenie mięśni oraz nieprawidłowo przyspieszone tętno (szybciej niż 100 uderzeń na minutę). W przypadku wystąpienia któregokolwiek z tych objawów należy poinformować lekarza.</w:t>
      </w:r>
    </w:p>
    <w:p w14:paraId="7E56F3DD" w14:textId="77777777" w:rsidR="00A610E1" w:rsidRPr="00BD22FE" w:rsidRDefault="00A610E1" w:rsidP="00A610E1">
      <w:pPr>
        <w:pStyle w:val="BodyText"/>
        <w:spacing w:line="240" w:lineRule="auto"/>
        <w:jc w:val="left"/>
        <w:rPr>
          <w:sz w:val="22"/>
          <w:szCs w:val="22"/>
          <w:lang w:val="pl-PL"/>
        </w:rPr>
      </w:pPr>
    </w:p>
    <w:p w14:paraId="2FCE8710" w14:textId="2AE77575" w:rsidR="00A610E1" w:rsidRPr="00BD22FE" w:rsidRDefault="00A610E1" w:rsidP="00A610E1">
      <w:pPr>
        <w:pStyle w:val="BodyText"/>
        <w:spacing w:line="240" w:lineRule="auto"/>
        <w:jc w:val="left"/>
        <w:rPr>
          <w:sz w:val="22"/>
          <w:szCs w:val="22"/>
          <w:lang w:val="pl-PL"/>
        </w:rPr>
      </w:pPr>
      <w:r w:rsidRPr="00BD22FE">
        <w:rPr>
          <w:sz w:val="22"/>
          <w:szCs w:val="22"/>
          <w:lang w:val="pl-PL"/>
        </w:rPr>
        <w:t>Należy również poinformować lekarza o wystąpieniu zwiększonej wrażliwości skóry na światło słoneczne z objawami oparzenia słonecznego (takimi jak zaczerwienienie, swędzenie, obrzęk, powstawanie pęcherzy) pojawiającymi się szybciej niż zazwyczaj.</w:t>
      </w:r>
    </w:p>
    <w:p w14:paraId="21203885" w14:textId="77777777" w:rsidR="00A610E1" w:rsidRPr="00BD22FE" w:rsidRDefault="00A610E1" w:rsidP="00A610E1">
      <w:pPr>
        <w:pStyle w:val="BodyText"/>
        <w:spacing w:line="240" w:lineRule="auto"/>
        <w:jc w:val="left"/>
        <w:rPr>
          <w:sz w:val="22"/>
          <w:szCs w:val="22"/>
          <w:lang w:val="pl-PL"/>
        </w:rPr>
      </w:pPr>
    </w:p>
    <w:p w14:paraId="6C2519A2" w14:textId="77777777" w:rsidR="00A610E1" w:rsidRPr="00BD22FE" w:rsidRDefault="00A610E1" w:rsidP="00A610E1">
      <w:pPr>
        <w:pStyle w:val="BodyText"/>
        <w:spacing w:line="240" w:lineRule="auto"/>
        <w:jc w:val="left"/>
        <w:rPr>
          <w:rFonts w:eastAsia="MS Mincho"/>
          <w:sz w:val="22"/>
          <w:szCs w:val="22"/>
          <w:lang w:val="pl-PL" w:eastAsia="ja-JP"/>
        </w:rPr>
      </w:pPr>
      <w:r w:rsidRPr="00BD22FE">
        <w:rPr>
          <w:rFonts w:eastAsia="MS Mincho"/>
          <w:sz w:val="22"/>
          <w:szCs w:val="22"/>
          <w:lang w:val="pl-PL" w:eastAsia="ja-JP"/>
        </w:rPr>
        <w:t>W przypadku planowanego zabiegu chirurgicznego lub znieczulenia należy poinformować lekarza o przyjmowaniu leku MicardisPlus.</w:t>
      </w:r>
    </w:p>
    <w:p w14:paraId="66555B74" w14:textId="77777777" w:rsidR="00A610E1" w:rsidRPr="00BD22FE" w:rsidRDefault="00A610E1" w:rsidP="00A610E1">
      <w:pPr>
        <w:rPr>
          <w:sz w:val="22"/>
          <w:szCs w:val="22"/>
          <w:lang w:val="pl-PL"/>
        </w:rPr>
      </w:pPr>
    </w:p>
    <w:p w14:paraId="73A257DD" w14:textId="77777777" w:rsidR="00A610E1" w:rsidRPr="00BD22FE" w:rsidRDefault="00A610E1" w:rsidP="00A610E1">
      <w:pPr>
        <w:rPr>
          <w:sz w:val="22"/>
          <w:szCs w:val="22"/>
          <w:lang w:val="pl-PL"/>
        </w:rPr>
      </w:pPr>
      <w:r w:rsidRPr="00BD22FE">
        <w:rPr>
          <w:sz w:val="22"/>
          <w:szCs w:val="22"/>
          <w:lang w:val="pl-PL"/>
        </w:rPr>
        <w:t>Lek MicardisPlus może mniej skutecznie obniżać ciśnienie tętnicze krwi u osób rasy czarnej.</w:t>
      </w:r>
    </w:p>
    <w:p w14:paraId="3611BA9D" w14:textId="77777777" w:rsidR="00A610E1" w:rsidRPr="00BD22FE" w:rsidRDefault="00A610E1" w:rsidP="00A610E1">
      <w:pPr>
        <w:rPr>
          <w:rFonts w:eastAsia="MS Mincho"/>
          <w:sz w:val="22"/>
          <w:szCs w:val="22"/>
          <w:lang w:val="pl-PL" w:eastAsia="ja-JP"/>
        </w:rPr>
      </w:pPr>
    </w:p>
    <w:p w14:paraId="6130E04A" w14:textId="77777777" w:rsidR="00A610E1" w:rsidRPr="00BD22FE" w:rsidRDefault="00A610E1" w:rsidP="00A610E1">
      <w:pPr>
        <w:keepNext/>
        <w:rPr>
          <w:sz w:val="22"/>
          <w:szCs w:val="22"/>
          <w:lang w:val="pl-PL" w:bidi="bn-IN"/>
        </w:rPr>
      </w:pPr>
      <w:r w:rsidRPr="00BD22FE">
        <w:rPr>
          <w:b/>
          <w:sz w:val="22"/>
          <w:szCs w:val="22"/>
          <w:lang w:val="pl-PL" w:bidi="bn-IN"/>
        </w:rPr>
        <w:t>Dzieci i młodzież</w:t>
      </w:r>
    </w:p>
    <w:p w14:paraId="2B196D1F" w14:textId="77777777" w:rsidR="00A610E1" w:rsidRPr="00BD22FE" w:rsidRDefault="00A610E1" w:rsidP="00A610E1">
      <w:pPr>
        <w:pStyle w:val="BodyText"/>
        <w:spacing w:line="240" w:lineRule="auto"/>
        <w:jc w:val="left"/>
        <w:rPr>
          <w:sz w:val="22"/>
          <w:szCs w:val="22"/>
          <w:lang w:val="pl-PL"/>
        </w:rPr>
      </w:pPr>
      <w:r w:rsidRPr="00BD22FE">
        <w:rPr>
          <w:sz w:val="22"/>
          <w:szCs w:val="22"/>
          <w:lang w:val="pl-PL"/>
        </w:rPr>
        <w:t>Stosowanie leku MicardisPlus u dzieci i młodzieży w wieku do 18 lat nie jest zalecane.</w:t>
      </w:r>
    </w:p>
    <w:p w14:paraId="097C09DE" w14:textId="77777777" w:rsidR="00A610E1" w:rsidRPr="00BD22FE" w:rsidRDefault="00A610E1" w:rsidP="00A610E1">
      <w:pPr>
        <w:pStyle w:val="BodyText"/>
        <w:spacing w:line="240" w:lineRule="auto"/>
        <w:jc w:val="left"/>
        <w:rPr>
          <w:sz w:val="22"/>
          <w:szCs w:val="22"/>
          <w:lang w:val="pl-PL"/>
        </w:rPr>
      </w:pPr>
    </w:p>
    <w:p w14:paraId="769347B0" w14:textId="77777777" w:rsidR="00A610E1" w:rsidRPr="00BD22FE" w:rsidRDefault="00A610E1" w:rsidP="00A610E1">
      <w:pPr>
        <w:pStyle w:val="BodyText"/>
        <w:keepNext/>
        <w:spacing w:line="240" w:lineRule="auto"/>
        <w:jc w:val="left"/>
        <w:rPr>
          <w:b/>
          <w:sz w:val="22"/>
          <w:szCs w:val="22"/>
          <w:lang w:val="pl-PL"/>
        </w:rPr>
      </w:pPr>
      <w:r w:rsidRPr="00BD22FE">
        <w:rPr>
          <w:b/>
          <w:sz w:val="22"/>
          <w:szCs w:val="22"/>
          <w:lang w:val="pl-PL" w:bidi="bn-IN"/>
        </w:rPr>
        <w:t>Lek MicardisPlus a inne leki</w:t>
      </w:r>
    </w:p>
    <w:p w14:paraId="0B321411" w14:textId="0C91DE8D" w:rsidR="00A610E1" w:rsidRPr="00BD22FE" w:rsidRDefault="00A610E1" w:rsidP="00A610E1">
      <w:pPr>
        <w:pStyle w:val="BodyText"/>
        <w:keepNext/>
        <w:spacing w:line="240" w:lineRule="auto"/>
        <w:jc w:val="left"/>
        <w:rPr>
          <w:sz w:val="22"/>
          <w:szCs w:val="22"/>
          <w:lang w:val="pl-PL"/>
        </w:rPr>
      </w:pPr>
      <w:r w:rsidRPr="00BD22FE">
        <w:rPr>
          <w:sz w:val="22"/>
          <w:szCs w:val="22"/>
          <w:lang w:val="pl-PL" w:bidi="bn-IN"/>
        </w:rPr>
        <w:t xml:space="preserve">Należy powiedzieć lekarzowi lub farmaceucie o wszystkich lekach przyjmowanych przez pacjenta obecnie lub ostatnio, a także o lekach, które pacjent planuje przyjmować. </w:t>
      </w:r>
      <w:r w:rsidRPr="00BD22FE">
        <w:rPr>
          <w:sz w:val="22"/>
          <w:szCs w:val="22"/>
          <w:lang w:val="pl-PL"/>
        </w:rPr>
        <w:t>Lekarz może zdecydować o zmianie dawki tych leków lub o podjęciu innych środków ostrożności. W niektórych przypadkach konieczne może być przerwanie przyjmowania któregoś z leków. Dotyczy to zwłaszcza jednoczesnego przyjmowania razem z lekiem MicardisPlus niżej wymienionych leków:</w:t>
      </w:r>
    </w:p>
    <w:p w14:paraId="1B387DA9" w14:textId="77777777" w:rsidR="00A610E1" w:rsidRPr="00BD22FE" w:rsidRDefault="00A610E1" w:rsidP="00A610E1">
      <w:pPr>
        <w:pStyle w:val="BodyText"/>
        <w:keepNext/>
        <w:spacing w:line="240" w:lineRule="auto"/>
        <w:jc w:val="left"/>
        <w:rPr>
          <w:sz w:val="22"/>
          <w:szCs w:val="22"/>
          <w:lang w:val="pl-PL"/>
        </w:rPr>
      </w:pPr>
    </w:p>
    <w:p w14:paraId="613979AF" w14:textId="3D175F58" w:rsidR="00A610E1" w:rsidRPr="00BD22FE" w:rsidRDefault="00A610E1" w:rsidP="00A610E1">
      <w:pPr>
        <w:pStyle w:val="BodyText"/>
        <w:numPr>
          <w:ilvl w:val="0"/>
          <w:numId w:val="29"/>
        </w:numPr>
        <w:spacing w:line="240" w:lineRule="auto"/>
        <w:ind w:left="567" w:hanging="567"/>
        <w:jc w:val="left"/>
        <w:rPr>
          <w:sz w:val="22"/>
          <w:szCs w:val="22"/>
          <w:lang w:val="pl-PL"/>
        </w:rPr>
      </w:pPr>
      <w:r w:rsidRPr="00BD22FE">
        <w:rPr>
          <w:sz w:val="22"/>
          <w:szCs w:val="22"/>
          <w:lang w:val="pl-PL"/>
        </w:rPr>
        <w:t>leków zawierających lit, stosowanych w leczeniu niektórych rodzajów depresji;</w:t>
      </w:r>
    </w:p>
    <w:p w14:paraId="74FE1EBD" w14:textId="44B179ED" w:rsidR="00A610E1" w:rsidRPr="00BD22FE" w:rsidRDefault="00A610E1" w:rsidP="00A610E1">
      <w:pPr>
        <w:pStyle w:val="BodyText"/>
        <w:numPr>
          <w:ilvl w:val="0"/>
          <w:numId w:val="29"/>
        </w:numPr>
        <w:spacing w:line="240" w:lineRule="auto"/>
        <w:ind w:left="567" w:hanging="567"/>
        <w:jc w:val="left"/>
        <w:rPr>
          <w:rFonts w:eastAsia="MS Mincho"/>
          <w:sz w:val="22"/>
          <w:szCs w:val="22"/>
          <w:lang w:val="pl-PL" w:eastAsia="ja-JP"/>
        </w:rPr>
      </w:pPr>
      <w:r w:rsidRPr="00BD22FE">
        <w:rPr>
          <w:rFonts w:eastAsia="MS Mincho"/>
          <w:sz w:val="22"/>
          <w:szCs w:val="22"/>
          <w:lang w:val="pl-PL" w:eastAsia="ja-JP"/>
        </w:rPr>
        <w:t>leki związane z występowaniem małego stężenia potasu we krwi (hipokaliemia), takie jak inne leki moczopędne (tabletki odwadniające), leki przeczyszczające (np. olej rycynowy), kortykosteroidy (np. prednizolon), ACTH (hormon), amfoterycyna (lek przeciwgrzybiczy), karbenoksolon (stosowany w leczeniu owrzodzeń jamy ustnej), sól sodowa penicyliny G (antybiotyk), kwas salicylowy oraz jego pochodne;</w:t>
      </w:r>
    </w:p>
    <w:p w14:paraId="53EE35A4" w14:textId="77777777" w:rsidR="00A610E1" w:rsidRPr="00BD22FE" w:rsidRDefault="00A610E1" w:rsidP="00A610E1">
      <w:pPr>
        <w:pStyle w:val="BodyText"/>
        <w:numPr>
          <w:ilvl w:val="0"/>
          <w:numId w:val="29"/>
        </w:numPr>
        <w:spacing w:line="240" w:lineRule="auto"/>
        <w:ind w:left="567" w:hanging="567"/>
        <w:jc w:val="left"/>
        <w:rPr>
          <w:rFonts w:eastAsia="MS Mincho"/>
          <w:sz w:val="22"/>
          <w:szCs w:val="22"/>
          <w:lang w:val="pl-PL" w:eastAsia="ja-JP"/>
        </w:rPr>
      </w:pPr>
      <w:r w:rsidRPr="00BD22FE">
        <w:rPr>
          <w:rFonts w:eastAsia="MS Mincho"/>
          <w:sz w:val="22"/>
          <w:szCs w:val="22"/>
          <w:lang w:val="pl-PL" w:eastAsia="ja-JP"/>
        </w:rPr>
        <w:t>jodowy środek kontrastowy stosowany do badania obrazowego;</w:t>
      </w:r>
    </w:p>
    <w:p w14:paraId="748CAD84" w14:textId="6651B1F4" w:rsidR="00A610E1" w:rsidRPr="00BD22FE" w:rsidRDefault="00A610E1" w:rsidP="00A610E1">
      <w:pPr>
        <w:pStyle w:val="BodyText"/>
        <w:numPr>
          <w:ilvl w:val="0"/>
          <w:numId w:val="29"/>
        </w:numPr>
        <w:spacing w:line="240" w:lineRule="auto"/>
        <w:ind w:left="567" w:hanging="567"/>
        <w:jc w:val="left"/>
        <w:rPr>
          <w:rFonts w:eastAsia="MS Mincho"/>
          <w:sz w:val="22"/>
          <w:szCs w:val="22"/>
          <w:lang w:val="pl-PL" w:eastAsia="ja-JP"/>
        </w:rPr>
      </w:pPr>
      <w:r w:rsidRPr="00BD22FE">
        <w:rPr>
          <w:rFonts w:eastAsia="MS Mincho"/>
          <w:sz w:val="22"/>
          <w:szCs w:val="22"/>
          <w:lang w:val="pl-PL" w:eastAsia="ja-JP"/>
        </w:rPr>
        <w:lastRenderedPageBreak/>
        <w:t>leki mogące podwyższać stężenie potasu we krwi, takie jak leki moczopędne oszczędzające potas, suplementy potasu, substytuty soli zawierające potas, inhibitory ACE, cyklosporyna (lek immunosupresyjny) i inne produkty lecznicze, takie jak heparyna sodowa (lek przeciwzakrzepowy);</w:t>
      </w:r>
    </w:p>
    <w:p w14:paraId="53E99218" w14:textId="77777777" w:rsidR="00A610E1" w:rsidRPr="00BD22FE" w:rsidRDefault="00A610E1" w:rsidP="00A610E1">
      <w:pPr>
        <w:pStyle w:val="BodyText"/>
        <w:numPr>
          <w:ilvl w:val="0"/>
          <w:numId w:val="29"/>
        </w:numPr>
        <w:spacing w:line="240" w:lineRule="auto"/>
        <w:ind w:left="567" w:hanging="567"/>
        <w:jc w:val="left"/>
        <w:rPr>
          <w:sz w:val="22"/>
          <w:szCs w:val="22"/>
          <w:lang w:val="pl-PL"/>
        </w:rPr>
      </w:pPr>
      <w:r w:rsidRPr="00BD22FE">
        <w:rPr>
          <w:rFonts w:eastAsia="MS Mincho"/>
          <w:sz w:val="22"/>
          <w:szCs w:val="22"/>
          <w:lang w:val="pl-PL" w:eastAsia="ja-JP"/>
        </w:rPr>
        <w:t>leki, na które wpływają zmiany stężenia potasu we krwi, takie jak leki nasercowe (np. digoksyna) czy też leki regulujące częstość akcji serca (np. chinidyna, dyzopiramid, amiodaron, sotalol), leki używane w leczeniu zaburzeń psychicznych (np. tiorydazyna, chloropromazyna, lewomepromazyna) oraz inne leki, takie jak niektóre antybiotyki (np. sparfloksacyna, pentamidyna) lub pewne leki stosowane w terapii odczynów (reakcji) alergicznych (np. terfenadyna);</w:t>
      </w:r>
    </w:p>
    <w:p w14:paraId="0526AD95" w14:textId="77777777" w:rsidR="00A610E1" w:rsidRPr="00BD22FE" w:rsidRDefault="00A610E1" w:rsidP="00A610E1">
      <w:pPr>
        <w:pStyle w:val="BodyText"/>
        <w:numPr>
          <w:ilvl w:val="0"/>
          <w:numId w:val="29"/>
        </w:numPr>
        <w:spacing w:line="240" w:lineRule="auto"/>
        <w:ind w:left="567" w:hanging="567"/>
        <w:jc w:val="left"/>
        <w:rPr>
          <w:sz w:val="22"/>
          <w:szCs w:val="22"/>
          <w:lang w:val="pl-PL"/>
        </w:rPr>
      </w:pPr>
      <w:r w:rsidRPr="00BD22FE">
        <w:rPr>
          <w:sz w:val="22"/>
          <w:szCs w:val="22"/>
          <w:lang w:val="pl-PL"/>
        </w:rPr>
        <w:t>leki stosowane w leczeniu cukrzycy (insulina lub leki doustne takie jak metformina);</w:t>
      </w:r>
    </w:p>
    <w:p w14:paraId="37DDEBFF" w14:textId="77777777" w:rsidR="00A610E1" w:rsidRPr="00BD22FE" w:rsidRDefault="00A610E1" w:rsidP="00A610E1">
      <w:pPr>
        <w:pStyle w:val="BodyText"/>
        <w:numPr>
          <w:ilvl w:val="0"/>
          <w:numId w:val="29"/>
        </w:numPr>
        <w:spacing w:line="240" w:lineRule="auto"/>
        <w:ind w:left="567" w:hanging="567"/>
        <w:jc w:val="left"/>
        <w:rPr>
          <w:sz w:val="22"/>
          <w:szCs w:val="22"/>
          <w:lang w:val="pl-PL"/>
        </w:rPr>
      </w:pPr>
      <w:r w:rsidRPr="00BD22FE">
        <w:rPr>
          <w:sz w:val="22"/>
          <w:szCs w:val="22"/>
          <w:lang w:val="pl-PL"/>
        </w:rPr>
        <w:t>kolestyramina i kolestypol, leki obniżające stężenie tłuszczów we krwi;</w:t>
      </w:r>
    </w:p>
    <w:p w14:paraId="57B35852" w14:textId="77777777" w:rsidR="00A610E1" w:rsidRPr="00BD22FE" w:rsidRDefault="00A610E1" w:rsidP="00A610E1">
      <w:pPr>
        <w:pStyle w:val="BodyText"/>
        <w:numPr>
          <w:ilvl w:val="0"/>
          <w:numId w:val="29"/>
        </w:numPr>
        <w:spacing w:line="240" w:lineRule="auto"/>
        <w:ind w:left="567" w:hanging="567"/>
        <w:jc w:val="left"/>
        <w:rPr>
          <w:sz w:val="22"/>
          <w:szCs w:val="22"/>
          <w:lang w:val="pl-PL"/>
        </w:rPr>
      </w:pPr>
      <w:r w:rsidRPr="00BD22FE">
        <w:rPr>
          <w:sz w:val="22"/>
          <w:szCs w:val="22"/>
          <w:lang w:val="pl-PL"/>
        </w:rPr>
        <w:t>leki podwyższające ciśnienie tętnicze krwi takie jak noradrenalina;</w:t>
      </w:r>
    </w:p>
    <w:p w14:paraId="165034F5" w14:textId="77777777" w:rsidR="00A610E1" w:rsidRPr="00BD22FE" w:rsidRDefault="00A610E1" w:rsidP="00A610E1">
      <w:pPr>
        <w:pStyle w:val="BodyText"/>
        <w:numPr>
          <w:ilvl w:val="0"/>
          <w:numId w:val="29"/>
        </w:numPr>
        <w:spacing w:line="240" w:lineRule="auto"/>
        <w:ind w:left="567" w:hanging="567"/>
        <w:jc w:val="left"/>
        <w:rPr>
          <w:sz w:val="22"/>
          <w:szCs w:val="22"/>
          <w:lang w:val="pl-PL"/>
        </w:rPr>
      </w:pPr>
      <w:r w:rsidRPr="00BD22FE">
        <w:rPr>
          <w:sz w:val="22"/>
          <w:szCs w:val="22"/>
          <w:lang w:val="pl-PL"/>
        </w:rPr>
        <w:t>leki zwiotczające mięśnie takie jak tubokuraryna;</w:t>
      </w:r>
    </w:p>
    <w:p w14:paraId="1E0C5573" w14:textId="77777777" w:rsidR="00A610E1" w:rsidRPr="00BD22FE" w:rsidRDefault="00A610E1" w:rsidP="00A610E1">
      <w:pPr>
        <w:pStyle w:val="BodyText"/>
        <w:numPr>
          <w:ilvl w:val="0"/>
          <w:numId w:val="29"/>
        </w:numPr>
        <w:spacing w:line="240" w:lineRule="auto"/>
        <w:ind w:left="567" w:hanging="567"/>
        <w:jc w:val="left"/>
        <w:rPr>
          <w:sz w:val="22"/>
          <w:szCs w:val="22"/>
          <w:lang w:val="pl-PL"/>
        </w:rPr>
      </w:pPr>
      <w:r w:rsidRPr="00BD22FE">
        <w:rPr>
          <w:sz w:val="22"/>
          <w:szCs w:val="22"/>
          <w:lang w:val="pl-PL"/>
        </w:rPr>
        <w:t>suplementy wapnia i (lub) witaminy D;</w:t>
      </w:r>
    </w:p>
    <w:p w14:paraId="18233F2D" w14:textId="77777777" w:rsidR="00A610E1" w:rsidRPr="00BD22FE" w:rsidRDefault="00A610E1" w:rsidP="00A610E1">
      <w:pPr>
        <w:pStyle w:val="BodyText"/>
        <w:numPr>
          <w:ilvl w:val="0"/>
          <w:numId w:val="29"/>
        </w:numPr>
        <w:spacing w:line="240" w:lineRule="auto"/>
        <w:ind w:left="567" w:hanging="567"/>
        <w:jc w:val="left"/>
        <w:rPr>
          <w:sz w:val="22"/>
          <w:szCs w:val="22"/>
          <w:lang w:val="pl-PL"/>
        </w:rPr>
      </w:pPr>
      <w:r w:rsidRPr="00BD22FE">
        <w:rPr>
          <w:color w:val="000000"/>
          <w:sz w:val="22"/>
          <w:lang w:val="pl-PL"/>
        </w:rPr>
        <w:t>leki o działaniu antycholinergicznym (stosowane w leczeniu szeregu zaburzeń, takich jak stany skurczowe w obrębie przewodu pokarmowego, skurcze pęcherza moczowego, astma, choroba lokomocyjna, skurcze mięśni, choroba Parkinsona oraz wspomagająco przy znieczuleniu), takie jak atropina i biperyden;</w:t>
      </w:r>
    </w:p>
    <w:p w14:paraId="1B3B70A0" w14:textId="77777777" w:rsidR="00A610E1" w:rsidRPr="00BD22FE" w:rsidRDefault="00A610E1" w:rsidP="00A610E1">
      <w:pPr>
        <w:pStyle w:val="BodyText"/>
        <w:numPr>
          <w:ilvl w:val="0"/>
          <w:numId w:val="29"/>
        </w:numPr>
        <w:spacing w:line="240" w:lineRule="auto"/>
        <w:ind w:left="567" w:hanging="567"/>
        <w:jc w:val="left"/>
        <w:rPr>
          <w:sz w:val="22"/>
          <w:szCs w:val="22"/>
          <w:lang w:val="pl-PL"/>
        </w:rPr>
      </w:pPr>
      <w:r w:rsidRPr="00BD22FE">
        <w:rPr>
          <w:color w:val="000000"/>
          <w:sz w:val="22"/>
          <w:lang w:val="pl-PL"/>
        </w:rPr>
        <w:t>amantadyna (lek stosowany w chorobie Parkinsona, a także w leczeniu lub zapobieganiu pewnych chorób wirusowych</w:t>
      </w:r>
      <w:r w:rsidRPr="00BD22FE">
        <w:rPr>
          <w:color w:val="000000"/>
          <w:sz w:val="22"/>
          <w:szCs w:val="22"/>
          <w:lang w:val="pl-PL"/>
        </w:rPr>
        <w:t>);</w:t>
      </w:r>
    </w:p>
    <w:p w14:paraId="525C6458" w14:textId="6724C08B" w:rsidR="00A610E1" w:rsidRPr="00BD22FE" w:rsidRDefault="00A610E1" w:rsidP="00A610E1">
      <w:pPr>
        <w:pStyle w:val="BodyText"/>
        <w:numPr>
          <w:ilvl w:val="0"/>
          <w:numId w:val="29"/>
        </w:numPr>
        <w:spacing w:line="240" w:lineRule="auto"/>
        <w:ind w:left="567" w:hanging="567"/>
        <w:jc w:val="left"/>
        <w:rPr>
          <w:sz w:val="22"/>
          <w:szCs w:val="22"/>
          <w:lang w:val="pl-PL"/>
        </w:rPr>
      </w:pPr>
      <w:r w:rsidRPr="00BD22FE">
        <w:rPr>
          <w:sz w:val="22"/>
          <w:szCs w:val="22"/>
          <w:lang w:val="pl-PL"/>
        </w:rPr>
        <w:t>pozostałe leki stosowane w leczeniu wysokiego ciśnienia tętniczego krwi, kortykosteroidy, leki przeciwbólowe (np. niesteroidowe leki przeciwzapalne, NLPZ), leki stosowane w leczeniu nowotworów, dny moczanowej lub zapalenia stawów;</w:t>
      </w:r>
    </w:p>
    <w:p w14:paraId="21DD91DC" w14:textId="582B7838" w:rsidR="00A610E1" w:rsidRPr="00BD22FE" w:rsidRDefault="00A610E1" w:rsidP="00A610E1">
      <w:pPr>
        <w:pStyle w:val="PlainText"/>
        <w:numPr>
          <w:ilvl w:val="0"/>
          <w:numId w:val="29"/>
        </w:numPr>
        <w:ind w:left="567" w:hanging="567"/>
        <w:rPr>
          <w:rFonts w:ascii="Times New Roman" w:eastAsia="Times New Roman" w:hAnsi="Times New Roman"/>
          <w:bCs/>
          <w:iCs/>
          <w:sz w:val="22"/>
          <w:lang w:val="pl-PL"/>
        </w:rPr>
      </w:pPr>
      <w:r w:rsidRPr="00BD22FE">
        <w:rPr>
          <w:rFonts w:ascii="Times New Roman" w:eastAsia="Times New Roman" w:hAnsi="Times New Roman"/>
          <w:bCs/>
          <w:iCs/>
          <w:sz w:val="22"/>
          <w:lang w:val="pl-PL"/>
        </w:rPr>
        <w:t xml:space="preserve">przyjmowanie inhibitora ACE lub aliskirenu (patrz także informacje </w:t>
      </w:r>
      <w:r w:rsidRPr="00BD22FE">
        <w:rPr>
          <w:rFonts w:ascii="Times New Roman" w:hAnsi="Times New Roman"/>
          <w:sz w:val="22"/>
          <w:szCs w:val="22"/>
          <w:lang w:val="pl-PL"/>
        </w:rPr>
        <w:t xml:space="preserve">w podpunkcie </w:t>
      </w:r>
      <w:r w:rsidRPr="00BD22FE">
        <w:rPr>
          <w:rFonts w:ascii="Times New Roman" w:eastAsia="Times New Roman" w:hAnsi="Times New Roman"/>
          <w:bCs/>
          <w:iCs/>
          <w:sz w:val="22"/>
          <w:lang w:val="pl-PL"/>
        </w:rPr>
        <w:t>„Kiedy nie przyjmować leku MicardisPlus” oraz „Ostrzeżenia i środki ostrożności”);</w:t>
      </w:r>
    </w:p>
    <w:p w14:paraId="4C3166A2" w14:textId="77777777" w:rsidR="00A610E1" w:rsidRPr="00BD22FE" w:rsidRDefault="00A610E1" w:rsidP="00A610E1">
      <w:pPr>
        <w:pStyle w:val="PlainText"/>
        <w:numPr>
          <w:ilvl w:val="0"/>
          <w:numId w:val="29"/>
        </w:numPr>
        <w:ind w:left="567" w:hanging="567"/>
        <w:rPr>
          <w:rFonts w:ascii="Times New Roman" w:eastAsia="Times New Roman" w:hAnsi="Times New Roman"/>
          <w:bCs/>
          <w:iCs/>
          <w:sz w:val="22"/>
          <w:lang w:val="pl-PL"/>
        </w:rPr>
      </w:pPr>
      <w:r w:rsidRPr="00BD22FE">
        <w:rPr>
          <w:rFonts w:ascii="Times New Roman" w:eastAsia="Times New Roman" w:hAnsi="Times New Roman"/>
          <w:bCs/>
          <w:iCs/>
          <w:sz w:val="22"/>
          <w:lang w:val="pl-PL"/>
        </w:rPr>
        <w:t>digoksyna.</w:t>
      </w:r>
    </w:p>
    <w:p w14:paraId="1E3B3A28" w14:textId="77777777" w:rsidR="00A610E1" w:rsidRPr="00BD22FE" w:rsidRDefault="00A610E1" w:rsidP="00A610E1">
      <w:pPr>
        <w:pStyle w:val="BodyText"/>
        <w:spacing w:line="240" w:lineRule="auto"/>
        <w:jc w:val="left"/>
        <w:rPr>
          <w:bCs/>
          <w:iCs/>
          <w:sz w:val="22"/>
          <w:szCs w:val="21"/>
          <w:lang w:val="pl-PL"/>
        </w:rPr>
      </w:pPr>
    </w:p>
    <w:p w14:paraId="6132DA2F" w14:textId="7A07C58D" w:rsidR="00A610E1" w:rsidRPr="00BD22FE" w:rsidRDefault="00A610E1" w:rsidP="00A610E1">
      <w:pPr>
        <w:autoSpaceDE w:val="0"/>
        <w:autoSpaceDN w:val="0"/>
        <w:adjustRightInd w:val="0"/>
        <w:rPr>
          <w:rStyle w:val="hps"/>
          <w:sz w:val="22"/>
          <w:szCs w:val="22"/>
          <w:lang w:val="pl-PL"/>
        </w:rPr>
      </w:pPr>
      <w:r w:rsidRPr="00BD22FE">
        <w:rPr>
          <w:bCs/>
          <w:iCs/>
          <w:sz w:val="22"/>
          <w:szCs w:val="21"/>
          <w:lang w:val="pl-PL"/>
        </w:rPr>
        <w:t>Lek MicardisPlus może nasilać działanie obniżające ciśnienie tętnicze krwi innych leków</w:t>
      </w:r>
      <w:r w:rsidRPr="00BD22FE">
        <w:rPr>
          <w:rStyle w:val="hps"/>
          <w:sz w:val="22"/>
          <w:szCs w:val="22"/>
          <w:lang w:val="pl-PL"/>
        </w:rPr>
        <w:t xml:space="preserve"> stosowanych w leczeniu nadciśnienia tętniczego lub</w:t>
      </w:r>
      <w:r w:rsidRPr="00BD22FE">
        <w:rPr>
          <w:sz w:val="22"/>
          <w:szCs w:val="22"/>
          <w:lang w:val="pl-PL"/>
        </w:rPr>
        <w:t xml:space="preserve"> </w:t>
      </w:r>
      <w:r w:rsidRPr="00BD22FE">
        <w:rPr>
          <w:rStyle w:val="hps"/>
          <w:sz w:val="22"/>
          <w:szCs w:val="22"/>
          <w:lang w:val="pl-PL"/>
        </w:rPr>
        <w:t>leków, które mogą</w:t>
      </w:r>
      <w:r w:rsidRPr="00BD22FE">
        <w:rPr>
          <w:sz w:val="22"/>
          <w:szCs w:val="22"/>
          <w:lang w:val="pl-PL"/>
        </w:rPr>
        <w:t xml:space="preserve"> wywołać </w:t>
      </w:r>
      <w:r w:rsidRPr="00BD22FE">
        <w:rPr>
          <w:rStyle w:val="hps"/>
          <w:sz w:val="22"/>
          <w:szCs w:val="22"/>
          <w:lang w:val="pl-PL"/>
        </w:rPr>
        <w:t>zmniejszenie ciśnienia tętniczego krwi</w:t>
      </w:r>
      <w:r w:rsidRPr="00BD22FE">
        <w:rPr>
          <w:sz w:val="22"/>
          <w:szCs w:val="22"/>
          <w:lang w:val="pl-PL"/>
        </w:rPr>
        <w:t xml:space="preserve"> </w:t>
      </w:r>
      <w:r w:rsidRPr="00BD22FE">
        <w:rPr>
          <w:rStyle w:val="hps"/>
          <w:sz w:val="22"/>
          <w:szCs w:val="22"/>
          <w:lang w:val="pl-PL"/>
        </w:rPr>
        <w:t>(np.</w:t>
      </w:r>
      <w:r w:rsidRPr="00BD22FE">
        <w:rPr>
          <w:sz w:val="22"/>
          <w:szCs w:val="22"/>
          <w:lang w:val="pl-PL"/>
        </w:rPr>
        <w:t xml:space="preserve"> </w:t>
      </w:r>
      <w:r w:rsidRPr="00BD22FE">
        <w:rPr>
          <w:rStyle w:val="hps"/>
          <w:sz w:val="22"/>
          <w:szCs w:val="22"/>
          <w:lang w:val="pl-PL"/>
        </w:rPr>
        <w:t>baklofen</w:t>
      </w:r>
      <w:r w:rsidRPr="00BD22FE">
        <w:rPr>
          <w:sz w:val="22"/>
          <w:szCs w:val="22"/>
          <w:lang w:val="pl-PL"/>
        </w:rPr>
        <w:t xml:space="preserve">, </w:t>
      </w:r>
      <w:r w:rsidRPr="00BD22FE">
        <w:rPr>
          <w:rStyle w:val="hps"/>
          <w:sz w:val="22"/>
          <w:szCs w:val="22"/>
          <w:lang w:val="pl-PL"/>
        </w:rPr>
        <w:t>amifostyna</w:t>
      </w:r>
      <w:r w:rsidRPr="00BD22FE">
        <w:rPr>
          <w:sz w:val="22"/>
          <w:szCs w:val="22"/>
          <w:lang w:val="pl-PL"/>
        </w:rPr>
        <w:t xml:space="preserve">). </w:t>
      </w:r>
      <w:r w:rsidRPr="00BD22FE">
        <w:rPr>
          <w:rStyle w:val="hps"/>
          <w:sz w:val="22"/>
          <w:szCs w:val="22"/>
          <w:lang w:val="pl-PL"/>
        </w:rPr>
        <w:t>Ponadto</w:t>
      </w:r>
      <w:r w:rsidRPr="00BD22FE">
        <w:rPr>
          <w:sz w:val="22"/>
          <w:szCs w:val="22"/>
          <w:lang w:val="pl-PL"/>
        </w:rPr>
        <w:t xml:space="preserve"> niskie ciśnienie </w:t>
      </w:r>
      <w:r w:rsidRPr="00BD22FE">
        <w:rPr>
          <w:rStyle w:val="hps"/>
          <w:sz w:val="22"/>
          <w:szCs w:val="22"/>
          <w:lang w:val="pl-PL"/>
        </w:rPr>
        <w:t>tętnicze</w:t>
      </w:r>
      <w:r w:rsidRPr="00BD22FE">
        <w:rPr>
          <w:sz w:val="22"/>
          <w:szCs w:val="22"/>
          <w:lang w:val="pl-PL"/>
        </w:rPr>
        <w:t xml:space="preserve"> krwi </w:t>
      </w:r>
      <w:r w:rsidRPr="00BD22FE">
        <w:rPr>
          <w:rStyle w:val="hps"/>
          <w:sz w:val="22"/>
          <w:szCs w:val="22"/>
          <w:lang w:val="pl-PL"/>
        </w:rPr>
        <w:t>mogą dodatkowo zmniejszyć:</w:t>
      </w:r>
      <w:r w:rsidRPr="00BD22FE">
        <w:rPr>
          <w:sz w:val="22"/>
          <w:szCs w:val="22"/>
          <w:lang w:val="pl-PL"/>
        </w:rPr>
        <w:t xml:space="preserve"> </w:t>
      </w:r>
      <w:r w:rsidRPr="00BD22FE">
        <w:rPr>
          <w:rStyle w:val="hps"/>
          <w:sz w:val="22"/>
          <w:szCs w:val="22"/>
          <w:lang w:val="pl-PL"/>
        </w:rPr>
        <w:t>alkohol, barbiturany,</w:t>
      </w:r>
      <w:r w:rsidRPr="00BD22FE">
        <w:rPr>
          <w:sz w:val="22"/>
          <w:szCs w:val="22"/>
          <w:lang w:val="pl-PL"/>
        </w:rPr>
        <w:t xml:space="preserve"> </w:t>
      </w:r>
      <w:r w:rsidRPr="00BD22FE">
        <w:rPr>
          <w:rStyle w:val="hps"/>
          <w:sz w:val="22"/>
          <w:szCs w:val="22"/>
          <w:lang w:val="pl-PL"/>
        </w:rPr>
        <w:t>narkotyki lub</w:t>
      </w:r>
      <w:r w:rsidRPr="00BD22FE">
        <w:rPr>
          <w:sz w:val="22"/>
          <w:szCs w:val="22"/>
          <w:lang w:val="pl-PL"/>
        </w:rPr>
        <w:t xml:space="preserve"> </w:t>
      </w:r>
      <w:r w:rsidRPr="00BD22FE">
        <w:rPr>
          <w:rStyle w:val="hps"/>
          <w:sz w:val="22"/>
          <w:szCs w:val="22"/>
          <w:lang w:val="pl-PL"/>
        </w:rPr>
        <w:t>leki przeciwdepresyjne</w:t>
      </w:r>
      <w:r w:rsidRPr="00BD22FE">
        <w:rPr>
          <w:sz w:val="22"/>
          <w:szCs w:val="22"/>
          <w:lang w:val="pl-PL"/>
        </w:rPr>
        <w:t xml:space="preserve">. </w:t>
      </w:r>
      <w:r w:rsidRPr="00BD22FE">
        <w:rPr>
          <w:rStyle w:val="hps"/>
          <w:sz w:val="22"/>
          <w:szCs w:val="22"/>
          <w:lang w:val="pl-PL"/>
        </w:rPr>
        <w:t>Objawem są zawroty głowy</w:t>
      </w:r>
      <w:r w:rsidRPr="00BD22FE">
        <w:rPr>
          <w:sz w:val="22"/>
          <w:szCs w:val="22"/>
          <w:lang w:val="pl-PL"/>
        </w:rPr>
        <w:t xml:space="preserve"> </w:t>
      </w:r>
      <w:r w:rsidRPr="00BD22FE">
        <w:rPr>
          <w:rStyle w:val="hps"/>
          <w:sz w:val="22"/>
          <w:szCs w:val="22"/>
          <w:lang w:val="pl-PL"/>
        </w:rPr>
        <w:t>przy wstawaniu</w:t>
      </w:r>
      <w:r w:rsidRPr="00BD22FE">
        <w:rPr>
          <w:sz w:val="22"/>
          <w:szCs w:val="22"/>
          <w:lang w:val="pl-PL"/>
        </w:rPr>
        <w:t>. W razie potrzeby dostosowania dawki innego leku przyjmowanego przez pacjenta podczas przyjmowania leku MicardisPlus należy poradzić się lekarza.</w:t>
      </w:r>
    </w:p>
    <w:p w14:paraId="76E92C1D" w14:textId="77777777" w:rsidR="00A610E1" w:rsidRPr="00BD22FE" w:rsidRDefault="00A610E1" w:rsidP="00A610E1">
      <w:pPr>
        <w:rPr>
          <w:sz w:val="22"/>
          <w:szCs w:val="22"/>
          <w:lang w:val="pl-PL"/>
        </w:rPr>
      </w:pPr>
    </w:p>
    <w:p w14:paraId="6A4E5C14" w14:textId="0F7DCB24" w:rsidR="00A610E1" w:rsidRPr="00BD22FE" w:rsidRDefault="00A610E1" w:rsidP="00A610E1">
      <w:pPr>
        <w:pStyle w:val="BodyText"/>
        <w:spacing w:line="240" w:lineRule="auto"/>
        <w:jc w:val="left"/>
        <w:rPr>
          <w:iCs/>
          <w:sz w:val="22"/>
          <w:szCs w:val="22"/>
          <w:lang w:val="pl-PL"/>
        </w:rPr>
      </w:pPr>
      <w:r w:rsidRPr="00BD22FE">
        <w:rPr>
          <w:iCs/>
          <w:sz w:val="22"/>
          <w:szCs w:val="22"/>
          <w:lang w:val="pl-PL"/>
        </w:rPr>
        <w:t>Działanie leku MicardisPlus może być osłabione w przypadku przyjmowania NLPZ (niesteroidowych leków przeciwzapalnych, np. aspiryny lub ibuprofenu).</w:t>
      </w:r>
    </w:p>
    <w:p w14:paraId="5B2F5BBB" w14:textId="77777777" w:rsidR="00A610E1" w:rsidRPr="00BD22FE" w:rsidRDefault="00A610E1" w:rsidP="00A610E1">
      <w:pPr>
        <w:pStyle w:val="BodyText"/>
        <w:spacing w:line="240" w:lineRule="auto"/>
        <w:jc w:val="left"/>
        <w:rPr>
          <w:iCs/>
          <w:sz w:val="22"/>
          <w:szCs w:val="22"/>
          <w:lang w:val="pl-PL"/>
        </w:rPr>
      </w:pPr>
    </w:p>
    <w:p w14:paraId="42DF076D" w14:textId="77777777" w:rsidR="00A610E1" w:rsidRPr="00BD22FE" w:rsidRDefault="00A610E1" w:rsidP="00A610E1">
      <w:pPr>
        <w:pStyle w:val="BodyText"/>
        <w:keepNext/>
        <w:spacing w:line="240" w:lineRule="auto"/>
        <w:jc w:val="left"/>
        <w:rPr>
          <w:b/>
          <w:iCs/>
          <w:sz w:val="22"/>
          <w:szCs w:val="22"/>
          <w:lang w:val="pl-PL"/>
        </w:rPr>
      </w:pPr>
      <w:r w:rsidRPr="00BD22FE">
        <w:rPr>
          <w:b/>
          <w:iCs/>
          <w:sz w:val="22"/>
          <w:szCs w:val="22"/>
          <w:lang w:val="pl-PL"/>
        </w:rPr>
        <w:t>Stosowanie leku MicardisPlus z jedzeniem i alkoholem</w:t>
      </w:r>
    </w:p>
    <w:p w14:paraId="012CA90F" w14:textId="67E6D814" w:rsidR="00A610E1" w:rsidRPr="00BD22FE" w:rsidRDefault="00A610E1" w:rsidP="00A610E1">
      <w:pPr>
        <w:pStyle w:val="BodyText"/>
        <w:spacing w:line="240" w:lineRule="auto"/>
        <w:jc w:val="left"/>
        <w:rPr>
          <w:iCs/>
          <w:sz w:val="22"/>
          <w:szCs w:val="22"/>
          <w:lang w:val="pl-PL"/>
        </w:rPr>
      </w:pPr>
      <w:r w:rsidRPr="00BD22FE">
        <w:rPr>
          <w:iCs/>
          <w:sz w:val="22"/>
          <w:szCs w:val="22"/>
          <w:lang w:val="pl-PL"/>
        </w:rPr>
        <w:t>Lek MicardisPlus można przyjmować z posiłkiem lub niezależnie od posiłków.</w:t>
      </w:r>
    </w:p>
    <w:p w14:paraId="295E4A5D" w14:textId="77777777" w:rsidR="00A610E1" w:rsidRPr="00BD22FE" w:rsidRDefault="00A610E1" w:rsidP="00A610E1">
      <w:pPr>
        <w:pStyle w:val="BodyText"/>
        <w:spacing w:line="240" w:lineRule="auto"/>
        <w:jc w:val="left"/>
        <w:rPr>
          <w:iCs/>
          <w:sz w:val="22"/>
          <w:szCs w:val="22"/>
          <w:lang w:val="pl-PL"/>
        </w:rPr>
      </w:pPr>
      <w:r w:rsidRPr="00BD22FE">
        <w:rPr>
          <w:iCs/>
          <w:sz w:val="22"/>
          <w:szCs w:val="22"/>
          <w:lang w:val="pl-PL"/>
        </w:rPr>
        <w:t>Należy unikać alkoholu do czasu rozmowy z lekarzem. Alkohol może dodatkowo obniżyć ciśnienie tętnicze krwi i (lub) nasilić ryzyko zawrotów głowy lub omdlenia.</w:t>
      </w:r>
    </w:p>
    <w:p w14:paraId="2157A82E" w14:textId="77777777" w:rsidR="00A610E1" w:rsidRPr="00BD22FE" w:rsidRDefault="00A610E1" w:rsidP="00A610E1">
      <w:pPr>
        <w:pStyle w:val="BodyText"/>
        <w:spacing w:line="240" w:lineRule="auto"/>
        <w:jc w:val="left"/>
        <w:rPr>
          <w:sz w:val="22"/>
          <w:szCs w:val="22"/>
          <w:lang w:val="pl-PL"/>
        </w:rPr>
      </w:pPr>
    </w:p>
    <w:p w14:paraId="3ADBBC3F" w14:textId="77777777" w:rsidR="00A610E1" w:rsidRPr="00BD22FE" w:rsidRDefault="00A610E1" w:rsidP="00A610E1">
      <w:pPr>
        <w:pStyle w:val="BodyText"/>
        <w:keepNext/>
        <w:spacing w:line="240" w:lineRule="auto"/>
        <w:jc w:val="left"/>
        <w:rPr>
          <w:b/>
          <w:sz w:val="22"/>
          <w:szCs w:val="22"/>
          <w:lang w:val="pl-PL"/>
        </w:rPr>
      </w:pPr>
      <w:r w:rsidRPr="00BD22FE">
        <w:rPr>
          <w:b/>
          <w:sz w:val="22"/>
          <w:szCs w:val="22"/>
          <w:lang w:val="pl-PL"/>
        </w:rPr>
        <w:t>Ciąża i karmienie piersią</w:t>
      </w:r>
    </w:p>
    <w:p w14:paraId="1AD1A2AE" w14:textId="77777777" w:rsidR="00A610E1" w:rsidRPr="00BD22FE" w:rsidRDefault="00A610E1" w:rsidP="00A610E1">
      <w:pPr>
        <w:pStyle w:val="BodyText"/>
        <w:keepNext/>
        <w:spacing w:line="240" w:lineRule="auto"/>
        <w:jc w:val="left"/>
        <w:rPr>
          <w:sz w:val="22"/>
          <w:szCs w:val="22"/>
          <w:u w:val="single"/>
          <w:lang w:val="pl-PL"/>
        </w:rPr>
      </w:pPr>
      <w:r w:rsidRPr="00BD22FE">
        <w:rPr>
          <w:sz w:val="22"/>
          <w:szCs w:val="22"/>
          <w:u w:val="single"/>
          <w:lang w:val="pl-PL"/>
        </w:rPr>
        <w:t>Ciąża</w:t>
      </w:r>
    </w:p>
    <w:p w14:paraId="6C51A068" w14:textId="5FA144AE" w:rsidR="00A610E1" w:rsidRPr="00BD22FE" w:rsidRDefault="00A610E1" w:rsidP="00A610E1">
      <w:pPr>
        <w:pStyle w:val="BodyText"/>
        <w:spacing w:line="240" w:lineRule="auto"/>
        <w:jc w:val="left"/>
        <w:rPr>
          <w:sz w:val="22"/>
          <w:szCs w:val="22"/>
          <w:lang w:val="pl-PL"/>
        </w:rPr>
      </w:pPr>
      <w:r w:rsidRPr="00BD22FE">
        <w:rPr>
          <w:sz w:val="22"/>
          <w:szCs w:val="22"/>
          <w:lang w:val="pl-PL"/>
        </w:rPr>
        <w:t>Należy poinformować lekarza o podejrzeniu (</w:t>
      </w:r>
      <w:r w:rsidRPr="00BD22FE">
        <w:rPr>
          <w:sz w:val="22"/>
          <w:szCs w:val="22"/>
          <w:u w:val="single"/>
          <w:lang w:val="pl-PL"/>
        </w:rPr>
        <w:t>lub planowaniu)</w:t>
      </w:r>
      <w:r w:rsidRPr="00BD22FE">
        <w:rPr>
          <w:sz w:val="22"/>
          <w:szCs w:val="22"/>
          <w:lang w:val="pl-PL"/>
        </w:rPr>
        <w:t xml:space="preserve"> ciąży. Zazwyczaj lekarz zaleci zaprzestanie przyjmowania leku MicardisPlus przed planowaną ciążą lub natychmiast po stwierdzeniu ciąży i zaleci przyjmowanie innego leku zamiast leku MicardisPlus. Lek MicardisPlus nie jest zalecany do stosowania w okresie ciąży i nie wolno go przyjmować po 3 miesiącu ciąży, ponieważ może poważnie zaszkodzić dziecku, jeśli jest stosowany po trzecim miesiącu ciąży.</w:t>
      </w:r>
    </w:p>
    <w:p w14:paraId="1283AA99" w14:textId="77777777" w:rsidR="00A610E1" w:rsidRPr="00BD22FE" w:rsidRDefault="00A610E1" w:rsidP="00A610E1">
      <w:pPr>
        <w:pStyle w:val="BodyText"/>
        <w:spacing w:line="240" w:lineRule="auto"/>
        <w:jc w:val="left"/>
        <w:rPr>
          <w:sz w:val="22"/>
          <w:szCs w:val="22"/>
          <w:lang w:val="pl-PL"/>
        </w:rPr>
      </w:pPr>
    </w:p>
    <w:p w14:paraId="603469F3" w14:textId="77777777" w:rsidR="00A610E1" w:rsidRPr="00BD22FE" w:rsidRDefault="00A610E1" w:rsidP="00A610E1">
      <w:pPr>
        <w:pStyle w:val="BodyText"/>
        <w:keepNext/>
        <w:spacing w:line="240" w:lineRule="auto"/>
        <w:jc w:val="left"/>
        <w:rPr>
          <w:sz w:val="22"/>
          <w:szCs w:val="22"/>
          <w:u w:val="single"/>
          <w:lang w:val="pl-PL"/>
        </w:rPr>
      </w:pPr>
      <w:r w:rsidRPr="00BD22FE">
        <w:rPr>
          <w:sz w:val="22"/>
          <w:szCs w:val="22"/>
          <w:u w:val="single"/>
          <w:lang w:val="pl-PL"/>
        </w:rPr>
        <w:t>Karmienie piersią</w:t>
      </w:r>
    </w:p>
    <w:p w14:paraId="55D17C39" w14:textId="77777777" w:rsidR="00A610E1" w:rsidRPr="00BD22FE" w:rsidRDefault="00A610E1" w:rsidP="00A610E1">
      <w:pPr>
        <w:pStyle w:val="BodyText"/>
        <w:spacing w:line="240" w:lineRule="auto"/>
        <w:jc w:val="left"/>
        <w:rPr>
          <w:sz w:val="22"/>
          <w:szCs w:val="22"/>
          <w:lang w:val="pl-PL"/>
        </w:rPr>
      </w:pPr>
      <w:r w:rsidRPr="00BD22FE">
        <w:rPr>
          <w:sz w:val="22"/>
          <w:szCs w:val="22"/>
          <w:lang w:val="pl-PL"/>
        </w:rPr>
        <w:t>Należy powiedzieć lekarzowi o karmieniu piersią lub zamiarze karmienia piersią. Lek MicardisPlus nie jest zalecany do stosowania podczas karmienia piersią. Lekarz może wybrać inne leczenie podczas karmienia piersią.</w:t>
      </w:r>
    </w:p>
    <w:p w14:paraId="60977497" w14:textId="77777777" w:rsidR="00A610E1" w:rsidRPr="00BD22FE" w:rsidRDefault="00A610E1" w:rsidP="00A610E1">
      <w:pPr>
        <w:pStyle w:val="BodyText"/>
        <w:spacing w:line="240" w:lineRule="auto"/>
        <w:jc w:val="left"/>
        <w:rPr>
          <w:sz w:val="22"/>
          <w:szCs w:val="22"/>
          <w:lang w:val="pl-PL"/>
        </w:rPr>
      </w:pPr>
    </w:p>
    <w:p w14:paraId="2D60B58D" w14:textId="77777777" w:rsidR="00A610E1" w:rsidRPr="00BD22FE" w:rsidRDefault="00A610E1" w:rsidP="00A610E1">
      <w:pPr>
        <w:pStyle w:val="BodyText"/>
        <w:keepNext/>
        <w:spacing w:line="240" w:lineRule="auto"/>
        <w:jc w:val="left"/>
        <w:rPr>
          <w:b/>
          <w:sz w:val="22"/>
          <w:szCs w:val="22"/>
          <w:lang w:val="pl-PL"/>
        </w:rPr>
      </w:pPr>
      <w:r w:rsidRPr="00BD22FE">
        <w:rPr>
          <w:b/>
          <w:sz w:val="22"/>
          <w:szCs w:val="22"/>
          <w:lang w:val="pl-PL"/>
        </w:rPr>
        <w:lastRenderedPageBreak/>
        <w:t>Prowadzenie pojazdów i obsługiwanie maszyn</w:t>
      </w:r>
    </w:p>
    <w:p w14:paraId="72219CE4" w14:textId="77777777" w:rsidR="00A610E1" w:rsidRPr="00BD22FE" w:rsidRDefault="00A610E1" w:rsidP="00A610E1">
      <w:pPr>
        <w:rPr>
          <w:sz w:val="22"/>
          <w:szCs w:val="22"/>
          <w:lang w:val="pl-PL"/>
        </w:rPr>
      </w:pPr>
      <w:r w:rsidRPr="00BD22FE">
        <w:rPr>
          <w:sz w:val="22"/>
          <w:szCs w:val="22"/>
          <w:lang w:val="pl-PL"/>
        </w:rPr>
        <w:t>Niektórzy pacjenci przyjmujący lek MicardisPlus mogą odczuwać zawroty głowy, zemdleć lub mieć uczucie wirowania. W przypadku wystąpienia takich działań niepożądanych nie należy prowadzić pojazdów ani obsługiwać maszyn.</w:t>
      </w:r>
    </w:p>
    <w:p w14:paraId="0E8CB94A" w14:textId="77777777" w:rsidR="00A610E1" w:rsidRPr="00BD22FE" w:rsidRDefault="00A610E1" w:rsidP="00A610E1">
      <w:pPr>
        <w:pStyle w:val="BodyText"/>
        <w:spacing w:line="240" w:lineRule="auto"/>
        <w:jc w:val="left"/>
        <w:rPr>
          <w:sz w:val="22"/>
          <w:szCs w:val="22"/>
          <w:lang w:val="pl-PL"/>
        </w:rPr>
      </w:pPr>
    </w:p>
    <w:p w14:paraId="47ACF312" w14:textId="77777777" w:rsidR="00A610E1" w:rsidRPr="00BD22FE" w:rsidRDefault="00A610E1" w:rsidP="00A610E1">
      <w:pPr>
        <w:pStyle w:val="BodyText"/>
        <w:keepNext/>
        <w:spacing w:line="240" w:lineRule="auto"/>
        <w:jc w:val="left"/>
        <w:rPr>
          <w:b/>
          <w:sz w:val="22"/>
          <w:szCs w:val="22"/>
          <w:lang w:val="pl-PL"/>
        </w:rPr>
      </w:pPr>
      <w:r w:rsidRPr="00BD22FE">
        <w:rPr>
          <w:b/>
          <w:sz w:val="22"/>
          <w:szCs w:val="22"/>
          <w:lang w:val="pl-PL"/>
        </w:rPr>
        <w:t>Lek MicardisPlus zawiera sód</w:t>
      </w:r>
    </w:p>
    <w:p w14:paraId="50F5D34D" w14:textId="77777777" w:rsidR="00A610E1" w:rsidRPr="00BD22FE" w:rsidRDefault="00A610E1" w:rsidP="00A610E1">
      <w:pPr>
        <w:pStyle w:val="BodyText"/>
        <w:spacing w:line="240" w:lineRule="auto"/>
        <w:jc w:val="left"/>
        <w:rPr>
          <w:bCs/>
          <w:sz w:val="22"/>
          <w:szCs w:val="22"/>
          <w:lang w:val="pl-PL"/>
        </w:rPr>
      </w:pPr>
      <w:r w:rsidRPr="00BD22FE">
        <w:rPr>
          <w:bCs/>
          <w:sz w:val="22"/>
          <w:szCs w:val="22"/>
          <w:lang w:val="pl-PL"/>
        </w:rPr>
        <w:t xml:space="preserve">Lek zawiera mniej niż 1 mmol (23 mg) sodu na tabletkę, </w:t>
      </w:r>
      <w:r w:rsidRPr="00BD22FE">
        <w:rPr>
          <w:sz w:val="22"/>
          <w:szCs w:val="22"/>
          <w:lang w:val="pl-PL"/>
        </w:rPr>
        <w:t>to znaczy lek uznaje się za „wolny od sodu”.</w:t>
      </w:r>
    </w:p>
    <w:p w14:paraId="01B8220B" w14:textId="77777777" w:rsidR="00A610E1" w:rsidRPr="00BD22FE" w:rsidRDefault="00A610E1" w:rsidP="00A610E1">
      <w:pPr>
        <w:pStyle w:val="BodyText"/>
        <w:spacing w:line="240" w:lineRule="auto"/>
        <w:jc w:val="left"/>
        <w:rPr>
          <w:sz w:val="22"/>
          <w:szCs w:val="22"/>
          <w:lang w:val="pl-PL"/>
        </w:rPr>
      </w:pPr>
    </w:p>
    <w:p w14:paraId="0FFEB726" w14:textId="77777777" w:rsidR="00A610E1" w:rsidRPr="00BD22FE" w:rsidRDefault="00A610E1" w:rsidP="00A610E1">
      <w:pPr>
        <w:pStyle w:val="BodyText"/>
        <w:keepNext/>
        <w:spacing w:line="240" w:lineRule="auto"/>
        <w:jc w:val="left"/>
        <w:rPr>
          <w:b/>
          <w:sz w:val="22"/>
          <w:szCs w:val="22"/>
          <w:lang w:val="pl-PL"/>
        </w:rPr>
      </w:pPr>
      <w:r w:rsidRPr="00BD22FE">
        <w:rPr>
          <w:b/>
          <w:sz w:val="22"/>
          <w:szCs w:val="22"/>
          <w:lang w:val="pl-PL"/>
        </w:rPr>
        <w:t>Lek MicardisPlus zawiera cukier (laktozę)</w:t>
      </w:r>
    </w:p>
    <w:p w14:paraId="39C4D44C" w14:textId="77777777" w:rsidR="00A610E1" w:rsidRPr="00BD22FE" w:rsidRDefault="00A610E1" w:rsidP="00A610E1">
      <w:pPr>
        <w:pStyle w:val="BodyText"/>
        <w:spacing w:line="240" w:lineRule="auto"/>
        <w:jc w:val="left"/>
        <w:rPr>
          <w:bCs/>
          <w:sz w:val="22"/>
          <w:szCs w:val="22"/>
          <w:lang w:val="pl-PL"/>
        </w:rPr>
      </w:pPr>
      <w:r w:rsidRPr="00BD22FE">
        <w:rPr>
          <w:bCs/>
          <w:sz w:val="22"/>
          <w:szCs w:val="22"/>
          <w:lang w:val="pl-PL"/>
        </w:rPr>
        <w:t>Jeżeli stwierdzono wcześniej u pacjenta nietolerancję niektórych cukrów, pacjent powinien skontaktować się z lekarzem przed przyjęciem tego leku.</w:t>
      </w:r>
    </w:p>
    <w:p w14:paraId="4F112786" w14:textId="77777777" w:rsidR="00A610E1" w:rsidRPr="00BD22FE" w:rsidRDefault="00A610E1" w:rsidP="00A610E1">
      <w:pPr>
        <w:pStyle w:val="BodyText"/>
        <w:spacing w:line="240" w:lineRule="auto"/>
        <w:jc w:val="left"/>
        <w:rPr>
          <w:sz w:val="22"/>
          <w:szCs w:val="22"/>
          <w:lang w:val="pl-PL"/>
        </w:rPr>
      </w:pPr>
    </w:p>
    <w:p w14:paraId="60261732" w14:textId="77777777" w:rsidR="00A610E1" w:rsidRPr="00BD22FE" w:rsidRDefault="00A610E1" w:rsidP="00A610E1">
      <w:pPr>
        <w:pStyle w:val="BodyText"/>
        <w:keepNext/>
        <w:spacing w:line="240" w:lineRule="auto"/>
        <w:jc w:val="left"/>
        <w:rPr>
          <w:sz w:val="22"/>
          <w:szCs w:val="22"/>
          <w:lang w:val="pl-PL"/>
        </w:rPr>
      </w:pPr>
      <w:r w:rsidRPr="00BD22FE">
        <w:rPr>
          <w:b/>
          <w:sz w:val="22"/>
          <w:szCs w:val="22"/>
          <w:lang w:val="pl-PL"/>
        </w:rPr>
        <w:t>Lek MicardisPlus zawiera sorbitol</w:t>
      </w:r>
    </w:p>
    <w:p w14:paraId="593CECE9" w14:textId="77777777" w:rsidR="00A610E1" w:rsidRPr="00BD22FE" w:rsidRDefault="00A610E1" w:rsidP="00A610E1">
      <w:pPr>
        <w:pStyle w:val="BodyText"/>
        <w:spacing w:line="240" w:lineRule="auto"/>
        <w:jc w:val="left"/>
        <w:rPr>
          <w:sz w:val="22"/>
          <w:szCs w:val="22"/>
          <w:lang w:val="pl-PL"/>
        </w:rPr>
      </w:pPr>
      <w:r w:rsidRPr="00BD22FE">
        <w:rPr>
          <w:sz w:val="22"/>
          <w:szCs w:val="22"/>
          <w:lang w:val="pl-PL"/>
        </w:rPr>
        <w:t>Lek zawiera 338 mg sorbitolu w każdej tabletce. Sorbitol jest źródłem fruktozy. Jeżeli stwierdzono wcześniej u pacjenta nietolerancję niektórych cukrów lub stwierdzono wcześniej u pacjenta dziedziczną nietolerancję fruktozy, rzadką chorobę genetyczną, w której organizm pacjenta nie rozkłada fruktozy, pacjent powinien skontaktować się z lekarzem przed przyjęciem leku.</w:t>
      </w:r>
    </w:p>
    <w:p w14:paraId="115992D8" w14:textId="77777777" w:rsidR="00A610E1" w:rsidRPr="00BD22FE" w:rsidRDefault="00A610E1" w:rsidP="00A610E1">
      <w:pPr>
        <w:pStyle w:val="BodyText"/>
        <w:spacing w:line="240" w:lineRule="auto"/>
        <w:jc w:val="left"/>
        <w:rPr>
          <w:sz w:val="22"/>
          <w:szCs w:val="22"/>
          <w:lang w:val="pl-PL"/>
        </w:rPr>
      </w:pPr>
    </w:p>
    <w:p w14:paraId="34632709" w14:textId="77777777" w:rsidR="00A610E1" w:rsidRPr="00BD22FE" w:rsidRDefault="00A610E1" w:rsidP="00A610E1">
      <w:pPr>
        <w:pStyle w:val="BodyText"/>
        <w:spacing w:line="240" w:lineRule="auto"/>
        <w:jc w:val="left"/>
        <w:rPr>
          <w:sz w:val="22"/>
          <w:szCs w:val="22"/>
          <w:lang w:val="pl-PL"/>
        </w:rPr>
      </w:pPr>
    </w:p>
    <w:p w14:paraId="5ADD5172" w14:textId="77777777" w:rsidR="00A610E1" w:rsidRPr="00BD22FE" w:rsidRDefault="00A610E1" w:rsidP="00A610E1">
      <w:pPr>
        <w:pStyle w:val="BodyText"/>
        <w:keepNext/>
        <w:spacing w:line="240" w:lineRule="auto"/>
        <w:ind w:left="567" w:hanging="567"/>
        <w:jc w:val="left"/>
        <w:rPr>
          <w:b/>
          <w:sz w:val="22"/>
          <w:szCs w:val="22"/>
          <w:lang w:val="pl-PL"/>
        </w:rPr>
      </w:pPr>
      <w:r w:rsidRPr="00BD22FE">
        <w:rPr>
          <w:b/>
          <w:sz w:val="22"/>
          <w:szCs w:val="22"/>
          <w:lang w:val="pl-PL"/>
        </w:rPr>
        <w:t>3.</w:t>
      </w:r>
      <w:r w:rsidRPr="00BD22FE">
        <w:rPr>
          <w:b/>
          <w:sz w:val="22"/>
          <w:szCs w:val="22"/>
          <w:lang w:val="pl-PL"/>
        </w:rPr>
        <w:tab/>
        <w:t>Jak przyjmować lek MicardisPlus</w:t>
      </w:r>
    </w:p>
    <w:p w14:paraId="778A5FB2" w14:textId="77777777" w:rsidR="00A610E1" w:rsidRPr="00BD22FE" w:rsidRDefault="00A610E1" w:rsidP="00A610E1">
      <w:pPr>
        <w:pStyle w:val="BodyText"/>
        <w:keepNext/>
        <w:spacing w:line="240" w:lineRule="auto"/>
        <w:jc w:val="left"/>
        <w:rPr>
          <w:sz w:val="22"/>
          <w:szCs w:val="22"/>
          <w:lang w:val="pl-PL"/>
        </w:rPr>
      </w:pPr>
    </w:p>
    <w:p w14:paraId="12863557" w14:textId="77777777" w:rsidR="00A610E1" w:rsidRPr="00BD22FE" w:rsidRDefault="00A610E1" w:rsidP="00A610E1">
      <w:pPr>
        <w:pStyle w:val="BodyText"/>
        <w:spacing w:line="240" w:lineRule="auto"/>
        <w:jc w:val="left"/>
        <w:rPr>
          <w:sz w:val="22"/>
          <w:szCs w:val="22"/>
          <w:lang w:val="pl-PL"/>
        </w:rPr>
      </w:pPr>
      <w:r w:rsidRPr="00BD22FE">
        <w:rPr>
          <w:sz w:val="22"/>
          <w:szCs w:val="22"/>
          <w:lang w:val="pl-PL"/>
        </w:rPr>
        <w:t>Ten lek należy zawsze przyjmować zgodnie z zaleceniami lekarza. W razie wątpliwości należy zwrócić się do lekarza lub farmaceuty.</w:t>
      </w:r>
    </w:p>
    <w:p w14:paraId="41B8FFE1" w14:textId="77777777" w:rsidR="00A610E1" w:rsidRPr="00BD22FE" w:rsidRDefault="00A610E1" w:rsidP="00A610E1">
      <w:pPr>
        <w:pStyle w:val="BodyText"/>
        <w:spacing w:line="240" w:lineRule="auto"/>
        <w:jc w:val="left"/>
        <w:rPr>
          <w:sz w:val="22"/>
          <w:szCs w:val="22"/>
          <w:lang w:val="pl-PL"/>
        </w:rPr>
      </w:pPr>
    </w:p>
    <w:p w14:paraId="713D3A32" w14:textId="48D4BF3F" w:rsidR="00A610E1" w:rsidRPr="00BD22FE" w:rsidRDefault="00A610E1" w:rsidP="00A610E1">
      <w:pPr>
        <w:pStyle w:val="BodyText"/>
        <w:spacing w:line="240" w:lineRule="auto"/>
        <w:jc w:val="left"/>
        <w:rPr>
          <w:sz w:val="22"/>
          <w:szCs w:val="22"/>
          <w:lang w:val="pl-PL"/>
        </w:rPr>
      </w:pPr>
      <w:r w:rsidRPr="00BD22FE">
        <w:rPr>
          <w:sz w:val="22"/>
          <w:szCs w:val="22"/>
          <w:lang w:val="pl-PL"/>
        </w:rPr>
        <w:t>Zalecana dawka to jedna tabletka na dobę. Należy starać się przyjmować tabletkę o tej samej porze każdego dnia.</w:t>
      </w:r>
    </w:p>
    <w:p w14:paraId="54EE79BD" w14:textId="24B9AD47" w:rsidR="00A610E1" w:rsidRPr="00BD22FE" w:rsidRDefault="00A610E1" w:rsidP="00A610E1">
      <w:pPr>
        <w:pStyle w:val="BodyText"/>
        <w:spacing w:line="240" w:lineRule="auto"/>
        <w:jc w:val="left"/>
        <w:rPr>
          <w:sz w:val="22"/>
          <w:szCs w:val="22"/>
          <w:lang w:val="pl-PL"/>
        </w:rPr>
      </w:pPr>
      <w:r w:rsidRPr="00BD22FE">
        <w:rPr>
          <w:sz w:val="22"/>
          <w:szCs w:val="22"/>
          <w:lang w:val="pl-PL"/>
        </w:rPr>
        <w:t xml:space="preserve">Lek MicardisPlus można przyjmować </w:t>
      </w:r>
      <w:r w:rsidRPr="00BD22FE">
        <w:rPr>
          <w:iCs/>
          <w:sz w:val="22"/>
          <w:szCs w:val="22"/>
          <w:lang w:val="pl-PL"/>
        </w:rPr>
        <w:t>z posiłkiem lub niezależnie od posiłków</w:t>
      </w:r>
      <w:r w:rsidRPr="00BD22FE">
        <w:rPr>
          <w:sz w:val="22"/>
          <w:szCs w:val="22"/>
          <w:lang w:val="pl-PL"/>
        </w:rPr>
        <w:t>. Tabletki należy połknąć w całości, popijając wodą lub napojem bezalkoholowym. Ważne jest, aby lek MicardisPlus przyjmować każdego dnia, dopóki lekarz nie zaleci inaczej.</w:t>
      </w:r>
    </w:p>
    <w:p w14:paraId="5BC11EF3" w14:textId="77777777" w:rsidR="00A610E1" w:rsidRPr="00BD22FE" w:rsidRDefault="00A610E1" w:rsidP="00A610E1">
      <w:pPr>
        <w:pStyle w:val="BodyText"/>
        <w:spacing w:line="240" w:lineRule="auto"/>
        <w:jc w:val="left"/>
        <w:rPr>
          <w:sz w:val="22"/>
          <w:szCs w:val="22"/>
          <w:lang w:val="pl-PL"/>
        </w:rPr>
      </w:pPr>
    </w:p>
    <w:p w14:paraId="1ACD4192" w14:textId="77777777" w:rsidR="00A610E1" w:rsidRPr="00BD22FE" w:rsidRDefault="00A610E1" w:rsidP="00A610E1">
      <w:pPr>
        <w:pStyle w:val="BodyText"/>
        <w:spacing w:line="240" w:lineRule="auto"/>
        <w:jc w:val="left"/>
        <w:rPr>
          <w:sz w:val="22"/>
          <w:szCs w:val="22"/>
          <w:lang w:val="pl-PL"/>
        </w:rPr>
      </w:pPr>
      <w:r w:rsidRPr="00BD22FE">
        <w:rPr>
          <w:sz w:val="22"/>
          <w:szCs w:val="22"/>
          <w:lang w:val="pl-PL"/>
        </w:rPr>
        <w:t>Jeśli u pacjenta wątroba nie funkcjonuje właściwie, zwykła dawka nie powinna być większa niż 40 mg telmisartanu na dobę.</w:t>
      </w:r>
    </w:p>
    <w:p w14:paraId="4F594A17" w14:textId="77777777" w:rsidR="00A610E1" w:rsidRPr="00BD22FE" w:rsidRDefault="00A610E1" w:rsidP="00A610E1">
      <w:pPr>
        <w:pStyle w:val="BodyText"/>
        <w:spacing w:line="240" w:lineRule="auto"/>
        <w:jc w:val="left"/>
        <w:rPr>
          <w:sz w:val="22"/>
          <w:szCs w:val="22"/>
          <w:lang w:val="pl-PL"/>
        </w:rPr>
      </w:pPr>
    </w:p>
    <w:p w14:paraId="2F7C3C35" w14:textId="77777777" w:rsidR="00A610E1" w:rsidRPr="00BD22FE" w:rsidRDefault="00A610E1" w:rsidP="00A610E1">
      <w:pPr>
        <w:pStyle w:val="BodyText"/>
        <w:keepNext/>
        <w:spacing w:line="240" w:lineRule="auto"/>
        <w:jc w:val="left"/>
        <w:rPr>
          <w:b/>
          <w:sz w:val="22"/>
          <w:szCs w:val="22"/>
          <w:lang w:val="pl-PL"/>
        </w:rPr>
      </w:pPr>
      <w:r w:rsidRPr="00BD22FE">
        <w:rPr>
          <w:b/>
          <w:sz w:val="22"/>
          <w:szCs w:val="22"/>
          <w:lang w:val="pl-PL"/>
        </w:rPr>
        <w:t>Przyjęcie większej niż zalecana dawki leku MicardisPlus</w:t>
      </w:r>
    </w:p>
    <w:p w14:paraId="1BA5C87F" w14:textId="7480AE77" w:rsidR="00A610E1" w:rsidRPr="00BD22FE" w:rsidRDefault="00A610E1" w:rsidP="00A610E1">
      <w:pPr>
        <w:pStyle w:val="BodyText"/>
        <w:spacing w:line="240" w:lineRule="auto"/>
        <w:jc w:val="left"/>
        <w:rPr>
          <w:sz w:val="22"/>
          <w:szCs w:val="22"/>
          <w:lang w:val="pl-PL"/>
        </w:rPr>
      </w:pPr>
      <w:r w:rsidRPr="00BD22FE">
        <w:rPr>
          <w:sz w:val="22"/>
          <w:szCs w:val="22"/>
          <w:lang w:val="pl-PL"/>
        </w:rPr>
        <w:t>Jeżeli przez pomyłkę zostanie przyjęta zbyt duża liczba tabletek, mogą pojawić się takie objawy, jak niskie ciśnienie tętnicze krwi i przyspieszenie akcji serca. Zgłaszano także przypadki spowolnienia akcji serca, zawrotów głowy, wymiotów, pogorszenia czynności nerek, w tym niewydolności nerek. Z powodu zawartości hydrochlorotiazydu może także wystąpić wyraźnie niskie ciśnienie tętnicze krwi i niskie stężenia potasu we krwi, co może doprowadzić do nudności, senności i skurczów mięśni</w:t>
      </w:r>
      <w:r w:rsidRPr="00BD22FE">
        <w:rPr>
          <w:lang w:val="pl-PL"/>
        </w:rPr>
        <w:t xml:space="preserve"> </w:t>
      </w:r>
      <w:r w:rsidRPr="00BD22FE">
        <w:rPr>
          <w:sz w:val="22"/>
          <w:szCs w:val="22"/>
          <w:lang w:val="pl-PL"/>
        </w:rPr>
        <w:t>i (lub) nieregularne bicie serca związane z jednoczesnym stosowaniem leków takich jak glikozydy naparstnicy lub niektóre leki antyarytmiczne. Należy niezwłocznie skontaktować się z lekarzem, farmaceutą lub z najbliższym szpitalnym oddziałem doraźnej pomocy medycznej.</w:t>
      </w:r>
    </w:p>
    <w:p w14:paraId="42097585" w14:textId="77777777" w:rsidR="00A610E1" w:rsidRPr="00BD22FE" w:rsidRDefault="00A610E1" w:rsidP="00A610E1">
      <w:pPr>
        <w:pStyle w:val="BodyText"/>
        <w:spacing w:line="240" w:lineRule="auto"/>
        <w:jc w:val="left"/>
        <w:rPr>
          <w:sz w:val="22"/>
          <w:szCs w:val="22"/>
          <w:lang w:val="pl-PL"/>
        </w:rPr>
      </w:pPr>
    </w:p>
    <w:p w14:paraId="7FEE50CB" w14:textId="77777777" w:rsidR="00A610E1" w:rsidRPr="00BD22FE" w:rsidRDefault="00A610E1" w:rsidP="00A610E1">
      <w:pPr>
        <w:pStyle w:val="BodyText"/>
        <w:keepNext/>
        <w:spacing w:line="240" w:lineRule="auto"/>
        <w:jc w:val="left"/>
        <w:rPr>
          <w:b/>
          <w:sz w:val="22"/>
          <w:szCs w:val="22"/>
          <w:lang w:val="pl-PL"/>
        </w:rPr>
      </w:pPr>
      <w:r w:rsidRPr="00BD22FE">
        <w:rPr>
          <w:b/>
          <w:sz w:val="22"/>
          <w:szCs w:val="22"/>
          <w:lang w:val="pl-PL"/>
        </w:rPr>
        <w:t>Pominięcie przyjęcia leku MicardisPlus</w:t>
      </w:r>
    </w:p>
    <w:p w14:paraId="749E8802" w14:textId="77777777" w:rsidR="00A610E1" w:rsidRPr="00BD22FE" w:rsidRDefault="00A610E1" w:rsidP="00A610E1">
      <w:pPr>
        <w:pStyle w:val="BodyText"/>
        <w:spacing w:line="240" w:lineRule="auto"/>
        <w:jc w:val="left"/>
        <w:rPr>
          <w:sz w:val="22"/>
          <w:szCs w:val="22"/>
          <w:lang w:val="pl-PL"/>
        </w:rPr>
      </w:pPr>
      <w:r w:rsidRPr="00BD22FE">
        <w:rPr>
          <w:sz w:val="22"/>
          <w:szCs w:val="22"/>
          <w:lang w:val="pl-PL"/>
        </w:rPr>
        <w:t>Jeśli pacjent zapomni przyjąć dawkę leku, powinien zażyć go niezwłocznie po przypomnieniu sobie, tego samego dnia. Jeżeli tabletka nie zostanie przyjęta jednego dnia, należy przyjąć zwykle stosowaną dawkę następnego dnia.</w:t>
      </w:r>
      <w:r w:rsidRPr="00BD22FE">
        <w:rPr>
          <w:bCs/>
          <w:sz w:val="22"/>
          <w:szCs w:val="22"/>
          <w:lang w:val="pl-PL"/>
        </w:rPr>
        <w:t xml:space="preserve"> </w:t>
      </w:r>
      <w:r w:rsidRPr="00BD22FE">
        <w:rPr>
          <w:b/>
          <w:i/>
          <w:sz w:val="22"/>
          <w:szCs w:val="22"/>
          <w:lang w:val="pl-PL"/>
        </w:rPr>
        <w:t>Nie należy</w:t>
      </w:r>
      <w:r w:rsidRPr="00BD22FE">
        <w:rPr>
          <w:sz w:val="22"/>
          <w:szCs w:val="22"/>
          <w:lang w:val="pl-PL"/>
        </w:rPr>
        <w:t xml:space="preserve"> stosować dawki podwójnej w celu uzupełnienia pominiętej dawki.</w:t>
      </w:r>
    </w:p>
    <w:p w14:paraId="00D4B622" w14:textId="77777777" w:rsidR="00A610E1" w:rsidRPr="00BD22FE" w:rsidRDefault="00A610E1" w:rsidP="00A610E1">
      <w:pPr>
        <w:pStyle w:val="BodyText"/>
        <w:spacing w:line="240" w:lineRule="auto"/>
        <w:jc w:val="left"/>
        <w:rPr>
          <w:sz w:val="22"/>
          <w:szCs w:val="22"/>
          <w:lang w:val="pl-PL"/>
        </w:rPr>
      </w:pPr>
    </w:p>
    <w:p w14:paraId="7B5BDE23" w14:textId="77777777" w:rsidR="00A610E1" w:rsidRPr="00BD22FE" w:rsidRDefault="00A610E1" w:rsidP="00A610E1">
      <w:pPr>
        <w:pStyle w:val="BodyText"/>
        <w:spacing w:line="240" w:lineRule="auto"/>
        <w:jc w:val="left"/>
        <w:rPr>
          <w:sz w:val="22"/>
          <w:szCs w:val="22"/>
          <w:lang w:val="pl-PL"/>
        </w:rPr>
      </w:pPr>
      <w:r w:rsidRPr="00BD22FE">
        <w:rPr>
          <w:sz w:val="22"/>
          <w:szCs w:val="22"/>
          <w:lang w:val="pl-PL"/>
        </w:rPr>
        <w:t>W razie jakichkolwiek dalszych wątpliwości związanych ze stosowaniem tego leku, należy zwrócić się do lekarza lub farmaceuty.</w:t>
      </w:r>
    </w:p>
    <w:p w14:paraId="0E65CFDE" w14:textId="77777777" w:rsidR="00A610E1" w:rsidRPr="00BD22FE" w:rsidRDefault="00A610E1" w:rsidP="00A610E1">
      <w:pPr>
        <w:pStyle w:val="BodyText"/>
        <w:spacing w:line="240" w:lineRule="auto"/>
        <w:jc w:val="left"/>
        <w:rPr>
          <w:sz w:val="22"/>
          <w:szCs w:val="22"/>
          <w:lang w:val="pl-PL"/>
        </w:rPr>
      </w:pPr>
    </w:p>
    <w:p w14:paraId="72E42CEB" w14:textId="77777777" w:rsidR="00A610E1" w:rsidRPr="00BD22FE" w:rsidRDefault="00A610E1" w:rsidP="00A610E1">
      <w:pPr>
        <w:pStyle w:val="BodyText"/>
        <w:spacing w:line="240" w:lineRule="auto"/>
        <w:jc w:val="left"/>
        <w:rPr>
          <w:sz w:val="22"/>
          <w:szCs w:val="22"/>
          <w:lang w:val="pl-PL"/>
        </w:rPr>
      </w:pPr>
    </w:p>
    <w:p w14:paraId="369C3932" w14:textId="77777777" w:rsidR="00A610E1" w:rsidRPr="00BD22FE" w:rsidRDefault="00A610E1" w:rsidP="00A610E1">
      <w:pPr>
        <w:pStyle w:val="BodyText"/>
        <w:keepNext/>
        <w:spacing w:line="240" w:lineRule="auto"/>
        <w:ind w:left="567" w:hanging="567"/>
        <w:jc w:val="left"/>
        <w:rPr>
          <w:b/>
          <w:sz w:val="22"/>
          <w:szCs w:val="22"/>
          <w:lang w:val="pl-PL"/>
        </w:rPr>
      </w:pPr>
      <w:r w:rsidRPr="00BD22FE">
        <w:rPr>
          <w:b/>
          <w:sz w:val="22"/>
          <w:szCs w:val="22"/>
          <w:lang w:val="pl-PL"/>
        </w:rPr>
        <w:t>4.</w:t>
      </w:r>
      <w:r w:rsidRPr="00BD22FE">
        <w:rPr>
          <w:b/>
          <w:sz w:val="22"/>
          <w:szCs w:val="22"/>
          <w:lang w:val="pl-PL"/>
        </w:rPr>
        <w:tab/>
        <w:t>Możliwe działania niepożądane</w:t>
      </w:r>
    </w:p>
    <w:p w14:paraId="224AF687" w14:textId="77777777" w:rsidR="00A610E1" w:rsidRPr="00BD22FE" w:rsidRDefault="00A610E1" w:rsidP="00A610E1">
      <w:pPr>
        <w:pStyle w:val="BodyText"/>
        <w:keepNext/>
        <w:spacing w:line="240" w:lineRule="auto"/>
        <w:jc w:val="left"/>
        <w:rPr>
          <w:bCs/>
          <w:sz w:val="22"/>
          <w:szCs w:val="22"/>
          <w:lang w:val="pl-PL"/>
        </w:rPr>
      </w:pPr>
    </w:p>
    <w:p w14:paraId="30E057D6" w14:textId="77777777" w:rsidR="00A610E1" w:rsidRPr="00BD22FE" w:rsidRDefault="00A610E1" w:rsidP="00A610E1">
      <w:pPr>
        <w:pStyle w:val="BodyText"/>
        <w:spacing w:line="240" w:lineRule="auto"/>
        <w:jc w:val="left"/>
        <w:rPr>
          <w:sz w:val="22"/>
          <w:szCs w:val="22"/>
          <w:lang w:val="pl-PL"/>
        </w:rPr>
      </w:pPr>
      <w:r w:rsidRPr="00BD22FE">
        <w:rPr>
          <w:sz w:val="22"/>
          <w:szCs w:val="22"/>
          <w:lang w:val="pl-PL"/>
        </w:rPr>
        <w:t>Jak każdy lek, lek ten może powodować działania niepożądane, chociaż nie u każdego one wystąpią.</w:t>
      </w:r>
    </w:p>
    <w:p w14:paraId="29966876" w14:textId="77777777" w:rsidR="00A610E1" w:rsidRPr="00BD22FE" w:rsidRDefault="00A610E1" w:rsidP="00A610E1">
      <w:pPr>
        <w:pStyle w:val="BodyText"/>
        <w:spacing w:line="240" w:lineRule="auto"/>
        <w:jc w:val="left"/>
        <w:rPr>
          <w:sz w:val="22"/>
          <w:szCs w:val="22"/>
          <w:lang w:val="pl-PL"/>
        </w:rPr>
      </w:pPr>
    </w:p>
    <w:p w14:paraId="0A3247CB" w14:textId="77777777" w:rsidR="00A610E1" w:rsidRPr="00BD22FE" w:rsidRDefault="00A610E1" w:rsidP="00A610E1">
      <w:pPr>
        <w:keepNext/>
        <w:rPr>
          <w:b/>
          <w:sz w:val="22"/>
          <w:szCs w:val="22"/>
          <w:lang w:val="pl-PL"/>
        </w:rPr>
      </w:pPr>
      <w:r w:rsidRPr="00BD22FE">
        <w:rPr>
          <w:b/>
          <w:sz w:val="22"/>
          <w:szCs w:val="22"/>
          <w:lang w:val="pl-PL"/>
        </w:rPr>
        <w:lastRenderedPageBreak/>
        <w:t>Niektóre działania niepożądane mogą być ciężkie i wymagają natychmiastowej pomocy medycznej:</w:t>
      </w:r>
    </w:p>
    <w:p w14:paraId="45F8F0D1" w14:textId="77777777" w:rsidR="00A610E1" w:rsidRPr="00BD22FE" w:rsidRDefault="00A610E1" w:rsidP="00A610E1">
      <w:pPr>
        <w:keepNext/>
        <w:rPr>
          <w:sz w:val="22"/>
          <w:szCs w:val="22"/>
          <w:lang w:val="pl-PL"/>
        </w:rPr>
      </w:pPr>
      <w:r w:rsidRPr="00BD22FE">
        <w:rPr>
          <w:sz w:val="22"/>
          <w:szCs w:val="22"/>
          <w:lang w:val="pl-PL"/>
        </w:rPr>
        <w:t>W przypadku wystąpienia któregokolwiek z następujących objawów należy natychmiast skontaktować się z lekarzem:</w:t>
      </w:r>
    </w:p>
    <w:p w14:paraId="7A3B52FF" w14:textId="77777777" w:rsidR="00A610E1" w:rsidRPr="00BD22FE" w:rsidRDefault="00A610E1" w:rsidP="00A610E1">
      <w:pPr>
        <w:keepNext/>
        <w:rPr>
          <w:sz w:val="22"/>
          <w:szCs w:val="22"/>
          <w:lang w:val="pl-PL"/>
        </w:rPr>
      </w:pPr>
    </w:p>
    <w:p w14:paraId="063CE8A3" w14:textId="7E65623D" w:rsidR="00A610E1" w:rsidRPr="00BD22FE" w:rsidRDefault="00A610E1" w:rsidP="00A610E1">
      <w:pPr>
        <w:rPr>
          <w:sz w:val="22"/>
          <w:szCs w:val="22"/>
          <w:lang w:val="pl-PL"/>
        </w:rPr>
      </w:pPr>
      <w:r w:rsidRPr="00BD22FE">
        <w:rPr>
          <w:sz w:val="22"/>
          <w:szCs w:val="22"/>
          <w:lang w:val="pl-PL"/>
        </w:rPr>
        <w:t>Posocznica* (często nazywana zatruciem krwi, będąca ciężkim zakażeniem z reakcją zapalną całego organizmu), nagły obrzęk skóry i błon śluzowych (obrzęk naczynioruchowy, w tym zakończony zgonem); tworzenie się pęcherzy i złuszczanie się zewnętrznej warstwy skóry (toksyczne martwicze oddzielanie się naskórka). Te działania niepożądane występują rzadko (mogą wystąpić do 1 na 1 000 pacjentów) albo bardzo rzadko (toksyczne martwicze oddzielanie się naskórka; mogą wystąpić do 1 na 10 000 pacjentów), ale są niezwykle ciężkie; w takim przypadku należy przerwać przyjmowanie leku i natychmiast skontaktować się z lekarzem. Jeśli objawy te nie są leczone, mogą zakończyć się zgonem. Zwiększoną częstość występowania posocznicy obserwowano u osób przyjmujących telmisartan w monoterapii, nie można jej jednak wykluczyć w przypadku terapii lekiem MicardisPlus.</w:t>
      </w:r>
    </w:p>
    <w:p w14:paraId="69B55E93" w14:textId="77777777" w:rsidR="00A610E1" w:rsidRPr="00BD22FE" w:rsidRDefault="00A610E1" w:rsidP="00A610E1">
      <w:pPr>
        <w:rPr>
          <w:sz w:val="22"/>
          <w:szCs w:val="22"/>
          <w:u w:val="single"/>
          <w:lang w:val="pl-PL"/>
        </w:rPr>
      </w:pPr>
    </w:p>
    <w:p w14:paraId="6DFA116E" w14:textId="77777777" w:rsidR="00A610E1" w:rsidRPr="00BD22FE" w:rsidRDefault="00A610E1" w:rsidP="00A610E1">
      <w:pPr>
        <w:keepNext/>
        <w:rPr>
          <w:b/>
          <w:sz w:val="22"/>
          <w:szCs w:val="22"/>
          <w:lang w:val="pl-PL"/>
        </w:rPr>
      </w:pPr>
      <w:r w:rsidRPr="00BD22FE">
        <w:rPr>
          <w:b/>
          <w:sz w:val="22"/>
          <w:szCs w:val="22"/>
          <w:lang w:val="pl-PL"/>
        </w:rPr>
        <w:t>Możliwe działania niepożądane leku MicardisPlus:</w:t>
      </w:r>
    </w:p>
    <w:p w14:paraId="2D7B959C" w14:textId="77777777" w:rsidR="00A610E1" w:rsidRPr="00BD22FE" w:rsidRDefault="00A610E1" w:rsidP="00A610E1">
      <w:pPr>
        <w:pStyle w:val="BodyText"/>
        <w:keepNext/>
        <w:spacing w:line="240" w:lineRule="auto"/>
        <w:jc w:val="left"/>
        <w:rPr>
          <w:sz w:val="22"/>
          <w:szCs w:val="22"/>
          <w:lang w:val="pl-PL"/>
        </w:rPr>
      </w:pPr>
    </w:p>
    <w:p w14:paraId="792743D5" w14:textId="77777777" w:rsidR="00A610E1" w:rsidRPr="00BD22FE" w:rsidRDefault="00A610E1" w:rsidP="00A610E1">
      <w:pPr>
        <w:keepNext/>
        <w:rPr>
          <w:b/>
          <w:sz w:val="22"/>
          <w:szCs w:val="22"/>
          <w:lang w:val="pl-PL"/>
        </w:rPr>
      </w:pPr>
      <w:r w:rsidRPr="00BD22FE">
        <w:rPr>
          <w:b/>
          <w:sz w:val="22"/>
          <w:szCs w:val="22"/>
          <w:lang w:val="pl-PL"/>
        </w:rPr>
        <w:t>Częste działania niepożądane (mogą wystąpić do 1 na 10 pacjentów)</w:t>
      </w:r>
    </w:p>
    <w:p w14:paraId="72622B20" w14:textId="77777777" w:rsidR="00A610E1" w:rsidRPr="00BD22FE" w:rsidRDefault="00A610E1" w:rsidP="00A610E1">
      <w:pPr>
        <w:pStyle w:val="BodyText"/>
        <w:spacing w:line="240" w:lineRule="auto"/>
        <w:jc w:val="left"/>
        <w:rPr>
          <w:sz w:val="22"/>
          <w:szCs w:val="22"/>
          <w:lang w:val="pl-PL"/>
        </w:rPr>
      </w:pPr>
      <w:r w:rsidRPr="00BD22FE">
        <w:rPr>
          <w:sz w:val="22"/>
          <w:szCs w:val="22"/>
          <w:lang w:val="pl-PL"/>
        </w:rPr>
        <w:t>Zawroty głowy.</w:t>
      </w:r>
    </w:p>
    <w:p w14:paraId="3B1D686E" w14:textId="77777777" w:rsidR="00A610E1" w:rsidRPr="00BD22FE" w:rsidRDefault="00A610E1" w:rsidP="00A610E1">
      <w:pPr>
        <w:pStyle w:val="BodyText"/>
        <w:spacing w:line="240" w:lineRule="auto"/>
        <w:jc w:val="left"/>
        <w:rPr>
          <w:sz w:val="22"/>
          <w:szCs w:val="22"/>
          <w:lang w:val="pl-PL"/>
        </w:rPr>
      </w:pPr>
    </w:p>
    <w:p w14:paraId="723C1CE6" w14:textId="77777777" w:rsidR="00A610E1" w:rsidRPr="00BD22FE" w:rsidRDefault="00A610E1" w:rsidP="00A610E1">
      <w:pPr>
        <w:keepNext/>
        <w:rPr>
          <w:b/>
          <w:bCs/>
          <w:sz w:val="22"/>
          <w:szCs w:val="22"/>
          <w:lang w:val="pl-PL"/>
        </w:rPr>
      </w:pPr>
      <w:r w:rsidRPr="00BD22FE">
        <w:rPr>
          <w:b/>
          <w:bCs/>
          <w:sz w:val="22"/>
          <w:szCs w:val="22"/>
          <w:lang w:val="pl-PL"/>
        </w:rPr>
        <w:t>Niezbyt częste działania niepożądane (mogą wystąpić do 1 na 100 pacjentów)</w:t>
      </w:r>
    </w:p>
    <w:p w14:paraId="072D94B3" w14:textId="77777777" w:rsidR="00A610E1" w:rsidRPr="00BD22FE" w:rsidRDefault="00A610E1" w:rsidP="00A610E1">
      <w:pPr>
        <w:pStyle w:val="BodyText"/>
        <w:spacing w:line="240" w:lineRule="auto"/>
        <w:jc w:val="left"/>
        <w:rPr>
          <w:sz w:val="22"/>
          <w:szCs w:val="22"/>
          <w:lang w:val="pl-PL"/>
        </w:rPr>
      </w:pPr>
      <w:r w:rsidRPr="00BD22FE">
        <w:rPr>
          <w:sz w:val="22"/>
          <w:szCs w:val="22"/>
          <w:lang w:val="pl-PL"/>
        </w:rPr>
        <w:t>Zmniejszenie stężenia potasu we krwi, lęk, omdlenia, uczucie mrowienia i drętwienia (parestezje), uczucie wirowania, przyspieszone tętno (częstoskurcz), zaburzenia rytmu serca, niskie ciśnienie tętnicze krwi, nagłe obniżenie ciśnienia tętniczego krwi podczas wstawania, skrócenie oddechu (duszność), biegunka, suchość błon śluzowych w jamie ustnej, wzdęcia, ból pleców, skurcze mięśni, ból mięśni, zaburzenia erekcji (niezdolność do uzyskania lub utrzymania erekcji), ból w klatce piersiowej, zwiększone stężenie kwasu moczowego we krwi.</w:t>
      </w:r>
    </w:p>
    <w:p w14:paraId="7AAE554A" w14:textId="77777777" w:rsidR="00A610E1" w:rsidRPr="00BD22FE" w:rsidRDefault="00A610E1" w:rsidP="00A610E1">
      <w:pPr>
        <w:pStyle w:val="BodyText"/>
        <w:spacing w:line="240" w:lineRule="auto"/>
        <w:jc w:val="left"/>
        <w:rPr>
          <w:sz w:val="22"/>
          <w:szCs w:val="22"/>
          <w:lang w:val="pl-PL"/>
        </w:rPr>
      </w:pPr>
    </w:p>
    <w:p w14:paraId="0D0AF5EA" w14:textId="77777777" w:rsidR="00A610E1" w:rsidRPr="00BD22FE" w:rsidRDefault="00A610E1" w:rsidP="00A610E1">
      <w:pPr>
        <w:keepNext/>
        <w:rPr>
          <w:b/>
          <w:bCs/>
          <w:sz w:val="22"/>
          <w:szCs w:val="22"/>
          <w:lang w:val="pl-PL"/>
        </w:rPr>
      </w:pPr>
      <w:r w:rsidRPr="00BD22FE">
        <w:rPr>
          <w:b/>
          <w:bCs/>
          <w:sz w:val="22"/>
          <w:szCs w:val="22"/>
          <w:lang w:val="pl-PL"/>
        </w:rPr>
        <w:t>Rzadkie działania niepożądane (mogą wystąpić do 1 na 1 000 pacjentów)</w:t>
      </w:r>
    </w:p>
    <w:p w14:paraId="7888D990" w14:textId="1276B380" w:rsidR="00A610E1" w:rsidRPr="00BD22FE" w:rsidRDefault="00A610E1" w:rsidP="00A610E1">
      <w:pPr>
        <w:pStyle w:val="BodyText"/>
        <w:spacing w:line="240" w:lineRule="auto"/>
        <w:jc w:val="left"/>
        <w:rPr>
          <w:sz w:val="22"/>
          <w:szCs w:val="22"/>
          <w:lang w:val="pl-PL"/>
        </w:rPr>
      </w:pPr>
      <w:r w:rsidRPr="00BD22FE">
        <w:rPr>
          <w:sz w:val="22"/>
          <w:szCs w:val="22"/>
          <w:lang w:val="pl-PL"/>
        </w:rPr>
        <w:t>Zapalenie dróg oddechowych prowadzących do płuc (zapalenie oskrzeli), ból gardła, zapalenie zatok, zwiększenie stężenia kwasu moczowego, małe stężenie sodu, uczucie smutku (depresja), trudności w zasypianiu (bezsenność), zaburzenia snu, zaburzenia widzenia, niewyraźne widzenie, trudności w oddychaniu, ból brzucha, zaparcia, wzdęcia (niestrawność), nudności (wymioty), zapalenie błony śluzowej żołądka, nieprawidłowa czynność wątroby (występuje częściej u pacjentów pochodzenia japońskiego), zaczerwienienie skóry (rumień), reakcje alergiczne, takie jak świąd lub wysypka, zwiększona potliwość, pokrzywka, ból stawów i ból kończyn (ból nóg), skurcze mięśni, aktywacja lub zaostrzenie tocznia rumieniowatego układowego (choroba, w której organizm jest atakowany przez własny układ odpornościowy, co powoduje ból stawów, wysypki skórne i gorączkę), objawy grypopodobne, ból, zwiększone stężenie kreatyniny, zwiększona aktywność enzymów wątrobowych lub fosfokinazy kreatynowej we krwi.</w:t>
      </w:r>
    </w:p>
    <w:p w14:paraId="350F550F" w14:textId="77777777" w:rsidR="00A610E1" w:rsidRPr="00BD22FE" w:rsidRDefault="00A610E1" w:rsidP="00A610E1">
      <w:pPr>
        <w:pStyle w:val="BodyText"/>
        <w:spacing w:line="240" w:lineRule="auto"/>
        <w:jc w:val="left"/>
        <w:rPr>
          <w:sz w:val="22"/>
          <w:szCs w:val="22"/>
          <w:lang w:val="pl-PL"/>
        </w:rPr>
      </w:pPr>
    </w:p>
    <w:p w14:paraId="283F0215" w14:textId="77777777" w:rsidR="00A610E1" w:rsidRPr="00BD22FE" w:rsidRDefault="00A610E1" w:rsidP="00A610E1">
      <w:pPr>
        <w:rPr>
          <w:lang w:val="pl-PL"/>
        </w:rPr>
      </w:pPr>
      <w:r w:rsidRPr="00BD22FE">
        <w:rPr>
          <w:sz w:val="22"/>
          <w:szCs w:val="22"/>
          <w:lang w:val="pl-PL"/>
        </w:rPr>
        <w:t>Działania niepożądane zgłaszane dla jednego ze składników mogą wystąpić również podczas terapii lekiem MicardisPlus, nawet jeśli nie stwierdzono ich podczas badań klinicznych tego produktu.</w:t>
      </w:r>
    </w:p>
    <w:p w14:paraId="143FAD1C" w14:textId="77777777" w:rsidR="00A610E1" w:rsidRPr="00BD22FE" w:rsidRDefault="00A610E1" w:rsidP="00A610E1">
      <w:pPr>
        <w:pStyle w:val="BodyText"/>
        <w:spacing w:line="240" w:lineRule="auto"/>
        <w:jc w:val="left"/>
        <w:rPr>
          <w:sz w:val="22"/>
          <w:szCs w:val="22"/>
          <w:lang w:val="pl-PL"/>
        </w:rPr>
      </w:pPr>
    </w:p>
    <w:p w14:paraId="69E0B79A" w14:textId="77777777" w:rsidR="00A610E1" w:rsidRPr="00BD22FE" w:rsidRDefault="00A610E1" w:rsidP="00A610E1">
      <w:pPr>
        <w:pStyle w:val="BodyText"/>
        <w:keepNext/>
        <w:spacing w:line="240" w:lineRule="auto"/>
        <w:jc w:val="left"/>
        <w:rPr>
          <w:b/>
          <w:sz w:val="22"/>
          <w:szCs w:val="22"/>
          <w:lang w:val="pl-PL"/>
        </w:rPr>
      </w:pPr>
      <w:r w:rsidRPr="00BD22FE">
        <w:rPr>
          <w:b/>
          <w:sz w:val="22"/>
          <w:szCs w:val="22"/>
          <w:lang w:val="pl-PL"/>
        </w:rPr>
        <w:t>Telmisartan</w:t>
      </w:r>
    </w:p>
    <w:p w14:paraId="6CF08421" w14:textId="6ED0FA5B" w:rsidR="00A610E1" w:rsidRPr="00BD22FE" w:rsidRDefault="00A610E1" w:rsidP="00A610E1">
      <w:pPr>
        <w:pStyle w:val="BodyText"/>
        <w:keepNext/>
        <w:spacing w:line="240" w:lineRule="auto"/>
        <w:jc w:val="left"/>
        <w:rPr>
          <w:sz w:val="22"/>
          <w:szCs w:val="22"/>
          <w:lang w:val="pl-PL"/>
        </w:rPr>
      </w:pPr>
      <w:r w:rsidRPr="00BD22FE">
        <w:rPr>
          <w:sz w:val="22"/>
          <w:szCs w:val="22"/>
          <w:lang w:val="pl-PL"/>
        </w:rPr>
        <w:t>U pacjentów przyjmujących wyłącznie telmisartan obserwowano dodatkowo następujące działania niepożądane:</w:t>
      </w:r>
    </w:p>
    <w:p w14:paraId="6209E97C" w14:textId="77777777" w:rsidR="00A610E1" w:rsidRPr="00BD22FE" w:rsidRDefault="00A610E1" w:rsidP="00A610E1">
      <w:pPr>
        <w:pStyle w:val="BodyText"/>
        <w:keepNext/>
        <w:spacing w:line="240" w:lineRule="auto"/>
        <w:jc w:val="left"/>
        <w:rPr>
          <w:sz w:val="22"/>
          <w:szCs w:val="22"/>
          <w:lang w:val="pl-PL"/>
        </w:rPr>
      </w:pPr>
    </w:p>
    <w:p w14:paraId="314F31DC" w14:textId="77777777" w:rsidR="00A610E1" w:rsidRPr="00BD22FE" w:rsidRDefault="00A610E1" w:rsidP="00A610E1">
      <w:pPr>
        <w:keepNext/>
        <w:rPr>
          <w:b/>
          <w:bCs/>
          <w:sz w:val="22"/>
          <w:szCs w:val="22"/>
          <w:lang w:val="pl-PL"/>
        </w:rPr>
      </w:pPr>
      <w:r w:rsidRPr="00BD22FE">
        <w:rPr>
          <w:b/>
          <w:bCs/>
          <w:sz w:val="22"/>
          <w:szCs w:val="22"/>
          <w:lang w:val="pl-PL"/>
        </w:rPr>
        <w:t>Niezbyt częste działania niepożądane (mogą wystąpić do 1 na 100 pacjentów)</w:t>
      </w:r>
    </w:p>
    <w:p w14:paraId="46388968" w14:textId="77777777" w:rsidR="00A610E1" w:rsidRPr="00BD22FE" w:rsidRDefault="00A610E1" w:rsidP="00A610E1">
      <w:pPr>
        <w:rPr>
          <w:sz w:val="22"/>
          <w:szCs w:val="22"/>
          <w:lang w:val="pl-PL"/>
        </w:rPr>
      </w:pPr>
      <w:r w:rsidRPr="00BD22FE">
        <w:rPr>
          <w:sz w:val="22"/>
          <w:szCs w:val="22"/>
          <w:lang w:val="pl-PL"/>
        </w:rPr>
        <w:t>Zakażenie górnych dróg oddechowych (np. ból gardła, zapalenie zatok, przeziębienie), zakażenia układu moczowego, zapalenie pęcherza moczowego, za mała liczba krwinek czerwonych (niedokrwistość), duże stężenie potasu, wolna czynność serca (bradykardia), kaszel, zaburzenie czynności nerek, w tym ostra niewydolność nerek, osłabienie.</w:t>
      </w:r>
    </w:p>
    <w:p w14:paraId="01FC3560" w14:textId="77777777" w:rsidR="00A610E1" w:rsidRPr="00BD22FE" w:rsidRDefault="00A610E1" w:rsidP="00A610E1">
      <w:pPr>
        <w:rPr>
          <w:sz w:val="22"/>
          <w:szCs w:val="22"/>
          <w:u w:val="single"/>
          <w:lang w:val="pl-PL"/>
        </w:rPr>
      </w:pPr>
    </w:p>
    <w:p w14:paraId="43984824" w14:textId="77777777" w:rsidR="00A610E1" w:rsidRPr="00BD22FE" w:rsidRDefault="00A610E1" w:rsidP="00A610E1">
      <w:pPr>
        <w:keepNext/>
        <w:rPr>
          <w:b/>
          <w:bCs/>
          <w:sz w:val="22"/>
          <w:szCs w:val="22"/>
          <w:lang w:val="pl-PL"/>
        </w:rPr>
      </w:pPr>
      <w:r w:rsidRPr="00BD22FE">
        <w:rPr>
          <w:b/>
          <w:bCs/>
          <w:sz w:val="22"/>
          <w:szCs w:val="22"/>
          <w:lang w:val="pl-PL"/>
        </w:rPr>
        <w:lastRenderedPageBreak/>
        <w:t>Rzadkie działania niepożądane (mogą wystąpić do 1 na 1 000 pacjentów)</w:t>
      </w:r>
    </w:p>
    <w:p w14:paraId="49821F7E" w14:textId="77777777" w:rsidR="00A610E1" w:rsidRPr="00BD22FE" w:rsidRDefault="00A610E1" w:rsidP="00A610E1">
      <w:pPr>
        <w:rPr>
          <w:sz w:val="22"/>
          <w:szCs w:val="22"/>
          <w:lang w:val="pl-PL"/>
        </w:rPr>
      </w:pPr>
      <w:r w:rsidRPr="00BD22FE">
        <w:rPr>
          <w:sz w:val="22"/>
          <w:szCs w:val="22"/>
          <w:lang w:val="pl-PL"/>
        </w:rPr>
        <w:t>Mała liczba płytek krwi (małopłytkowość), zwiększenie liczby niektórych krwinek białych (eozynofilia), ciężka reakcja alergiczna (np. nadwrażliwość, reakcja anafilaktyczna), małe stężenie glukozy we krwi (u pacjentów z cukrzycą), senność, nieżyt żołądka, wyprysk (zaburzenie skóry), wysypka polekowa, toksyczna wysypka skórna, ból ścięgien (</w:t>
      </w:r>
      <w:r w:rsidRPr="00BD22FE">
        <w:rPr>
          <w:color w:val="000000"/>
          <w:sz w:val="22"/>
          <w:szCs w:val="22"/>
          <w:lang w:val="pl-PL" w:eastAsia="en-GB"/>
        </w:rPr>
        <w:t>objawy imitujące zapalenie ścięgien)</w:t>
      </w:r>
      <w:r w:rsidRPr="00BD22FE">
        <w:rPr>
          <w:sz w:val="22"/>
          <w:szCs w:val="22"/>
          <w:lang w:val="pl-PL"/>
        </w:rPr>
        <w:t>, zmniejszone stężenie hemoglobiny (białka krwi).</w:t>
      </w:r>
    </w:p>
    <w:p w14:paraId="1FFF09B4" w14:textId="77777777" w:rsidR="00A610E1" w:rsidRPr="00BD22FE" w:rsidRDefault="00A610E1" w:rsidP="00A610E1">
      <w:pPr>
        <w:rPr>
          <w:sz w:val="22"/>
          <w:szCs w:val="22"/>
          <w:u w:val="single"/>
          <w:lang w:val="pl-PL"/>
        </w:rPr>
      </w:pPr>
    </w:p>
    <w:p w14:paraId="16240B92" w14:textId="77777777" w:rsidR="00A610E1" w:rsidRPr="00BD22FE" w:rsidRDefault="00A610E1" w:rsidP="00A610E1">
      <w:pPr>
        <w:keepNext/>
        <w:rPr>
          <w:b/>
          <w:bCs/>
          <w:sz w:val="22"/>
          <w:szCs w:val="22"/>
          <w:lang w:val="pl-PL"/>
        </w:rPr>
      </w:pPr>
      <w:r w:rsidRPr="00BD22FE">
        <w:rPr>
          <w:b/>
          <w:bCs/>
          <w:sz w:val="22"/>
          <w:szCs w:val="22"/>
          <w:lang w:val="pl-PL"/>
        </w:rPr>
        <w:t xml:space="preserve">Bardzo rzadkie działania niepożądane </w:t>
      </w:r>
      <w:r w:rsidRPr="00BD22FE">
        <w:rPr>
          <w:rFonts w:eastAsia="SimSun"/>
          <w:b/>
          <w:bCs/>
          <w:sz w:val="22"/>
          <w:szCs w:val="22"/>
          <w:lang w:val="pl-PL" w:eastAsia="zh-CN"/>
        </w:rPr>
        <w:t>(mogą wystąpić do 1 na 10 000 pacjentów)</w:t>
      </w:r>
    </w:p>
    <w:p w14:paraId="7FDC96F5" w14:textId="77777777" w:rsidR="00A610E1" w:rsidRPr="00BD22FE" w:rsidRDefault="00A610E1" w:rsidP="00A610E1">
      <w:pPr>
        <w:rPr>
          <w:sz w:val="22"/>
          <w:szCs w:val="22"/>
          <w:lang w:val="pl-PL"/>
        </w:rPr>
      </w:pPr>
      <w:r w:rsidRPr="00BD22FE">
        <w:rPr>
          <w:sz w:val="22"/>
          <w:szCs w:val="22"/>
          <w:lang w:val="pl-PL"/>
        </w:rPr>
        <w:t>Postępujące bliznowacenie pęcherzyków płucnych (śródmiąższowa choroba płuc)**</w:t>
      </w:r>
    </w:p>
    <w:p w14:paraId="5C3A4737" w14:textId="77777777" w:rsidR="00885305" w:rsidRPr="00BD22FE" w:rsidRDefault="00885305" w:rsidP="00885305">
      <w:pPr>
        <w:rPr>
          <w:sz w:val="22"/>
          <w:szCs w:val="22"/>
          <w:lang w:val="pl-PL"/>
        </w:rPr>
      </w:pPr>
    </w:p>
    <w:p w14:paraId="42CAE52E" w14:textId="08AD1A6C" w:rsidR="00885305" w:rsidRPr="00BD22FE" w:rsidRDefault="00885305" w:rsidP="00885305">
      <w:pPr>
        <w:keepNext/>
        <w:rPr>
          <w:b/>
          <w:bCs/>
          <w:sz w:val="22"/>
          <w:szCs w:val="22"/>
          <w:lang w:val="pl-PL"/>
        </w:rPr>
      </w:pPr>
      <w:r w:rsidRPr="00BD22FE">
        <w:rPr>
          <w:b/>
          <w:bCs/>
          <w:sz w:val="22"/>
          <w:szCs w:val="22"/>
          <w:lang w:val="pl-PL"/>
        </w:rPr>
        <w:t>Częstość nieznana (częstość nie może być określona na podstawie dostępnych danych)</w:t>
      </w:r>
    </w:p>
    <w:p w14:paraId="7CC6EFEC" w14:textId="62E38B9C" w:rsidR="00885305" w:rsidRPr="00BD22FE" w:rsidRDefault="00885305" w:rsidP="00885305">
      <w:pPr>
        <w:rPr>
          <w:sz w:val="22"/>
          <w:szCs w:val="22"/>
          <w:lang w:val="pl-PL"/>
        </w:rPr>
      </w:pPr>
      <w:r w:rsidRPr="00BD22FE">
        <w:rPr>
          <w:sz w:val="22"/>
          <w:szCs w:val="22"/>
          <w:lang w:val="pl-PL"/>
        </w:rPr>
        <w:t>Obrzęk naczynioruchowy jelit - po zastosowaniu podobnych produktów występował obrzęk w jelicie z takimi objawami jak ból brzucha, nudności, wymioty i biegunka.</w:t>
      </w:r>
    </w:p>
    <w:p w14:paraId="4C983AAD" w14:textId="77777777" w:rsidR="00A610E1" w:rsidRPr="00BD22FE" w:rsidRDefault="00A610E1" w:rsidP="00A610E1">
      <w:pPr>
        <w:rPr>
          <w:sz w:val="22"/>
          <w:szCs w:val="22"/>
          <w:lang w:val="pl-PL"/>
        </w:rPr>
      </w:pPr>
    </w:p>
    <w:p w14:paraId="070FDA7D" w14:textId="77777777" w:rsidR="00A610E1" w:rsidRPr="00BD22FE" w:rsidRDefault="00A610E1" w:rsidP="00A610E1">
      <w:pPr>
        <w:rPr>
          <w:sz w:val="22"/>
          <w:szCs w:val="22"/>
          <w:lang w:val="pl-PL"/>
        </w:rPr>
      </w:pPr>
      <w:r w:rsidRPr="00BD22FE">
        <w:rPr>
          <w:sz w:val="22"/>
          <w:szCs w:val="22"/>
          <w:lang w:val="pl-PL"/>
        </w:rPr>
        <w:t>*Zjawisko to może być przypadkowe lub związane z mechanizmem, który nie został jeszcze poznany.</w:t>
      </w:r>
    </w:p>
    <w:p w14:paraId="063DA682" w14:textId="77777777" w:rsidR="00A610E1" w:rsidRPr="00BD22FE" w:rsidRDefault="00A610E1" w:rsidP="00A610E1">
      <w:pPr>
        <w:rPr>
          <w:sz w:val="22"/>
          <w:szCs w:val="22"/>
          <w:lang w:val="pl-PL"/>
        </w:rPr>
      </w:pPr>
    </w:p>
    <w:p w14:paraId="06298C71" w14:textId="77777777" w:rsidR="00A610E1" w:rsidRPr="00BD22FE" w:rsidRDefault="00A610E1" w:rsidP="00A610E1">
      <w:pPr>
        <w:rPr>
          <w:sz w:val="22"/>
          <w:szCs w:val="22"/>
          <w:lang w:val="pl-PL"/>
        </w:rPr>
      </w:pPr>
      <w:r w:rsidRPr="00BD22FE">
        <w:rPr>
          <w:sz w:val="22"/>
          <w:szCs w:val="22"/>
          <w:lang w:val="pl-PL"/>
        </w:rPr>
        <w:t>**Zgłaszano przypadki śródmiąższowej choroby płuc pozostające w związku czasowym z przyjmowaniem telmisartanu. Nie ustalono jednak związku przyczynowego ze stosowaniem telmisartanu.</w:t>
      </w:r>
    </w:p>
    <w:p w14:paraId="02FD7BE8" w14:textId="77777777" w:rsidR="00A610E1" w:rsidRPr="00BD22FE" w:rsidRDefault="00A610E1" w:rsidP="00A610E1">
      <w:pPr>
        <w:rPr>
          <w:sz w:val="22"/>
          <w:szCs w:val="22"/>
          <w:highlight w:val="yellow"/>
          <w:lang w:val="pl-PL"/>
        </w:rPr>
      </w:pPr>
    </w:p>
    <w:p w14:paraId="5187373E" w14:textId="77777777" w:rsidR="00A610E1" w:rsidRPr="00BD22FE" w:rsidRDefault="00A610E1" w:rsidP="00A610E1">
      <w:pPr>
        <w:pStyle w:val="BodyText"/>
        <w:keepNext/>
        <w:spacing w:line="240" w:lineRule="auto"/>
        <w:jc w:val="left"/>
        <w:rPr>
          <w:b/>
          <w:sz w:val="22"/>
          <w:szCs w:val="22"/>
          <w:u w:val="single"/>
          <w:lang w:val="pl-PL"/>
        </w:rPr>
      </w:pPr>
      <w:r w:rsidRPr="00BD22FE">
        <w:rPr>
          <w:b/>
          <w:sz w:val="22"/>
          <w:szCs w:val="22"/>
          <w:u w:val="single"/>
          <w:lang w:val="pl-PL"/>
        </w:rPr>
        <w:t>Hydrochlorotiazyd</w:t>
      </w:r>
    </w:p>
    <w:p w14:paraId="4B5F15B3" w14:textId="77777777" w:rsidR="00A610E1" w:rsidRPr="00BD22FE" w:rsidRDefault="00A610E1" w:rsidP="00A610E1">
      <w:pPr>
        <w:pStyle w:val="BodyText"/>
        <w:keepNext/>
        <w:spacing w:line="240" w:lineRule="auto"/>
        <w:jc w:val="left"/>
        <w:rPr>
          <w:sz w:val="22"/>
          <w:szCs w:val="22"/>
          <w:lang w:val="pl-PL"/>
        </w:rPr>
      </w:pPr>
      <w:r w:rsidRPr="00BD22FE">
        <w:rPr>
          <w:sz w:val="22"/>
          <w:szCs w:val="22"/>
          <w:lang w:val="pl-PL"/>
        </w:rPr>
        <w:t>U pacjentów przyjmujących wyłącznie hydrochlorotiazyd obserwowano dodatkowe następujące działania niepożądane:</w:t>
      </w:r>
    </w:p>
    <w:p w14:paraId="19D04C25" w14:textId="77777777" w:rsidR="00A610E1" w:rsidRPr="00BD22FE" w:rsidRDefault="00A610E1" w:rsidP="00A610E1">
      <w:pPr>
        <w:pStyle w:val="BodyText"/>
        <w:keepNext/>
        <w:spacing w:line="240" w:lineRule="auto"/>
        <w:jc w:val="left"/>
        <w:rPr>
          <w:sz w:val="22"/>
          <w:szCs w:val="22"/>
          <w:lang w:val="pl-PL"/>
        </w:rPr>
      </w:pPr>
    </w:p>
    <w:p w14:paraId="6705F24B" w14:textId="77777777" w:rsidR="00A610E1" w:rsidRPr="00BD22FE" w:rsidRDefault="00A610E1" w:rsidP="00A610E1">
      <w:pPr>
        <w:keepNext/>
        <w:rPr>
          <w:b/>
          <w:bCs/>
          <w:sz w:val="22"/>
          <w:szCs w:val="22"/>
          <w:lang w:val="pl-PL"/>
        </w:rPr>
      </w:pPr>
      <w:r w:rsidRPr="00BD22FE">
        <w:rPr>
          <w:b/>
          <w:bCs/>
          <w:sz w:val="22"/>
          <w:szCs w:val="22"/>
          <w:lang w:val="pl-PL"/>
        </w:rPr>
        <w:t>Bardzo częste działania niepożądane (mogą wystąpić u więcej niż 1 na 10 pacjentów)</w:t>
      </w:r>
    </w:p>
    <w:p w14:paraId="6A2D12B1" w14:textId="77777777" w:rsidR="00A610E1" w:rsidRPr="00BD22FE" w:rsidRDefault="00A610E1" w:rsidP="00A610E1">
      <w:pPr>
        <w:pStyle w:val="BodyText"/>
        <w:spacing w:line="240" w:lineRule="auto"/>
        <w:jc w:val="left"/>
        <w:rPr>
          <w:sz w:val="22"/>
          <w:szCs w:val="22"/>
          <w:lang w:val="pl-PL"/>
        </w:rPr>
      </w:pPr>
      <w:r w:rsidRPr="00BD22FE">
        <w:rPr>
          <w:sz w:val="22"/>
          <w:szCs w:val="22"/>
          <w:lang w:val="pl-PL"/>
        </w:rPr>
        <w:t>Podwyższone stężenie tłuszczów we krwi.</w:t>
      </w:r>
    </w:p>
    <w:p w14:paraId="5E32FC45" w14:textId="77777777" w:rsidR="00A610E1" w:rsidRPr="00BD22FE" w:rsidRDefault="00A610E1" w:rsidP="00A610E1">
      <w:pPr>
        <w:pStyle w:val="BodyText"/>
        <w:spacing w:line="240" w:lineRule="auto"/>
        <w:jc w:val="left"/>
        <w:rPr>
          <w:sz w:val="22"/>
          <w:szCs w:val="22"/>
          <w:lang w:val="pl-PL"/>
        </w:rPr>
      </w:pPr>
    </w:p>
    <w:p w14:paraId="6504D973" w14:textId="77777777" w:rsidR="00A610E1" w:rsidRPr="00BD22FE" w:rsidRDefault="00A610E1" w:rsidP="00A610E1">
      <w:pPr>
        <w:keepNext/>
        <w:rPr>
          <w:b/>
          <w:bCs/>
          <w:sz w:val="22"/>
          <w:szCs w:val="22"/>
          <w:lang w:val="pl-PL"/>
        </w:rPr>
      </w:pPr>
      <w:r w:rsidRPr="00BD22FE">
        <w:rPr>
          <w:b/>
          <w:bCs/>
          <w:sz w:val="22"/>
          <w:szCs w:val="22"/>
          <w:lang w:val="pl-PL"/>
        </w:rPr>
        <w:t>Częste działania niepożądane (mogą wystąpić do 1 na 10 pacjentów)</w:t>
      </w:r>
    </w:p>
    <w:p w14:paraId="061710AF" w14:textId="77777777" w:rsidR="00A610E1" w:rsidRPr="00BD22FE" w:rsidRDefault="00A610E1" w:rsidP="00A610E1">
      <w:pPr>
        <w:rPr>
          <w:sz w:val="22"/>
          <w:szCs w:val="22"/>
          <w:lang w:val="pl-PL"/>
        </w:rPr>
      </w:pPr>
      <w:r w:rsidRPr="00BD22FE">
        <w:rPr>
          <w:sz w:val="22"/>
          <w:szCs w:val="22"/>
          <w:lang w:val="pl-PL"/>
        </w:rPr>
        <w:t>Nudności, małe stężenie magnezu we krwi, zmniejszony apetyt.</w:t>
      </w:r>
    </w:p>
    <w:p w14:paraId="3DE7BF60" w14:textId="77777777" w:rsidR="00A610E1" w:rsidRPr="00BD22FE" w:rsidRDefault="00A610E1" w:rsidP="00A610E1">
      <w:pPr>
        <w:rPr>
          <w:sz w:val="22"/>
          <w:szCs w:val="22"/>
          <w:u w:val="single"/>
          <w:lang w:val="pl-PL"/>
        </w:rPr>
      </w:pPr>
    </w:p>
    <w:p w14:paraId="7EA58962" w14:textId="77777777" w:rsidR="00A610E1" w:rsidRPr="00BD22FE" w:rsidRDefault="00A610E1" w:rsidP="00A610E1">
      <w:pPr>
        <w:keepNext/>
        <w:rPr>
          <w:b/>
          <w:bCs/>
          <w:sz w:val="22"/>
          <w:szCs w:val="22"/>
          <w:lang w:val="pl-PL"/>
        </w:rPr>
      </w:pPr>
      <w:r w:rsidRPr="00BD22FE">
        <w:rPr>
          <w:b/>
          <w:bCs/>
          <w:sz w:val="22"/>
          <w:szCs w:val="22"/>
          <w:lang w:val="pl-PL"/>
        </w:rPr>
        <w:t>Niezbyt częste działania niepożądane (mogą wystąpić do 1 na 100 pacjentów)</w:t>
      </w:r>
    </w:p>
    <w:p w14:paraId="2F9467B1" w14:textId="77777777" w:rsidR="00A610E1" w:rsidRPr="00BD22FE" w:rsidRDefault="00A610E1" w:rsidP="00A610E1">
      <w:pPr>
        <w:rPr>
          <w:sz w:val="22"/>
          <w:szCs w:val="22"/>
          <w:u w:val="single"/>
          <w:lang w:val="pl-PL"/>
        </w:rPr>
      </w:pPr>
      <w:r w:rsidRPr="00BD22FE">
        <w:rPr>
          <w:sz w:val="22"/>
          <w:szCs w:val="22"/>
          <w:lang w:val="pl-PL"/>
        </w:rPr>
        <w:t>Ostra niewydolność nerek.</w:t>
      </w:r>
    </w:p>
    <w:p w14:paraId="6B5ACB23" w14:textId="77777777" w:rsidR="00A610E1" w:rsidRPr="00BD22FE" w:rsidRDefault="00A610E1" w:rsidP="00A610E1">
      <w:pPr>
        <w:rPr>
          <w:sz w:val="22"/>
          <w:szCs w:val="22"/>
          <w:u w:val="single"/>
          <w:lang w:val="pl-PL"/>
        </w:rPr>
      </w:pPr>
    </w:p>
    <w:p w14:paraId="152FF5C1" w14:textId="77777777" w:rsidR="00A610E1" w:rsidRPr="00BD22FE" w:rsidRDefault="00A610E1" w:rsidP="00A610E1">
      <w:pPr>
        <w:keepNext/>
        <w:rPr>
          <w:b/>
          <w:bCs/>
          <w:sz w:val="22"/>
          <w:szCs w:val="22"/>
          <w:lang w:val="pl-PL"/>
        </w:rPr>
      </w:pPr>
      <w:r w:rsidRPr="00BD22FE">
        <w:rPr>
          <w:b/>
          <w:bCs/>
          <w:sz w:val="22"/>
          <w:szCs w:val="22"/>
          <w:lang w:val="pl-PL"/>
        </w:rPr>
        <w:t>Rzadkie działania niepożądane (mogą wystąpić do 1 na 1 000 pacjentów)</w:t>
      </w:r>
    </w:p>
    <w:p w14:paraId="6BF3A049" w14:textId="77777777" w:rsidR="00A610E1" w:rsidRPr="00BD22FE" w:rsidRDefault="00A610E1" w:rsidP="00A610E1">
      <w:pPr>
        <w:rPr>
          <w:sz w:val="22"/>
          <w:szCs w:val="22"/>
          <w:lang w:val="pl-PL"/>
        </w:rPr>
      </w:pPr>
      <w:r w:rsidRPr="00BD22FE">
        <w:rPr>
          <w:sz w:val="22"/>
          <w:szCs w:val="22"/>
          <w:lang w:val="pl-PL"/>
        </w:rPr>
        <w:t>Mała liczba płytek krwi (małopłytkowość), przez co wzrasta ryzyko wystąpienia krwawień lub siniaków (niewielkie, fioletowo-czerwone zmiany na skórze lub w innych tkankach, spowodowane przez krwawienie), duże stężenie wapnia we krwi, duże stężenie cukru we krwi, ból głowy, dyskomfort w jamie brzusznej, zażółcenie skóry lub oczu (żółtaczka), nadmiar substancji żółciowych we krwi (zastój żółci), reakcje nadwrażliwości na światło, niekontrolowane stężenie glukozy we krwi u pacjentów z rozpoznaną cukrzycą, obecność cukrów w moczu (glukozuria).</w:t>
      </w:r>
    </w:p>
    <w:p w14:paraId="7C59130B" w14:textId="77777777" w:rsidR="00A610E1" w:rsidRPr="00BD22FE" w:rsidRDefault="00A610E1" w:rsidP="00A610E1">
      <w:pPr>
        <w:rPr>
          <w:sz w:val="22"/>
          <w:szCs w:val="22"/>
          <w:u w:val="single"/>
          <w:lang w:val="pl-PL"/>
        </w:rPr>
      </w:pPr>
    </w:p>
    <w:p w14:paraId="003C7706" w14:textId="77777777" w:rsidR="00A610E1" w:rsidRPr="00BD22FE" w:rsidRDefault="00A610E1" w:rsidP="00A610E1">
      <w:pPr>
        <w:keepNext/>
        <w:rPr>
          <w:b/>
          <w:bCs/>
          <w:sz w:val="22"/>
          <w:szCs w:val="22"/>
          <w:lang w:val="pl-PL"/>
        </w:rPr>
      </w:pPr>
      <w:r w:rsidRPr="00BD22FE">
        <w:rPr>
          <w:b/>
          <w:bCs/>
          <w:sz w:val="22"/>
          <w:szCs w:val="22"/>
          <w:lang w:val="pl-PL"/>
        </w:rPr>
        <w:t xml:space="preserve">Bardzo rzadkie działania niepożądane </w:t>
      </w:r>
      <w:r w:rsidRPr="00BD22FE">
        <w:rPr>
          <w:rFonts w:eastAsia="SimSun"/>
          <w:b/>
          <w:bCs/>
          <w:sz w:val="22"/>
          <w:szCs w:val="22"/>
          <w:lang w:val="pl-PL" w:eastAsia="zh-CN"/>
        </w:rPr>
        <w:t>(mogą wystąpić do 1 na 10 000 pacjentów)</w:t>
      </w:r>
    </w:p>
    <w:p w14:paraId="2AAED58E" w14:textId="77777777" w:rsidR="00A610E1" w:rsidRPr="00BD22FE" w:rsidRDefault="00A610E1" w:rsidP="00A610E1">
      <w:pPr>
        <w:rPr>
          <w:sz w:val="22"/>
          <w:szCs w:val="22"/>
          <w:lang w:val="pl-PL"/>
        </w:rPr>
      </w:pPr>
      <w:r w:rsidRPr="00BD22FE">
        <w:rPr>
          <w:sz w:val="22"/>
          <w:szCs w:val="22"/>
          <w:lang w:val="pl-PL"/>
        </w:rPr>
        <w:t>Nieprawidłowy rozpad czerwonych krwinek (niedokrwistość hemolityczna), niezdolność szpiku kostnego do prawidłowego funkcjonowania, zmniejszenie liczby białych krwinek (leukopenia, agranulocytoza), ciężkie reakcje alergiczne (np. nadwrażliwość), wzrost pH ze względu na małe stężenie chlorków we krwi (zaburzenie równowagi kwasowo-zasadowej, alkaloza hipochloremiczna), ostra niewydolność oddechowa (objawy obejmują ciężką duszność, gorączkę, osłabienie i splątanie), zapalenie trzustki, zespół toczniopodobny (choroba naśladująca chorobę o nazwie toczeń rumieniowaty układowy, w którym</w:t>
      </w:r>
      <w:r w:rsidRPr="00BD22FE">
        <w:rPr>
          <w:spacing w:val="-1"/>
          <w:sz w:val="22"/>
          <w:szCs w:val="22"/>
          <w:lang w:val="pl-PL"/>
        </w:rPr>
        <w:t xml:space="preserve"> </w:t>
      </w:r>
      <w:r w:rsidRPr="00BD22FE">
        <w:rPr>
          <w:sz w:val="22"/>
          <w:szCs w:val="22"/>
          <w:lang w:val="pl-PL"/>
        </w:rPr>
        <w:t>organ</w:t>
      </w:r>
      <w:r w:rsidRPr="00BD22FE">
        <w:rPr>
          <w:spacing w:val="1"/>
          <w:sz w:val="22"/>
          <w:szCs w:val="22"/>
          <w:lang w:val="pl-PL"/>
        </w:rPr>
        <w:t>i</w:t>
      </w:r>
      <w:r w:rsidRPr="00BD22FE">
        <w:rPr>
          <w:sz w:val="22"/>
          <w:szCs w:val="22"/>
          <w:lang w:val="pl-PL"/>
        </w:rPr>
        <w:t>zm jest atakowany przez własny układ odpornościowy), zapalenie naczyń krwionośnych (martwicze zapalenie naczyń).</w:t>
      </w:r>
    </w:p>
    <w:p w14:paraId="10438128" w14:textId="77777777" w:rsidR="00A610E1" w:rsidRPr="00BD22FE" w:rsidRDefault="00A610E1" w:rsidP="00A610E1">
      <w:pPr>
        <w:rPr>
          <w:sz w:val="22"/>
          <w:szCs w:val="22"/>
          <w:lang w:val="pl-PL"/>
        </w:rPr>
      </w:pPr>
    </w:p>
    <w:p w14:paraId="08BE91DC" w14:textId="77777777" w:rsidR="00A610E1" w:rsidRPr="00BD22FE" w:rsidRDefault="00A610E1" w:rsidP="00A610E1">
      <w:pPr>
        <w:keepNext/>
        <w:rPr>
          <w:sz w:val="22"/>
          <w:szCs w:val="22"/>
          <w:u w:val="single"/>
          <w:lang w:val="pl-PL"/>
        </w:rPr>
      </w:pPr>
      <w:r w:rsidRPr="00BD22FE">
        <w:rPr>
          <w:b/>
          <w:bCs/>
          <w:sz w:val="22"/>
          <w:szCs w:val="22"/>
          <w:lang w:val="pl-PL"/>
        </w:rPr>
        <w:t xml:space="preserve">Częstość nieznana </w:t>
      </w:r>
      <w:r w:rsidRPr="00BD22FE">
        <w:rPr>
          <w:rFonts w:eastAsia="SimSun"/>
          <w:b/>
          <w:bCs/>
          <w:sz w:val="22"/>
          <w:szCs w:val="22"/>
          <w:lang w:val="pl-PL" w:eastAsia="zh-CN"/>
        </w:rPr>
        <w:t>(częstość nie może być określona</w:t>
      </w:r>
      <w:r w:rsidRPr="00BD22FE">
        <w:rPr>
          <w:rFonts w:eastAsia="SimSun"/>
          <w:b/>
          <w:sz w:val="22"/>
          <w:szCs w:val="22"/>
          <w:lang w:val="pl-PL" w:eastAsia="zh-CN"/>
        </w:rPr>
        <w:t xml:space="preserve"> na podstawie dostępnych danych)</w:t>
      </w:r>
    </w:p>
    <w:p w14:paraId="11EE4C7D" w14:textId="6221727D" w:rsidR="00A610E1" w:rsidRPr="00BD22FE" w:rsidRDefault="00A610E1" w:rsidP="00A610E1">
      <w:pPr>
        <w:pStyle w:val="BodyText"/>
        <w:spacing w:line="240" w:lineRule="auto"/>
        <w:jc w:val="left"/>
        <w:rPr>
          <w:sz w:val="22"/>
          <w:szCs w:val="22"/>
          <w:lang w:val="pl-PL"/>
        </w:rPr>
      </w:pPr>
      <w:r w:rsidRPr="00BD22FE">
        <w:rPr>
          <w:sz w:val="22"/>
          <w:szCs w:val="22"/>
          <w:lang w:val="pl-PL"/>
        </w:rPr>
        <w:t>Nowotwory złośliwe skóry i warg (nieczerniakowe nowotwory złośliwe skóry),</w:t>
      </w:r>
      <w:r w:rsidRPr="00BD22FE">
        <w:rPr>
          <w:sz w:val="22"/>
          <w:szCs w:val="22"/>
          <w:u w:val="single"/>
          <w:lang w:val="pl-PL"/>
        </w:rPr>
        <w:t xml:space="preserve"> </w:t>
      </w:r>
      <w:r w:rsidRPr="00BD22FE">
        <w:rPr>
          <w:sz w:val="22"/>
          <w:szCs w:val="22"/>
          <w:lang w:val="pl-PL"/>
        </w:rPr>
        <w:t xml:space="preserve">zmniejszenie liczby krwinek (niedokrwistość aplastyczna), </w:t>
      </w:r>
      <w:r w:rsidRPr="00BD22FE">
        <w:rPr>
          <w:rFonts w:eastAsia="MS Mincho"/>
          <w:sz w:val="22"/>
          <w:szCs w:val="22"/>
          <w:lang w:val="pl-PL" w:eastAsia="ja-JP"/>
        </w:rPr>
        <w:t>ograniczenie widzenia i ból oczu (prawdopodobnie objawy gromadzenia się płynu w unaczynionej błonie otaczającej oko – nadmiernego nagromadzenia płynu między naczyniówką a twardówką – lub ostrej jaskry z zamkniętym kątem przesączania),</w:t>
      </w:r>
      <w:r w:rsidRPr="00BD22FE">
        <w:rPr>
          <w:rFonts w:eastAsia="MS Mincho"/>
          <w:color w:val="92D050"/>
          <w:sz w:val="22"/>
          <w:szCs w:val="22"/>
          <w:lang w:val="pl-PL" w:eastAsia="ja-JP"/>
        </w:rPr>
        <w:t xml:space="preserve"> </w:t>
      </w:r>
      <w:r w:rsidRPr="00BD22FE">
        <w:rPr>
          <w:sz w:val="22"/>
          <w:szCs w:val="22"/>
          <w:lang w:val="pl-PL"/>
        </w:rPr>
        <w:t xml:space="preserve">zaburzenia skóry, takie jak zapalenie naczyń krwionośnych w skórze, zwiększona wrażliwość na światło </w:t>
      </w:r>
      <w:r w:rsidRPr="00BD22FE">
        <w:rPr>
          <w:sz w:val="22"/>
          <w:szCs w:val="22"/>
          <w:lang w:val="pl-PL"/>
        </w:rPr>
        <w:lastRenderedPageBreak/>
        <w:t>słoneczne, wysypka, zaczerwienienie skóry, powstawanie pęcherzy na wargach, oczach i ustach, łuszczenie się skóry, gorączka (możliwe objawy rumienia wielopostaciowego), osłabienie, zaburzenia czynności nerek.</w:t>
      </w:r>
    </w:p>
    <w:p w14:paraId="7DF90749" w14:textId="77777777" w:rsidR="00A610E1" w:rsidRPr="00BD22FE" w:rsidRDefault="00A610E1" w:rsidP="00A610E1">
      <w:pPr>
        <w:pStyle w:val="BodyText"/>
        <w:spacing w:line="240" w:lineRule="auto"/>
        <w:jc w:val="left"/>
        <w:rPr>
          <w:sz w:val="22"/>
          <w:szCs w:val="22"/>
          <w:lang w:val="pl-PL"/>
        </w:rPr>
      </w:pPr>
    </w:p>
    <w:p w14:paraId="55997E58" w14:textId="77777777" w:rsidR="00A610E1" w:rsidRPr="00BD22FE" w:rsidRDefault="00A610E1" w:rsidP="00A610E1">
      <w:pPr>
        <w:pStyle w:val="BodyText"/>
        <w:spacing w:line="240" w:lineRule="auto"/>
        <w:jc w:val="left"/>
        <w:rPr>
          <w:sz w:val="22"/>
          <w:szCs w:val="22"/>
          <w:lang w:val="pl-PL"/>
        </w:rPr>
      </w:pPr>
      <w:r w:rsidRPr="00BD22FE">
        <w:rPr>
          <w:sz w:val="22"/>
          <w:szCs w:val="22"/>
          <w:lang w:val="pl-PL"/>
        </w:rPr>
        <w:t>W odosobnionych przypadkach występowały niskie stężenia sodu, którym towarzyszyły objawy dotyczące mózgu lub nerwów (nudności, postępująca dezorientacja, brak zainteresowań lub energii).</w:t>
      </w:r>
    </w:p>
    <w:p w14:paraId="7C90D580" w14:textId="77777777" w:rsidR="00A610E1" w:rsidRPr="00BD22FE" w:rsidRDefault="00A610E1" w:rsidP="00A610E1">
      <w:pPr>
        <w:pStyle w:val="BodyText"/>
        <w:spacing w:line="240" w:lineRule="auto"/>
        <w:jc w:val="left"/>
        <w:rPr>
          <w:sz w:val="22"/>
          <w:szCs w:val="22"/>
          <w:lang w:val="pl-PL"/>
        </w:rPr>
      </w:pPr>
    </w:p>
    <w:p w14:paraId="5B5B800A" w14:textId="77777777" w:rsidR="00A610E1" w:rsidRPr="00BD22FE" w:rsidRDefault="00A610E1" w:rsidP="00A610E1">
      <w:pPr>
        <w:keepNext/>
        <w:numPr>
          <w:ilvl w:val="12"/>
          <w:numId w:val="0"/>
        </w:numPr>
        <w:rPr>
          <w:b/>
          <w:sz w:val="22"/>
          <w:szCs w:val="22"/>
          <w:lang w:val="pl-PL"/>
        </w:rPr>
      </w:pPr>
      <w:r w:rsidRPr="00BD22FE">
        <w:rPr>
          <w:b/>
          <w:sz w:val="22"/>
          <w:szCs w:val="22"/>
          <w:lang w:val="pl-PL"/>
        </w:rPr>
        <w:t>Zgłaszanie działań niepożądanych</w:t>
      </w:r>
    </w:p>
    <w:p w14:paraId="604BF93D" w14:textId="77777777" w:rsidR="00A610E1" w:rsidRPr="00BD22FE" w:rsidRDefault="00A610E1" w:rsidP="00A610E1">
      <w:pPr>
        <w:numPr>
          <w:ilvl w:val="12"/>
          <w:numId w:val="0"/>
        </w:numPr>
        <w:rPr>
          <w:sz w:val="22"/>
          <w:szCs w:val="22"/>
          <w:lang w:val="pl-PL"/>
        </w:rPr>
      </w:pPr>
      <w:r w:rsidRPr="00BD22FE">
        <w:rPr>
          <w:sz w:val="22"/>
          <w:szCs w:val="22"/>
          <w:lang w:val="pl-PL"/>
        </w:rPr>
        <w:t>Jeśli wystąpią jakiekolwiek objawy niepożądane, w tym wszelkie objawy niepożądane niewymienione w tej ulotce, należy powiedzieć o tym lekarzowi</w:t>
      </w:r>
      <w:r w:rsidRPr="00BD22FE">
        <w:rPr>
          <w:lang w:val="pl-PL"/>
        </w:rPr>
        <w:t xml:space="preserve"> </w:t>
      </w:r>
      <w:r w:rsidRPr="00BD22FE">
        <w:rPr>
          <w:sz w:val="22"/>
          <w:szCs w:val="22"/>
          <w:lang w:val="pl-PL"/>
        </w:rPr>
        <w:t xml:space="preserve">lub farmaceucie. Działania niepożądane można zgłaszać bezpośrednio do </w:t>
      </w:r>
      <w:r w:rsidRPr="00BD22FE">
        <w:rPr>
          <w:sz w:val="22"/>
          <w:szCs w:val="22"/>
          <w:highlight w:val="lightGray"/>
          <w:lang w:val="pl-PL"/>
        </w:rPr>
        <w:t>„krajowego systemu zgłaszania” wymienionego w </w:t>
      </w:r>
      <w:r>
        <w:fldChar w:fldCharType="begin"/>
      </w:r>
      <w:r w:rsidRPr="00DE4C52">
        <w:rPr>
          <w:lang w:val="pl-PL"/>
        </w:rPr>
        <w:instrText>HYPERLINK "https://www.ema.europa.eu/en/documents/template-form/qrd-appendix-v-adverse-drug-reaction-reporting-details_en.docx" \h</w:instrText>
      </w:r>
      <w:r>
        <w:fldChar w:fldCharType="separate"/>
      </w:r>
      <w:r w:rsidRPr="00BD22FE">
        <w:rPr>
          <w:rStyle w:val="Hyperlink"/>
          <w:sz w:val="22"/>
          <w:highlight w:val="lightGray"/>
          <w:lang w:val="pl-PL"/>
        </w:rPr>
        <w:t>załączniku V</w:t>
      </w:r>
      <w:r>
        <w:fldChar w:fldCharType="end"/>
      </w:r>
      <w:r w:rsidRPr="00BD22FE">
        <w:rPr>
          <w:sz w:val="22"/>
          <w:szCs w:val="22"/>
          <w:lang w:val="pl-PL"/>
        </w:rPr>
        <w:t>. Dzięki zgłaszaniu działań niepożądanych można będzie zgromadzić więcej informacji na temat bezpieczeństwa stosowania leku.</w:t>
      </w:r>
    </w:p>
    <w:p w14:paraId="5DA591CB" w14:textId="77777777" w:rsidR="00A610E1" w:rsidRPr="00BD22FE" w:rsidRDefault="00A610E1" w:rsidP="00A610E1">
      <w:pPr>
        <w:pStyle w:val="BodyText"/>
        <w:spacing w:line="240" w:lineRule="auto"/>
        <w:jc w:val="left"/>
        <w:rPr>
          <w:sz w:val="22"/>
          <w:szCs w:val="22"/>
          <w:lang w:val="pl-PL"/>
        </w:rPr>
      </w:pPr>
    </w:p>
    <w:p w14:paraId="33D70385" w14:textId="77777777" w:rsidR="00A610E1" w:rsidRPr="00BD22FE" w:rsidRDefault="00A610E1" w:rsidP="00A610E1">
      <w:pPr>
        <w:pStyle w:val="BodyText"/>
        <w:spacing w:line="240" w:lineRule="auto"/>
        <w:jc w:val="left"/>
        <w:rPr>
          <w:sz w:val="22"/>
          <w:szCs w:val="22"/>
          <w:lang w:val="pl-PL"/>
        </w:rPr>
      </w:pPr>
    </w:p>
    <w:p w14:paraId="5AAED8EF" w14:textId="77777777" w:rsidR="00A610E1" w:rsidRPr="00BD22FE" w:rsidRDefault="00A610E1" w:rsidP="00A610E1">
      <w:pPr>
        <w:pStyle w:val="BodyText"/>
        <w:keepNext/>
        <w:spacing w:line="240" w:lineRule="auto"/>
        <w:ind w:left="567" w:hanging="567"/>
        <w:jc w:val="left"/>
        <w:rPr>
          <w:b/>
          <w:sz w:val="22"/>
          <w:szCs w:val="22"/>
          <w:lang w:val="pl-PL"/>
        </w:rPr>
      </w:pPr>
      <w:r w:rsidRPr="00BD22FE">
        <w:rPr>
          <w:b/>
          <w:sz w:val="22"/>
          <w:szCs w:val="22"/>
          <w:lang w:val="pl-PL"/>
        </w:rPr>
        <w:t>5.</w:t>
      </w:r>
      <w:r w:rsidRPr="00BD22FE">
        <w:rPr>
          <w:b/>
          <w:sz w:val="22"/>
          <w:szCs w:val="22"/>
          <w:lang w:val="pl-PL"/>
        </w:rPr>
        <w:tab/>
        <w:t>Jak przechowywać lek MicardisPlus</w:t>
      </w:r>
    </w:p>
    <w:p w14:paraId="00C53DF1" w14:textId="77777777" w:rsidR="00A610E1" w:rsidRPr="00BD22FE" w:rsidRDefault="00A610E1" w:rsidP="00A610E1">
      <w:pPr>
        <w:pStyle w:val="BodyText"/>
        <w:keepNext/>
        <w:spacing w:line="240" w:lineRule="auto"/>
        <w:jc w:val="left"/>
        <w:rPr>
          <w:sz w:val="22"/>
          <w:szCs w:val="22"/>
          <w:lang w:val="pl-PL"/>
        </w:rPr>
      </w:pPr>
    </w:p>
    <w:p w14:paraId="29E5F65B" w14:textId="77777777" w:rsidR="00A610E1" w:rsidRPr="00BD22FE" w:rsidRDefault="00A610E1" w:rsidP="00A610E1">
      <w:pPr>
        <w:pStyle w:val="BodyText"/>
        <w:spacing w:line="240" w:lineRule="auto"/>
        <w:jc w:val="left"/>
        <w:rPr>
          <w:sz w:val="22"/>
          <w:szCs w:val="22"/>
          <w:lang w:val="pl-PL"/>
        </w:rPr>
      </w:pPr>
      <w:r w:rsidRPr="00BD22FE">
        <w:rPr>
          <w:sz w:val="22"/>
          <w:szCs w:val="22"/>
          <w:lang w:val="pl-PL"/>
        </w:rPr>
        <w:t>Lek należy przechowywać w miejscu niewidocznym i niedostępnym dla dzieci.</w:t>
      </w:r>
    </w:p>
    <w:p w14:paraId="7628D68D" w14:textId="77777777" w:rsidR="00A610E1" w:rsidRPr="00BD22FE" w:rsidRDefault="00A610E1" w:rsidP="00A610E1">
      <w:pPr>
        <w:pStyle w:val="BodyText"/>
        <w:spacing w:line="240" w:lineRule="auto"/>
        <w:jc w:val="left"/>
        <w:rPr>
          <w:sz w:val="22"/>
          <w:szCs w:val="22"/>
          <w:lang w:val="pl-PL"/>
        </w:rPr>
      </w:pPr>
    </w:p>
    <w:p w14:paraId="17BBCE3B" w14:textId="77777777" w:rsidR="00A610E1" w:rsidRPr="00BD22FE" w:rsidRDefault="00A610E1" w:rsidP="00A610E1">
      <w:pPr>
        <w:pStyle w:val="BodyText"/>
        <w:spacing w:line="240" w:lineRule="auto"/>
        <w:jc w:val="left"/>
        <w:rPr>
          <w:sz w:val="22"/>
          <w:szCs w:val="22"/>
          <w:lang w:val="pl-PL"/>
        </w:rPr>
      </w:pPr>
      <w:r w:rsidRPr="00BD22FE">
        <w:rPr>
          <w:sz w:val="22"/>
          <w:szCs w:val="22"/>
          <w:lang w:val="pl-PL"/>
        </w:rPr>
        <w:t>Nie stosować tego leku po upływie terminu ważności zamieszczonego na pudełku po: Termin ważności. Termin ważności oznacza ostatni dzień podanego miesiąca.</w:t>
      </w:r>
    </w:p>
    <w:p w14:paraId="1AE377FD" w14:textId="77777777" w:rsidR="00A610E1" w:rsidRPr="00BD22FE" w:rsidRDefault="00A610E1" w:rsidP="00A610E1">
      <w:pPr>
        <w:pStyle w:val="BodyText"/>
        <w:spacing w:line="240" w:lineRule="auto"/>
        <w:jc w:val="left"/>
        <w:rPr>
          <w:sz w:val="22"/>
          <w:szCs w:val="22"/>
          <w:lang w:val="pl-PL"/>
        </w:rPr>
      </w:pPr>
    </w:p>
    <w:p w14:paraId="237EF47C" w14:textId="77777777" w:rsidR="00A610E1" w:rsidRPr="00BD22FE" w:rsidRDefault="00A610E1" w:rsidP="00A610E1">
      <w:pPr>
        <w:rPr>
          <w:sz w:val="22"/>
          <w:szCs w:val="22"/>
          <w:lang w:val="pl-PL"/>
        </w:rPr>
      </w:pPr>
      <w:r w:rsidRPr="00BD22FE">
        <w:rPr>
          <w:sz w:val="22"/>
          <w:szCs w:val="22"/>
          <w:lang w:val="pl-PL"/>
        </w:rPr>
        <w:t xml:space="preserve">Brak specjalnych zaleceń dotyczących temperatury przechowywania leku. Przechowywać w oryginalnym opakowaniu w celu ochrony przed wilgocią. </w:t>
      </w:r>
      <w:r w:rsidRPr="00BD22FE">
        <w:rPr>
          <w:rStyle w:val="hps"/>
          <w:sz w:val="22"/>
          <w:szCs w:val="22"/>
          <w:lang w:val="pl-PL"/>
        </w:rPr>
        <w:t>Tabletkę leku MicardisPlus należy wyjąć</w:t>
      </w:r>
      <w:r w:rsidRPr="00BD22FE">
        <w:rPr>
          <w:sz w:val="22"/>
          <w:szCs w:val="22"/>
          <w:lang w:val="pl-PL"/>
        </w:rPr>
        <w:t xml:space="preserve"> </w:t>
      </w:r>
      <w:r w:rsidRPr="00BD22FE">
        <w:rPr>
          <w:rStyle w:val="hps"/>
          <w:sz w:val="22"/>
          <w:szCs w:val="22"/>
          <w:lang w:val="pl-PL"/>
        </w:rPr>
        <w:t xml:space="preserve">ze </w:t>
      </w:r>
      <w:r w:rsidRPr="00BD22FE">
        <w:rPr>
          <w:sz w:val="22"/>
          <w:szCs w:val="22"/>
          <w:lang w:val="pl-PL"/>
        </w:rPr>
        <w:t>szczelnego</w:t>
      </w:r>
      <w:r w:rsidRPr="00BD22FE">
        <w:rPr>
          <w:rStyle w:val="hps"/>
          <w:sz w:val="22"/>
          <w:szCs w:val="22"/>
          <w:lang w:val="pl-PL"/>
        </w:rPr>
        <w:t xml:space="preserve"> blistra</w:t>
      </w:r>
      <w:r w:rsidRPr="00BD22FE">
        <w:rPr>
          <w:sz w:val="22"/>
          <w:szCs w:val="22"/>
          <w:lang w:val="pl-PL"/>
        </w:rPr>
        <w:t xml:space="preserve"> </w:t>
      </w:r>
      <w:r w:rsidRPr="00BD22FE">
        <w:rPr>
          <w:rStyle w:val="hps"/>
          <w:sz w:val="22"/>
          <w:szCs w:val="22"/>
          <w:lang w:val="pl-PL"/>
        </w:rPr>
        <w:t>bezpośrednio</w:t>
      </w:r>
      <w:r w:rsidRPr="00BD22FE">
        <w:rPr>
          <w:sz w:val="22"/>
          <w:szCs w:val="22"/>
          <w:lang w:val="pl-PL"/>
        </w:rPr>
        <w:t xml:space="preserve"> </w:t>
      </w:r>
      <w:r w:rsidRPr="00BD22FE">
        <w:rPr>
          <w:rStyle w:val="hps"/>
          <w:sz w:val="22"/>
          <w:szCs w:val="22"/>
          <w:lang w:val="pl-PL"/>
        </w:rPr>
        <w:t>przed</w:t>
      </w:r>
      <w:r w:rsidRPr="00BD22FE">
        <w:rPr>
          <w:sz w:val="22"/>
          <w:szCs w:val="22"/>
          <w:lang w:val="pl-PL"/>
        </w:rPr>
        <w:t xml:space="preserve"> </w:t>
      </w:r>
      <w:r w:rsidRPr="00BD22FE">
        <w:rPr>
          <w:rStyle w:val="hps"/>
          <w:sz w:val="22"/>
          <w:szCs w:val="22"/>
          <w:lang w:val="pl-PL"/>
        </w:rPr>
        <w:t>zażyciem.</w:t>
      </w:r>
    </w:p>
    <w:p w14:paraId="58760F23" w14:textId="77777777" w:rsidR="00A610E1" w:rsidRPr="00BD22FE" w:rsidRDefault="00A610E1" w:rsidP="00A610E1">
      <w:pPr>
        <w:pStyle w:val="BodyText"/>
        <w:spacing w:line="240" w:lineRule="auto"/>
        <w:jc w:val="left"/>
        <w:rPr>
          <w:sz w:val="22"/>
          <w:szCs w:val="22"/>
          <w:lang w:val="pl-PL"/>
        </w:rPr>
      </w:pPr>
    </w:p>
    <w:p w14:paraId="442FA69A" w14:textId="77777777" w:rsidR="00A610E1" w:rsidRPr="00BD22FE" w:rsidRDefault="00A610E1" w:rsidP="00A610E1">
      <w:pPr>
        <w:pStyle w:val="BodyText"/>
        <w:spacing w:line="240" w:lineRule="auto"/>
        <w:jc w:val="left"/>
        <w:rPr>
          <w:sz w:val="22"/>
          <w:szCs w:val="22"/>
          <w:lang w:val="pl-PL"/>
        </w:rPr>
      </w:pPr>
      <w:r w:rsidRPr="00BD22FE">
        <w:rPr>
          <w:sz w:val="22"/>
          <w:szCs w:val="22"/>
          <w:lang w:val="pl-PL"/>
        </w:rPr>
        <w:t>Czasami zdarza się, że zewnętrzna powłoka blistra odkleja się od wewnętrznej pomiędzy kieszeniami blistra. W tym przypadku nie ma potrzeby podejmowania żadnych działań.</w:t>
      </w:r>
    </w:p>
    <w:p w14:paraId="73174991" w14:textId="77777777" w:rsidR="00A610E1" w:rsidRPr="00BD22FE" w:rsidRDefault="00A610E1" w:rsidP="00A610E1">
      <w:pPr>
        <w:pStyle w:val="BodyText"/>
        <w:spacing w:line="240" w:lineRule="auto"/>
        <w:jc w:val="left"/>
        <w:rPr>
          <w:sz w:val="22"/>
          <w:szCs w:val="22"/>
          <w:lang w:val="pl-PL"/>
        </w:rPr>
      </w:pPr>
    </w:p>
    <w:p w14:paraId="5F6E47E5" w14:textId="77777777" w:rsidR="00A610E1" w:rsidRPr="00BD22FE" w:rsidRDefault="00A610E1" w:rsidP="00A610E1">
      <w:pPr>
        <w:rPr>
          <w:sz w:val="22"/>
          <w:szCs w:val="22"/>
          <w:lang w:val="pl-PL" w:bidi="bn-IN"/>
        </w:rPr>
      </w:pPr>
      <w:r w:rsidRPr="00BD22FE">
        <w:rPr>
          <w:sz w:val="22"/>
          <w:szCs w:val="22"/>
          <w:lang w:val="pl-PL" w:bidi="bn-IN"/>
        </w:rPr>
        <w:t>Leków nie należy wyrzucać do kanalizacji ani domowych pojemników na odpadki. Należy zapytać farmaceutę, jak usunąć leki, których się już nie używa. Takie postępowanie pomoże chronić środowisko.</w:t>
      </w:r>
    </w:p>
    <w:p w14:paraId="24C8FEB9" w14:textId="77777777" w:rsidR="00A610E1" w:rsidRPr="00BD22FE" w:rsidRDefault="00A610E1" w:rsidP="00A610E1">
      <w:pPr>
        <w:pStyle w:val="BodyText"/>
        <w:spacing w:line="240" w:lineRule="auto"/>
        <w:jc w:val="left"/>
        <w:rPr>
          <w:sz w:val="22"/>
          <w:szCs w:val="22"/>
          <w:lang w:val="pl-PL"/>
        </w:rPr>
      </w:pPr>
    </w:p>
    <w:p w14:paraId="4DE0D393" w14:textId="77777777" w:rsidR="00A610E1" w:rsidRPr="00BD22FE" w:rsidRDefault="00A610E1" w:rsidP="00A610E1">
      <w:pPr>
        <w:pStyle w:val="BodyText"/>
        <w:spacing w:line="240" w:lineRule="auto"/>
        <w:jc w:val="left"/>
        <w:rPr>
          <w:sz w:val="22"/>
          <w:szCs w:val="22"/>
          <w:lang w:val="pl-PL"/>
        </w:rPr>
      </w:pPr>
    </w:p>
    <w:p w14:paraId="45219C79" w14:textId="77777777" w:rsidR="00A610E1" w:rsidRPr="00BD22FE" w:rsidRDefault="00A610E1" w:rsidP="00A610E1">
      <w:pPr>
        <w:pStyle w:val="BodyText"/>
        <w:keepNext/>
        <w:spacing w:line="240" w:lineRule="auto"/>
        <w:ind w:left="567" w:hanging="567"/>
        <w:jc w:val="left"/>
        <w:rPr>
          <w:b/>
          <w:sz w:val="22"/>
          <w:szCs w:val="22"/>
          <w:lang w:val="pl-PL"/>
        </w:rPr>
      </w:pPr>
      <w:r w:rsidRPr="00BD22FE">
        <w:rPr>
          <w:b/>
          <w:sz w:val="22"/>
          <w:szCs w:val="22"/>
          <w:lang w:val="pl-PL" w:bidi="bn-IN"/>
        </w:rPr>
        <w:t>6.</w:t>
      </w:r>
      <w:r w:rsidRPr="00BD22FE">
        <w:rPr>
          <w:b/>
          <w:sz w:val="22"/>
          <w:szCs w:val="22"/>
          <w:lang w:val="pl-PL" w:bidi="bn-IN"/>
        </w:rPr>
        <w:tab/>
        <w:t>Zawartość opakowania i inne informacje</w:t>
      </w:r>
    </w:p>
    <w:p w14:paraId="357CA147" w14:textId="77777777" w:rsidR="00A610E1" w:rsidRPr="00BD22FE" w:rsidRDefault="00A610E1" w:rsidP="00A610E1">
      <w:pPr>
        <w:pStyle w:val="BodyText"/>
        <w:keepNext/>
        <w:spacing w:line="240" w:lineRule="auto"/>
        <w:jc w:val="left"/>
        <w:rPr>
          <w:sz w:val="22"/>
          <w:szCs w:val="22"/>
          <w:lang w:val="pl-PL"/>
        </w:rPr>
      </w:pPr>
    </w:p>
    <w:p w14:paraId="0943FA09" w14:textId="77777777" w:rsidR="00A610E1" w:rsidRPr="00BD22FE" w:rsidRDefault="00A610E1" w:rsidP="00A610E1">
      <w:pPr>
        <w:pStyle w:val="BodyText"/>
        <w:keepNext/>
        <w:spacing w:line="240" w:lineRule="auto"/>
        <w:jc w:val="left"/>
        <w:rPr>
          <w:b/>
          <w:sz w:val="22"/>
          <w:szCs w:val="22"/>
          <w:lang w:val="pl-PL"/>
        </w:rPr>
      </w:pPr>
      <w:r w:rsidRPr="00BD22FE">
        <w:rPr>
          <w:b/>
          <w:sz w:val="22"/>
          <w:szCs w:val="22"/>
          <w:lang w:val="pl-PL"/>
        </w:rPr>
        <w:t>Co zawiera lek MicardisPlus</w:t>
      </w:r>
    </w:p>
    <w:p w14:paraId="3FCF4FBE" w14:textId="383201F3" w:rsidR="00A610E1" w:rsidRPr="00BD22FE" w:rsidRDefault="00A610E1" w:rsidP="00A610E1">
      <w:pPr>
        <w:keepNext/>
        <w:numPr>
          <w:ilvl w:val="0"/>
          <w:numId w:val="27"/>
        </w:numPr>
        <w:ind w:left="567" w:hanging="567"/>
        <w:rPr>
          <w:sz w:val="22"/>
          <w:szCs w:val="22"/>
          <w:lang w:val="pl-PL"/>
        </w:rPr>
      </w:pPr>
      <w:r w:rsidRPr="00BD22FE">
        <w:rPr>
          <w:sz w:val="22"/>
          <w:szCs w:val="22"/>
          <w:lang w:val="pl-PL"/>
        </w:rPr>
        <w:t>Substancjami czynnymi leku są telmisartan i hydrochlorotiazyd.</w:t>
      </w:r>
    </w:p>
    <w:p w14:paraId="0F33142D" w14:textId="77777777" w:rsidR="00A610E1" w:rsidRPr="00BD22FE" w:rsidRDefault="00A610E1" w:rsidP="00A610E1">
      <w:pPr>
        <w:keepNext/>
        <w:ind w:left="567"/>
        <w:rPr>
          <w:sz w:val="22"/>
          <w:szCs w:val="22"/>
          <w:lang w:val="pl-PL"/>
        </w:rPr>
      </w:pPr>
      <w:r w:rsidRPr="00BD22FE">
        <w:rPr>
          <w:sz w:val="22"/>
          <w:szCs w:val="22"/>
          <w:lang w:val="pl-PL"/>
        </w:rPr>
        <w:t>Każda tabletka zawiera 80 mg telmisartanu i 25 mg hydrochlorotiazydu.</w:t>
      </w:r>
    </w:p>
    <w:p w14:paraId="3599C842" w14:textId="77777777" w:rsidR="00A610E1" w:rsidRPr="00BD22FE" w:rsidRDefault="00A610E1" w:rsidP="00A610E1">
      <w:pPr>
        <w:numPr>
          <w:ilvl w:val="0"/>
          <w:numId w:val="27"/>
        </w:numPr>
        <w:ind w:left="567" w:hanging="567"/>
        <w:rPr>
          <w:sz w:val="22"/>
          <w:szCs w:val="22"/>
          <w:lang w:val="pl-PL"/>
        </w:rPr>
      </w:pPr>
      <w:r w:rsidRPr="00BD22FE">
        <w:rPr>
          <w:sz w:val="22"/>
          <w:szCs w:val="22"/>
          <w:lang w:val="pl-PL"/>
        </w:rPr>
        <w:t>Pozostałe składniki to: laktoza jednowodna, stearynian magnezu, skrobia kukurydziana, meglumina, mikrokrystaliczna celuloza, powidon K25, żółty tlenek żelaza (E172), wodorotlenek sodu, skrobi glikolan sodu (typ A), sorbitol (E420).</w:t>
      </w:r>
    </w:p>
    <w:p w14:paraId="67A45182" w14:textId="77777777" w:rsidR="00A610E1" w:rsidRPr="00BD22FE" w:rsidRDefault="00A610E1" w:rsidP="00A610E1">
      <w:pPr>
        <w:pStyle w:val="BodyText"/>
        <w:spacing w:line="240" w:lineRule="auto"/>
        <w:jc w:val="left"/>
        <w:rPr>
          <w:sz w:val="22"/>
          <w:szCs w:val="22"/>
          <w:lang w:val="pl-PL"/>
        </w:rPr>
      </w:pPr>
    </w:p>
    <w:p w14:paraId="25D7D7A6" w14:textId="77777777" w:rsidR="00A610E1" w:rsidRPr="00BD22FE" w:rsidRDefault="00A610E1" w:rsidP="00A610E1">
      <w:pPr>
        <w:pStyle w:val="BodyText"/>
        <w:keepNext/>
        <w:spacing w:line="240" w:lineRule="auto"/>
        <w:jc w:val="left"/>
        <w:rPr>
          <w:b/>
          <w:sz w:val="22"/>
          <w:szCs w:val="22"/>
          <w:lang w:val="pl-PL"/>
        </w:rPr>
      </w:pPr>
      <w:r w:rsidRPr="00BD22FE">
        <w:rPr>
          <w:b/>
          <w:sz w:val="22"/>
          <w:szCs w:val="22"/>
          <w:lang w:val="pl-PL"/>
        </w:rPr>
        <w:t>Jak wygląda lek MicardisPlus i co zawiera opakowanie</w:t>
      </w:r>
    </w:p>
    <w:p w14:paraId="04385FCD" w14:textId="77777777" w:rsidR="00A610E1" w:rsidRPr="00BD22FE" w:rsidRDefault="00A610E1" w:rsidP="00A610E1">
      <w:pPr>
        <w:pStyle w:val="BodyText"/>
        <w:spacing w:line="240" w:lineRule="auto"/>
        <w:jc w:val="left"/>
        <w:rPr>
          <w:sz w:val="22"/>
          <w:szCs w:val="22"/>
          <w:lang w:val="pl-PL"/>
        </w:rPr>
      </w:pPr>
      <w:r w:rsidRPr="00BD22FE">
        <w:rPr>
          <w:sz w:val="22"/>
          <w:szCs w:val="22"/>
          <w:lang w:val="pl-PL"/>
        </w:rPr>
        <w:t>Lek MicardisPlus 80 mg/25 mg tabletki to żółto-białe, podłużne tabletki dwuwarstwowe, z wytłoczonym logo i kodem „H9”.</w:t>
      </w:r>
    </w:p>
    <w:p w14:paraId="01BFF865" w14:textId="15799B1B" w:rsidR="00A610E1" w:rsidRPr="00BD22FE" w:rsidRDefault="00A610E1" w:rsidP="00A610E1">
      <w:pPr>
        <w:pStyle w:val="BodyText"/>
        <w:spacing w:line="240" w:lineRule="auto"/>
        <w:jc w:val="left"/>
        <w:rPr>
          <w:sz w:val="22"/>
          <w:szCs w:val="22"/>
          <w:lang w:val="pl-PL"/>
        </w:rPr>
      </w:pPr>
      <w:r w:rsidRPr="00BD22FE">
        <w:rPr>
          <w:sz w:val="22"/>
          <w:szCs w:val="22"/>
          <w:lang w:val="pl-PL"/>
        </w:rPr>
        <w:t>Lek MicardisPlus jest dostępny w blistrach zawierających 14, 28, 56 lub 98 tabletek, lub w blistrach podzielnych na dawki pojedyncze zawierających 28 </w:t>
      </w:r>
      <w:r w:rsidRPr="00BD22FE">
        <w:rPr>
          <w:sz w:val="22"/>
          <w:lang w:val="pl-PL"/>
        </w:rPr>
        <w:t>×</w:t>
      </w:r>
      <w:r w:rsidRPr="00BD22FE">
        <w:rPr>
          <w:sz w:val="22"/>
          <w:szCs w:val="22"/>
          <w:lang w:val="pl-PL"/>
        </w:rPr>
        <w:t> 1, 30 </w:t>
      </w:r>
      <w:r w:rsidRPr="00BD22FE">
        <w:rPr>
          <w:sz w:val="22"/>
          <w:lang w:val="pl-PL"/>
        </w:rPr>
        <w:t>×</w:t>
      </w:r>
      <w:r w:rsidRPr="00BD22FE">
        <w:rPr>
          <w:sz w:val="22"/>
          <w:szCs w:val="22"/>
          <w:lang w:val="pl-PL"/>
        </w:rPr>
        <w:t> 1 lub 90 </w:t>
      </w:r>
      <w:r w:rsidRPr="00BD22FE">
        <w:rPr>
          <w:sz w:val="22"/>
          <w:lang w:val="pl-PL"/>
        </w:rPr>
        <w:t>×</w:t>
      </w:r>
      <w:r w:rsidRPr="00BD22FE">
        <w:rPr>
          <w:sz w:val="22"/>
          <w:szCs w:val="22"/>
          <w:lang w:val="pl-PL"/>
        </w:rPr>
        <w:t> 1 tabletka.</w:t>
      </w:r>
    </w:p>
    <w:p w14:paraId="3CA8E1A8" w14:textId="77777777" w:rsidR="00A610E1" w:rsidRPr="00BD22FE" w:rsidRDefault="00A610E1" w:rsidP="00A610E1">
      <w:pPr>
        <w:pStyle w:val="BodyText"/>
        <w:spacing w:line="240" w:lineRule="auto"/>
        <w:jc w:val="left"/>
        <w:rPr>
          <w:sz w:val="22"/>
          <w:szCs w:val="22"/>
          <w:lang w:val="pl-PL"/>
        </w:rPr>
      </w:pPr>
    </w:p>
    <w:p w14:paraId="35E5AEE5" w14:textId="36904B42" w:rsidR="00A610E1" w:rsidRPr="00BD22FE" w:rsidRDefault="00A610E1" w:rsidP="00A610E1">
      <w:pPr>
        <w:pStyle w:val="BodyText"/>
        <w:spacing w:line="240" w:lineRule="auto"/>
        <w:jc w:val="left"/>
        <w:rPr>
          <w:sz w:val="22"/>
          <w:szCs w:val="22"/>
          <w:lang w:val="pl-PL"/>
        </w:rPr>
      </w:pPr>
      <w:r w:rsidRPr="00BD22FE">
        <w:rPr>
          <w:sz w:val="22"/>
          <w:szCs w:val="22"/>
          <w:lang w:val="pl-PL"/>
        </w:rPr>
        <w:t>Nie wszystkie wielkości opakowań muszą być dostępne w danym kraju.</w:t>
      </w:r>
    </w:p>
    <w:p w14:paraId="47734EE6" w14:textId="77777777" w:rsidR="00A610E1" w:rsidRPr="00BD22FE" w:rsidRDefault="00A610E1" w:rsidP="00A610E1">
      <w:pPr>
        <w:pStyle w:val="BodyText"/>
        <w:spacing w:line="240" w:lineRule="auto"/>
        <w:jc w:val="left"/>
        <w:rPr>
          <w:sz w:val="22"/>
          <w:szCs w:val="22"/>
          <w:lang w:val="pl-PL"/>
        </w:rPr>
      </w:pPr>
    </w:p>
    <w:tbl>
      <w:tblPr>
        <w:tblW w:w="5000" w:type="pct"/>
        <w:tblLook w:val="01E0" w:firstRow="1" w:lastRow="1" w:firstColumn="1" w:lastColumn="1" w:noHBand="0" w:noVBand="0"/>
      </w:tblPr>
      <w:tblGrid>
        <w:gridCol w:w="4535"/>
        <w:gridCol w:w="4535"/>
      </w:tblGrid>
      <w:tr w:rsidR="00A610E1" w:rsidRPr="00BD22FE" w14:paraId="1AB08FB1" w14:textId="77777777" w:rsidTr="00A610E1">
        <w:tc>
          <w:tcPr>
            <w:tcW w:w="2500" w:type="pct"/>
          </w:tcPr>
          <w:p w14:paraId="2DA6A0E0" w14:textId="77777777" w:rsidR="00A610E1" w:rsidRPr="00BD22FE" w:rsidRDefault="00A610E1" w:rsidP="00A610E1">
            <w:pPr>
              <w:pStyle w:val="BodyText"/>
              <w:keepNext/>
              <w:spacing w:line="240" w:lineRule="auto"/>
              <w:jc w:val="left"/>
              <w:rPr>
                <w:b/>
                <w:sz w:val="22"/>
                <w:szCs w:val="22"/>
                <w:lang w:val="pl-PL"/>
              </w:rPr>
            </w:pPr>
            <w:r w:rsidRPr="00BD22FE">
              <w:rPr>
                <w:b/>
                <w:sz w:val="22"/>
                <w:szCs w:val="22"/>
                <w:lang w:val="pl-PL"/>
              </w:rPr>
              <w:lastRenderedPageBreak/>
              <w:t>Podmiot odpowiedzialny</w:t>
            </w:r>
          </w:p>
        </w:tc>
        <w:tc>
          <w:tcPr>
            <w:tcW w:w="2500" w:type="pct"/>
          </w:tcPr>
          <w:p w14:paraId="6C768A9D" w14:textId="77777777" w:rsidR="00A610E1" w:rsidRPr="00BD22FE" w:rsidRDefault="00A610E1" w:rsidP="00A610E1">
            <w:pPr>
              <w:pStyle w:val="BodyText"/>
              <w:keepNext/>
              <w:spacing w:line="240" w:lineRule="auto"/>
              <w:jc w:val="left"/>
              <w:rPr>
                <w:b/>
                <w:sz w:val="22"/>
                <w:szCs w:val="22"/>
                <w:lang w:val="pl-PL"/>
              </w:rPr>
            </w:pPr>
            <w:r w:rsidRPr="00BD22FE">
              <w:rPr>
                <w:b/>
                <w:sz w:val="22"/>
                <w:szCs w:val="22"/>
                <w:lang w:val="pl-PL"/>
              </w:rPr>
              <w:t>Wytwórca</w:t>
            </w:r>
          </w:p>
        </w:tc>
      </w:tr>
      <w:tr w:rsidR="00A610E1" w:rsidRPr="00C53640" w14:paraId="4624817A" w14:textId="77777777" w:rsidTr="00A610E1">
        <w:tc>
          <w:tcPr>
            <w:tcW w:w="2500" w:type="pct"/>
          </w:tcPr>
          <w:p w14:paraId="02852716" w14:textId="77777777" w:rsidR="00A610E1" w:rsidRPr="009D16CE" w:rsidRDefault="00A610E1" w:rsidP="00A610E1">
            <w:pPr>
              <w:pStyle w:val="BodyText"/>
              <w:keepNext/>
              <w:spacing w:line="240" w:lineRule="auto"/>
              <w:jc w:val="left"/>
              <w:rPr>
                <w:sz w:val="22"/>
                <w:szCs w:val="22"/>
                <w:lang w:val="de-DE"/>
              </w:rPr>
            </w:pPr>
            <w:r w:rsidRPr="009D16CE">
              <w:rPr>
                <w:sz w:val="22"/>
                <w:szCs w:val="22"/>
                <w:lang w:val="de-DE"/>
              </w:rPr>
              <w:t>Boehringer Ingelheim International GmbH</w:t>
            </w:r>
          </w:p>
          <w:p w14:paraId="493929CB" w14:textId="77777777" w:rsidR="00A610E1" w:rsidRPr="009D16CE" w:rsidRDefault="00A610E1" w:rsidP="00A610E1">
            <w:pPr>
              <w:pStyle w:val="BodyText"/>
              <w:keepNext/>
              <w:spacing w:line="240" w:lineRule="auto"/>
              <w:jc w:val="left"/>
              <w:rPr>
                <w:sz w:val="22"/>
                <w:szCs w:val="22"/>
                <w:lang w:val="de-DE"/>
              </w:rPr>
            </w:pPr>
            <w:r w:rsidRPr="009D16CE">
              <w:rPr>
                <w:sz w:val="22"/>
                <w:szCs w:val="22"/>
                <w:lang w:val="de-DE"/>
              </w:rPr>
              <w:t>Binger Str. 173</w:t>
            </w:r>
          </w:p>
          <w:p w14:paraId="3105306F" w14:textId="77777777" w:rsidR="00A610E1" w:rsidRPr="00C53640" w:rsidRDefault="00A610E1" w:rsidP="00A610E1">
            <w:pPr>
              <w:pStyle w:val="BodyText"/>
              <w:keepNext/>
              <w:spacing w:line="240" w:lineRule="auto"/>
              <w:jc w:val="left"/>
              <w:rPr>
                <w:sz w:val="22"/>
                <w:szCs w:val="22"/>
                <w:lang w:val="de-DE"/>
              </w:rPr>
            </w:pPr>
            <w:r w:rsidRPr="00C53640">
              <w:rPr>
                <w:sz w:val="22"/>
                <w:szCs w:val="22"/>
                <w:lang w:val="de-DE"/>
              </w:rPr>
              <w:t>55216 Ingelheim am Rhein</w:t>
            </w:r>
          </w:p>
          <w:p w14:paraId="2F1FDB15" w14:textId="77777777" w:rsidR="00A610E1" w:rsidRPr="00BD22FE" w:rsidRDefault="00A610E1" w:rsidP="00A610E1">
            <w:pPr>
              <w:pStyle w:val="BodyText"/>
              <w:keepNext/>
              <w:spacing w:line="240" w:lineRule="auto"/>
              <w:jc w:val="left"/>
              <w:rPr>
                <w:sz w:val="22"/>
                <w:szCs w:val="22"/>
                <w:lang w:val="pl-PL"/>
              </w:rPr>
            </w:pPr>
            <w:r w:rsidRPr="00BD22FE">
              <w:rPr>
                <w:sz w:val="22"/>
                <w:szCs w:val="22"/>
                <w:lang w:val="pl-PL"/>
              </w:rPr>
              <w:t>Niemcy</w:t>
            </w:r>
          </w:p>
          <w:p w14:paraId="7424766A" w14:textId="77777777" w:rsidR="00A610E1" w:rsidRPr="00BD22FE" w:rsidRDefault="00A610E1" w:rsidP="00A610E1">
            <w:pPr>
              <w:pStyle w:val="BodyText"/>
              <w:keepNext/>
              <w:spacing w:line="240" w:lineRule="auto"/>
              <w:jc w:val="left"/>
              <w:rPr>
                <w:sz w:val="22"/>
                <w:szCs w:val="22"/>
                <w:lang w:val="pl-PL"/>
              </w:rPr>
            </w:pPr>
          </w:p>
        </w:tc>
        <w:tc>
          <w:tcPr>
            <w:tcW w:w="2500" w:type="pct"/>
          </w:tcPr>
          <w:p w14:paraId="4F8E38F2" w14:textId="77777777" w:rsidR="00A610E1" w:rsidRPr="00DE4C52" w:rsidRDefault="00A610E1" w:rsidP="00A610E1">
            <w:pPr>
              <w:pStyle w:val="Default"/>
              <w:keepNext/>
              <w:rPr>
                <w:color w:val="auto"/>
                <w:sz w:val="22"/>
                <w:szCs w:val="22"/>
                <w:lang w:val="en-US"/>
              </w:rPr>
            </w:pPr>
            <w:r w:rsidRPr="00DE4C52">
              <w:rPr>
                <w:color w:val="auto"/>
                <w:sz w:val="22"/>
                <w:szCs w:val="22"/>
                <w:lang w:val="en-US"/>
              </w:rPr>
              <w:t>Boehringer Ingelheim Hellas Single Member S.A.</w:t>
            </w:r>
          </w:p>
          <w:p w14:paraId="1E2B6D97" w14:textId="77777777" w:rsidR="00A610E1" w:rsidRPr="00DE4C52" w:rsidRDefault="00A610E1" w:rsidP="00A610E1">
            <w:pPr>
              <w:pStyle w:val="Default"/>
              <w:keepNext/>
              <w:rPr>
                <w:color w:val="auto"/>
                <w:sz w:val="22"/>
                <w:szCs w:val="22"/>
                <w:lang w:val="en-US"/>
              </w:rPr>
            </w:pPr>
            <w:r w:rsidRPr="00DE4C52">
              <w:rPr>
                <w:color w:val="auto"/>
                <w:sz w:val="22"/>
                <w:szCs w:val="22"/>
                <w:lang w:val="en-US"/>
              </w:rPr>
              <w:t>5th km Paiania – Markopoulo</w:t>
            </w:r>
          </w:p>
          <w:p w14:paraId="0317ECE3" w14:textId="77777777" w:rsidR="00A610E1" w:rsidRPr="00BD22FE" w:rsidRDefault="00A610E1" w:rsidP="00A610E1">
            <w:pPr>
              <w:pStyle w:val="Default"/>
              <w:keepNext/>
              <w:rPr>
                <w:color w:val="auto"/>
                <w:sz w:val="22"/>
                <w:szCs w:val="22"/>
                <w:lang w:val="pl-PL"/>
              </w:rPr>
            </w:pPr>
            <w:r w:rsidRPr="00BD22FE">
              <w:rPr>
                <w:color w:val="auto"/>
                <w:sz w:val="22"/>
                <w:szCs w:val="22"/>
                <w:lang w:val="pl-PL"/>
              </w:rPr>
              <w:t>Koropi Attiki, 19441</w:t>
            </w:r>
          </w:p>
          <w:p w14:paraId="47E76854" w14:textId="77777777" w:rsidR="00A610E1" w:rsidRPr="009D16CE" w:rsidRDefault="00A610E1" w:rsidP="00A610E1">
            <w:pPr>
              <w:pStyle w:val="BodyText"/>
              <w:keepNext/>
              <w:spacing w:line="240" w:lineRule="auto"/>
              <w:jc w:val="left"/>
              <w:rPr>
                <w:sz w:val="22"/>
                <w:szCs w:val="22"/>
                <w:lang w:val="pl-PL"/>
              </w:rPr>
            </w:pPr>
            <w:r w:rsidRPr="009D16CE">
              <w:rPr>
                <w:sz w:val="22"/>
                <w:szCs w:val="22"/>
                <w:lang w:val="pl-PL"/>
              </w:rPr>
              <w:t>Grecja</w:t>
            </w:r>
          </w:p>
          <w:p w14:paraId="139A2A46" w14:textId="77777777" w:rsidR="00A610E1" w:rsidRPr="009D16CE" w:rsidRDefault="00A610E1" w:rsidP="00A610E1">
            <w:pPr>
              <w:pStyle w:val="BodyText"/>
              <w:keepNext/>
              <w:spacing w:line="240" w:lineRule="auto"/>
              <w:jc w:val="left"/>
              <w:rPr>
                <w:sz w:val="22"/>
                <w:szCs w:val="22"/>
                <w:lang w:val="pl-PL"/>
              </w:rPr>
            </w:pPr>
          </w:p>
          <w:p w14:paraId="1C547C0D" w14:textId="77777777" w:rsidR="00A610E1" w:rsidRPr="009D16CE" w:rsidRDefault="00A610E1" w:rsidP="00A610E1">
            <w:pPr>
              <w:pStyle w:val="BodyText"/>
              <w:keepNext/>
              <w:spacing w:line="240" w:lineRule="auto"/>
              <w:jc w:val="left"/>
              <w:rPr>
                <w:sz w:val="22"/>
                <w:szCs w:val="22"/>
                <w:lang w:val="pl-PL"/>
              </w:rPr>
            </w:pPr>
            <w:r w:rsidRPr="009D16CE">
              <w:rPr>
                <w:sz w:val="22"/>
                <w:szCs w:val="22"/>
                <w:lang w:val="pl-PL"/>
              </w:rPr>
              <w:t>i</w:t>
            </w:r>
          </w:p>
          <w:p w14:paraId="7027B02C" w14:textId="77777777" w:rsidR="00A610E1" w:rsidRPr="009D16CE" w:rsidRDefault="00A610E1" w:rsidP="00A610E1">
            <w:pPr>
              <w:pStyle w:val="BodyText"/>
              <w:keepNext/>
              <w:spacing w:line="240" w:lineRule="auto"/>
              <w:rPr>
                <w:sz w:val="22"/>
                <w:szCs w:val="22"/>
                <w:lang w:val="pl-PL"/>
              </w:rPr>
            </w:pPr>
          </w:p>
          <w:p w14:paraId="3D9E83B1" w14:textId="77777777" w:rsidR="00A610E1" w:rsidRPr="009D16CE" w:rsidRDefault="00A610E1" w:rsidP="00A610E1">
            <w:pPr>
              <w:pStyle w:val="BodyText"/>
              <w:keepNext/>
              <w:spacing w:line="240" w:lineRule="auto"/>
              <w:rPr>
                <w:sz w:val="22"/>
                <w:szCs w:val="22"/>
                <w:lang w:val="pl-PL"/>
              </w:rPr>
            </w:pPr>
            <w:r w:rsidRPr="009D16CE">
              <w:rPr>
                <w:sz w:val="22"/>
                <w:szCs w:val="22"/>
                <w:lang w:val="pl-PL"/>
              </w:rPr>
              <w:t>Rottendorf Pharma GmbH</w:t>
            </w:r>
          </w:p>
          <w:p w14:paraId="052EF2F3" w14:textId="77777777" w:rsidR="00A610E1" w:rsidRPr="00DE4C52" w:rsidRDefault="00A610E1" w:rsidP="00A610E1">
            <w:pPr>
              <w:pStyle w:val="BodyText"/>
              <w:keepNext/>
              <w:spacing w:line="240" w:lineRule="auto"/>
              <w:rPr>
                <w:sz w:val="22"/>
                <w:szCs w:val="22"/>
                <w:lang w:val="de-DE"/>
              </w:rPr>
            </w:pPr>
            <w:r w:rsidRPr="00DE4C52">
              <w:rPr>
                <w:sz w:val="22"/>
                <w:szCs w:val="22"/>
                <w:lang w:val="de-DE"/>
              </w:rPr>
              <w:t>Ostenfelder Strasse 51 - 61</w:t>
            </w:r>
          </w:p>
          <w:p w14:paraId="752AF8FD" w14:textId="77777777" w:rsidR="00A610E1" w:rsidRPr="00DE4C52" w:rsidRDefault="00A610E1" w:rsidP="00A610E1">
            <w:pPr>
              <w:pStyle w:val="BodyText"/>
              <w:keepNext/>
              <w:spacing w:line="240" w:lineRule="auto"/>
              <w:rPr>
                <w:sz w:val="22"/>
                <w:szCs w:val="22"/>
                <w:lang w:val="de-DE"/>
              </w:rPr>
            </w:pPr>
            <w:r w:rsidRPr="00DE4C52">
              <w:rPr>
                <w:sz w:val="22"/>
                <w:szCs w:val="22"/>
                <w:lang w:val="de-DE"/>
              </w:rPr>
              <w:t>59320 Ennigerloh</w:t>
            </w:r>
          </w:p>
          <w:p w14:paraId="0C9F0244" w14:textId="77777777" w:rsidR="00A610E1" w:rsidRPr="00DE4C52" w:rsidRDefault="00A610E1" w:rsidP="00A610E1">
            <w:pPr>
              <w:pStyle w:val="BodyText"/>
              <w:keepNext/>
              <w:spacing w:line="240" w:lineRule="auto"/>
              <w:jc w:val="left"/>
              <w:rPr>
                <w:sz w:val="22"/>
                <w:szCs w:val="22"/>
                <w:lang w:val="de-DE"/>
              </w:rPr>
            </w:pPr>
            <w:r w:rsidRPr="00DE4C52">
              <w:rPr>
                <w:sz w:val="22"/>
                <w:szCs w:val="22"/>
                <w:lang w:val="de-DE"/>
              </w:rPr>
              <w:t>Niemcy</w:t>
            </w:r>
          </w:p>
          <w:p w14:paraId="4B26A406" w14:textId="77777777" w:rsidR="00A610E1" w:rsidRPr="00DE4C52" w:rsidRDefault="00A610E1" w:rsidP="00A610E1">
            <w:pPr>
              <w:pStyle w:val="BodyText"/>
              <w:keepNext/>
              <w:spacing w:line="240" w:lineRule="auto"/>
              <w:jc w:val="left"/>
              <w:rPr>
                <w:sz w:val="22"/>
                <w:szCs w:val="22"/>
                <w:lang w:val="de-DE"/>
              </w:rPr>
            </w:pPr>
          </w:p>
          <w:p w14:paraId="246F524C" w14:textId="77777777" w:rsidR="00A610E1" w:rsidRPr="00DE4C52" w:rsidRDefault="00A610E1" w:rsidP="00A610E1">
            <w:pPr>
              <w:pStyle w:val="BodyText"/>
              <w:keepNext/>
              <w:spacing w:line="240" w:lineRule="auto"/>
              <w:jc w:val="left"/>
              <w:rPr>
                <w:sz w:val="22"/>
                <w:szCs w:val="22"/>
                <w:lang w:val="de-DE"/>
              </w:rPr>
            </w:pPr>
            <w:r w:rsidRPr="00DE4C52">
              <w:rPr>
                <w:sz w:val="22"/>
                <w:szCs w:val="22"/>
                <w:lang w:val="de-DE"/>
              </w:rPr>
              <w:t>i</w:t>
            </w:r>
          </w:p>
          <w:p w14:paraId="5DB4F876" w14:textId="77777777" w:rsidR="00A610E1" w:rsidRPr="00DE4C52" w:rsidRDefault="00A610E1" w:rsidP="00A610E1">
            <w:pPr>
              <w:pStyle w:val="BodyText"/>
              <w:keepNext/>
              <w:spacing w:line="240" w:lineRule="auto"/>
              <w:jc w:val="left"/>
              <w:rPr>
                <w:sz w:val="22"/>
                <w:szCs w:val="22"/>
                <w:lang w:val="de-DE"/>
              </w:rPr>
            </w:pPr>
          </w:p>
          <w:p w14:paraId="02ACB252" w14:textId="77777777" w:rsidR="00A610E1" w:rsidRPr="00DE4C52" w:rsidRDefault="00A610E1" w:rsidP="00A610E1">
            <w:pPr>
              <w:keepNext/>
              <w:autoSpaceDE w:val="0"/>
              <w:autoSpaceDN w:val="0"/>
              <w:rPr>
                <w:rFonts w:eastAsia="PMingLiU"/>
                <w:iCs/>
                <w:sz w:val="22"/>
                <w:szCs w:val="22"/>
                <w:lang w:val="de-DE"/>
              </w:rPr>
            </w:pPr>
            <w:r w:rsidRPr="00DE4C52">
              <w:rPr>
                <w:rFonts w:eastAsia="PMingLiU"/>
                <w:iCs/>
                <w:sz w:val="22"/>
                <w:szCs w:val="22"/>
                <w:lang w:val="de-DE"/>
              </w:rPr>
              <w:t>Boehringer Ingelheim France</w:t>
            </w:r>
          </w:p>
          <w:p w14:paraId="36419309" w14:textId="77777777" w:rsidR="00A610E1" w:rsidRPr="00C53640" w:rsidRDefault="00A610E1" w:rsidP="00A610E1">
            <w:pPr>
              <w:keepNext/>
              <w:autoSpaceDE w:val="0"/>
              <w:autoSpaceDN w:val="0"/>
              <w:rPr>
                <w:rFonts w:eastAsia="PMingLiU"/>
                <w:iCs/>
                <w:sz w:val="22"/>
                <w:szCs w:val="22"/>
                <w:lang w:val="fr-FR"/>
              </w:rPr>
            </w:pPr>
            <w:r w:rsidRPr="00C53640">
              <w:rPr>
                <w:rFonts w:eastAsia="PMingLiU"/>
                <w:iCs/>
                <w:sz w:val="22"/>
                <w:szCs w:val="22"/>
                <w:lang w:val="fr-FR"/>
              </w:rPr>
              <w:t>100</w:t>
            </w:r>
            <w:r w:rsidRPr="00C53640">
              <w:rPr>
                <w:rFonts w:eastAsia="PMingLiU"/>
                <w:iCs/>
                <w:sz w:val="22"/>
                <w:szCs w:val="22"/>
                <w:lang w:val="fr-FR"/>
              </w:rPr>
              <w:noBreakHyphen/>
              <w:t>104 Avenue de France</w:t>
            </w:r>
          </w:p>
          <w:p w14:paraId="0CB2904C" w14:textId="77777777" w:rsidR="00A610E1" w:rsidRPr="00C53640" w:rsidRDefault="00A610E1" w:rsidP="00A610E1">
            <w:pPr>
              <w:keepNext/>
              <w:autoSpaceDE w:val="0"/>
              <w:autoSpaceDN w:val="0"/>
              <w:rPr>
                <w:rFonts w:eastAsia="PMingLiU"/>
                <w:iCs/>
                <w:sz w:val="22"/>
                <w:szCs w:val="22"/>
                <w:lang w:val="fr-FR"/>
              </w:rPr>
            </w:pPr>
            <w:r w:rsidRPr="00C53640">
              <w:rPr>
                <w:rFonts w:eastAsia="PMingLiU"/>
                <w:iCs/>
                <w:sz w:val="22"/>
                <w:szCs w:val="22"/>
                <w:lang w:val="fr-FR"/>
              </w:rPr>
              <w:t xml:space="preserve">75013 </w:t>
            </w:r>
            <w:proofErr w:type="spellStart"/>
            <w:r w:rsidRPr="00C53640">
              <w:rPr>
                <w:rFonts w:eastAsia="PMingLiU"/>
                <w:iCs/>
                <w:sz w:val="22"/>
                <w:szCs w:val="22"/>
                <w:lang w:val="fr-FR"/>
              </w:rPr>
              <w:t>Paryż</w:t>
            </w:r>
            <w:proofErr w:type="spellEnd"/>
          </w:p>
          <w:p w14:paraId="39567DCA" w14:textId="77777777" w:rsidR="00A610E1" w:rsidRPr="00C53640" w:rsidRDefault="00A610E1" w:rsidP="00A610E1">
            <w:pPr>
              <w:pStyle w:val="BodyText"/>
              <w:keepNext/>
              <w:spacing w:line="240" w:lineRule="auto"/>
              <w:jc w:val="left"/>
              <w:rPr>
                <w:sz w:val="22"/>
                <w:szCs w:val="22"/>
                <w:lang w:val="fr-FR"/>
              </w:rPr>
            </w:pPr>
            <w:proofErr w:type="spellStart"/>
            <w:r w:rsidRPr="00C53640">
              <w:rPr>
                <w:rFonts w:eastAsia="PMingLiU"/>
                <w:iCs/>
                <w:sz w:val="22"/>
                <w:szCs w:val="22"/>
                <w:lang w:val="fr-FR"/>
              </w:rPr>
              <w:t>Francja</w:t>
            </w:r>
            <w:proofErr w:type="spellEnd"/>
          </w:p>
        </w:tc>
      </w:tr>
    </w:tbl>
    <w:p w14:paraId="01881006" w14:textId="77777777" w:rsidR="00A610E1" w:rsidRPr="00C53640" w:rsidRDefault="00A610E1" w:rsidP="00A610E1">
      <w:pPr>
        <w:pStyle w:val="BodyText"/>
        <w:spacing w:line="240" w:lineRule="auto"/>
        <w:jc w:val="left"/>
        <w:rPr>
          <w:sz w:val="22"/>
          <w:szCs w:val="22"/>
          <w:lang w:val="fr-FR"/>
        </w:rPr>
      </w:pPr>
    </w:p>
    <w:p w14:paraId="5BDB5C77" w14:textId="77777777" w:rsidR="00A610E1" w:rsidRPr="00C53640" w:rsidRDefault="00A610E1" w:rsidP="00A610E1">
      <w:pPr>
        <w:pStyle w:val="BodyText"/>
        <w:spacing w:line="240" w:lineRule="auto"/>
        <w:jc w:val="left"/>
        <w:rPr>
          <w:sz w:val="22"/>
          <w:szCs w:val="22"/>
          <w:lang w:val="fr-FR"/>
        </w:rPr>
      </w:pPr>
      <w:r w:rsidRPr="00C53640">
        <w:rPr>
          <w:sz w:val="22"/>
          <w:szCs w:val="22"/>
          <w:lang w:val="fr-FR"/>
        </w:rPr>
        <w:br w:type="page"/>
      </w:r>
    </w:p>
    <w:p w14:paraId="09773A78" w14:textId="77777777" w:rsidR="00A610E1" w:rsidRPr="00BD22FE" w:rsidRDefault="00A610E1" w:rsidP="00A610E1">
      <w:pPr>
        <w:pStyle w:val="BodyText"/>
        <w:spacing w:line="240" w:lineRule="auto"/>
        <w:jc w:val="left"/>
        <w:rPr>
          <w:sz w:val="22"/>
          <w:szCs w:val="22"/>
          <w:lang w:val="pl-PL"/>
        </w:rPr>
      </w:pPr>
      <w:r w:rsidRPr="00BD22FE">
        <w:rPr>
          <w:sz w:val="22"/>
          <w:szCs w:val="22"/>
          <w:lang w:val="pl-PL"/>
        </w:rPr>
        <w:lastRenderedPageBreak/>
        <w:t>W celu uzyskania bardziej szczegółowych informacji dotyczących tego leku należy zwrócić się do miejscowego przedstawiciela podmiotu odpowiedzialnego:</w:t>
      </w:r>
    </w:p>
    <w:p w14:paraId="3E0AC87D" w14:textId="77777777" w:rsidR="00A610E1" w:rsidRPr="00BD22FE" w:rsidRDefault="00A610E1" w:rsidP="00A610E1">
      <w:pPr>
        <w:pStyle w:val="BodyText"/>
        <w:spacing w:line="240" w:lineRule="auto"/>
        <w:jc w:val="left"/>
        <w:rPr>
          <w:sz w:val="22"/>
          <w:szCs w:val="22"/>
          <w:lang w:val="pl-PL"/>
        </w:rPr>
      </w:pPr>
    </w:p>
    <w:tbl>
      <w:tblPr>
        <w:tblW w:w="5000" w:type="pct"/>
        <w:tblLook w:val="0000" w:firstRow="0" w:lastRow="0" w:firstColumn="0" w:lastColumn="0" w:noHBand="0" w:noVBand="0"/>
      </w:tblPr>
      <w:tblGrid>
        <w:gridCol w:w="4535"/>
        <w:gridCol w:w="4535"/>
      </w:tblGrid>
      <w:tr w:rsidR="00A610E1" w:rsidRPr="00BD22FE" w14:paraId="2DDBFCD4" w14:textId="77777777" w:rsidTr="00A610E1">
        <w:tc>
          <w:tcPr>
            <w:tcW w:w="2500" w:type="pct"/>
          </w:tcPr>
          <w:p w14:paraId="3EBA3468" w14:textId="77777777" w:rsidR="00A610E1" w:rsidRPr="009D16CE" w:rsidRDefault="00A610E1" w:rsidP="00A610E1">
            <w:pPr>
              <w:pStyle w:val="BodyText"/>
              <w:spacing w:line="240" w:lineRule="auto"/>
              <w:jc w:val="left"/>
              <w:rPr>
                <w:b/>
                <w:sz w:val="22"/>
                <w:szCs w:val="22"/>
                <w:lang w:val="de-DE"/>
              </w:rPr>
            </w:pPr>
            <w:r w:rsidRPr="009D16CE">
              <w:rPr>
                <w:b/>
                <w:bCs/>
                <w:sz w:val="22"/>
                <w:szCs w:val="22"/>
                <w:lang w:val="de-DE"/>
              </w:rPr>
              <w:t>België/Belgique/Belgien</w:t>
            </w:r>
          </w:p>
          <w:p w14:paraId="08796130" w14:textId="77777777" w:rsidR="00A610E1" w:rsidRPr="009D16CE" w:rsidRDefault="00A610E1" w:rsidP="00A610E1">
            <w:pPr>
              <w:pStyle w:val="BodyText"/>
              <w:spacing w:line="240" w:lineRule="auto"/>
              <w:jc w:val="left"/>
              <w:rPr>
                <w:sz w:val="22"/>
                <w:szCs w:val="22"/>
                <w:lang w:val="de-DE" w:eastAsia="ja-JP"/>
              </w:rPr>
            </w:pPr>
            <w:r w:rsidRPr="009D16CE">
              <w:rPr>
                <w:rFonts w:eastAsia="MS Mincho"/>
                <w:sz w:val="22"/>
                <w:szCs w:val="22"/>
                <w:lang w:val="de-DE" w:eastAsia="ja-JP"/>
              </w:rPr>
              <w:t>Boehringer Ingelheim SComm</w:t>
            </w:r>
          </w:p>
          <w:p w14:paraId="33921507" w14:textId="77777777" w:rsidR="00A610E1" w:rsidRPr="00BD22FE" w:rsidRDefault="00A610E1" w:rsidP="00A610E1">
            <w:pPr>
              <w:pStyle w:val="BodyText"/>
              <w:spacing w:line="240" w:lineRule="auto"/>
              <w:jc w:val="left"/>
              <w:rPr>
                <w:sz w:val="22"/>
                <w:szCs w:val="22"/>
                <w:lang w:val="pl-PL" w:eastAsia="ja-JP"/>
              </w:rPr>
            </w:pPr>
            <w:r w:rsidRPr="00BD22FE">
              <w:rPr>
                <w:sz w:val="22"/>
                <w:szCs w:val="22"/>
                <w:lang w:val="pl-PL" w:eastAsia="ja-JP"/>
              </w:rPr>
              <w:t>Tél/Tel: +32 2 773 33 11</w:t>
            </w:r>
          </w:p>
          <w:p w14:paraId="063D75ED" w14:textId="77777777" w:rsidR="00A610E1" w:rsidRPr="00BD22FE" w:rsidRDefault="00A610E1" w:rsidP="00A610E1">
            <w:pPr>
              <w:pStyle w:val="BodyText"/>
              <w:spacing w:line="240" w:lineRule="auto"/>
              <w:jc w:val="left"/>
              <w:rPr>
                <w:sz w:val="22"/>
                <w:szCs w:val="22"/>
                <w:lang w:val="pl-PL"/>
              </w:rPr>
            </w:pPr>
          </w:p>
        </w:tc>
        <w:tc>
          <w:tcPr>
            <w:tcW w:w="2500" w:type="pct"/>
          </w:tcPr>
          <w:p w14:paraId="7EE1CA67" w14:textId="77777777" w:rsidR="00A610E1" w:rsidRPr="00DE4C52" w:rsidRDefault="00A610E1" w:rsidP="00A610E1">
            <w:pPr>
              <w:rPr>
                <w:sz w:val="22"/>
                <w:szCs w:val="22"/>
                <w:lang w:val="de-DE"/>
              </w:rPr>
            </w:pPr>
            <w:r w:rsidRPr="00DE4C52">
              <w:rPr>
                <w:b/>
                <w:bCs/>
                <w:sz w:val="22"/>
                <w:szCs w:val="22"/>
                <w:lang w:val="de-DE"/>
              </w:rPr>
              <w:t>Lietuva</w:t>
            </w:r>
          </w:p>
          <w:p w14:paraId="371ED24C" w14:textId="77777777" w:rsidR="00A610E1" w:rsidRPr="00DE4C52" w:rsidRDefault="00A610E1" w:rsidP="00A610E1">
            <w:pPr>
              <w:rPr>
                <w:sz w:val="22"/>
                <w:szCs w:val="22"/>
                <w:lang w:val="de-DE" w:eastAsia="ja-JP"/>
              </w:rPr>
            </w:pPr>
            <w:r w:rsidRPr="00DE4C52">
              <w:rPr>
                <w:sz w:val="22"/>
                <w:szCs w:val="22"/>
                <w:lang w:val="de-DE" w:eastAsia="ja-JP"/>
              </w:rPr>
              <w:t>Boehringer Ingelheim RCV GmbH &amp; Co KG</w:t>
            </w:r>
          </w:p>
          <w:p w14:paraId="34767145" w14:textId="77777777" w:rsidR="00A610E1" w:rsidRPr="00BD22FE" w:rsidRDefault="00A610E1" w:rsidP="00A610E1">
            <w:pPr>
              <w:rPr>
                <w:sz w:val="22"/>
                <w:szCs w:val="22"/>
                <w:lang w:val="pl-PL" w:eastAsia="ja-JP"/>
              </w:rPr>
            </w:pPr>
            <w:r w:rsidRPr="00BD22FE">
              <w:rPr>
                <w:sz w:val="22"/>
                <w:szCs w:val="22"/>
                <w:lang w:val="pl-PL" w:eastAsia="ja-JP"/>
              </w:rPr>
              <w:t>Lietuvos filialas</w:t>
            </w:r>
          </w:p>
          <w:p w14:paraId="3EE43EBB" w14:textId="77777777" w:rsidR="00A610E1" w:rsidRPr="00BD22FE" w:rsidRDefault="00A610E1" w:rsidP="00A610E1">
            <w:pPr>
              <w:rPr>
                <w:sz w:val="22"/>
                <w:szCs w:val="22"/>
                <w:lang w:val="pl-PL"/>
              </w:rPr>
            </w:pPr>
            <w:r w:rsidRPr="00BD22FE">
              <w:rPr>
                <w:sz w:val="22"/>
                <w:szCs w:val="22"/>
                <w:lang w:val="pl-PL" w:eastAsia="ja-JP"/>
              </w:rPr>
              <w:t>Tel.: +370 5 2595942</w:t>
            </w:r>
          </w:p>
          <w:p w14:paraId="55475D88" w14:textId="77777777" w:rsidR="00A610E1" w:rsidRPr="00BD22FE" w:rsidRDefault="00A610E1" w:rsidP="00A610E1">
            <w:pPr>
              <w:pStyle w:val="BodyText"/>
              <w:spacing w:line="240" w:lineRule="auto"/>
              <w:jc w:val="left"/>
              <w:rPr>
                <w:sz w:val="22"/>
                <w:szCs w:val="22"/>
                <w:lang w:val="pl-PL"/>
              </w:rPr>
            </w:pPr>
          </w:p>
        </w:tc>
      </w:tr>
      <w:tr w:rsidR="00A610E1" w:rsidRPr="00DE4C52" w14:paraId="32303CAF" w14:textId="77777777" w:rsidTr="00A610E1">
        <w:tc>
          <w:tcPr>
            <w:tcW w:w="2500" w:type="pct"/>
          </w:tcPr>
          <w:p w14:paraId="6B7F235C" w14:textId="77777777" w:rsidR="00A610E1" w:rsidRPr="00166B77" w:rsidRDefault="00A610E1" w:rsidP="00A610E1">
            <w:pPr>
              <w:autoSpaceDE w:val="0"/>
              <w:autoSpaceDN w:val="0"/>
              <w:adjustRightInd w:val="0"/>
              <w:rPr>
                <w:b/>
                <w:bCs/>
                <w:sz w:val="22"/>
                <w:szCs w:val="22"/>
              </w:rPr>
            </w:pPr>
            <w:r w:rsidRPr="00BD22FE">
              <w:rPr>
                <w:b/>
                <w:bCs/>
                <w:sz w:val="22"/>
                <w:szCs w:val="22"/>
                <w:lang w:val="pl-PL"/>
              </w:rPr>
              <w:t>България</w:t>
            </w:r>
          </w:p>
          <w:p w14:paraId="077C722B" w14:textId="77777777" w:rsidR="00A610E1" w:rsidRPr="00BD22FE" w:rsidRDefault="00A610E1" w:rsidP="00A610E1">
            <w:pPr>
              <w:rPr>
                <w:sz w:val="22"/>
                <w:szCs w:val="22"/>
                <w:lang w:val="pl-PL"/>
              </w:rPr>
            </w:pPr>
            <w:r w:rsidRPr="00BD22FE">
              <w:rPr>
                <w:rFonts w:eastAsia="MS Mincho"/>
                <w:sz w:val="22"/>
                <w:szCs w:val="22"/>
                <w:lang w:val="pl-PL" w:eastAsia="ja-JP"/>
              </w:rPr>
              <w:t>Бьорингер</w:t>
            </w:r>
            <w:r w:rsidRPr="00166B77">
              <w:rPr>
                <w:rFonts w:eastAsia="MS Mincho"/>
                <w:sz w:val="22"/>
                <w:szCs w:val="22"/>
                <w:lang w:eastAsia="ja-JP"/>
              </w:rPr>
              <w:t xml:space="preserve"> </w:t>
            </w:r>
            <w:r w:rsidRPr="00BD22FE">
              <w:rPr>
                <w:rFonts w:eastAsia="MS Mincho"/>
                <w:sz w:val="22"/>
                <w:szCs w:val="22"/>
                <w:lang w:val="pl-PL" w:eastAsia="ja-JP"/>
              </w:rPr>
              <w:t>Ингелхайм</w:t>
            </w:r>
            <w:r w:rsidRPr="00166B77">
              <w:rPr>
                <w:rFonts w:eastAsia="MS Mincho"/>
                <w:sz w:val="22"/>
                <w:szCs w:val="22"/>
                <w:lang w:eastAsia="ja-JP"/>
              </w:rPr>
              <w:t xml:space="preserve"> </w:t>
            </w:r>
            <w:r w:rsidRPr="00BD22FE">
              <w:rPr>
                <w:rFonts w:eastAsia="MS Mincho"/>
                <w:sz w:val="22"/>
                <w:szCs w:val="22"/>
                <w:lang w:val="pl-PL" w:eastAsia="ja-JP"/>
              </w:rPr>
              <w:t>РЦВ</w:t>
            </w:r>
            <w:r w:rsidRPr="00166B77">
              <w:rPr>
                <w:rFonts w:eastAsia="MS Mincho"/>
                <w:sz w:val="22"/>
                <w:szCs w:val="22"/>
                <w:lang w:eastAsia="ja-JP"/>
              </w:rPr>
              <w:t xml:space="preserve"> </w:t>
            </w:r>
            <w:r w:rsidRPr="00BD22FE">
              <w:rPr>
                <w:rFonts w:eastAsia="MS Mincho"/>
                <w:sz w:val="22"/>
                <w:szCs w:val="22"/>
                <w:lang w:val="pl-PL" w:eastAsia="ja-JP"/>
              </w:rPr>
              <w:t>ГмбХ</w:t>
            </w:r>
            <w:r w:rsidRPr="00166B77">
              <w:rPr>
                <w:rFonts w:eastAsia="MS Mincho"/>
                <w:sz w:val="22"/>
                <w:szCs w:val="22"/>
                <w:lang w:eastAsia="ja-JP"/>
              </w:rPr>
              <w:t xml:space="preserve"> </w:t>
            </w:r>
            <w:r w:rsidRPr="00BD22FE">
              <w:rPr>
                <w:rFonts w:eastAsia="MS Mincho"/>
                <w:sz w:val="22"/>
                <w:szCs w:val="22"/>
                <w:lang w:val="pl-PL" w:eastAsia="ja-JP"/>
              </w:rPr>
              <w:t>и</w:t>
            </w:r>
            <w:r w:rsidRPr="00166B77">
              <w:rPr>
                <w:rFonts w:eastAsia="MS Mincho"/>
                <w:sz w:val="22"/>
                <w:szCs w:val="22"/>
                <w:lang w:eastAsia="ja-JP"/>
              </w:rPr>
              <w:t xml:space="preserve"> </w:t>
            </w:r>
            <w:r w:rsidRPr="00BD22FE">
              <w:rPr>
                <w:rFonts w:eastAsia="MS Mincho"/>
                <w:sz w:val="22"/>
                <w:szCs w:val="22"/>
                <w:lang w:val="pl-PL" w:eastAsia="ja-JP"/>
              </w:rPr>
              <w:t>Ко</w:t>
            </w:r>
            <w:r w:rsidRPr="00166B77">
              <w:rPr>
                <w:rFonts w:eastAsia="MS Mincho"/>
                <w:sz w:val="22"/>
                <w:szCs w:val="22"/>
                <w:lang w:eastAsia="ja-JP"/>
              </w:rPr>
              <w:t xml:space="preserve">. </w:t>
            </w:r>
            <w:r w:rsidRPr="00BD22FE">
              <w:rPr>
                <w:rFonts w:eastAsia="MS Mincho"/>
                <w:sz w:val="22"/>
                <w:szCs w:val="22"/>
                <w:lang w:val="pl-PL" w:eastAsia="ja-JP"/>
              </w:rPr>
              <w:t>КГ - клон България</w:t>
            </w:r>
          </w:p>
          <w:p w14:paraId="4C3484E8" w14:textId="77777777" w:rsidR="00A610E1" w:rsidRPr="00BD22FE" w:rsidRDefault="00A610E1" w:rsidP="00A610E1">
            <w:pPr>
              <w:autoSpaceDE w:val="0"/>
              <w:autoSpaceDN w:val="0"/>
              <w:adjustRightInd w:val="0"/>
              <w:rPr>
                <w:sz w:val="22"/>
                <w:szCs w:val="22"/>
                <w:lang w:val="pl-PL"/>
              </w:rPr>
            </w:pPr>
            <w:r w:rsidRPr="00BD22FE">
              <w:rPr>
                <w:rFonts w:eastAsia="MS Mincho"/>
                <w:sz w:val="22"/>
                <w:szCs w:val="22"/>
                <w:lang w:val="pl-PL" w:eastAsia="ja-JP"/>
              </w:rPr>
              <w:t>Тел: +359 2 958 79 98</w:t>
            </w:r>
          </w:p>
          <w:p w14:paraId="15DB9558" w14:textId="77777777" w:rsidR="00A610E1" w:rsidRPr="00BD22FE" w:rsidRDefault="00A610E1" w:rsidP="00A610E1">
            <w:pPr>
              <w:pStyle w:val="BodyText"/>
              <w:spacing w:line="240" w:lineRule="auto"/>
              <w:jc w:val="left"/>
              <w:rPr>
                <w:sz w:val="22"/>
                <w:szCs w:val="22"/>
                <w:lang w:val="pl-PL"/>
              </w:rPr>
            </w:pPr>
          </w:p>
        </w:tc>
        <w:tc>
          <w:tcPr>
            <w:tcW w:w="2500" w:type="pct"/>
          </w:tcPr>
          <w:p w14:paraId="23FD1B60" w14:textId="77777777" w:rsidR="00A610E1" w:rsidRPr="009D16CE" w:rsidRDefault="00A610E1" w:rsidP="00A610E1">
            <w:pPr>
              <w:pStyle w:val="BodyText"/>
              <w:spacing w:line="240" w:lineRule="auto"/>
              <w:jc w:val="left"/>
              <w:rPr>
                <w:b/>
                <w:sz w:val="22"/>
                <w:szCs w:val="22"/>
                <w:lang w:val="de-DE"/>
              </w:rPr>
            </w:pPr>
            <w:r w:rsidRPr="009D16CE">
              <w:rPr>
                <w:b/>
                <w:bCs/>
                <w:sz w:val="22"/>
                <w:szCs w:val="22"/>
                <w:lang w:val="de-DE"/>
              </w:rPr>
              <w:t>Luxembourg/Luxemburg</w:t>
            </w:r>
          </w:p>
          <w:p w14:paraId="400FF383" w14:textId="77777777" w:rsidR="00A610E1" w:rsidRPr="009D16CE" w:rsidRDefault="00A610E1" w:rsidP="00A610E1">
            <w:pPr>
              <w:pStyle w:val="BodyText"/>
              <w:spacing w:line="240" w:lineRule="auto"/>
              <w:jc w:val="left"/>
              <w:rPr>
                <w:sz w:val="22"/>
                <w:szCs w:val="22"/>
                <w:lang w:val="de-DE" w:eastAsia="ja-JP"/>
              </w:rPr>
            </w:pPr>
            <w:r w:rsidRPr="009D16CE">
              <w:rPr>
                <w:rFonts w:eastAsia="MS Mincho"/>
                <w:sz w:val="22"/>
                <w:szCs w:val="22"/>
                <w:lang w:val="de-DE" w:eastAsia="ja-JP"/>
              </w:rPr>
              <w:t>Boehringer Ingelheim SComm</w:t>
            </w:r>
          </w:p>
          <w:p w14:paraId="3EFDC6ED" w14:textId="77777777" w:rsidR="00A610E1" w:rsidRPr="009D16CE" w:rsidRDefault="00A610E1" w:rsidP="00A610E1">
            <w:pPr>
              <w:pStyle w:val="BodyText"/>
              <w:spacing w:line="240" w:lineRule="auto"/>
              <w:jc w:val="left"/>
              <w:rPr>
                <w:sz w:val="22"/>
                <w:szCs w:val="22"/>
                <w:lang w:val="de-DE" w:eastAsia="ja-JP"/>
              </w:rPr>
            </w:pPr>
            <w:r w:rsidRPr="009D16CE">
              <w:rPr>
                <w:sz w:val="22"/>
                <w:szCs w:val="22"/>
                <w:lang w:val="de-DE" w:eastAsia="ja-JP"/>
              </w:rPr>
              <w:t>Tél/Tel: +32 2 773 33 11</w:t>
            </w:r>
          </w:p>
          <w:p w14:paraId="28C53FE0" w14:textId="77777777" w:rsidR="00A610E1" w:rsidRPr="009D16CE" w:rsidRDefault="00A610E1" w:rsidP="00A610E1">
            <w:pPr>
              <w:pStyle w:val="BodyText"/>
              <w:spacing w:line="240" w:lineRule="auto"/>
              <w:jc w:val="left"/>
              <w:rPr>
                <w:sz w:val="22"/>
                <w:szCs w:val="22"/>
                <w:lang w:val="de-DE"/>
              </w:rPr>
            </w:pPr>
          </w:p>
        </w:tc>
      </w:tr>
      <w:tr w:rsidR="00A610E1" w:rsidRPr="00BD22FE" w14:paraId="56EE0670" w14:textId="77777777" w:rsidTr="00A610E1">
        <w:tc>
          <w:tcPr>
            <w:tcW w:w="2500" w:type="pct"/>
          </w:tcPr>
          <w:p w14:paraId="7F94C3E9" w14:textId="77777777" w:rsidR="00A610E1" w:rsidRPr="009D16CE" w:rsidRDefault="00A610E1" w:rsidP="00A610E1">
            <w:pPr>
              <w:pStyle w:val="BodyText"/>
              <w:spacing w:line="240" w:lineRule="auto"/>
              <w:jc w:val="left"/>
              <w:rPr>
                <w:b/>
                <w:sz w:val="22"/>
                <w:szCs w:val="22"/>
                <w:lang w:val="de-DE"/>
              </w:rPr>
            </w:pPr>
            <w:r w:rsidRPr="009D16CE">
              <w:rPr>
                <w:b/>
                <w:bCs/>
                <w:sz w:val="22"/>
                <w:szCs w:val="22"/>
                <w:lang w:val="de-DE"/>
              </w:rPr>
              <w:t>Česká republika</w:t>
            </w:r>
          </w:p>
          <w:p w14:paraId="092CC6A5" w14:textId="77777777" w:rsidR="00A610E1" w:rsidRPr="009D16CE" w:rsidRDefault="00A610E1" w:rsidP="00A610E1">
            <w:pPr>
              <w:pStyle w:val="BodyText"/>
              <w:spacing w:line="240" w:lineRule="auto"/>
              <w:jc w:val="left"/>
              <w:rPr>
                <w:sz w:val="22"/>
                <w:szCs w:val="22"/>
                <w:lang w:val="de-DE" w:eastAsia="ja-JP"/>
              </w:rPr>
            </w:pPr>
            <w:r w:rsidRPr="009D16CE">
              <w:rPr>
                <w:sz w:val="22"/>
                <w:szCs w:val="22"/>
                <w:lang w:val="de-DE" w:eastAsia="ja-JP"/>
              </w:rPr>
              <w:t>Boehringer Ingelheim spol. s r.o.</w:t>
            </w:r>
          </w:p>
          <w:p w14:paraId="15CD6B4E" w14:textId="77777777" w:rsidR="00A610E1" w:rsidRPr="00BD22FE" w:rsidRDefault="00A610E1" w:rsidP="00A610E1">
            <w:pPr>
              <w:pStyle w:val="BodyText"/>
              <w:spacing w:line="240" w:lineRule="auto"/>
              <w:jc w:val="left"/>
              <w:rPr>
                <w:sz w:val="22"/>
                <w:szCs w:val="22"/>
                <w:lang w:val="pl-PL"/>
              </w:rPr>
            </w:pPr>
            <w:r w:rsidRPr="00BD22FE">
              <w:rPr>
                <w:sz w:val="22"/>
                <w:szCs w:val="22"/>
                <w:lang w:val="pl-PL" w:eastAsia="ja-JP"/>
              </w:rPr>
              <w:t>Tel: +420 234 655 111</w:t>
            </w:r>
          </w:p>
        </w:tc>
        <w:tc>
          <w:tcPr>
            <w:tcW w:w="2500" w:type="pct"/>
          </w:tcPr>
          <w:p w14:paraId="049A4E21" w14:textId="77777777" w:rsidR="00A610E1" w:rsidRPr="009D16CE" w:rsidRDefault="00A610E1" w:rsidP="00A610E1">
            <w:pPr>
              <w:pStyle w:val="BodyText"/>
              <w:spacing w:line="240" w:lineRule="auto"/>
              <w:jc w:val="left"/>
              <w:rPr>
                <w:b/>
                <w:bCs/>
                <w:sz w:val="22"/>
                <w:szCs w:val="22"/>
                <w:lang w:val="pl-PL"/>
              </w:rPr>
            </w:pPr>
            <w:r w:rsidRPr="009D16CE">
              <w:rPr>
                <w:b/>
                <w:bCs/>
                <w:sz w:val="22"/>
                <w:szCs w:val="22"/>
                <w:lang w:val="pl-PL"/>
              </w:rPr>
              <w:t>Magyarország</w:t>
            </w:r>
          </w:p>
          <w:p w14:paraId="2EB403B5" w14:textId="77777777" w:rsidR="00A610E1" w:rsidRPr="009D16CE" w:rsidRDefault="00A610E1" w:rsidP="00A610E1">
            <w:pPr>
              <w:pStyle w:val="BodyText"/>
              <w:spacing w:line="240" w:lineRule="auto"/>
              <w:jc w:val="left"/>
              <w:rPr>
                <w:sz w:val="22"/>
                <w:szCs w:val="22"/>
                <w:lang w:val="pl-PL" w:eastAsia="de-DE"/>
              </w:rPr>
            </w:pPr>
            <w:r w:rsidRPr="009D16CE">
              <w:rPr>
                <w:sz w:val="22"/>
                <w:szCs w:val="22"/>
                <w:lang w:val="pl-PL" w:eastAsia="de-DE"/>
              </w:rPr>
              <w:t>Boehringer Ingelheim RCV GmbH &amp; Co KG</w:t>
            </w:r>
          </w:p>
          <w:p w14:paraId="4AFF07AD" w14:textId="77777777" w:rsidR="00A610E1" w:rsidRPr="00BD22FE" w:rsidRDefault="00A610E1" w:rsidP="00A610E1">
            <w:pPr>
              <w:pStyle w:val="BodyText"/>
              <w:spacing w:line="240" w:lineRule="auto"/>
              <w:jc w:val="left"/>
              <w:rPr>
                <w:sz w:val="22"/>
                <w:szCs w:val="22"/>
                <w:lang w:val="pl-PL" w:eastAsia="de-DE"/>
              </w:rPr>
            </w:pPr>
            <w:r w:rsidRPr="00BD22FE">
              <w:rPr>
                <w:bCs/>
                <w:sz w:val="22"/>
                <w:szCs w:val="22"/>
                <w:lang w:val="pl-PL"/>
              </w:rPr>
              <w:t xml:space="preserve">Magyarországi </w:t>
            </w:r>
            <w:r w:rsidRPr="00BD22FE">
              <w:rPr>
                <w:sz w:val="22"/>
                <w:szCs w:val="22"/>
                <w:lang w:val="pl-PL" w:eastAsia="de-DE"/>
              </w:rPr>
              <w:t>Fióktelepe</w:t>
            </w:r>
          </w:p>
          <w:p w14:paraId="34D65848" w14:textId="77777777" w:rsidR="00A610E1" w:rsidRPr="00BD22FE" w:rsidRDefault="00A610E1" w:rsidP="00A610E1">
            <w:pPr>
              <w:pStyle w:val="BodyText"/>
              <w:spacing w:line="240" w:lineRule="auto"/>
              <w:jc w:val="left"/>
              <w:rPr>
                <w:sz w:val="22"/>
                <w:szCs w:val="22"/>
                <w:lang w:val="pl-PL"/>
              </w:rPr>
            </w:pPr>
            <w:r w:rsidRPr="00BD22FE">
              <w:rPr>
                <w:sz w:val="22"/>
                <w:szCs w:val="22"/>
                <w:lang w:val="pl-PL" w:eastAsia="de-DE"/>
              </w:rPr>
              <w:t xml:space="preserve">Tel.: </w:t>
            </w:r>
            <w:r w:rsidRPr="00BD22FE">
              <w:rPr>
                <w:sz w:val="22"/>
                <w:szCs w:val="22"/>
                <w:lang w:val="pl-PL"/>
              </w:rPr>
              <w:t>+36 1 299 89 00</w:t>
            </w:r>
          </w:p>
          <w:p w14:paraId="1E05933B" w14:textId="77777777" w:rsidR="00A610E1" w:rsidRPr="00BD22FE" w:rsidRDefault="00A610E1" w:rsidP="00A610E1">
            <w:pPr>
              <w:pStyle w:val="BodyText"/>
              <w:spacing w:line="240" w:lineRule="auto"/>
              <w:jc w:val="left"/>
              <w:rPr>
                <w:sz w:val="22"/>
                <w:szCs w:val="22"/>
                <w:lang w:val="pl-PL"/>
              </w:rPr>
            </w:pPr>
          </w:p>
        </w:tc>
      </w:tr>
      <w:tr w:rsidR="00A610E1" w:rsidRPr="00BD22FE" w14:paraId="48DC0E08" w14:textId="77777777" w:rsidTr="00A610E1">
        <w:tc>
          <w:tcPr>
            <w:tcW w:w="2500" w:type="pct"/>
          </w:tcPr>
          <w:p w14:paraId="0479E5E3" w14:textId="77777777" w:rsidR="00A610E1" w:rsidRPr="009D16CE" w:rsidRDefault="00A610E1" w:rsidP="00A610E1">
            <w:pPr>
              <w:pStyle w:val="BodyText"/>
              <w:spacing w:line="240" w:lineRule="auto"/>
              <w:jc w:val="left"/>
              <w:rPr>
                <w:b/>
                <w:sz w:val="22"/>
                <w:szCs w:val="22"/>
                <w:lang w:val="de-DE"/>
              </w:rPr>
            </w:pPr>
            <w:r w:rsidRPr="009D16CE">
              <w:rPr>
                <w:b/>
                <w:bCs/>
                <w:sz w:val="22"/>
                <w:szCs w:val="22"/>
                <w:lang w:val="de-DE"/>
              </w:rPr>
              <w:t>Danmark</w:t>
            </w:r>
          </w:p>
          <w:p w14:paraId="76B21006" w14:textId="58A40668" w:rsidR="00A610E1" w:rsidRPr="009D16CE" w:rsidRDefault="00A610E1" w:rsidP="00A610E1">
            <w:pPr>
              <w:pStyle w:val="BodyText"/>
              <w:spacing w:line="240" w:lineRule="auto"/>
              <w:jc w:val="left"/>
              <w:rPr>
                <w:sz w:val="22"/>
                <w:szCs w:val="22"/>
                <w:lang w:val="de-DE" w:eastAsia="ja-JP"/>
              </w:rPr>
            </w:pPr>
            <w:r w:rsidRPr="009D16CE">
              <w:rPr>
                <w:sz w:val="22"/>
                <w:szCs w:val="22"/>
                <w:lang w:val="de-DE" w:eastAsia="ja-JP"/>
              </w:rPr>
              <w:t>Boehringer Ingelheim Danmark A/S</w:t>
            </w:r>
          </w:p>
          <w:p w14:paraId="281DA214" w14:textId="77777777" w:rsidR="00A610E1" w:rsidRPr="00BD22FE" w:rsidRDefault="00A610E1" w:rsidP="00A610E1">
            <w:pPr>
              <w:pStyle w:val="BodyText"/>
              <w:spacing w:line="240" w:lineRule="auto"/>
              <w:jc w:val="left"/>
              <w:rPr>
                <w:sz w:val="22"/>
                <w:szCs w:val="22"/>
                <w:lang w:val="pl-PL" w:eastAsia="ja-JP"/>
              </w:rPr>
            </w:pPr>
            <w:r w:rsidRPr="00BD22FE">
              <w:rPr>
                <w:sz w:val="22"/>
                <w:szCs w:val="22"/>
                <w:lang w:val="pl-PL" w:eastAsia="ja-JP"/>
              </w:rPr>
              <w:t>Tlf.: +45 39 15 88 88</w:t>
            </w:r>
          </w:p>
          <w:p w14:paraId="13DFA253" w14:textId="77777777" w:rsidR="00A610E1" w:rsidRPr="00BD22FE" w:rsidRDefault="00A610E1" w:rsidP="00A610E1">
            <w:pPr>
              <w:pStyle w:val="BodyText"/>
              <w:spacing w:line="240" w:lineRule="auto"/>
              <w:jc w:val="left"/>
              <w:rPr>
                <w:sz w:val="22"/>
                <w:szCs w:val="22"/>
                <w:lang w:val="pl-PL"/>
              </w:rPr>
            </w:pPr>
          </w:p>
        </w:tc>
        <w:tc>
          <w:tcPr>
            <w:tcW w:w="2500" w:type="pct"/>
          </w:tcPr>
          <w:p w14:paraId="05630174" w14:textId="77777777" w:rsidR="00A610E1" w:rsidRPr="009D16CE" w:rsidRDefault="00A610E1" w:rsidP="00A610E1">
            <w:pPr>
              <w:pStyle w:val="BodyText"/>
              <w:spacing w:line="240" w:lineRule="auto"/>
              <w:jc w:val="left"/>
              <w:rPr>
                <w:b/>
                <w:bCs/>
                <w:sz w:val="22"/>
                <w:szCs w:val="22"/>
                <w:lang w:val="de-DE"/>
              </w:rPr>
            </w:pPr>
            <w:r w:rsidRPr="009D16CE">
              <w:rPr>
                <w:b/>
                <w:bCs/>
                <w:sz w:val="22"/>
                <w:szCs w:val="22"/>
                <w:lang w:val="de-DE"/>
              </w:rPr>
              <w:t>Malta</w:t>
            </w:r>
          </w:p>
          <w:p w14:paraId="423B7491" w14:textId="77777777" w:rsidR="00A610E1" w:rsidRPr="009D16CE" w:rsidRDefault="00A610E1" w:rsidP="00A610E1">
            <w:pPr>
              <w:rPr>
                <w:sz w:val="22"/>
                <w:szCs w:val="22"/>
                <w:lang w:val="de-DE" w:eastAsia="ja-JP"/>
              </w:rPr>
            </w:pPr>
            <w:r w:rsidRPr="009D16CE">
              <w:rPr>
                <w:sz w:val="22"/>
                <w:szCs w:val="22"/>
                <w:lang w:val="de-DE" w:eastAsia="ja-JP"/>
              </w:rPr>
              <w:t>Boehringer Ingelheim Ireland Ltd.</w:t>
            </w:r>
          </w:p>
          <w:p w14:paraId="7DF3A5B4" w14:textId="77777777" w:rsidR="00A610E1" w:rsidRPr="00BD22FE" w:rsidRDefault="00A610E1" w:rsidP="00A610E1">
            <w:pPr>
              <w:pStyle w:val="BodyText"/>
              <w:spacing w:line="240" w:lineRule="auto"/>
              <w:jc w:val="left"/>
              <w:rPr>
                <w:sz w:val="22"/>
                <w:szCs w:val="22"/>
                <w:lang w:val="pl-PL" w:eastAsia="ja-JP"/>
              </w:rPr>
            </w:pPr>
            <w:r w:rsidRPr="00BD22FE">
              <w:rPr>
                <w:sz w:val="22"/>
                <w:szCs w:val="22"/>
                <w:lang w:val="pl-PL" w:eastAsia="ja-JP"/>
              </w:rPr>
              <w:t>Tel: +353 1 295 9620</w:t>
            </w:r>
          </w:p>
          <w:p w14:paraId="0728F217" w14:textId="77777777" w:rsidR="00A610E1" w:rsidRPr="00BD22FE" w:rsidRDefault="00A610E1" w:rsidP="00A610E1">
            <w:pPr>
              <w:pStyle w:val="BodyText"/>
              <w:spacing w:line="240" w:lineRule="auto"/>
              <w:jc w:val="left"/>
              <w:rPr>
                <w:sz w:val="22"/>
                <w:szCs w:val="22"/>
                <w:lang w:val="pl-PL"/>
              </w:rPr>
            </w:pPr>
          </w:p>
        </w:tc>
      </w:tr>
      <w:tr w:rsidR="00A610E1" w:rsidRPr="00BD22FE" w14:paraId="0BE49025" w14:textId="77777777" w:rsidTr="00A610E1">
        <w:tc>
          <w:tcPr>
            <w:tcW w:w="2500" w:type="pct"/>
          </w:tcPr>
          <w:p w14:paraId="3D133328" w14:textId="77777777" w:rsidR="00A610E1" w:rsidRPr="009D16CE" w:rsidRDefault="00A610E1" w:rsidP="00A610E1">
            <w:pPr>
              <w:pStyle w:val="BodyText"/>
              <w:spacing w:line="240" w:lineRule="auto"/>
              <w:jc w:val="left"/>
              <w:rPr>
                <w:b/>
                <w:sz w:val="22"/>
                <w:szCs w:val="22"/>
                <w:lang w:val="de-DE"/>
              </w:rPr>
            </w:pPr>
            <w:r w:rsidRPr="009D16CE">
              <w:rPr>
                <w:b/>
                <w:bCs/>
                <w:sz w:val="22"/>
                <w:szCs w:val="22"/>
                <w:lang w:val="de-DE"/>
              </w:rPr>
              <w:t>Deutschland</w:t>
            </w:r>
          </w:p>
          <w:p w14:paraId="249E4EBD" w14:textId="77777777" w:rsidR="00A610E1" w:rsidRPr="00BD22FE" w:rsidRDefault="00A610E1" w:rsidP="00A610E1">
            <w:pPr>
              <w:pStyle w:val="BodyText"/>
              <w:spacing w:line="240" w:lineRule="auto"/>
              <w:jc w:val="left"/>
              <w:rPr>
                <w:sz w:val="22"/>
                <w:szCs w:val="22"/>
                <w:lang w:val="pl-PL" w:eastAsia="ja-JP"/>
              </w:rPr>
            </w:pPr>
            <w:r w:rsidRPr="009D16CE">
              <w:rPr>
                <w:sz w:val="22"/>
                <w:szCs w:val="22"/>
                <w:lang w:val="de-DE" w:eastAsia="ja-JP"/>
              </w:rPr>
              <w:t xml:space="preserve">Boehringer Ingelheim Pharma GmbH &amp; Co. </w:t>
            </w:r>
            <w:r w:rsidRPr="00BD22FE">
              <w:rPr>
                <w:sz w:val="22"/>
                <w:szCs w:val="22"/>
                <w:lang w:val="pl-PL" w:eastAsia="ja-JP"/>
              </w:rPr>
              <w:t>KG</w:t>
            </w:r>
          </w:p>
          <w:p w14:paraId="7AE6C370" w14:textId="27969F0C" w:rsidR="00A610E1" w:rsidRPr="00BD22FE" w:rsidRDefault="00A610E1" w:rsidP="00A610E1">
            <w:pPr>
              <w:pStyle w:val="BodyText"/>
              <w:spacing w:line="240" w:lineRule="auto"/>
              <w:jc w:val="left"/>
              <w:rPr>
                <w:sz w:val="22"/>
                <w:szCs w:val="22"/>
                <w:lang w:val="pl-PL" w:eastAsia="ja-JP"/>
              </w:rPr>
            </w:pPr>
            <w:r w:rsidRPr="00BD22FE">
              <w:rPr>
                <w:sz w:val="22"/>
                <w:szCs w:val="22"/>
                <w:lang w:val="pl-PL" w:eastAsia="ja-JP"/>
              </w:rPr>
              <w:t>Tel: +49 (0) 800 77 90 900</w:t>
            </w:r>
          </w:p>
          <w:p w14:paraId="01E4A058" w14:textId="77777777" w:rsidR="00A610E1" w:rsidRPr="00BD22FE" w:rsidRDefault="00A610E1" w:rsidP="00A610E1">
            <w:pPr>
              <w:pStyle w:val="BodyText"/>
              <w:spacing w:line="240" w:lineRule="auto"/>
              <w:jc w:val="left"/>
              <w:rPr>
                <w:sz w:val="22"/>
                <w:szCs w:val="22"/>
                <w:lang w:val="pl-PL"/>
              </w:rPr>
            </w:pPr>
          </w:p>
        </w:tc>
        <w:tc>
          <w:tcPr>
            <w:tcW w:w="2500" w:type="pct"/>
          </w:tcPr>
          <w:p w14:paraId="3AE7FECD" w14:textId="77777777" w:rsidR="00A610E1" w:rsidRPr="009D16CE" w:rsidRDefault="00A610E1" w:rsidP="00A610E1">
            <w:pPr>
              <w:pStyle w:val="BodyText"/>
              <w:spacing w:line="240" w:lineRule="auto"/>
              <w:jc w:val="left"/>
              <w:rPr>
                <w:b/>
                <w:sz w:val="22"/>
                <w:szCs w:val="22"/>
                <w:lang w:val="de-DE"/>
              </w:rPr>
            </w:pPr>
            <w:r w:rsidRPr="009D16CE">
              <w:rPr>
                <w:b/>
                <w:bCs/>
                <w:sz w:val="22"/>
                <w:szCs w:val="22"/>
                <w:lang w:val="de-DE"/>
              </w:rPr>
              <w:t>Nederland</w:t>
            </w:r>
          </w:p>
          <w:p w14:paraId="7126C61B" w14:textId="77777777" w:rsidR="00A610E1" w:rsidRPr="009D16CE" w:rsidRDefault="00A610E1" w:rsidP="00A610E1">
            <w:pPr>
              <w:pStyle w:val="BodyText"/>
              <w:spacing w:line="240" w:lineRule="auto"/>
              <w:jc w:val="left"/>
              <w:rPr>
                <w:sz w:val="22"/>
                <w:szCs w:val="22"/>
                <w:lang w:val="de-DE" w:eastAsia="ja-JP"/>
              </w:rPr>
            </w:pPr>
            <w:r w:rsidRPr="009D16CE">
              <w:rPr>
                <w:sz w:val="22"/>
                <w:szCs w:val="22"/>
                <w:lang w:val="de-DE" w:eastAsia="ja-JP"/>
              </w:rPr>
              <w:t>Boehringer Ingelheim B.V.</w:t>
            </w:r>
          </w:p>
          <w:p w14:paraId="778ADD29" w14:textId="77777777" w:rsidR="00A610E1" w:rsidRPr="00BD22FE" w:rsidRDefault="00A610E1" w:rsidP="00A610E1">
            <w:pPr>
              <w:pStyle w:val="BodyText"/>
              <w:spacing w:line="240" w:lineRule="auto"/>
              <w:jc w:val="left"/>
              <w:rPr>
                <w:sz w:val="22"/>
                <w:szCs w:val="22"/>
                <w:lang w:val="pl-PL" w:eastAsia="ja-JP"/>
              </w:rPr>
            </w:pPr>
            <w:r w:rsidRPr="00BD22FE">
              <w:rPr>
                <w:sz w:val="22"/>
                <w:szCs w:val="22"/>
                <w:lang w:val="pl-PL" w:eastAsia="ja-JP"/>
              </w:rPr>
              <w:t>Tel: +31 (0) 800 22 55 889</w:t>
            </w:r>
          </w:p>
          <w:p w14:paraId="255368B4" w14:textId="77777777" w:rsidR="00A610E1" w:rsidRPr="00BD22FE" w:rsidRDefault="00A610E1" w:rsidP="00A610E1">
            <w:pPr>
              <w:pStyle w:val="BodyText"/>
              <w:spacing w:line="240" w:lineRule="auto"/>
              <w:jc w:val="left"/>
              <w:rPr>
                <w:sz w:val="22"/>
                <w:szCs w:val="22"/>
                <w:lang w:val="pl-PL"/>
              </w:rPr>
            </w:pPr>
          </w:p>
        </w:tc>
      </w:tr>
      <w:tr w:rsidR="00A610E1" w:rsidRPr="00BD22FE" w14:paraId="2159B114" w14:textId="77777777" w:rsidTr="00A610E1">
        <w:tc>
          <w:tcPr>
            <w:tcW w:w="2500" w:type="pct"/>
          </w:tcPr>
          <w:p w14:paraId="5A7A8B3F" w14:textId="77777777" w:rsidR="00A610E1" w:rsidRPr="00DE4C52" w:rsidRDefault="00A610E1" w:rsidP="00A610E1">
            <w:pPr>
              <w:rPr>
                <w:b/>
                <w:bCs/>
                <w:sz w:val="22"/>
                <w:szCs w:val="22"/>
                <w:lang w:val="de-DE"/>
              </w:rPr>
            </w:pPr>
            <w:r w:rsidRPr="00DE4C52">
              <w:rPr>
                <w:b/>
                <w:bCs/>
                <w:sz w:val="22"/>
                <w:szCs w:val="22"/>
                <w:lang w:val="de-DE"/>
              </w:rPr>
              <w:t>Eesti</w:t>
            </w:r>
          </w:p>
          <w:p w14:paraId="2A3CC562" w14:textId="77777777" w:rsidR="00A610E1" w:rsidRPr="00DE4C52" w:rsidRDefault="00A610E1" w:rsidP="00A610E1">
            <w:pPr>
              <w:rPr>
                <w:sz w:val="22"/>
                <w:szCs w:val="22"/>
                <w:lang w:val="de-DE" w:eastAsia="ja-JP"/>
              </w:rPr>
            </w:pPr>
            <w:r w:rsidRPr="00DE4C52">
              <w:rPr>
                <w:sz w:val="22"/>
                <w:szCs w:val="22"/>
                <w:lang w:val="de-DE" w:eastAsia="ja-JP"/>
              </w:rPr>
              <w:t>Boehringer Ingelheim RCV GmbH &amp; Co KG</w:t>
            </w:r>
          </w:p>
          <w:p w14:paraId="786CFDBD" w14:textId="77777777" w:rsidR="00A610E1" w:rsidRPr="00C53640" w:rsidRDefault="00A610E1" w:rsidP="00A610E1">
            <w:pPr>
              <w:rPr>
                <w:sz w:val="22"/>
                <w:szCs w:val="22"/>
                <w:lang w:eastAsia="de-DE"/>
              </w:rPr>
            </w:pPr>
            <w:r w:rsidRPr="00C53640">
              <w:rPr>
                <w:sz w:val="22"/>
                <w:szCs w:val="22"/>
                <w:lang w:eastAsia="de-DE"/>
              </w:rPr>
              <w:t xml:space="preserve">Eesti </w:t>
            </w:r>
            <w:proofErr w:type="spellStart"/>
            <w:r w:rsidRPr="00C53640">
              <w:rPr>
                <w:sz w:val="22"/>
                <w:szCs w:val="22"/>
                <w:lang w:eastAsia="de-DE"/>
              </w:rPr>
              <w:t>filiaal</w:t>
            </w:r>
            <w:proofErr w:type="spellEnd"/>
          </w:p>
          <w:p w14:paraId="084F4442" w14:textId="77777777" w:rsidR="00A610E1" w:rsidRPr="00BD22FE" w:rsidRDefault="00A610E1" w:rsidP="00A610E1">
            <w:pPr>
              <w:rPr>
                <w:sz w:val="22"/>
                <w:szCs w:val="22"/>
                <w:lang w:val="pl-PL" w:eastAsia="ja-JP"/>
              </w:rPr>
            </w:pPr>
            <w:r w:rsidRPr="00BD22FE">
              <w:rPr>
                <w:sz w:val="22"/>
                <w:szCs w:val="22"/>
                <w:lang w:val="pl-PL" w:eastAsia="ja-JP"/>
              </w:rPr>
              <w:t>Tel: +372 612 8000</w:t>
            </w:r>
          </w:p>
          <w:p w14:paraId="63FA508C" w14:textId="77777777" w:rsidR="00A610E1" w:rsidRPr="00BD22FE" w:rsidRDefault="00A610E1" w:rsidP="00A610E1">
            <w:pPr>
              <w:pStyle w:val="BodyText"/>
              <w:spacing w:line="240" w:lineRule="auto"/>
              <w:jc w:val="left"/>
              <w:rPr>
                <w:sz w:val="22"/>
                <w:szCs w:val="22"/>
                <w:lang w:val="pl-PL"/>
              </w:rPr>
            </w:pPr>
          </w:p>
        </w:tc>
        <w:tc>
          <w:tcPr>
            <w:tcW w:w="2500" w:type="pct"/>
          </w:tcPr>
          <w:p w14:paraId="14F0EA05" w14:textId="77777777" w:rsidR="00A610E1" w:rsidRPr="009D16CE" w:rsidRDefault="00A610E1" w:rsidP="00A610E1">
            <w:pPr>
              <w:pStyle w:val="BodyText"/>
              <w:spacing w:line="240" w:lineRule="auto"/>
              <w:jc w:val="left"/>
              <w:rPr>
                <w:b/>
                <w:sz w:val="22"/>
                <w:szCs w:val="22"/>
                <w:lang w:val="de-DE"/>
              </w:rPr>
            </w:pPr>
            <w:r w:rsidRPr="009D16CE">
              <w:rPr>
                <w:b/>
                <w:bCs/>
                <w:sz w:val="22"/>
                <w:szCs w:val="22"/>
                <w:lang w:val="de-DE"/>
              </w:rPr>
              <w:t>Norge</w:t>
            </w:r>
          </w:p>
          <w:p w14:paraId="794E8F84" w14:textId="1698A36B" w:rsidR="00A610E1" w:rsidRPr="009D16CE" w:rsidRDefault="00A610E1" w:rsidP="00A610E1">
            <w:pPr>
              <w:pStyle w:val="BodyText"/>
              <w:spacing w:line="240" w:lineRule="auto"/>
              <w:jc w:val="left"/>
              <w:rPr>
                <w:sz w:val="22"/>
                <w:szCs w:val="22"/>
                <w:lang w:val="de-DE" w:eastAsia="ja-JP"/>
              </w:rPr>
            </w:pPr>
            <w:r w:rsidRPr="009D16CE">
              <w:rPr>
                <w:sz w:val="22"/>
                <w:szCs w:val="22"/>
                <w:lang w:val="de-DE" w:eastAsia="ja-JP"/>
              </w:rPr>
              <w:t>Boehringer Ingelheim Danmark</w:t>
            </w:r>
            <w:ins w:id="23" w:author="translator" w:date="2026-03-16T16:17:00Z">
              <w:r w:rsidR="005A5DC0" w:rsidRPr="00C67077">
                <w:rPr>
                  <w:sz w:val="22"/>
                  <w:szCs w:val="22"/>
                  <w:lang w:eastAsia="ja-JP"/>
                </w:rPr>
                <w:t xml:space="preserve"> A/S NUF</w:t>
              </w:r>
            </w:ins>
          </w:p>
          <w:p w14:paraId="55E4A2A7" w14:textId="43FD05B8" w:rsidR="00A610E1" w:rsidRPr="009D16CE" w:rsidDel="005A5DC0" w:rsidRDefault="00A610E1" w:rsidP="00A610E1">
            <w:pPr>
              <w:widowControl w:val="0"/>
              <w:rPr>
                <w:del w:id="24" w:author="translator" w:date="2026-03-16T16:17:00Z"/>
                <w:sz w:val="22"/>
                <w:szCs w:val="22"/>
                <w:lang w:val="de-DE" w:eastAsia="ja-JP"/>
              </w:rPr>
            </w:pPr>
            <w:del w:id="25" w:author="translator" w:date="2026-03-16T16:17:00Z">
              <w:r w:rsidRPr="009D16CE" w:rsidDel="005A5DC0">
                <w:rPr>
                  <w:sz w:val="22"/>
                  <w:szCs w:val="22"/>
                  <w:lang w:val="de-DE" w:eastAsia="ja-JP"/>
                </w:rPr>
                <w:delText>Norwegian branch</w:delText>
              </w:r>
            </w:del>
          </w:p>
          <w:p w14:paraId="3F40C97E" w14:textId="77777777" w:rsidR="00A610E1" w:rsidRPr="00BD22FE" w:rsidRDefault="00A610E1" w:rsidP="00A610E1">
            <w:pPr>
              <w:pStyle w:val="BodyText"/>
              <w:spacing w:line="240" w:lineRule="auto"/>
              <w:jc w:val="left"/>
              <w:rPr>
                <w:sz w:val="22"/>
                <w:szCs w:val="22"/>
                <w:lang w:val="pl-PL" w:eastAsia="ja-JP"/>
              </w:rPr>
            </w:pPr>
            <w:r w:rsidRPr="00BD22FE">
              <w:rPr>
                <w:sz w:val="22"/>
                <w:szCs w:val="22"/>
                <w:lang w:val="pl-PL" w:eastAsia="ja-JP"/>
              </w:rPr>
              <w:t>Tlf: +47 66 76 13 00</w:t>
            </w:r>
          </w:p>
          <w:p w14:paraId="337EC509" w14:textId="77777777" w:rsidR="00A610E1" w:rsidRPr="00BD22FE" w:rsidRDefault="00A610E1" w:rsidP="00A610E1">
            <w:pPr>
              <w:pStyle w:val="BodyText"/>
              <w:spacing w:line="240" w:lineRule="auto"/>
              <w:jc w:val="left"/>
              <w:rPr>
                <w:sz w:val="22"/>
                <w:szCs w:val="22"/>
                <w:lang w:val="pl-PL"/>
              </w:rPr>
            </w:pPr>
          </w:p>
        </w:tc>
      </w:tr>
      <w:tr w:rsidR="00A610E1" w:rsidRPr="00BD22FE" w14:paraId="6D889555" w14:textId="77777777" w:rsidTr="00A610E1">
        <w:tc>
          <w:tcPr>
            <w:tcW w:w="2500" w:type="pct"/>
          </w:tcPr>
          <w:p w14:paraId="08EB18B2" w14:textId="77777777" w:rsidR="00A610E1" w:rsidRPr="00166B77" w:rsidRDefault="00A610E1" w:rsidP="00A610E1">
            <w:pPr>
              <w:pStyle w:val="BodyText"/>
              <w:spacing w:line="240" w:lineRule="auto"/>
              <w:jc w:val="left"/>
              <w:rPr>
                <w:b/>
                <w:sz w:val="22"/>
                <w:szCs w:val="22"/>
                <w:lang w:val="en-US"/>
              </w:rPr>
            </w:pPr>
            <w:r w:rsidRPr="00BD22FE">
              <w:rPr>
                <w:b/>
                <w:bCs/>
                <w:sz w:val="22"/>
                <w:szCs w:val="22"/>
                <w:lang w:val="pl-PL"/>
              </w:rPr>
              <w:t>Ελλάδα</w:t>
            </w:r>
          </w:p>
          <w:p w14:paraId="3E1F22A1" w14:textId="77777777" w:rsidR="00A610E1" w:rsidRPr="00166B77" w:rsidRDefault="00A610E1" w:rsidP="00A610E1">
            <w:pPr>
              <w:rPr>
                <w:sz w:val="22"/>
                <w:szCs w:val="22"/>
                <w:lang w:eastAsia="ja-JP"/>
              </w:rPr>
            </w:pPr>
            <w:r w:rsidRPr="00166B77">
              <w:rPr>
                <w:sz w:val="22"/>
                <w:szCs w:val="22"/>
                <w:lang w:eastAsia="ja-JP"/>
              </w:rPr>
              <w:t xml:space="preserve">Boehringer Ingelheim </w:t>
            </w:r>
            <w:r w:rsidRPr="00BD22FE">
              <w:rPr>
                <w:sz w:val="22"/>
                <w:szCs w:val="22"/>
                <w:lang w:val="pl-PL" w:eastAsia="ja-JP"/>
              </w:rPr>
              <w:t>Ελλάς</w:t>
            </w:r>
            <w:r w:rsidRPr="00166B77">
              <w:rPr>
                <w:sz w:val="22"/>
                <w:szCs w:val="22"/>
                <w:lang w:eastAsia="ja-JP"/>
              </w:rPr>
              <w:t xml:space="preserve"> </w:t>
            </w:r>
            <w:r w:rsidRPr="00BD22FE">
              <w:rPr>
                <w:sz w:val="22"/>
                <w:szCs w:val="22"/>
                <w:lang w:val="pl-PL" w:eastAsia="ja-JP"/>
              </w:rPr>
              <w:t>Μονοπρόσωπη</w:t>
            </w:r>
            <w:r w:rsidRPr="00166B77">
              <w:rPr>
                <w:sz w:val="22"/>
                <w:szCs w:val="22"/>
                <w:lang w:eastAsia="ja-JP"/>
              </w:rPr>
              <w:t xml:space="preserve"> </w:t>
            </w:r>
            <w:r w:rsidRPr="00BD22FE">
              <w:rPr>
                <w:sz w:val="22"/>
                <w:szCs w:val="22"/>
                <w:lang w:val="pl-PL" w:eastAsia="ja-JP"/>
              </w:rPr>
              <w:t>Α</w:t>
            </w:r>
            <w:r w:rsidRPr="00166B77">
              <w:rPr>
                <w:sz w:val="22"/>
                <w:szCs w:val="22"/>
                <w:lang w:eastAsia="ja-JP"/>
              </w:rPr>
              <w:t>.</w:t>
            </w:r>
            <w:r w:rsidRPr="00BD22FE">
              <w:rPr>
                <w:sz w:val="22"/>
                <w:szCs w:val="22"/>
                <w:lang w:val="pl-PL" w:eastAsia="ja-JP"/>
              </w:rPr>
              <w:t>Ε</w:t>
            </w:r>
            <w:r w:rsidRPr="00166B77">
              <w:rPr>
                <w:sz w:val="22"/>
                <w:szCs w:val="22"/>
                <w:lang w:eastAsia="ja-JP"/>
              </w:rPr>
              <w:t>.</w:t>
            </w:r>
          </w:p>
          <w:p w14:paraId="4B805CA5" w14:textId="77777777" w:rsidR="00A610E1" w:rsidRPr="00BD22FE" w:rsidRDefault="00A610E1" w:rsidP="00A610E1">
            <w:pPr>
              <w:rPr>
                <w:sz w:val="22"/>
                <w:szCs w:val="22"/>
                <w:lang w:val="pl-PL" w:eastAsia="ja-JP"/>
              </w:rPr>
            </w:pPr>
            <w:r w:rsidRPr="00BD22FE">
              <w:rPr>
                <w:sz w:val="22"/>
                <w:szCs w:val="22"/>
                <w:lang w:val="pl-PL" w:eastAsia="ja-JP"/>
              </w:rPr>
              <w:t>Tηλ: +30 2 10 89 06 300</w:t>
            </w:r>
          </w:p>
          <w:p w14:paraId="166EFDD6" w14:textId="77777777" w:rsidR="00A610E1" w:rsidRPr="00BD22FE" w:rsidRDefault="00A610E1" w:rsidP="00A610E1">
            <w:pPr>
              <w:pStyle w:val="BodyText"/>
              <w:spacing w:line="240" w:lineRule="auto"/>
              <w:jc w:val="left"/>
              <w:rPr>
                <w:sz w:val="22"/>
                <w:szCs w:val="22"/>
                <w:lang w:val="pl-PL"/>
              </w:rPr>
            </w:pPr>
          </w:p>
        </w:tc>
        <w:tc>
          <w:tcPr>
            <w:tcW w:w="2500" w:type="pct"/>
          </w:tcPr>
          <w:p w14:paraId="3B0CB0B1" w14:textId="77777777" w:rsidR="00A610E1" w:rsidRPr="00DE4C52" w:rsidRDefault="00A610E1" w:rsidP="00A610E1">
            <w:pPr>
              <w:rPr>
                <w:sz w:val="22"/>
                <w:szCs w:val="22"/>
                <w:lang w:val="de-DE"/>
              </w:rPr>
            </w:pPr>
            <w:r w:rsidRPr="00DE4C52">
              <w:rPr>
                <w:b/>
                <w:bCs/>
                <w:sz w:val="22"/>
                <w:szCs w:val="22"/>
                <w:lang w:val="de-DE"/>
              </w:rPr>
              <w:t>Österreich</w:t>
            </w:r>
          </w:p>
          <w:p w14:paraId="70E347BF" w14:textId="77777777" w:rsidR="00A610E1" w:rsidRPr="00DE4C52" w:rsidRDefault="00A610E1" w:rsidP="00A610E1">
            <w:pPr>
              <w:autoSpaceDE w:val="0"/>
              <w:autoSpaceDN w:val="0"/>
              <w:adjustRightInd w:val="0"/>
              <w:rPr>
                <w:sz w:val="22"/>
                <w:szCs w:val="22"/>
                <w:lang w:val="de-DE" w:eastAsia="de-DE"/>
              </w:rPr>
            </w:pPr>
            <w:r w:rsidRPr="00DE4C52">
              <w:rPr>
                <w:sz w:val="22"/>
                <w:szCs w:val="22"/>
                <w:lang w:val="de-DE" w:eastAsia="de-DE"/>
              </w:rPr>
              <w:t>Boehringer Ingelheim RCV GmbH &amp; Co KG</w:t>
            </w:r>
          </w:p>
          <w:p w14:paraId="5A44553C" w14:textId="77777777" w:rsidR="00A610E1" w:rsidRPr="00BD22FE" w:rsidRDefault="00A610E1" w:rsidP="00A610E1">
            <w:pPr>
              <w:pStyle w:val="BodyText"/>
              <w:spacing w:line="240" w:lineRule="auto"/>
              <w:jc w:val="left"/>
              <w:rPr>
                <w:sz w:val="22"/>
                <w:szCs w:val="22"/>
                <w:lang w:val="pl-PL" w:eastAsia="de-DE"/>
              </w:rPr>
            </w:pPr>
            <w:r w:rsidRPr="00BD22FE">
              <w:rPr>
                <w:sz w:val="22"/>
                <w:szCs w:val="22"/>
                <w:lang w:val="pl-PL" w:eastAsia="de-DE"/>
              </w:rPr>
              <w:t>Tel: +43 1 80 105</w:t>
            </w:r>
            <w:r w:rsidRPr="00BD22FE">
              <w:rPr>
                <w:sz w:val="22"/>
                <w:szCs w:val="22"/>
                <w:lang w:val="pl-PL" w:eastAsia="de-DE"/>
              </w:rPr>
              <w:noBreakHyphen/>
              <w:t>7870</w:t>
            </w:r>
          </w:p>
          <w:p w14:paraId="0A86B98A" w14:textId="77777777" w:rsidR="00A610E1" w:rsidRPr="00BD22FE" w:rsidRDefault="00A610E1" w:rsidP="00A610E1">
            <w:pPr>
              <w:pStyle w:val="BodyText"/>
              <w:spacing w:line="240" w:lineRule="auto"/>
              <w:jc w:val="left"/>
              <w:rPr>
                <w:sz w:val="22"/>
                <w:szCs w:val="22"/>
                <w:lang w:val="pl-PL"/>
              </w:rPr>
            </w:pPr>
          </w:p>
        </w:tc>
      </w:tr>
      <w:tr w:rsidR="00A610E1" w:rsidRPr="00BD22FE" w14:paraId="566797B0" w14:textId="77777777" w:rsidTr="00A610E1">
        <w:tc>
          <w:tcPr>
            <w:tcW w:w="2500" w:type="pct"/>
          </w:tcPr>
          <w:p w14:paraId="2BD5D28B" w14:textId="77777777" w:rsidR="00A610E1" w:rsidRPr="00C53640" w:rsidRDefault="00A610E1" w:rsidP="00A610E1">
            <w:pPr>
              <w:pStyle w:val="BodyText"/>
              <w:spacing w:line="240" w:lineRule="auto"/>
              <w:jc w:val="left"/>
              <w:rPr>
                <w:b/>
                <w:bCs/>
                <w:sz w:val="22"/>
                <w:szCs w:val="22"/>
                <w:lang w:val="es-ES"/>
              </w:rPr>
            </w:pPr>
            <w:r w:rsidRPr="00C53640">
              <w:rPr>
                <w:b/>
                <w:bCs/>
                <w:sz w:val="22"/>
                <w:szCs w:val="22"/>
                <w:lang w:val="es-ES"/>
              </w:rPr>
              <w:t>España</w:t>
            </w:r>
          </w:p>
          <w:p w14:paraId="44FAF14B" w14:textId="77777777" w:rsidR="00A610E1" w:rsidRPr="00C53640" w:rsidRDefault="00A610E1" w:rsidP="00A610E1">
            <w:pPr>
              <w:pStyle w:val="BodyText"/>
              <w:spacing w:line="240" w:lineRule="auto"/>
              <w:jc w:val="left"/>
              <w:rPr>
                <w:sz w:val="22"/>
                <w:szCs w:val="22"/>
                <w:lang w:val="es-ES" w:eastAsia="ja-JP"/>
              </w:rPr>
            </w:pPr>
            <w:r w:rsidRPr="00C53640">
              <w:rPr>
                <w:sz w:val="22"/>
                <w:szCs w:val="22"/>
                <w:lang w:val="es-ES" w:eastAsia="ja-JP"/>
              </w:rPr>
              <w:t>Boehringer Ingelheim España S.A.</w:t>
            </w:r>
          </w:p>
          <w:p w14:paraId="6A079912" w14:textId="77777777" w:rsidR="00A610E1" w:rsidRPr="00BD22FE" w:rsidRDefault="00A610E1" w:rsidP="00A610E1">
            <w:pPr>
              <w:pStyle w:val="BodyText"/>
              <w:spacing w:line="240" w:lineRule="auto"/>
              <w:jc w:val="left"/>
              <w:rPr>
                <w:sz w:val="22"/>
                <w:szCs w:val="22"/>
                <w:lang w:val="pl-PL"/>
              </w:rPr>
            </w:pPr>
            <w:r w:rsidRPr="00BD22FE">
              <w:rPr>
                <w:sz w:val="22"/>
                <w:szCs w:val="22"/>
                <w:lang w:val="pl-PL" w:eastAsia="ja-JP"/>
              </w:rPr>
              <w:t>Tel: +34 93 404 51 00</w:t>
            </w:r>
          </w:p>
          <w:p w14:paraId="408824AD" w14:textId="77777777" w:rsidR="00A610E1" w:rsidRPr="00BD22FE" w:rsidRDefault="00A610E1" w:rsidP="00A610E1">
            <w:pPr>
              <w:pStyle w:val="BodyText"/>
              <w:spacing w:line="240" w:lineRule="auto"/>
              <w:jc w:val="left"/>
              <w:rPr>
                <w:sz w:val="22"/>
                <w:szCs w:val="22"/>
                <w:lang w:val="pl-PL"/>
              </w:rPr>
            </w:pPr>
          </w:p>
        </w:tc>
        <w:tc>
          <w:tcPr>
            <w:tcW w:w="2500" w:type="pct"/>
          </w:tcPr>
          <w:p w14:paraId="41F3D238" w14:textId="77777777" w:rsidR="00A610E1" w:rsidRPr="00BD22FE" w:rsidRDefault="00A610E1" w:rsidP="00A610E1">
            <w:pPr>
              <w:pStyle w:val="BodyText"/>
              <w:spacing w:line="240" w:lineRule="auto"/>
              <w:jc w:val="left"/>
              <w:rPr>
                <w:b/>
                <w:bCs/>
                <w:iCs/>
                <w:sz w:val="22"/>
                <w:szCs w:val="22"/>
                <w:lang w:val="pl-PL"/>
              </w:rPr>
            </w:pPr>
            <w:r w:rsidRPr="00BD22FE">
              <w:rPr>
                <w:b/>
                <w:bCs/>
                <w:sz w:val="22"/>
                <w:szCs w:val="22"/>
                <w:lang w:val="pl-PL"/>
              </w:rPr>
              <w:t>Polska</w:t>
            </w:r>
          </w:p>
          <w:p w14:paraId="41D49239" w14:textId="77777777" w:rsidR="00A610E1" w:rsidRPr="00BD22FE" w:rsidRDefault="00A610E1" w:rsidP="00A610E1">
            <w:pPr>
              <w:pStyle w:val="BodyText"/>
              <w:spacing w:line="240" w:lineRule="auto"/>
              <w:jc w:val="left"/>
              <w:rPr>
                <w:sz w:val="22"/>
                <w:szCs w:val="22"/>
                <w:lang w:val="pl-PL" w:eastAsia="ja-JP"/>
              </w:rPr>
            </w:pPr>
            <w:r w:rsidRPr="00BD22FE">
              <w:rPr>
                <w:sz w:val="22"/>
                <w:szCs w:val="22"/>
                <w:lang w:val="pl-PL" w:eastAsia="ja-JP"/>
              </w:rPr>
              <w:t>Boehringer Ingelheim Sp. z o.o.</w:t>
            </w:r>
          </w:p>
          <w:p w14:paraId="12FA736B" w14:textId="77777777" w:rsidR="00A610E1" w:rsidRPr="00BD22FE" w:rsidRDefault="00A610E1" w:rsidP="00A610E1">
            <w:pPr>
              <w:pStyle w:val="BodyText"/>
              <w:spacing w:line="240" w:lineRule="auto"/>
              <w:jc w:val="left"/>
              <w:rPr>
                <w:sz w:val="22"/>
                <w:szCs w:val="22"/>
                <w:lang w:val="pl-PL" w:eastAsia="ja-JP"/>
              </w:rPr>
            </w:pPr>
            <w:r w:rsidRPr="00BD22FE">
              <w:rPr>
                <w:sz w:val="22"/>
                <w:szCs w:val="22"/>
                <w:lang w:val="pl-PL" w:eastAsia="ja-JP"/>
              </w:rPr>
              <w:t>Tel.: +48 22 699 0 699</w:t>
            </w:r>
          </w:p>
          <w:p w14:paraId="2D2A9A20" w14:textId="77777777" w:rsidR="00A610E1" w:rsidRPr="00BD22FE" w:rsidRDefault="00A610E1" w:rsidP="00A610E1">
            <w:pPr>
              <w:pStyle w:val="BodyText"/>
              <w:spacing w:line="240" w:lineRule="auto"/>
              <w:jc w:val="left"/>
              <w:rPr>
                <w:sz w:val="22"/>
                <w:szCs w:val="22"/>
                <w:lang w:val="pl-PL"/>
              </w:rPr>
            </w:pPr>
          </w:p>
        </w:tc>
      </w:tr>
      <w:tr w:rsidR="00A610E1" w:rsidRPr="00BD22FE" w14:paraId="07731FA9" w14:textId="77777777" w:rsidTr="00A610E1">
        <w:tc>
          <w:tcPr>
            <w:tcW w:w="2500" w:type="pct"/>
          </w:tcPr>
          <w:p w14:paraId="5F332183" w14:textId="77777777" w:rsidR="00A610E1" w:rsidRPr="009D16CE" w:rsidRDefault="00A610E1" w:rsidP="00A610E1">
            <w:pPr>
              <w:pStyle w:val="BodyText"/>
              <w:spacing w:line="240" w:lineRule="auto"/>
              <w:jc w:val="left"/>
              <w:rPr>
                <w:b/>
                <w:bCs/>
                <w:sz w:val="22"/>
                <w:szCs w:val="22"/>
                <w:lang w:val="de-DE"/>
              </w:rPr>
            </w:pPr>
            <w:r w:rsidRPr="009D16CE">
              <w:rPr>
                <w:b/>
                <w:bCs/>
                <w:sz w:val="22"/>
                <w:szCs w:val="22"/>
                <w:lang w:val="de-DE"/>
              </w:rPr>
              <w:t>France</w:t>
            </w:r>
          </w:p>
          <w:p w14:paraId="479991FB" w14:textId="77777777" w:rsidR="00A610E1" w:rsidRPr="009D16CE" w:rsidRDefault="00A610E1" w:rsidP="00A610E1">
            <w:pPr>
              <w:pStyle w:val="BodyText"/>
              <w:spacing w:line="240" w:lineRule="auto"/>
              <w:jc w:val="left"/>
              <w:rPr>
                <w:sz w:val="22"/>
                <w:szCs w:val="22"/>
                <w:lang w:val="de-DE" w:eastAsia="ja-JP"/>
              </w:rPr>
            </w:pPr>
            <w:r w:rsidRPr="009D16CE">
              <w:rPr>
                <w:sz w:val="22"/>
                <w:szCs w:val="22"/>
                <w:lang w:val="de-DE" w:eastAsia="ja-JP"/>
              </w:rPr>
              <w:t>Boehringer Ingelheim France S.A.S.</w:t>
            </w:r>
          </w:p>
          <w:p w14:paraId="69821988" w14:textId="77777777" w:rsidR="00A610E1" w:rsidRPr="00BD22FE" w:rsidRDefault="00A610E1" w:rsidP="00A610E1">
            <w:pPr>
              <w:pStyle w:val="BodyText"/>
              <w:spacing w:line="240" w:lineRule="auto"/>
              <w:jc w:val="left"/>
              <w:rPr>
                <w:bCs/>
                <w:sz w:val="22"/>
                <w:szCs w:val="22"/>
                <w:lang w:val="pl-PL"/>
              </w:rPr>
            </w:pPr>
            <w:r w:rsidRPr="00BD22FE">
              <w:rPr>
                <w:sz w:val="22"/>
                <w:szCs w:val="22"/>
                <w:lang w:val="pl-PL" w:eastAsia="ja-JP"/>
              </w:rPr>
              <w:t>Tél: +33 3 26 50 45 33</w:t>
            </w:r>
          </w:p>
        </w:tc>
        <w:tc>
          <w:tcPr>
            <w:tcW w:w="2500" w:type="pct"/>
          </w:tcPr>
          <w:p w14:paraId="3F1A5DF5" w14:textId="77777777" w:rsidR="00A610E1" w:rsidRPr="00C53640" w:rsidRDefault="00A610E1" w:rsidP="00A610E1">
            <w:pPr>
              <w:pStyle w:val="BodyText"/>
              <w:spacing w:line="240" w:lineRule="auto"/>
              <w:jc w:val="left"/>
              <w:rPr>
                <w:b/>
                <w:sz w:val="22"/>
                <w:szCs w:val="22"/>
                <w:lang w:val="pt-PT"/>
              </w:rPr>
            </w:pPr>
            <w:r w:rsidRPr="00C53640">
              <w:rPr>
                <w:b/>
                <w:bCs/>
                <w:sz w:val="22"/>
                <w:szCs w:val="22"/>
                <w:lang w:val="pt-PT"/>
              </w:rPr>
              <w:t>Portugal</w:t>
            </w:r>
          </w:p>
          <w:p w14:paraId="71935AE4" w14:textId="77777777" w:rsidR="00A610E1" w:rsidRPr="00C53640" w:rsidRDefault="00A610E1" w:rsidP="00A610E1">
            <w:pPr>
              <w:pStyle w:val="BodyText"/>
              <w:spacing w:line="240" w:lineRule="auto"/>
              <w:jc w:val="left"/>
              <w:rPr>
                <w:sz w:val="22"/>
                <w:szCs w:val="22"/>
                <w:lang w:val="pt-PT" w:eastAsia="ja-JP"/>
              </w:rPr>
            </w:pPr>
            <w:r w:rsidRPr="00C53640">
              <w:rPr>
                <w:sz w:val="22"/>
                <w:szCs w:val="22"/>
                <w:lang w:val="pt-PT" w:eastAsia="ja-JP"/>
              </w:rPr>
              <w:t>Boehringer Ingelheim Portugal, Lda.</w:t>
            </w:r>
          </w:p>
          <w:p w14:paraId="3D12C355" w14:textId="77777777" w:rsidR="00A610E1" w:rsidRPr="00BD22FE" w:rsidRDefault="00A610E1" w:rsidP="00A610E1">
            <w:pPr>
              <w:pStyle w:val="BodyText"/>
              <w:spacing w:line="240" w:lineRule="auto"/>
              <w:jc w:val="left"/>
              <w:rPr>
                <w:sz w:val="22"/>
                <w:szCs w:val="22"/>
                <w:lang w:val="pl-PL" w:eastAsia="ja-JP"/>
              </w:rPr>
            </w:pPr>
            <w:r w:rsidRPr="00BD22FE">
              <w:rPr>
                <w:sz w:val="22"/>
                <w:szCs w:val="22"/>
                <w:lang w:val="pl-PL" w:eastAsia="ja-JP"/>
              </w:rPr>
              <w:t>Tel: +351 21 313 53 00</w:t>
            </w:r>
          </w:p>
          <w:p w14:paraId="13DC59F1" w14:textId="77777777" w:rsidR="00A610E1" w:rsidRPr="00BD22FE" w:rsidRDefault="00A610E1" w:rsidP="00A610E1">
            <w:pPr>
              <w:pStyle w:val="BodyText"/>
              <w:spacing w:line="240" w:lineRule="auto"/>
              <w:jc w:val="left"/>
              <w:rPr>
                <w:sz w:val="22"/>
                <w:szCs w:val="22"/>
                <w:lang w:val="pl-PL"/>
              </w:rPr>
            </w:pPr>
          </w:p>
        </w:tc>
      </w:tr>
      <w:tr w:rsidR="00A610E1" w:rsidRPr="00BD22FE" w14:paraId="7E81098D" w14:textId="77777777" w:rsidTr="00A610E1">
        <w:tc>
          <w:tcPr>
            <w:tcW w:w="2500" w:type="pct"/>
          </w:tcPr>
          <w:p w14:paraId="66925735" w14:textId="77777777" w:rsidR="00A610E1" w:rsidRPr="00DE4C52" w:rsidRDefault="00A610E1" w:rsidP="00A610E1">
            <w:pPr>
              <w:pStyle w:val="HeadNoNum1"/>
              <w:suppressAutoHyphens w:val="0"/>
              <w:rPr>
                <w:noProof w:val="0"/>
                <w:lang w:val="de-DE"/>
              </w:rPr>
            </w:pPr>
            <w:r w:rsidRPr="00DE4C52">
              <w:rPr>
                <w:noProof w:val="0"/>
                <w:szCs w:val="22"/>
                <w:lang w:val="de-DE"/>
              </w:rPr>
              <w:br w:type="page"/>
            </w:r>
            <w:r w:rsidRPr="00DE4C52">
              <w:rPr>
                <w:noProof w:val="0"/>
                <w:lang w:val="de-DE"/>
              </w:rPr>
              <w:t>Hrvatska</w:t>
            </w:r>
          </w:p>
          <w:p w14:paraId="17286AAB" w14:textId="77777777" w:rsidR="00A610E1" w:rsidRPr="00DE4C52" w:rsidRDefault="00A610E1" w:rsidP="00A610E1">
            <w:pPr>
              <w:pStyle w:val="HeadNoNum1"/>
              <w:suppressAutoHyphens w:val="0"/>
              <w:rPr>
                <w:b w:val="0"/>
                <w:noProof w:val="0"/>
                <w:lang w:val="de-DE"/>
              </w:rPr>
            </w:pPr>
            <w:r w:rsidRPr="00DE4C52">
              <w:rPr>
                <w:b w:val="0"/>
                <w:noProof w:val="0"/>
                <w:lang w:val="de-DE"/>
              </w:rPr>
              <w:t>Boehringer Ingelheim Zagreb d.o.o.</w:t>
            </w:r>
          </w:p>
          <w:p w14:paraId="0490D081" w14:textId="77777777" w:rsidR="00A610E1" w:rsidRPr="00BD22FE" w:rsidRDefault="00A610E1" w:rsidP="00A610E1">
            <w:pPr>
              <w:pStyle w:val="HeadNoNum1"/>
              <w:suppressAutoHyphens w:val="0"/>
              <w:rPr>
                <w:b w:val="0"/>
                <w:noProof w:val="0"/>
                <w:lang w:val="pl-PL"/>
              </w:rPr>
            </w:pPr>
            <w:r w:rsidRPr="00BD22FE">
              <w:rPr>
                <w:b w:val="0"/>
                <w:noProof w:val="0"/>
                <w:lang w:val="pl-PL"/>
              </w:rPr>
              <w:t>Tel: +385 1 2444 600</w:t>
            </w:r>
          </w:p>
          <w:p w14:paraId="429BA90C" w14:textId="77777777" w:rsidR="00A610E1" w:rsidRPr="00BD22FE" w:rsidRDefault="00A610E1" w:rsidP="00A610E1">
            <w:pPr>
              <w:pStyle w:val="BodyText"/>
              <w:spacing w:line="240" w:lineRule="auto"/>
              <w:jc w:val="left"/>
              <w:rPr>
                <w:sz w:val="22"/>
                <w:szCs w:val="22"/>
                <w:lang w:val="pl-PL"/>
              </w:rPr>
            </w:pPr>
          </w:p>
        </w:tc>
        <w:tc>
          <w:tcPr>
            <w:tcW w:w="2500" w:type="pct"/>
          </w:tcPr>
          <w:p w14:paraId="68B1166F" w14:textId="77777777" w:rsidR="00A610E1" w:rsidRPr="00BD22FE" w:rsidRDefault="00A610E1" w:rsidP="00A610E1">
            <w:pPr>
              <w:pStyle w:val="BodyText"/>
              <w:spacing w:line="240" w:lineRule="auto"/>
              <w:jc w:val="left"/>
              <w:rPr>
                <w:b/>
                <w:bCs/>
                <w:sz w:val="22"/>
                <w:szCs w:val="22"/>
                <w:lang w:val="pl-PL"/>
              </w:rPr>
            </w:pPr>
            <w:r w:rsidRPr="00BD22FE">
              <w:rPr>
                <w:b/>
                <w:bCs/>
                <w:sz w:val="22"/>
                <w:szCs w:val="22"/>
                <w:lang w:val="pl-PL"/>
              </w:rPr>
              <w:t>România</w:t>
            </w:r>
          </w:p>
          <w:p w14:paraId="6CB6A1CC" w14:textId="014F8DA4" w:rsidR="00A610E1" w:rsidRPr="00BD22FE" w:rsidRDefault="00A610E1" w:rsidP="00A610E1">
            <w:pPr>
              <w:pStyle w:val="BodyText"/>
              <w:spacing w:line="240" w:lineRule="auto"/>
              <w:jc w:val="left"/>
              <w:rPr>
                <w:sz w:val="22"/>
                <w:szCs w:val="22"/>
                <w:lang w:val="pl-PL"/>
              </w:rPr>
            </w:pPr>
            <w:r w:rsidRPr="00BD22FE">
              <w:rPr>
                <w:sz w:val="22"/>
                <w:szCs w:val="22"/>
                <w:lang w:val="pl-PL"/>
              </w:rPr>
              <w:t>Boehringer Ingelheim RCV GmbH &amp; Co KG Viena - Sucursala Bucureşti</w:t>
            </w:r>
          </w:p>
          <w:p w14:paraId="356A0A84" w14:textId="77777777" w:rsidR="00A610E1" w:rsidRPr="00BD22FE" w:rsidRDefault="00A610E1" w:rsidP="00A610E1">
            <w:pPr>
              <w:pStyle w:val="BodyText"/>
              <w:spacing w:line="240" w:lineRule="auto"/>
              <w:jc w:val="left"/>
              <w:rPr>
                <w:sz w:val="22"/>
                <w:szCs w:val="22"/>
                <w:lang w:val="pl-PL"/>
              </w:rPr>
            </w:pPr>
            <w:r w:rsidRPr="00BD22FE">
              <w:rPr>
                <w:sz w:val="22"/>
                <w:szCs w:val="22"/>
                <w:lang w:val="pl-PL"/>
              </w:rPr>
              <w:t>Tel: +40 21 302 28 00</w:t>
            </w:r>
          </w:p>
          <w:p w14:paraId="40224A16" w14:textId="77777777" w:rsidR="00A610E1" w:rsidRPr="00BD22FE" w:rsidRDefault="00A610E1" w:rsidP="00A610E1">
            <w:pPr>
              <w:pStyle w:val="BodyText"/>
              <w:spacing w:line="240" w:lineRule="auto"/>
              <w:jc w:val="left"/>
              <w:rPr>
                <w:sz w:val="22"/>
                <w:szCs w:val="22"/>
                <w:lang w:val="pl-PL"/>
              </w:rPr>
            </w:pPr>
          </w:p>
        </w:tc>
      </w:tr>
      <w:tr w:rsidR="00A610E1" w:rsidRPr="00BD22FE" w14:paraId="367BAB8A" w14:textId="77777777" w:rsidTr="00A610E1">
        <w:tc>
          <w:tcPr>
            <w:tcW w:w="2500" w:type="pct"/>
          </w:tcPr>
          <w:p w14:paraId="37586514" w14:textId="77777777" w:rsidR="00A610E1" w:rsidRPr="009D16CE" w:rsidRDefault="00A610E1" w:rsidP="00A610E1">
            <w:pPr>
              <w:pStyle w:val="BodyText"/>
              <w:spacing w:line="240" w:lineRule="auto"/>
              <w:jc w:val="left"/>
              <w:rPr>
                <w:b/>
                <w:sz w:val="22"/>
                <w:szCs w:val="22"/>
                <w:lang w:val="de-DE"/>
              </w:rPr>
            </w:pPr>
            <w:r w:rsidRPr="009D16CE">
              <w:rPr>
                <w:b/>
                <w:bCs/>
                <w:sz w:val="22"/>
                <w:szCs w:val="22"/>
                <w:lang w:val="de-DE"/>
              </w:rPr>
              <w:t>Ireland</w:t>
            </w:r>
          </w:p>
          <w:p w14:paraId="552A77AC" w14:textId="77777777" w:rsidR="00A610E1" w:rsidRPr="009D16CE" w:rsidRDefault="00A610E1" w:rsidP="00A610E1">
            <w:pPr>
              <w:pStyle w:val="BodyText"/>
              <w:spacing w:line="240" w:lineRule="auto"/>
              <w:jc w:val="left"/>
              <w:rPr>
                <w:sz w:val="22"/>
                <w:szCs w:val="22"/>
                <w:lang w:val="de-DE" w:eastAsia="ja-JP"/>
              </w:rPr>
            </w:pPr>
            <w:r w:rsidRPr="009D16CE">
              <w:rPr>
                <w:sz w:val="22"/>
                <w:szCs w:val="22"/>
                <w:lang w:val="de-DE" w:eastAsia="ja-JP"/>
              </w:rPr>
              <w:t>Boehringer Ingelheim Ireland Ltd.</w:t>
            </w:r>
          </w:p>
          <w:p w14:paraId="593DDF4B" w14:textId="77777777" w:rsidR="00A610E1" w:rsidRPr="00BD22FE" w:rsidRDefault="00A610E1" w:rsidP="00A610E1">
            <w:pPr>
              <w:pStyle w:val="BodyText"/>
              <w:spacing w:line="240" w:lineRule="auto"/>
              <w:jc w:val="left"/>
              <w:rPr>
                <w:sz w:val="22"/>
                <w:szCs w:val="22"/>
                <w:lang w:val="pl-PL"/>
              </w:rPr>
            </w:pPr>
            <w:r w:rsidRPr="00BD22FE">
              <w:rPr>
                <w:sz w:val="22"/>
                <w:szCs w:val="22"/>
                <w:lang w:val="pl-PL" w:eastAsia="ja-JP"/>
              </w:rPr>
              <w:t>Tel: +353 1 295 9620</w:t>
            </w:r>
          </w:p>
        </w:tc>
        <w:tc>
          <w:tcPr>
            <w:tcW w:w="2500" w:type="pct"/>
          </w:tcPr>
          <w:p w14:paraId="35AC29F9" w14:textId="77777777" w:rsidR="00A610E1" w:rsidRPr="009D16CE" w:rsidRDefault="00A610E1" w:rsidP="00A610E1">
            <w:pPr>
              <w:pStyle w:val="BodyText"/>
              <w:spacing w:line="240" w:lineRule="auto"/>
              <w:jc w:val="left"/>
              <w:rPr>
                <w:b/>
                <w:sz w:val="22"/>
                <w:szCs w:val="22"/>
                <w:lang w:val="pl-PL"/>
              </w:rPr>
            </w:pPr>
            <w:r w:rsidRPr="009D16CE">
              <w:rPr>
                <w:b/>
                <w:bCs/>
                <w:sz w:val="22"/>
                <w:szCs w:val="22"/>
                <w:lang w:val="pl-PL"/>
              </w:rPr>
              <w:t>Slovenija</w:t>
            </w:r>
          </w:p>
          <w:p w14:paraId="28D2F440" w14:textId="77777777" w:rsidR="00A610E1" w:rsidRPr="009D16CE" w:rsidRDefault="00A610E1" w:rsidP="00A610E1">
            <w:pPr>
              <w:pStyle w:val="BodyText"/>
              <w:spacing w:line="240" w:lineRule="auto"/>
              <w:jc w:val="left"/>
              <w:rPr>
                <w:sz w:val="22"/>
                <w:szCs w:val="22"/>
                <w:lang w:val="pl-PL" w:eastAsia="ja-JP"/>
              </w:rPr>
            </w:pPr>
            <w:r w:rsidRPr="009D16CE">
              <w:rPr>
                <w:sz w:val="22"/>
                <w:szCs w:val="22"/>
                <w:lang w:val="pl-PL" w:eastAsia="ja-JP"/>
              </w:rPr>
              <w:t>Boehringer Ingelheim RCV GmbH &amp; Co KG</w:t>
            </w:r>
          </w:p>
          <w:p w14:paraId="3FF0F6F8" w14:textId="77777777" w:rsidR="00A610E1" w:rsidRPr="00BD22FE" w:rsidRDefault="00A610E1" w:rsidP="00A610E1">
            <w:pPr>
              <w:pStyle w:val="BodyText"/>
              <w:spacing w:line="240" w:lineRule="auto"/>
              <w:jc w:val="left"/>
              <w:rPr>
                <w:sz w:val="22"/>
                <w:szCs w:val="22"/>
                <w:lang w:val="pl-PL" w:eastAsia="ja-JP"/>
              </w:rPr>
            </w:pPr>
            <w:r w:rsidRPr="00BD22FE">
              <w:rPr>
                <w:sz w:val="22"/>
                <w:szCs w:val="22"/>
                <w:lang w:val="pl-PL" w:eastAsia="ja-JP"/>
              </w:rPr>
              <w:t>Podružnica Ljubljana</w:t>
            </w:r>
          </w:p>
          <w:p w14:paraId="1A3F5905" w14:textId="77777777" w:rsidR="00A610E1" w:rsidRPr="00BD22FE" w:rsidRDefault="00A610E1" w:rsidP="00A610E1">
            <w:pPr>
              <w:pStyle w:val="BodyText"/>
              <w:spacing w:line="240" w:lineRule="auto"/>
              <w:jc w:val="left"/>
              <w:rPr>
                <w:sz w:val="22"/>
                <w:szCs w:val="22"/>
                <w:lang w:val="pl-PL" w:eastAsia="ja-JP"/>
              </w:rPr>
            </w:pPr>
            <w:r w:rsidRPr="00BD22FE">
              <w:rPr>
                <w:sz w:val="22"/>
                <w:szCs w:val="22"/>
                <w:lang w:val="pl-PL" w:eastAsia="ja-JP"/>
              </w:rPr>
              <w:t>Tel: +386 1 586 40 00</w:t>
            </w:r>
          </w:p>
          <w:p w14:paraId="0B46CEE4" w14:textId="77777777" w:rsidR="00A610E1" w:rsidRPr="00BD22FE" w:rsidRDefault="00A610E1" w:rsidP="00A610E1">
            <w:pPr>
              <w:pStyle w:val="BodyText"/>
              <w:spacing w:line="240" w:lineRule="auto"/>
              <w:jc w:val="left"/>
              <w:rPr>
                <w:bCs/>
                <w:sz w:val="22"/>
                <w:szCs w:val="22"/>
                <w:lang w:val="pl-PL"/>
              </w:rPr>
            </w:pPr>
          </w:p>
        </w:tc>
      </w:tr>
      <w:tr w:rsidR="00A610E1" w:rsidRPr="00BD22FE" w14:paraId="075E9B1D" w14:textId="77777777" w:rsidTr="00A610E1">
        <w:tc>
          <w:tcPr>
            <w:tcW w:w="2500" w:type="pct"/>
          </w:tcPr>
          <w:p w14:paraId="41709524" w14:textId="77777777" w:rsidR="00A610E1" w:rsidRPr="00BD22FE" w:rsidRDefault="00A610E1" w:rsidP="00A610E1">
            <w:pPr>
              <w:pStyle w:val="BodyText"/>
              <w:keepNext/>
              <w:spacing w:line="240" w:lineRule="auto"/>
              <w:jc w:val="left"/>
              <w:rPr>
                <w:b/>
                <w:bCs/>
                <w:sz w:val="22"/>
                <w:szCs w:val="22"/>
                <w:lang w:val="pl-PL"/>
              </w:rPr>
            </w:pPr>
            <w:r w:rsidRPr="00BD22FE">
              <w:rPr>
                <w:b/>
                <w:bCs/>
                <w:sz w:val="22"/>
                <w:szCs w:val="22"/>
                <w:lang w:val="pl-PL"/>
              </w:rPr>
              <w:lastRenderedPageBreak/>
              <w:t>Ísland</w:t>
            </w:r>
          </w:p>
          <w:p w14:paraId="17164EE9" w14:textId="77777777" w:rsidR="00A610E1" w:rsidRPr="00BD22FE" w:rsidRDefault="00A610E1" w:rsidP="00A610E1">
            <w:pPr>
              <w:pStyle w:val="BodyText"/>
              <w:spacing w:line="240" w:lineRule="auto"/>
              <w:jc w:val="left"/>
              <w:rPr>
                <w:sz w:val="22"/>
                <w:szCs w:val="22"/>
                <w:lang w:val="pl-PL" w:eastAsia="ja-JP"/>
              </w:rPr>
            </w:pPr>
            <w:r w:rsidRPr="00BD22FE">
              <w:rPr>
                <w:sz w:val="22"/>
                <w:szCs w:val="22"/>
                <w:lang w:val="pl-PL" w:eastAsia="ja-JP"/>
              </w:rPr>
              <w:t>Vistor ehf.</w:t>
            </w:r>
          </w:p>
          <w:p w14:paraId="4DDE0966" w14:textId="77777777" w:rsidR="00A610E1" w:rsidRPr="00BD22FE" w:rsidRDefault="00A610E1" w:rsidP="00A610E1">
            <w:pPr>
              <w:pStyle w:val="BodyText"/>
              <w:spacing w:line="240" w:lineRule="auto"/>
              <w:jc w:val="left"/>
              <w:rPr>
                <w:sz w:val="22"/>
                <w:szCs w:val="22"/>
                <w:lang w:val="pl-PL"/>
              </w:rPr>
            </w:pPr>
            <w:r w:rsidRPr="00BD22FE">
              <w:rPr>
                <w:sz w:val="22"/>
                <w:szCs w:val="22"/>
                <w:lang w:val="pl-PL"/>
              </w:rPr>
              <w:t>Sími</w:t>
            </w:r>
            <w:r w:rsidRPr="00BD22FE">
              <w:rPr>
                <w:sz w:val="22"/>
                <w:szCs w:val="22"/>
                <w:lang w:val="pl-PL" w:eastAsia="ja-JP"/>
              </w:rPr>
              <w:t>: +354 535 7000</w:t>
            </w:r>
          </w:p>
          <w:p w14:paraId="5A1B7634" w14:textId="77777777" w:rsidR="00A610E1" w:rsidRPr="00BD22FE" w:rsidRDefault="00A610E1" w:rsidP="00A610E1">
            <w:pPr>
              <w:pStyle w:val="BodyText"/>
              <w:spacing w:line="240" w:lineRule="auto"/>
              <w:jc w:val="left"/>
              <w:rPr>
                <w:bCs/>
                <w:sz w:val="22"/>
                <w:szCs w:val="22"/>
                <w:lang w:val="pl-PL"/>
              </w:rPr>
            </w:pPr>
          </w:p>
        </w:tc>
        <w:tc>
          <w:tcPr>
            <w:tcW w:w="2500" w:type="pct"/>
          </w:tcPr>
          <w:p w14:paraId="6A929529" w14:textId="77777777" w:rsidR="00A610E1" w:rsidRPr="00DE4C52" w:rsidRDefault="00A610E1" w:rsidP="00A610E1">
            <w:pPr>
              <w:pStyle w:val="BodyText"/>
              <w:spacing w:line="240" w:lineRule="auto"/>
              <w:jc w:val="left"/>
              <w:rPr>
                <w:b/>
                <w:bCs/>
                <w:sz w:val="22"/>
                <w:szCs w:val="22"/>
                <w:lang w:val="de-DE"/>
              </w:rPr>
            </w:pPr>
            <w:r w:rsidRPr="00DE4C52">
              <w:rPr>
                <w:b/>
                <w:bCs/>
                <w:sz w:val="22"/>
                <w:szCs w:val="22"/>
                <w:lang w:val="de-DE"/>
              </w:rPr>
              <w:t>Slovenská republika</w:t>
            </w:r>
          </w:p>
          <w:p w14:paraId="147131CB" w14:textId="77777777" w:rsidR="00A610E1" w:rsidRPr="00DE4C52" w:rsidRDefault="00A610E1" w:rsidP="00A610E1">
            <w:pPr>
              <w:pStyle w:val="BodyText"/>
              <w:spacing w:line="240" w:lineRule="auto"/>
              <w:jc w:val="left"/>
              <w:rPr>
                <w:sz w:val="22"/>
                <w:szCs w:val="22"/>
                <w:lang w:val="de-DE" w:eastAsia="ja-JP"/>
              </w:rPr>
            </w:pPr>
            <w:r w:rsidRPr="00DE4C52">
              <w:rPr>
                <w:sz w:val="22"/>
                <w:szCs w:val="22"/>
                <w:lang w:val="de-DE" w:eastAsia="ja-JP"/>
              </w:rPr>
              <w:t>Boehringer Ingelheim RCV GmbH &amp; Co KG</w:t>
            </w:r>
          </w:p>
          <w:p w14:paraId="559001CD" w14:textId="77777777" w:rsidR="00A610E1" w:rsidRPr="00BD22FE" w:rsidRDefault="00A610E1" w:rsidP="00A610E1">
            <w:pPr>
              <w:pStyle w:val="BodyText"/>
              <w:spacing w:line="240" w:lineRule="auto"/>
              <w:jc w:val="left"/>
              <w:rPr>
                <w:sz w:val="22"/>
                <w:szCs w:val="22"/>
                <w:lang w:val="pl-PL" w:eastAsia="de-DE"/>
              </w:rPr>
            </w:pPr>
            <w:r w:rsidRPr="00BD22FE">
              <w:rPr>
                <w:sz w:val="22"/>
                <w:szCs w:val="22"/>
                <w:lang w:val="pl-PL" w:eastAsia="de-DE"/>
              </w:rPr>
              <w:t>organizačná zložka</w:t>
            </w:r>
          </w:p>
          <w:p w14:paraId="10A1F323" w14:textId="77777777" w:rsidR="00A610E1" w:rsidRPr="00BD22FE" w:rsidRDefault="00A610E1" w:rsidP="00A610E1">
            <w:pPr>
              <w:pStyle w:val="BodyText"/>
              <w:spacing w:line="240" w:lineRule="auto"/>
              <w:jc w:val="left"/>
              <w:rPr>
                <w:sz w:val="22"/>
                <w:szCs w:val="22"/>
                <w:lang w:val="pl-PL" w:eastAsia="de-DE"/>
              </w:rPr>
            </w:pPr>
            <w:r w:rsidRPr="00BD22FE">
              <w:rPr>
                <w:sz w:val="22"/>
                <w:szCs w:val="22"/>
                <w:lang w:val="pl-PL" w:eastAsia="de-DE"/>
              </w:rPr>
              <w:t>Tel: +421 2 5810 1211</w:t>
            </w:r>
          </w:p>
          <w:p w14:paraId="2FF93B24" w14:textId="77777777" w:rsidR="00A610E1" w:rsidRPr="00BD22FE" w:rsidRDefault="00A610E1" w:rsidP="00A610E1">
            <w:pPr>
              <w:pStyle w:val="BodyText"/>
              <w:spacing w:line="240" w:lineRule="auto"/>
              <w:jc w:val="left"/>
              <w:rPr>
                <w:sz w:val="22"/>
                <w:szCs w:val="22"/>
                <w:lang w:val="pl-PL"/>
              </w:rPr>
            </w:pPr>
          </w:p>
        </w:tc>
      </w:tr>
      <w:tr w:rsidR="00A610E1" w:rsidRPr="00C53640" w14:paraId="6A3887DA" w14:textId="77777777" w:rsidTr="00A610E1">
        <w:tc>
          <w:tcPr>
            <w:tcW w:w="2500" w:type="pct"/>
          </w:tcPr>
          <w:p w14:paraId="53716281" w14:textId="77777777" w:rsidR="00A610E1" w:rsidRPr="00DE4C52" w:rsidRDefault="00A610E1" w:rsidP="00A610E1">
            <w:pPr>
              <w:pStyle w:val="BodyText"/>
              <w:spacing w:line="240" w:lineRule="auto"/>
              <w:jc w:val="left"/>
              <w:rPr>
                <w:b/>
                <w:sz w:val="22"/>
                <w:szCs w:val="22"/>
                <w:lang w:val="de-DE"/>
              </w:rPr>
            </w:pPr>
            <w:r w:rsidRPr="00DE4C52">
              <w:rPr>
                <w:b/>
                <w:bCs/>
                <w:sz w:val="22"/>
                <w:szCs w:val="22"/>
                <w:lang w:val="de-DE"/>
              </w:rPr>
              <w:t>Italia</w:t>
            </w:r>
          </w:p>
          <w:p w14:paraId="3FDCC6D4" w14:textId="77777777" w:rsidR="00A610E1" w:rsidRPr="00DE4C52" w:rsidRDefault="00A610E1" w:rsidP="00A610E1">
            <w:pPr>
              <w:pStyle w:val="BodyText"/>
              <w:spacing w:line="240" w:lineRule="auto"/>
              <w:jc w:val="left"/>
              <w:rPr>
                <w:sz w:val="22"/>
                <w:szCs w:val="22"/>
                <w:lang w:val="de-DE" w:eastAsia="ja-JP"/>
              </w:rPr>
            </w:pPr>
            <w:r w:rsidRPr="00DE4C52">
              <w:rPr>
                <w:sz w:val="22"/>
                <w:szCs w:val="22"/>
                <w:lang w:val="de-DE" w:eastAsia="ja-JP"/>
              </w:rPr>
              <w:t>Boehringer Ingelheim Italia S.p.A.</w:t>
            </w:r>
          </w:p>
          <w:p w14:paraId="13C4964C" w14:textId="77777777" w:rsidR="00A610E1" w:rsidRPr="00BD22FE" w:rsidRDefault="00A610E1" w:rsidP="00A610E1">
            <w:pPr>
              <w:pStyle w:val="BodyText"/>
              <w:spacing w:line="240" w:lineRule="auto"/>
              <w:jc w:val="left"/>
              <w:rPr>
                <w:bCs/>
                <w:sz w:val="22"/>
                <w:szCs w:val="22"/>
                <w:lang w:val="pl-PL"/>
              </w:rPr>
            </w:pPr>
            <w:r w:rsidRPr="00BD22FE">
              <w:rPr>
                <w:sz w:val="22"/>
                <w:szCs w:val="22"/>
                <w:lang w:val="pl-PL" w:eastAsia="ja-JP"/>
              </w:rPr>
              <w:t>Tel: +39 02 5355 1</w:t>
            </w:r>
          </w:p>
        </w:tc>
        <w:tc>
          <w:tcPr>
            <w:tcW w:w="2500" w:type="pct"/>
          </w:tcPr>
          <w:p w14:paraId="77C6AEEF" w14:textId="77777777" w:rsidR="00A610E1" w:rsidRPr="00DE4C52" w:rsidRDefault="00A610E1" w:rsidP="00A610E1">
            <w:pPr>
              <w:pStyle w:val="BodyText"/>
              <w:spacing w:line="240" w:lineRule="auto"/>
              <w:jc w:val="left"/>
              <w:rPr>
                <w:b/>
                <w:sz w:val="22"/>
                <w:szCs w:val="22"/>
                <w:lang w:val="de-DE"/>
              </w:rPr>
            </w:pPr>
            <w:r w:rsidRPr="00DE4C52">
              <w:rPr>
                <w:b/>
                <w:bCs/>
                <w:sz w:val="22"/>
                <w:szCs w:val="22"/>
                <w:lang w:val="de-DE"/>
              </w:rPr>
              <w:t>Suomi/Finland</w:t>
            </w:r>
          </w:p>
          <w:p w14:paraId="1C31F20D" w14:textId="77777777" w:rsidR="00A610E1" w:rsidRPr="00DE4C52" w:rsidRDefault="00A610E1" w:rsidP="00A610E1">
            <w:pPr>
              <w:pStyle w:val="BodyText"/>
              <w:spacing w:line="240" w:lineRule="auto"/>
              <w:jc w:val="left"/>
              <w:rPr>
                <w:sz w:val="22"/>
                <w:szCs w:val="22"/>
                <w:lang w:val="de-DE" w:eastAsia="ja-JP"/>
              </w:rPr>
            </w:pPr>
            <w:r w:rsidRPr="00DE4C52">
              <w:rPr>
                <w:sz w:val="22"/>
                <w:szCs w:val="22"/>
                <w:lang w:val="de-DE" w:eastAsia="ja-JP"/>
              </w:rPr>
              <w:t>Boehringer Ingelheim Finland Ky</w:t>
            </w:r>
          </w:p>
          <w:p w14:paraId="431F8D80" w14:textId="77777777" w:rsidR="00A610E1" w:rsidRPr="00BD22FE" w:rsidRDefault="00A610E1" w:rsidP="00A610E1">
            <w:pPr>
              <w:pStyle w:val="BodyText"/>
              <w:spacing w:line="240" w:lineRule="auto"/>
              <w:jc w:val="left"/>
              <w:rPr>
                <w:sz w:val="22"/>
                <w:szCs w:val="22"/>
                <w:lang w:val="pl-PL"/>
              </w:rPr>
            </w:pPr>
            <w:r w:rsidRPr="00BD22FE">
              <w:rPr>
                <w:sz w:val="22"/>
                <w:szCs w:val="22"/>
                <w:lang w:val="pl-PL" w:eastAsia="ja-JP"/>
              </w:rPr>
              <w:t>Puh/Tel: +358 10 3102 800</w:t>
            </w:r>
          </w:p>
          <w:p w14:paraId="2C844ADB" w14:textId="77777777" w:rsidR="00A610E1" w:rsidRPr="00BD22FE" w:rsidRDefault="00A610E1" w:rsidP="00A610E1">
            <w:pPr>
              <w:pStyle w:val="BodyText"/>
              <w:spacing w:line="240" w:lineRule="auto"/>
              <w:jc w:val="left"/>
              <w:rPr>
                <w:bCs/>
                <w:sz w:val="22"/>
                <w:szCs w:val="22"/>
                <w:lang w:val="pl-PL"/>
              </w:rPr>
            </w:pPr>
          </w:p>
        </w:tc>
      </w:tr>
      <w:tr w:rsidR="00A610E1" w:rsidRPr="00DE4C52" w14:paraId="1EA9ABAC" w14:textId="77777777" w:rsidTr="00A610E1">
        <w:tc>
          <w:tcPr>
            <w:tcW w:w="2500" w:type="pct"/>
          </w:tcPr>
          <w:p w14:paraId="15C09D4D" w14:textId="77777777" w:rsidR="00A610E1" w:rsidRPr="00DE4C52" w:rsidRDefault="00A610E1" w:rsidP="00A610E1">
            <w:pPr>
              <w:pStyle w:val="BodyText"/>
              <w:spacing w:line="240" w:lineRule="auto"/>
              <w:jc w:val="left"/>
              <w:rPr>
                <w:b/>
                <w:bCs/>
                <w:sz w:val="22"/>
                <w:szCs w:val="22"/>
                <w:lang w:val="en-US"/>
              </w:rPr>
            </w:pPr>
            <w:r w:rsidRPr="00BD22FE">
              <w:rPr>
                <w:b/>
                <w:bCs/>
                <w:sz w:val="22"/>
                <w:szCs w:val="22"/>
                <w:lang w:val="pl-PL"/>
              </w:rPr>
              <w:t>Κύπρος</w:t>
            </w:r>
          </w:p>
          <w:p w14:paraId="195F440E" w14:textId="77777777" w:rsidR="00A610E1" w:rsidRPr="00DE4C52" w:rsidRDefault="00A610E1" w:rsidP="00A610E1">
            <w:pPr>
              <w:rPr>
                <w:sz w:val="22"/>
                <w:szCs w:val="22"/>
                <w:lang w:eastAsia="ja-JP"/>
              </w:rPr>
            </w:pPr>
            <w:r w:rsidRPr="00DE4C52">
              <w:rPr>
                <w:sz w:val="22"/>
                <w:szCs w:val="22"/>
                <w:lang w:eastAsia="ja-JP"/>
              </w:rPr>
              <w:t xml:space="preserve">Boehringer Ingelheim </w:t>
            </w:r>
            <w:r w:rsidRPr="00BD22FE">
              <w:rPr>
                <w:sz w:val="22"/>
                <w:szCs w:val="22"/>
                <w:lang w:val="pl-PL" w:eastAsia="ja-JP"/>
              </w:rPr>
              <w:t>Ελλάς</w:t>
            </w:r>
            <w:r w:rsidRPr="00DE4C52">
              <w:rPr>
                <w:sz w:val="22"/>
                <w:szCs w:val="22"/>
                <w:lang w:eastAsia="ja-JP"/>
              </w:rPr>
              <w:t xml:space="preserve"> </w:t>
            </w:r>
            <w:r w:rsidRPr="00BD22FE">
              <w:rPr>
                <w:sz w:val="22"/>
                <w:szCs w:val="22"/>
                <w:lang w:val="pl-PL" w:eastAsia="ja-JP"/>
              </w:rPr>
              <w:t>Μονοπρόσωπη</w:t>
            </w:r>
            <w:r w:rsidRPr="00DE4C52">
              <w:rPr>
                <w:sz w:val="22"/>
                <w:szCs w:val="22"/>
                <w:lang w:eastAsia="ja-JP"/>
              </w:rPr>
              <w:t xml:space="preserve"> </w:t>
            </w:r>
            <w:r w:rsidRPr="00BD22FE">
              <w:rPr>
                <w:sz w:val="22"/>
                <w:szCs w:val="22"/>
                <w:lang w:val="pl-PL" w:eastAsia="ja-JP"/>
              </w:rPr>
              <w:t>Α</w:t>
            </w:r>
            <w:r w:rsidRPr="00DE4C52">
              <w:rPr>
                <w:sz w:val="22"/>
                <w:szCs w:val="22"/>
                <w:lang w:eastAsia="ja-JP"/>
              </w:rPr>
              <w:t>.</w:t>
            </w:r>
            <w:r w:rsidRPr="00BD22FE">
              <w:rPr>
                <w:sz w:val="22"/>
                <w:szCs w:val="22"/>
                <w:lang w:val="pl-PL" w:eastAsia="ja-JP"/>
              </w:rPr>
              <w:t>Ε</w:t>
            </w:r>
            <w:r w:rsidRPr="00DE4C52">
              <w:rPr>
                <w:sz w:val="22"/>
                <w:szCs w:val="22"/>
                <w:lang w:eastAsia="ja-JP"/>
              </w:rPr>
              <w:t>.</w:t>
            </w:r>
          </w:p>
          <w:p w14:paraId="76C27F96" w14:textId="77777777" w:rsidR="00A610E1" w:rsidRPr="00BD22FE" w:rsidRDefault="00A610E1" w:rsidP="00A610E1">
            <w:pPr>
              <w:rPr>
                <w:sz w:val="22"/>
                <w:szCs w:val="22"/>
                <w:lang w:val="pl-PL" w:eastAsia="ja-JP"/>
              </w:rPr>
            </w:pPr>
            <w:r w:rsidRPr="00BD22FE">
              <w:rPr>
                <w:sz w:val="22"/>
                <w:szCs w:val="22"/>
                <w:lang w:val="pl-PL" w:eastAsia="ja-JP"/>
              </w:rPr>
              <w:t>Tηλ: +30 2 10 89 06 300</w:t>
            </w:r>
          </w:p>
          <w:p w14:paraId="1EA587AB" w14:textId="77777777" w:rsidR="00A610E1" w:rsidRPr="00BD22FE" w:rsidRDefault="00A610E1" w:rsidP="00A610E1">
            <w:pPr>
              <w:pStyle w:val="BodyText"/>
              <w:spacing w:line="240" w:lineRule="auto"/>
              <w:jc w:val="left"/>
              <w:rPr>
                <w:sz w:val="22"/>
                <w:szCs w:val="22"/>
                <w:lang w:val="pl-PL"/>
              </w:rPr>
            </w:pPr>
          </w:p>
        </w:tc>
        <w:tc>
          <w:tcPr>
            <w:tcW w:w="2500" w:type="pct"/>
          </w:tcPr>
          <w:p w14:paraId="4F526D6F" w14:textId="77777777" w:rsidR="00A610E1" w:rsidRPr="009D16CE" w:rsidRDefault="00A610E1" w:rsidP="00A610E1">
            <w:pPr>
              <w:pStyle w:val="BodyText"/>
              <w:spacing w:line="240" w:lineRule="auto"/>
              <w:jc w:val="left"/>
              <w:rPr>
                <w:b/>
                <w:bCs/>
                <w:sz w:val="22"/>
                <w:szCs w:val="22"/>
                <w:lang w:val="de-DE"/>
              </w:rPr>
            </w:pPr>
            <w:r w:rsidRPr="009D16CE">
              <w:rPr>
                <w:b/>
                <w:bCs/>
                <w:sz w:val="22"/>
                <w:szCs w:val="22"/>
                <w:lang w:val="de-DE"/>
              </w:rPr>
              <w:t>Sverige</w:t>
            </w:r>
          </w:p>
          <w:p w14:paraId="283D0BA6" w14:textId="77777777" w:rsidR="00A610E1" w:rsidRPr="009D16CE" w:rsidRDefault="00A610E1" w:rsidP="00A610E1">
            <w:pPr>
              <w:pStyle w:val="BodyText"/>
              <w:spacing w:line="240" w:lineRule="auto"/>
              <w:jc w:val="left"/>
              <w:rPr>
                <w:sz w:val="22"/>
                <w:szCs w:val="22"/>
                <w:lang w:val="de-DE" w:eastAsia="ja-JP"/>
              </w:rPr>
            </w:pPr>
            <w:r w:rsidRPr="009D16CE">
              <w:rPr>
                <w:sz w:val="22"/>
                <w:szCs w:val="22"/>
                <w:lang w:val="de-DE" w:eastAsia="ja-JP"/>
              </w:rPr>
              <w:t>Boehringer Ingelheim AB</w:t>
            </w:r>
          </w:p>
          <w:p w14:paraId="48F4AE5B" w14:textId="77777777" w:rsidR="00A610E1" w:rsidRPr="009D16CE" w:rsidRDefault="00A610E1" w:rsidP="00A610E1">
            <w:pPr>
              <w:pStyle w:val="BodyText"/>
              <w:spacing w:line="240" w:lineRule="auto"/>
              <w:jc w:val="left"/>
              <w:rPr>
                <w:sz w:val="22"/>
                <w:szCs w:val="22"/>
                <w:lang w:val="de-DE" w:eastAsia="ja-JP"/>
              </w:rPr>
            </w:pPr>
            <w:r w:rsidRPr="009D16CE">
              <w:rPr>
                <w:sz w:val="22"/>
                <w:szCs w:val="22"/>
                <w:lang w:val="de-DE" w:eastAsia="ja-JP"/>
              </w:rPr>
              <w:t>Tel: +46 8 721 21 00</w:t>
            </w:r>
          </w:p>
          <w:p w14:paraId="6DD1A4BC" w14:textId="77777777" w:rsidR="00A610E1" w:rsidRPr="009D16CE" w:rsidRDefault="00A610E1" w:rsidP="00A610E1">
            <w:pPr>
              <w:pStyle w:val="BodyText"/>
              <w:spacing w:line="240" w:lineRule="auto"/>
              <w:jc w:val="left"/>
              <w:rPr>
                <w:sz w:val="22"/>
                <w:szCs w:val="22"/>
                <w:lang w:val="de-DE"/>
              </w:rPr>
            </w:pPr>
          </w:p>
        </w:tc>
      </w:tr>
      <w:tr w:rsidR="00A610E1" w:rsidRPr="00BD22FE" w14:paraId="701BA3D8" w14:textId="77777777" w:rsidTr="00A610E1">
        <w:tc>
          <w:tcPr>
            <w:tcW w:w="2500" w:type="pct"/>
          </w:tcPr>
          <w:p w14:paraId="6E2BA432" w14:textId="77777777" w:rsidR="00A610E1" w:rsidRPr="009D16CE" w:rsidRDefault="00A610E1" w:rsidP="00A610E1">
            <w:pPr>
              <w:pStyle w:val="BodyText"/>
              <w:spacing w:line="240" w:lineRule="auto"/>
              <w:jc w:val="left"/>
              <w:rPr>
                <w:b/>
                <w:bCs/>
                <w:sz w:val="22"/>
                <w:szCs w:val="22"/>
                <w:lang w:val="de-DE"/>
              </w:rPr>
            </w:pPr>
            <w:r w:rsidRPr="009D16CE">
              <w:rPr>
                <w:b/>
                <w:bCs/>
                <w:sz w:val="22"/>
                <w:szCs w:val="22"/>
                <w:lang w:val="de-DE"/>
              </w:rPr>
              <w:t>Latvija</w:t>
            </w:r>
          </w:p>
          <w:p w14:paraId="1B4713A5" w14:textId="77777777" w:rsidR="00A610E1" w:rsidRPr="009D16CE" w:rsidRDefault="00A610E1" w:rsidP="00A610E1">
            <w:pPr>
              <w:rPr>
                <w:sz w:val="22"/>
                <w:szCs w:val="22"/>
                <w:lang w:val="de-DE" w:eastAsia="ja-JP"/>
              </w:rPr>
            </w:pPr>
            <w:r w:rsidRPr="009D16CE">
              <w:rPr>
                <w:sz w:val="22"/>
                <w:szCs w:val="22"/>
                <w:lang w:val="de-DE" w:eastAsia="ja-JP"/>
              </w:rPr>
              <w:t>Boehringer Ingelheim RCV GmbH &amp; Co KG</w:t>
            </w:r>
          </w:p>
          <w:p w14:paraId="10C94FA0" w14:textId="77777777" w:rsidR="00A610E1" w:rsidRPr="00BD22FE" w:rsidRDefault="00A610E1" w:rsidP="00A610E1">
            <w:pPr>
              <w:pStyle w:val="BodyText"/>
              <w:spacing w:line="240" w:lineRule="auto"/>
              <w:jc w:val="left"/>
              <w:rPr>
                <w:sz w:val="22"/>
                <w:szCs w:val="22"/>
                <w:lang w:val="pl-PL" w:eastAsia="ja-JP"/>
              </w:rPr>
            </w:pPr>
            <w:r w:rsidRPr="00BD22FE">
              <w:rPr>
                <w:sz w:val="22"/>
                <w:szCs w:val="22"/>
                <w:lang w:val="pl-PL"/>
              </w:rPr>
              <w:t>Latvijas filiāle</w:t>
            </w:r>
          </w:p>
          <w:p w14:paraId="160066D3" w14:textId="77777777" w:rsidR="00A610E1" w:rsidRPr="00BD22FE" w:rsidRDefault="00A610E1" w:rsidP="00A610E1">
            <w:pPr>
              <w:pStyle w:val="BodyText"/>
              <w:spacing w:line="240" w:lineRule="auto"/>
              <w:jc w:val="left"/>
              <w:rPr>
                <w:sz w:val="22"/>
                <w:szCs w:val="22"/>
                <w:lang w:val="pl-PL"/>
              </w:rPr>
            </w:pPr>
            <w:r w:rsidRPr="00BD22FE">
              <w:rPr>
                <w:sz w:val="22"/>
                <w:szCs w:val="22"/>
                <w:lang w:val="pl-PL" w:eastAsia="ja-JP"/>
              </w:rPr>
              <w:t>Tel: +371 67 240 011</w:t>
            </w:r>
          </w:p>
          <w:p w14:paraId="28755AE3" w14:textId="77777777" w:rsidR="00A610E1" w:rsidRPr="00BD22FE" w:rsidRDefault="00A610E1" w:rsidP="00A610E1">
            <w:pPr>
              <w:rPr>
                <w:sz w:val="22"/>
                <w:szCs w:val="22"/>
                <w:lang w:val="pl-PL"/>
              </w:rPr>
            </w:pPr>
          </w:p>
        </w:tc>
        <w:tc>
          <w:tcPr>
            <w:tcW w:w="2500" w:type="pct"/>
          </w:tcPr>
          <w:p w14:paraId="3E7A2CF6" w14:textId="77777777" w:rsidR="00A610E1" w:rsidRPr="00BD22FE" w:rsidRDefault="00A610E1" w:rsidP="00A610E1">
            <w:pPr>
              <w:rPr>
                <w:sz w:val="22"/>
                <w:szCs w:val="22"/>
                <w:lang w:val="pl-PL"/>
              </w:rPr>
            </w:pPr>
          </w:p>
        </w:tc>
      </w:tr>
    </w:tbl>
    <w:p w14:paraId="6F69846F" w14:textId="77777777" w:rsidR="00A610E1" w:rsidRPr="00BD22FE" w:rsidRDefault="00A610E1" w:rsidP="00A610E1">
      <w:pPr>
        <w:pStyle w:val="BodyText"/>
        <w:spacing w:line="240" w:lineRule="auto"/>
        <w:jc w:val="left"/>
        <w:rPr>
          <w:sz w:val="22"/>
          <w:szCs w:val="22"/>
          <w:lang w:val="pl-PL"/>
        </w:rPr>
      </w:pPr>
    </w:p>
    <w:p w14:paraId="3E0A96FA" w14:textId="77777777" w:rsidR="00A610E1" w:rsidRPr="00BD22FE" w:rsidRDefault="00A610E1" w:rsidP="00A610E1">
      <w:pPr>
        <w:numPr>
          <w:ilvl w:val="12"/>
          <w:numId w:val="0"/>
        </w:numPr>
        <w:rPr>
          <w:sz w:val="22"/>
          <w:szCs w:val="22"/>
          <w:lang w:val="pl-PL" w:bidi="bn-IN"/>
        </w:rPr>
      </w:pPr>
      <w:r w:rsidRPr="00BD22FE">
        <w:rPr>
          <w:b/>
          <w:sz w:val="22"/>
          <w:szCs w:val="22"/>
          <w:lang w:val="pl-PL" w:bidi="bn-IN"/>
        </w:rPr>
        <w:t>Data ostatniej aktualizacji ulotki: {MM/RRRR}</w:t>
      </w:r>
    </w:p>
    <w:p w14:paraId="374ECA04" w14:textId="77777777" w:rsidR="00A610E1" w:rsidRPr="00BD22FE" w:rsidRDefault="00A610E1" w:rsidP="00A610E1">
      <w:pPr>
        <w:pStyle w:val="BodyText"/>
        <w:spacing w:line="240" w:lineRule="auto"/>
        <w:jc w:val="left"/>
        <w:rPr>
          <w:sz w:val="22"/>
          <w:szCs w:val="22"/>
          <w:lang w:val="pl-PL"/>
        </w:rPr>
      </w:pPr>
    </w:p>
    <w:p w14:paraId="64A8C315" w14:textId="77777777" w:rsidR="00A610E1" w:rsidRPr="00BD22FE" w:rsidRDefault="00A610E1" w:rsidP="00A610E1">
      <w:pPr>
        <w:pStyle w:val="BodyText"/>
        <w:keepNext/>
        <w:spacing w:line="240" w:lineRule="auto"/>
        <w:jc w:val="left"/>
        <w:rPr>
          <w:b/>
          <w:sz w:val="22"/>
          <w:szCs w:val="22"/>
          <w:lang w:val="pl-PL"/>
        </w:rPr>
      </w:pPr>
      <w:r w:rsidRPr="00BD22FE">
        <w:rPr>
          <w:b/>
          <w:sz w:val="22"/>
          <w:szCs w:val="22"/>
          <w:lang w:val="pl-PL"/>
        </w:rPr>
        <w:t>Inne źródła informacji</w:t>
      </w:r>
    </w:p>
    <w:p w14:paraId="3950EF58" w14:textId="77777777" w:rsidR="00A610E1" w:rsidRPr="00BD22FE" w:rsidRDefault="00A610E1" w:rsidP="00A610E1">
      <w:pPr>
        <w:pStyle w:val="BodyText"/>
        <w:spacing w:line="240" w:lineRule="auto"/>
        <w:jc w:val="left"/>
        <w:rPr>
          <w:sz w:val="22"/>
          <w:szCs w:val="22"/>
          <w:lang w:val="pl-PL"/>
        </w:rPr>
      </w:pPr>
      <w:r w:rsidRPr="00BD22FE">
        <w:rPr>
          <w:sz w:val="22"/>
          <w:szCs w:val="22"/>
          <w:lang w:val="pl-PL"/>
        </w:rPr>
        <w:t xml:space="preserve">Szczegółowe informacje o tym leku znajdują się na stronie internetowej Europejskiej Agencji Leków </w:t>
      </w:r>
      <w:hyperlink r:id="rId12" w:history="1">
        <w:r w:rsidRPr="00BD22FE">
          <w:rPr>
            <w:rStyle w:val="Hyperlink"/>
            <w:sz w:val="22"/>
            <w:szCs w:val="22"/>
            <w:lang w:val="pl-PL"/>
          </w:rPr>
          <w:t>https://www.ema.europa.eu</w:t>
        </w:r>
      </w:hyperlink>
      <w:r w:rsidRPr="00BD22FE">
        <w:rPr>
          <w:sz w:val="22"/>
          <w:szCs w:val="22"/>
          <w:lang w:val="pl-PL"/>
        </w:rPr>
        <w:t>.</w:t>
      </w:r>
    </w:p>
    <w:p w14:paraId="6A74B574" w14:textId="77777777" w:rsidR="00A610E1" w:rsidRPr="00BD22FE" w:rsidRDefault="00A610E1" w:rsidP="00941FBF">
      <w:pPr>
        <w:pStyle w:val="BodyText"/>
        <w:spacing w:line="240" w:lineRule="auto"/>
        <w:jc w:val="left"/>
        <w:rPr>
          <w:sz w:val="22"/>
          <w:szCs w:val="22"/>
          <w:lang w:val="pl-PL"/>
        </w:rPr>
      </w:pPr>
    </w:p>
    <w:sectPr w:rsidR="00A610E1" w:rsidRPr="00BD22FE" w:rsidSect="001C302E">
      <w:headerReference w:type="default" r:id="rId13"/>
      <w:footerReference w:type="default" r:id="rId14"/>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12317" w14:textId="77777777" w:rsidR="00B7235C" w:rsidRDefault="00B7235C">
      <w:r>
        <w:separator/>
      </w:r>
    </w:p>
  </w:endnote>
  <w:endnote w:type="continuationSeparator" w:id="0">
    <w:p w14:paraId="7BAF3D56" w14:textId="77777777" w:rsidR="00B7235C" w:rsidRDefault="00B7235C">
      <w:r>
        <w:continuationSeparator/>
      </w:r>
    </w:p>
  </w:endnote>
  <w:endnote w:type="continuationNotice" w:id="1">
    <w:p w14:paraId="48FFD85F" w14:textId="77777777" w:rsidR="00B7235C" w:rsidRDefault="00B723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DC226" w14:textId="4933F84C" w:rsidR="00BD7B14" w:rsidRDefault="00BD7B14" w:rsidP="00B827C6">
    <w:pPr>
      <w:pStyle w:val="Footer"/>
      <w:tabs>
        <w:tab w:val="clear" w:pos="4536"/>
        <w:tab w:val="clear" w:pos="9072"/>
      </w:tabs>
      <w:jc w:val="cen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PAGE   \* MERGEFORMAT</w:instrText>
    </w:r>
    <w:r>
      <w:rPr>
        <w:rFonts w:ascii="Arial" w:hAnsi="Arial" w:cs="Arial"/>
        <w:sz w:val="16"/>
        <w:szCs w:val="16"/>
      </w:rPr>
      <w:fldChar w:fldCharType="separate"/>
    </w:r>
    <w:r w:rsidR="00995DBD" w:rsidRPr="00995DBD">
      <w:rPr>
        <w:rFonts w:ascii="Arial" w:hAnsi="Arial" w:cs="Arial"/>
        <w:noProof/>
        <w:sz w:val="16"/>
        <w:szCs w:val="16"/>
        <w:lang w:val="pl-PL"/>
      </w:rPr>
      <w:t>1</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FB265" w14:textId="77777777" w:rsidR="00B7235C" w:rsidRDefault="00B7235C">
      <w:r>
        <w:separator/>
      </w:r>
    </w:p>
  </w:footnote>
  <w:footnote w:type="continuationSeparator" w:id="0">
    <w:p w14:paraId="5899DD62" w14:textId="77777777" w:rsidR="00B7235C" w:rsidRDefault="00B7235C">
      <w:r>
        <w:continuationSeparator/>
      </w:r>
    </w:p>
  </w:footnote>
  <w:footnote w:type="continuationNotice" w:id="1">
    <w:p w14:paraId="18603439" w14:textId="77777777" w:rsidR="00B7235C" w:rsidRDefault="00B723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9601F" w14:textId="77777777" w:rsidR="00BD7B14" w:rsidRDefault="00BD7B14" w:rsidP="00D36688">
    <w:pPr>
      <w:pStyle w:val="Header"/>
      <w:tabs>
        <w:tab w:val="clear" w:pos="4536"/>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6D8E12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F4E3EF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84677C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59223D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5E2E7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99EE6B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8213B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22F5C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4502DF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B9CCF3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52464F"/>
    <w:multiLevelType w:val="hybridMultilevel"/>
    <w:tmpl w:val="39689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38F427F"/>
    <w:multiLevelType w:val="hybridMultilevel"/>
    <w:tmpl w:val="F0AE0A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53A2D30"/>
    <w:multiLevelType w:val="hybridMultilevel"/>
    <w:tmpl w:val="F0AE0A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8D90B2D"/>
    <w:multiLevelType w:val="hybridMultilevel"/>
    <w:tmpl w:val="CD52557E"/>
    <w:lvl w:ilvl="0" w:tplc="B7DCF4D6">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08EF684B"/>
    <w:multiLevelType w:val="hybridMultilevel"/>
    <w:tmpl w:val="BB26200C"/>
    <w:lvl w:ilvl="0" w:tplc="0A08102A">
      <w:start w:val="1"/>
      <w:numFmt w:val="bullet"/>
      <w:lvlText w:val=""/>
      <w:lvlJc w:val="left"/>
      <w:pPr>
        <w:tabs>
          <w:tab w:val="num" w:pos="2520"/>
        </w:tabs>
        <w:ind w:left="25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9C32E0A"/>
    <w:multiLevelType w:val="hybridMultilevel"/>
    <w:tmpl w:val="BFAA4DC0"/>
    <w:lvl w:ilvl="0" w:tplc="0A08102A">
      <w:start w:val="1"/>
      <w:numFmt w:val="bullet"/>
      <w:lvlText w:val=""/>
      <w:lvlJc w:val="left"/>
      <w:pPr>
        <w:tabs>
          <w:tab w:val="num" w:pos="2520"/>
        </w:tabs>
        <w:ind w:left="25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AA938E4"/>
    <w:multiLevelType w:val="hybridMultilevel"/>
    <w:tmpl w:val="1FBA86E4"/>
    <w:lvl w:ilvl="0" w:tplc="4CFE3706">
      <w:start w:val="1"/>
      <w:numFmt w:val="bullet"/>
      <w:lvlText w:val="-"/>
      <w:lvlJc w:val="left"/>
      <w:pPr>
        <w:ind w:left="720" w:hanging="360"/>
      </w:pPr>
      <w:rPr>
        <w:rFonts w:ascii="Times New Roman" w:hAnsi="Times New Roman" w:cs="Times New Roman" w:hint="default"/>
        <w:strike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0D7B639E"/>
    <w:multiLevelType w:val="hybridMultilevel"/>
    <w:tmpl w:val="D8444272"/>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1D0C1AFC"/>
    <w:multiLevelType w:val="hybridMultilevel"/>
    <w:tmpl w:val="F0AE0A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2456FF1"/>
    <w:multiLevelType w:val="hybridMultilevel"/>
    <w:tmpl w:val="79205AFE"/>
    <w:lvl w:ilvl="0" w:tplc="B7DCF4D6">
      <w:start w:val="1"/>
      <w:numFmt w:val="bullet"/>
      <w:lvlText w:val="-"/>
      <w:lvlJc w:val="left"/>
      <w:pPr>
        <w:tabs>
          <w:tab w:val="num" w:pos="2520"/>
        </w:tabs>
        <w:ind w:left="252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E907B08"/>
    <w:multiLevelType w:val="hybridMultilevel"/>
    <w:tmpl w:val="F0AE0A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19011D7"/>
    <w:multiLevelType w:val="hybridMultilevel"/>
    <w:tmpl w:val="F0AE0A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1DF7D0D"/>
    <w:multiLevelType w:val="hybridMultilevel"/>
    <w:tmpl w:val="4E687EB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33B26ECE"/>
    <w:multiLevelType w:val="hybridMultilevel"/>
    <w:tmpl w:val="F0AE0A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52A49FA"/>
    <w:multiLevelType w:val="hybridMultilevel"/>
    <w:tmpl w:val="F0AE0A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5C91C3C"/>
    <w:multiLevelType w:val="hybridMultilevel"/>
    <w:tmpl w:val="F0AE0A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64D69DE"/>
    <w:multiLevelType w:val="hybridMultilevel"/>
    <w:tmpl w:val="F0AE0A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7684744"/>
    <w:multiLevelType w:val="hybridMultilevel"/>
    <w:tmpl w:val="DFA2EBA2"/>
    <w:lvl w:ilvl="0" w:tplc="D4EAA5C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38B40574"/>
    <w:multiLevelType w:val="hybridMultilevel"/>
    <w:tmpl w:val="F0AE0A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F8E60B3"/>
    <w:multiLevelType w:val="hybridMultilevel"/>
    <w:tmpl w:val="F0AE0A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38F757C"/>
    <w:multiLevelType w:val="hybridMultilevel"/>
    <w:tmpl w:val="F0AE0A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7B2315C"/>
    <w:multiLevelType w:val="hybridMultilevel"/>
    <w:tmpl w:val="78CCCC08"/>
    <w:lvl w:ilvl="0" w:tplc="6D2CB940">
      <w:start w:val="1"/>
      <w:numFmt w:val="bullet"/>
      <w:lvlText w:val=""/>
      <w:lvlJc w:val="left"/>
      <w:pPr>
        <w:tabs>
          <w:tab w:val="num" w:pos="2520"/>
        </w:tabs>
        <w:ind w:left="2520" w:hanging="360"/>
      </w:pPr>
      <w:rPr>
        <w:rFonts w:ascii="Symbol" w:hAnsi="Symbol"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8356462"/>
    <w:multiLevelType w:val="hybridMultilevel"/>
    <w:tmpl w:val="F0AE0A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DAF0620"/>
    <w:multiLevelType w:val="hybridMultilevel"/>
    <w:tmpl w:val="F0AE0A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4F16B3A"/>
    <w:multiLevelType w:val="hybridMultilevel"/>
    <w:tmpl w:val="F0AE0A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6636BA4"/>
    <w:multiLevelType w:val="singleLevel"/>
    <w:tmpl w:val="4718BF98"/>
    <w:lvl w:ilvl="0">
      <w:start w:val="1"/>
      <w:numFmt w:val="bullet"/>
      <w:lvlText w:val=""/>
      <w:lvlJc w:val="left"/>
      <w:pPr>
        <w:tabs>
          <w:tab w:val="num" w:pos="567"/>
        </w:tabs>
        <w:ind w:left="567" w:hanging="567"/>
      </w:pPr>
      <w:rPr>
        <w:rFonts w:ascii="Symbol" w:hAnsi="Symbol" w:hint="default"/>
      </w:rPr>
    </w:lvl>
  </w:abstractNum>
  <w:abstractNum w:abstractNumId="37" w15:restartNumberingAfterBreak="0">
    <w:nsid w:val="567C0FC8"/>
    <w:multiLevelType w:val="hybridMultilevel"/>
    <w:tmpl w:val="570E2522"/>
    <w:lvl w:ilvl="0" w:tplc="B3486DA2">
      <w:start w:val="1"/>
      <w:numFmt w:val="bullet"/>
      <w:lvlText w:val="-"/>
      <w:lvlJc w:val="left"/>
      <w:pPr>
        <w:tabs>
          <w:tab w:val="num" w:pos="567"/>
        </w:tabs>
        <w:ind w:left="567" w:hanging="567"/>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8EE795B"/>
    <w:multiLevelType w:val="hybridMultilevel"/>
    <w:tmpl w:val="F0AE0A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D431CC9"/>
    <w:multiLevelType w:val="hybridMultilevel"/>
    <w:tmpl w:val="1B607618"/>
    <w:lvl w:ilvl="0" w:tplc="0B0E7EFA">
      <w:start w:val="1"/>
      <w:numFmt w:val="bullet"/>
      <w:lvlText w:val="-"/>
      <w:lvlJc w:val="left"/>
      <w:pPr>
        <w:tabs>
          <w:tab w:val="num" w:pos="2520"/>
        </w:tabs>
        <w:ind w:left="252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E95445F"/>
    <w:multiLevelType w:val="hybridMultilevel"/>
    <w:tmpl w:val="A3CC406A"/>
    <w:lvl w:ilvl="0" w:tplc="FFFFFFFF">
      <w:start w:val="1"/>
      <w:numFmt w:val="bullet"/>
      <w:lvlText w:val=""/>
      <w:lvlJc w:val="left"/>
      <w:pPr>
        <w:tabs>
          <w:tab w:val="num" w:pos="1080"/>
        </w:tabs>
        <w:ind w:left="1080" w:hanging="360"/>
      </w:pPr>
      <w:rPr>
        <w:rFonts w:ascii="Symbol" w:hAnsi="Symbol" w:hint="default"/>
      </w:rPr>
    </w:lvl>
    <w:lvl w:ilvl="1" w:tplc="FFFFFFFF">
      <w:start w:val="4"/>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5F9C1F4F"/>
    <w:multiLevelType w:val="hybridMultilevel"/>
    <w:tmpl w:val="08D2D77A"/>
    <w:lvl w:ilvl="0" w:tplc="156E7424">
      <w:start w:val="1"/>
      <w:numFmt w:val="bullet"/>
      <w:lvlText w:val=""/>
      <w:lvlJc w:val="left"/>
      <w:pPr>
        <w:tabs>
          <w:tab w:val="num" w:pos="720"/>
        </w:tabs>
        <w:ind w:left="720" w:hanging="360"/>
      </w:pPr>
      <w:rPr>
        <w:rFonts w:ascii="Symbol" w:hAnsi="Symbol" w:hint="default"/>
        <w:strike w:val="0"/>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04D35EA"/>
    <w:multiLevelType w:val="hybridMultilevel"/>
    <w:tmpl w:val="111A8756"/>
    <w:lvl w:ilvl="0" w:tplc="0B0E7EFA">
      <w:start w:val="1"/>
      <w:numFmt w:val="bullet"/>
      <w:lvlText w:val="-"/>
      <w:lvlJc w:val="left"/>
      <w:pPr>
        <w:tabs>
          <w:tab w:val="num" w:pos="2520"/>
        </w:tabs>
        <w:ind w:left="252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53C6B2C"/>
    <w:multiLevelType w:val="hybridMultilevel"/>
    <w:tmpl w:val="7EA8749E"/>
    <w:lvl w:ilvl="0" w:tplc="0B0E7EFA">
      <w:start w:val="1"/>
      <w:numFmt w:val="bullet"/>
      <w:lvlText w:val="-"/>
      <w:lvlJc w:val="left"/>
      <w:pPr>
        <w:tabs>
          <w:tab w:val="num" w:pos="2520"/>
        </w:tabs>
        <w:ind w:left="252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5430708"/>
    <w:multiLevelType w:val="hybridMultilevel"/>
    <w:tmpl w:val="F0AE0A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A2738A2"/>
    <w:multiLevelType w:val="hybridMultilevel"/>
    <w:tmpl w:val="F0AE0A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E7B2E0F"/>
    <w:multiLevelType w:val="hybridMultilevel"/>
    <w:tmpl w:val="F0AE0A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2044145"/>
    <w:multiLevelType w:val="hybridMultilevel"/>
    <w:tmpl w:val="2BF6E720"/>
    <w:lvl w:ilvl="0" w:tplc="463E1FC6">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79712837"/>
    <w:multiLevelType w:val="hybridMultilevel"/>
    <w:tmpl w:val="DB0CF7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2160" w:hanging="360"/>
      </w:pPr>
      <w:rPr>
        <w:rFonts w:ascii="Symbol" w:hAnsi="Symbol"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7D655757"/>
    <w:multiLevelType w:val="hybridMultilevel"/>
    <w:tmpl w:val="BB683908"/>
    <w:lvl w:ilvl="0" w:tplc="FFFFFFFF">
      <w:start w:val="1"/>
      <w:numFmt w:val="bullet"/>
      <w:lvlText w:val="-"/>
      <w:lvlJc w:val="left"/>
      <w:pPr>
        <w:tabs>
          <w:tab w:val="num" w:pos="2520"/>
        </w:tabs>
        <w:ind w:left="2520" w:hanging="360"/>
      </w:pPr>
      <w:rPr>
        <w:rFonts w:ascii="Times New Roman" w:hAnsi="Times New Roman" w:cs="Times New Roman" w:hint="default"/>
      </w:rPr>
    </w:lvl>
    <w:lvl w:ilvl="1" w:tplc="9BE88EDC">
      <w:start w:val="1"/>
      <w:numFmt w:val="bullet"/>
      <w:lvlText w:val="-"/>
      <w:lvlJc w:val="left"/>
      <w:pPr>
        <w:tabs>
          <w:tab w:val="num" w:pos="1440"/>
        </w:tabs>
        <w:ind w:left="1440" w:hanging="360"/>
      </w:pPr>
      <w:rPr>
        <w:rFonts w:ascii="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650404592">
    <w:abstractNumId w:val="16"/>
  </w:num>
  <w:num w:numId="2" w16cid:durableId="1463502175">
    <w:abstractNumId w:val="15"/>
  </w:num>
  <w:num w:numId="3" w16cid:durableId="952514175">
    <w:abstractNumId w:val="20"/>
  </w:num>
  <w:num w:numId="4" w16cid:durableId="1285891550">
    <w:abstractNumId w:val="32"/>
  </w:num>
  <w:num w:numId="5" w16cid:durableId="295722386">
    <w:abstractNumId w:val="42"/>
  </w:num>
  <w:num w:numId="6" w16cid:durableId="1884049773">
    <w:abstractNumId w:val="39"/>
  </w:num>
  <w:num w:numId="7" w16cid:durableId="1560510197">
    <w:abstractNumId w:val="41"/>
  </w:num>
  <w:num w:numId="8" w16cid:durableId="268977909">
    <w:abstractNumId w:val="37"/>
  </w:num>
  <w:num w:numId="9" w16cid:durableId="1956981373">
    <w:abstractNumId w:val="49"/>
  </w:num>
  <w:num w:numId="10" w16cid:durableId="809519873">
    <w:abstractNumId w:val="43"/>
  </w:num>
  <w:num w:numId="11" w16cid:durableId="1892109653">
    <w:abstractNumId w:val="40"/>
  </w:num>
  <w:num w:numId="12" w16cid:durableId="862595053">
    <w:abstractNumId w:val="10"/>
    <w:lvlOverride w:ilvl="0">
      <w:lvl w:ilvl="0">
        <w:start w:val="1"/>
        <w:numFmt w:val="bullet"/>
        <w:lvlText w:val="-"/>
        <w:lvlJc w:val="left"/>
        <w:pPr>
          <w:ind w:left="360" w:hanging="360"/>
        </w:pPr>
      </w:lvl>
    </w:lvlOverride>
  </w:num>
  <w:num w:numId="13" w16cid:durableId="294877215">
    <w:abstractNumId w:val="36"/>
  </w:num>
  <w:num w:numId="14" w16cid:durableId="1245526005">
    <w:abstractNumId w:val="23"/>
  </w:num>
  <w:num w:numId="15" w16cid:durableId="780539565">
    <w:abstractNumId w:val="48"/>
  </w:num>
  <w:num w:numId="16" w16cid:durableId="110394366">
    <w:abstractNumId w:val="47"/>
  </w:num>
  <w:num w:numId="17" w16cid:durableId="928541565">
    <w:abstractNumId w:val="9"/>
  </w:num>
  <w:num w:numId="18" w16cid:durableId="793988470">
    <w:abstractNumId w:val="7"/>
  </w:num>
  <w:num w:numId="19" w16cid:durableId="1249576590">
    <w:abstractNumId w:val="6"/>
  </w:num>
  <w:num w:numId="20" w16cid:durableId="1255868253">
    <w:abstractNumId w:val="5"/>
  </w:num>
  <w:num w:numId="21" w16cid:durableId="2139372217">
    <w:abstractNumId w:val="4"/>
  </w:num>
  <w:num w:numId="22" w16cid:durableId="717974549">
    <w:abstractNumId w:val="8"/>
  </w:num>
  <w:num w:numId="23" w16cid:durableId="1431120092">
    <w:abstractNumId w:val="3"/>
  </w:num>
  <w:num w:numId="24" w16cid:durableId="1528177485">
    <w:abstractNumId w:val="2"/>
  </w:num>
  <w:num w:numId="25" w16cid:durableId="1550262169">
    <w:abstractNumId w:val="1"/>
  </w:num>
  <w:num w:numId="26" w16cid:durableId="811361249">
    <w:abstractNumId w:val="0"/>
  </w:num>
  <w:num w:numId="27" w16cid:durableId="1738360271">
    <w:abstractNumId w:val="11"/>
  </w:num>
  <w:num w:numId="28" w16cid:durableId="180976530">
    <w:abstractNumId w:val="14"/>
  </w:num>
  <w:num w:numId="29" w16cid:durableId="225998436">
    <w:abstractNumId w:val="17"/>
  </w:num>
  <w:num w:numId="30" w16cid:durableId="673341515">
    <w:abstractNumId w:val="18"/>
  </w:num>
  <w:num w:numId="31" w16cid:durableId="784690689">
    <w:abstractNumId w:val="30"/>
  </w:num>
  <w:num w:numId="32" w16cid:durableId="1116288178">
    <w:abstractNumId w:val="38"/>
  </w:num>
  <w:num w:numId="33" w16cid:durableId="940067259">
    <w:abstractNumId w:val="26"/>
  </w:num>
  <w:num w:numId="34" w16cid:durableId="187261495">
    <w:abstractNumId w:val="27"/>
  </w:num>
  <w:num w:numId="35" w16cid:durableId="414791949">
    <w:abstractNumId w:val="12"/>
  </w:num>
  <w:num w:numId="36" w16cid:durableId="205029168">
    <w:abstractNumId w:val="46"/>
  </w:num>
  <w:num w:numId="37" w16cid:durableId="419569080">
    <w:abstractNumId w:val="34"/>
  </w:num>
  <w:num w:numId="38" w16cid:durableId="1662199134">
    <w:abstractNumId w:val="24"/>
  </w:num>
  <w:num w:numId="39" w16cid:durableId="361395586">
    <w:abstractNumId w:val="19"/>
  </w:num>
  <w:num w:numId="40" w16cid:durableId="2072998540">
    <w:abstractNumId w:val="31"/>
  </w:num>
  <w:num w:numId="41" w16cid:durableId="1652563319">
    <w:abstractNumId w:val="33"/>
  </w:num>
  <w:num w:numId="42" w16cid:durableId="1408067204">
    <w:abstractNumId w:val="22"/>
  </w:num>
  <w:num w:numId="43" w16cid:durableId="1056009779">
    <w:abstractNumId w:val="45"/>
  </w:num>
  <w:num w:numId="44" w16cid:durableId="2016836286">
    <w:abstractNumId w:val="13"/>
  </w:num>
  <w:num w:numId="45" w16cid:durableId="2110805517">
    <w:abstractNumId w:val="29"/>
  </w:num>
  <w:num w:numId="46" w16cid:durableId="473761605">
    <w:abstractNumId w:val="25"/>
  </w:num>
  <w:num w:numId="47" w16cid:durableId="632364851">
    <w:abstractNumId w:val="21"/>
  </w:num>
  <w:num w:numId="48" w16cid:durableId="1950551608">
    <w:abstractNumId w:val="44"/>
  </w:num>
  <w:num w:numId="49" w16cid:durableId="864558547">
    <w:abstractNumId w:val="35"/>
  </w:num>
  <w:num w:numId="50" w16cid:durableId="1552184275">
    <w:abstractNumId w:val="28"/>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08a15635-2c37-451d-b6c3-4727d69d8e62" w:val=" "/>
    <w:docVar w:name="VAULT_ND_2b4f1ca4-2fbf-4b54-88dd-3f9aa896ab40" w:val=" "/>
    <w:docVar w:name="VAULT_ND_4da6b45c-58cd-4e7e-bfad-01a2d23fed1f" w:val=" "/>
    <w:docVar w:name="VAULT_ND_5639dff1-e2fc-4a21-80bf-27fb32b1ab28" w:val=" "/>
    <w:docVar w:name="VAULT_ND_6019744f-eb6b-412b-a9d6-e616a7f660ac" w:val=" "/>
    <w:docVar w:name="VAULT_ND_7dfc2cab-125b-4299-886a-0dfbef1f7ac8" w:val=" "/>
    <w:docVar w:name="VAULT_ND_b561b49d-cb36-42e4-bb99-1fc530af317a" w:val=" "/>
    <w:docVar w:name="Version" w:val="0"/>
  </w:docVars>
  <w:rsids>
    <w:rsidRoot w:val="000016E2"/>
    <w:rsid w:val="0000000E"/>
    <w:rsid w:val="000016E2"/>
    <w:rsid w:val="00001BBE"/>
    <w:rsid w:val="00004662"/>
    <w:rsid w:val="00004BE1"/>
    <w:rsid w:val="00013B38"/>
    <w:rsid w:val="00014E02"/>
    <w:rsid w:val="000168C9"/>
    <w:rsid w:val="00017021"/>
    <w:rsid w:val="000245DF"/>
    <w:rsid w:val="000249A6"/>
    <w:rsid w:val="00025200"/>
    <w:rsid w:val="00025F05"/>
    <w:rsid w:val="000271B2"/>
    <w:rsid w:val="0003061E"/>
    <w:rsid w:val="00030CC3"/>
    <w:rsid w:val="00031B16"/>
    <w:rsid w:val="000326D6"/>
    <w:rsid w:val="00032F66"/>
    <w:rsid w:val="00035F9D"/>
    <w:rsid w:val="0003612E"/>
    <w:rsid w:val="000366D0"/>
    <w:rsid w:val="00037A75"/>
    <w:rsid w:val="00041A3A"/>
    <w:rsid w:val="00042232"/>
    <w:rsid w:val="000424FB"/>
    <w:rsid w:val="000436FE"/>
    <w:rsid w:val="00043A31"/>
    <w:rsid w:val="000440DF"/>
    <w:rsid w:val="00044A19"/>
    <w:rsid w:val="000528FF"/>
    <w:rsid w:val="000531A2"/>
    <w:rsid w:val="000533FA"/>
    <w:rsid w:val="00053DD6"/>
    <w:rsid w:val="00055A6D"/>
    <w:rsid w:val="0005679E"/>
    <w:rsid w:val="00057A71"/>
    <w:rsid w:val="0006153A"/>
    <w:rsid w:val="000633B3"/>
    <w:rsid w:val="00064178"/>
    <w:rsid w:val="00064DED"/>
    <w:rsid w:val="00070D46"/>
    <w:rsid w:val="000712A5"/>
    <w:rsid w:val="00075F74"/>
    <w:rsid w:val="00077019"/>
    <w:rsid w:val="000814B8"/>
    <w:rsid w:val="000837A2"/>
    <w:rsid w:val="00084423"/>
    <w:rsid w:val="00087752"/>
    <w:rsid w:val="00090042"/>
    <w:rsid w:val="000907E3"/>
    <w:rsid w:val="000916AF"/>
    <w:rsid w:val="0009466D"/>
    <w:rsid w:val="000958F4"/>
    <w:rsid w:val="00095D58"/>
    <w:rsid w:val="00096AF6"/>
    <w:rsid w:val="000979E2"/>
    <w:rsid w:val="000A161A"/>
    <w:rsid w:val="000A7B66"/>
    <w:rsid w:val="000B17B3"/>
    <w:rsid w:val="000B3A5C"/>
    <w:rsid w:val="000B7D82"/>
    <w:rsid w:val="000C160B"/>
    <w:rsid w:val="000C1B54"/>
    <w:rsid w:val="000C1B93"/>
    <w:rsid w:val="000C2E97"/>
    <w:rsid w:val="000C486E"/>
    <w:rsid w:val="000C5B3A"/>
    <w:rsid w:val="000C66BB"/>
    <w:rsid w:val="000C7862"/>
    <w:rsid w:val="000C7B64"/>
    <w:rsid w:val="000D1716"/>
    <w:rsid w:val="000D2311"/>
    <w:rsid w:val="000D44D1"/>
    <w:rsid w:val="000E4326"/>
    <w:rsid w:val="000E4A08"/>
    <w:rsid w:val="000E5BCA"/>
    <w:rsid w:val="000E71E4"/>
    <w:rsid w:val="000E7E29"/>
    <w:rsid w:val="000F432B"/>
    <w:rsid w:val="000F4B72"/>
    <w:rsid w:val="000F65A6"/>
    <w:rsid w:val="00100861"/>
    <w:rsid w:val="00104CA8"/>
    <w:rsid w:val="001076CB"/>
    <w:rsid w:val="001141EA"/>
    <w:rsid w:val="001143A0"/>
    <w:rsid w:val="00114D16"/>
    <w:rsid w:val="001164DF"/>
    <w:rsid w:val="00120BE3"/>
    <w:rsid w:val="0012332F"/>
    <w:rsid w:val="00127E48"/>
    <w:rsid w:val="00131F7E"/>
    <w:rsid w:val="0013513D"/>
    <w:rsid w:val="001353D7"/>
    <w:rsid w:val="00135DC9"/>
    <w:rsid w:val="00141B1E"/>
    <w:rsid w:val="00144DA2"/>
    <w:rsid w:val="001454B8"/>
    <w:rsid w:val="00151111"/>
    <w:rsid w:val="0015565A"/>
    <w:rsid w:val="00155CF6"/>
    <w:rsid w:val="00156F24"/>
    <w:rsid w:val="00162932"/>
    <w:rsid w:val="00163E07"/>
    <w:rsid w:val="00166B77"/>
    <w:rsid w:val="0017089F"/>
    <w:rsid w:val="00172054"/>
    <w:rsid w:val="00172DD6"/>
    <w:rsid w:val="001733E4"/>
    <w:rsid w:val="00173962"/>
    <w:rsid w:val="00174420"/>
    <w:rsid w:val="0017612C"/>
    <w:rsid w:val="00177239"/>
    <w:rsid w:val="0018073C"/>
    <w:rsid w:val="0018357E"/>
    <w:rsid w:val="00184D01"/>
    <w:rsid w:val="00186240"/>
    <w:rsid w:val="00191699"/>
    <w:rsid w:val="00191A15"/>
    <w:rsid w:val="0019280C"/>
    <w:rsid w:val="00195650"/>
    <w:rsid w:val="00195A43"/>
    <w:rsid w:val="001A08C1"/>
    <w:rsid w:val="001A3327"/>
    <w:rsid w:val="001B35E4"/>
    <w:rsid w:val="001B553B"/>
    <w:rsid w:val="001B5C3D"/>
    <w:rsid w:val="001B6BFC"/>
    <w:rsid w:val="001B780C"/>
    <w:rsid w:val="001C0771"/>
    <w:rsid w:val="001C07CB"/>
    <w:rsid w:val="001C302E"/>
    <w:rsid w:val="001C5750"/>
    <w:rsid w:val="001C7C75"/>
    <w:rsid w:val="001C7E40"/>
    <w:rsid w:val="001D1DEF"/>
    <w:rsid w:val="001D3E3C"/>
    <w:rsid w:val="001D49CE"/>
    <w:rsid w:val="001D59FF"/>
    <w:rsid w:val="001D5C1C"/>
    <w:rsid w:val="001D5E4A"/>
    <w:rsid w:val="001E0877"/>
    <w:rsid w:val="001E0F92"/>
    <w:rsid w:val="001E3755"/>
    <w:rsid w:val="001E4C37"/>
    <w:rsid w:val="001E4FB6"/>
    <w:rsid w:val="001E6F45"/>
    <w:rsid w:val="001F24EC"/>
    <w:rsid w:val="001F3BA4"/>
    <w:rsid w:val="001F4B94"/>
    <w:rsid w:val="001F5ACE"/>
    <w:rsid w:val="001F62BC"/>
    <w:rsid w:val="001F7A6C"/>
    <w:rsid w:val="0020041E"/>
    <w:rsid w:val="002049D2"/>
    <w:rsid w:val="002059BE"/>
    <w:rsid w:val="002076A4"/>
    <w:rsid w:val="002126C3"/>
    <w:rsid w:val="00212990"/>
    <w:rsid w:val="002134E1"/>
    <w:rsid w:val="00213764"/>
    <w:rsid w:val="00214A15"/>
    <w:rsid w:val="00214AC1"/>
    <w:rsid w:val="00215544"/>
    <w:rsid w:val="00221104"/>
    <w:rsid w:val="002213F6"/>
    <w:rsid w:val="00227D72"/>
    <w:rsid w:val="0023247D"/>
    <w:rsid w:val="00234E09"/>
    <w:rsid w:val="00236C96"/>
    <w:rsid w:val="002410FF"/>
    <w:rsid w:val="0024182B"/>
    <w:rsid w:val="00241EA8"/>
    <w:rsid w:val="0024283E"/>
    <w:rsid w:val="00242E0C"/>
    <w:rsid w:val="002467E1"/>
    <w:rsid w:val="00247538"/>
    <w:rsid w:val="002513CF"/>
    <w:rsid w:val="00251429"/>
    <w:rsid w:val="00252DFD"/>
    <w:rsid w:val="00253134"/>
    <w:rsid w:val="00264AF6"/>
    <w:rsid w:val="00264CE2"/>
    <w:rsid w:val="00265ADB"/>
    <w:rsid w:val="00270A39"/>
    <w:rsid w:val="00273550"/>
    <w:rsid w:val="00274DB8"/>
    <w:rsid w:val="00275C9F"/>
    <w:rsid w:val="0027613F"/>
    <w:rsid w:val="00277AFD"/>
    <w:rsid w:val="00277F5B"/>
    <w:rsid w:val="00283374"/>
    <w:rsid w:val="00283818"/>
    <w:rsid w:val="002843C5"/>
    <w:rsid w:val="0029156F"/>
    <w:rsid w:val="0029227D"/>
    <w:rsid w:val="00292481"/>
    <w:rsid w:val="00294BED"/>
    <w:rsid w:val="00296919"/>
    <w:rsid w:val="00297835"/>
    <w:rsid w:val="002A070A"/>
    <w:rsid w:val="002A0EAB"/>
    <w:rsid w:val="002A1649"/>
    <w:rsid w:val="002A1C71"/>
    <w:rsid w:val="002A3168"/>
    <w:rsid w:val="002A6D99"/>
    <w:rsid w:val="002A78A7"/>
    <w:rsid w:val="002A78E5"/>
    <w:rsid w:val="002B253B"/>
    <w:rsid w:val="002B5679"/>
    <w:rsid w:val="002B5C6D"/>
    <w:rsid w:val="002C68BE"/>
    <w:rsid w:val="002C7AAD"/>
    <w:rsid w:val="002C7DE5"/>
    <w:rsid w:val="002D0E6D"/>
    <w:rsid w:val="002D6651"/>
    <w:rsid w:val="002D6A1B"/>
    <w:rsid w:val="002D6DFA"/>
    <w:rsid w:val="002D7012"/>
    <w:rsid w:val="002E0341"/>
    <w:rsid w:val="002E07FD"/>
    <w:rsid w:val="002E17EB"/>
    <w:rsid w:val="002E1ECB"/>
    <w:rsid w:val="002E4764"/>
    <w:rsid w:val="002E4F10"/>
    <w:rsid w:val="002E6143"/>
    <w:rsid w:val="002F0451"/>
    <w:rsid w:val="002F42AE"/>
    <w:rsid w:val="002F6B51"/>
    <w:rsid w:val="00301551"/>
    <w:rsid w:val="003023A4"/>
    <w:rsid w:val="003035D9"/>
    <w:rsid w:val="00303E7E"/>
    <w:rsid w:val="00310DB8"/>
    <w:rsid w:val="00312432"/>
    <w:rsid w:val="0031300C"/>
    <w:rsid w:val="00313F06"/>
    <w:rsid w:val="00315324"/>
    <w:rsid w:val="003155CA"/>
    <w:rsid w:val="00320C80"/>
    <w:rsid w:val="00320D79"/>
    <w:rsid w:val="003213A8"/>
    <w:rsid w:val="00321AB1"/>
    <w:rsid w:val="003247F9"/>
    <w:rsid w:val="00324FF0"/>
    <w:rsid w:val="00325CFF"/>
    <w:rsid w:val="0032626E"/>
    <w:rsid w:val="00327172"/>
    <w:rsid w:val="00331483"/>
    <w:rsid w:val="00331E9D"/>
    <w:rsid w:val="00331EE5"/>
    <w:rsid w:val="00333C60"/>
    <w:rsid w:val="00334A79"/>
    <w:rsid w:val="0034081B"/>
    <w:rsid w:val="003424A2"/>
    <w:rsid w:val="003433A7"/>
    <w:rsid w:val="00351850"/>
    <w:rsid w:val="00353D11"/>
    <w:rsid w:val="003569A4"/>
    <w:rsid w:val="00362266"/>
    <w:rsid w:val="00363C2A"/>
    <w:rsid w:val="00366C5D"/>
    <w:rsid w:val="00367ED1"/>
    <w:rsid w:val="003709BC"/>
    <w:rsid w:val="0037108B"/>
    <w:rsid w:val="00375EA4"/>
    <w:rsid w:val="0037703C"/>
    <w:rsid w:val="00377A9E"/>
    <w:rsid w:val="00380ECE"/>
    <w:rsid w:val="00381429"/>
    <w:rsid w:val="00383968"/>
    <w:rsid w:val="003856D2"/>
    <w:rsid w:val="00385B2F"/>
    <w:rsid w:val="0039064D"/>
    <w:rsid w:val="00390B21"/>
    <w:rsid w:val="00391291"/>
    <w:rsid w:val="00391C92"/>
    <w:rsid w:val="003A1600"/>
    <w:rsid w:val="003A3645"/>
    <w:rsid w:val="003A582C"/>
    <w:rsid w:val="003A66A3"/>
    <w:rsid w:val="003A7E3D"/>
    <w:rsid w:val="003B09CF"/>
    <w:rsid w:val="003B09F2"/>
    <w:rsid w:val="003B0FD5"/>
    <w:rsid w:val="003B2ACA"/>
    <w:rsid w:val="003B3B44"/>
    <w:rsid w:val="003B5FF4"/>
    <w:rsid w:val="003B6089"/>
    <w:rsid w:val="003B7206"/>
    <w:rsid w:val="003C0661"/>
    <w:rsid w:val="003C157B"/>
    <w:rsid w:val="003C29FC"/>
    <w:rsid w:val="003C67CC"/>
    <w:rsid w:val="003C7AF7"/>
    <w:rsid w:val="003C7D94"/>
    <w:rsid w:val="003D0FAF"/>
    <w:rsid w:val="003D1585"/>
    <w:rsid w:val="003D3F1E"/>
    <w:rsid w:val="003D494F"/>
    <w:rsid w:val="003D52BB"/>
    <w:rsid w:val="003D5ACA"/>
    <w:rsid w:val="003D6168"/>
    <w:rsid w:val="003E01CE"/>
    <w:rsid w:val="003E1B4B"/>
    <w:rsid w:val="003E1F53"/>
    <w:rsid w:val="003F0EA4"/>
    <w:rsid w:val="003F1DF5"/>
    <w:rsid w:val="003F4C93"/>
    <w:rsid w:val="003F4E72"/>
    <w:rsid w:val="003F57BE"/>
    <w:rsid w:val="003F6FD9"/>
    <w:rsid w:val="003F761E"/>
    <w:rsid w:val="003F7F58"/>
    <w:rsid w:val="004006D0"/>
    <w:rsid w:val="0040106D"/>
    <w:rsid w:val="00401703"/>
    <w:rsid w:val="004024FF"/>
    <w:rsid w:val="00402CB4"/>
    <w:rsid w:val="00407EF8"/>
    <w:rsid w:val="004135FC"/>
    <w:rsid w:val="00414DC3"/>
    <w:rsid w:val="00415EC6"/>
    <w:rsid w:val="00417813"/>
    <w:rsid w:val="00420A9F"/>
    <w:rsid w:val="00421B63"/>
    <w:rsid w:val="00421C6F"/>
    <w:rsid w:val="00422558"/>
    <w:rsid w:val="0042525B"/>
    <w:rsid w:val="004277AA"/>
    <w:rsid w:val="00427A54"/>
    <w:rsid w:val="00427CB6"/>
    <w:rsid w:val="0043074C"/>
    <w:rsid w:val="00430ADD"/>
    <w:rsid w:val="00435249"/>
    <w:rsid w:val="00435CE6"/>
    <w:rsid w:val="0043737C"/>
    <w:rsid w:val="00440AAB"/>
    <w:rsid w:val="00440DBC"/>
    <w:rsid w:val="00441C00"/>
    <w:rsid w:val="00446BD4"/>
    <w:rsid w:val="004509EA"/>
    <w:rsid w:val="00451FB0"/>
    <w:rsid w:val="004522C5"/>
    <w:rsid w:val="0045636F"/>
    <w:rsid w:val="004569FE"/>
    <w:rsid w:val="00462737"/>
    <w:rsid w:val="00463DB0"/>
    <w:rsid w:val="0046619D"/>
    <w:rsid w:val="00466BA7"/>
    <w:rsid w:val="00466D6A"/>
    <w:rsid w:val="00467408"/>
    <w:rsid w:val="00470B5B"/>
    <w:rsid w:val="0047221B"/>
    <w:rsid w:val="00483232"/>
    <w:rsid w:val="00484310"/>
    <w:rsid w:val="0048623B"/>
    <w:rsid w:val="0049074A"/>
    <w:rsid w:val="0049278C"/>
    <w:rsid w:val="0049367B"/>
    <w:rsid w:val="00495CEC"/>
    <w:rsid w:val="00496A17"/>
    <w:rsid w:val="004972A5"/>
    <w:rsid w:val="0049761B"/>
    <w:rsid w:val="004A0932"/>
    <w:rsid w:val="004A4420"/>
    <w:rsid w:val="004A4F02"/>
    <w:rsid w:val="004A54A2"/>
    <w:rsid w:val="004A5E1F"/>
    <w:rsid w:val="004A67B0"/>
    <w:rsid w:val="004A67B7"/>
    <w:rsid w:val="004A787A"/>
    <w:rsid w:val="004A7A0B"/>
    <w:rsid w:val="004A7F46"/>
    <w:rsid w:val="004B35E7"/>
    <w:rsid w:val="004B48CF"/>
    <w:rsid w:val="004B603F"/>
    <w:rsid w:val="004B6454"/>
    <w:rsid w:val="004C22D2"/>
    <w:rsid w:val="004C320D"/>
    <w:rsid w:val="004C4215"/>
    <w:rsid w:val="004C7CFA"/>
    <w:rsid w:val="004D1AC7"/>
    <w:rsid w:val="004D23ED"/>
    <w:rsid w:val="004D4FAD"/>
    <w:rsid w:val="004E14B0"/>
    <w:rsid w:val="004E2469"/>
    <w:rsid w:val="004E26DC"/>
    <w:rsid w:val="004E292F"/>
    <w:rsid w:val="004E337A"/>
    <w:rsid w:val="004F090B"/>
    <w:rsid w:val="004F4ACE"/>
    <w:rsid w:val="004F7349"/>
    <w:rsid w:val="004F75F5"/>
    <w:rsid w:val="0050061B"/>
    <w:rsid w:val="00500F13"/>
    <w:rsid w:val="005017D2"/>
    <w:rsid w:val="005020B4"/>
    <w:rsid w:val="00502AC2"/>
    <w:rsid w:val="00504A80"/>
    <w:rsid w:val="005106B6"/>
    <w:rsid w:val="00517C51"/>
    <w:rsid w:val="00524547"/>
    <w:rsid w:val="00526404"/>
    <w:rsid w:val="00530C53"/>
    <w:rsid w:val="0053117D"/>
    <w:rsid w:val="005342C6"/>
    <w:rsid w:val="00535D3F"/>
    <w:rsid w:val="00537B08"/>
    <w:rsid w:val="005415E9"/>
    <w:rsid w:val="005453AA"/>
    <w:rsid w:val="005460E0"/>
    <w:rsid w:val="00553833"/>
    <w:rsid w:val="005543E0"/>
    <w:rsid w:val="00554FF9"/>
    <w:rsid w:val="005566BA"/>
    <w:rsid w:val="00556E5D"/>
    <w:rsid w:val="00557783"/>
    <w:rsid w:val="00561AEB"/>
    <w:rsid w:val="00563CB6"/>
    <w:rsid w:val="00564009"/>
    <w:rsid w:val="00565C39"/>
    <w:rsid w:val="00571CC6"/>
    <w:rsid w:val="005737F1"/>
    <w:rsid w:val="00573E69"/>
    <w:rsid w:val="00573FEE"/>
    <w:rsid w:val="005805A9"/>
    <w:rsid w:val="005816F9"/>
    <w:rsid w:val="0058692A"/>
    <w:rsid w:val="005870EC"/>
    <w:rsid w:val="005874DA"/>
    <w:rsid w:val="00590367"/>
    <w:rsid w:val="005914BC"/>
    <w:rsid w:val="005935AD"/>
    <w:rsid w:val="00596046"/>
    <w:rsid w:val="00596804"/>
    <w:rsid w:val="00597A55"/>
    <w:rsid w:val="005A0778"/>
    <w:rsid w:val="005A302E"/>
    <w:rsid w:val="005A5DC0"/>
    <w:rsid w:val="005A5FCE"/>
    <w:rsid w:val="005A7B43"/>
    <w:rsid w:val="005A7CCD"/>
    <w:rsid w:val="005B121B"/>
    <w:rsid w:val="005B2110"/>
    <w:rsid w:val="005B4F3D"/>
    <w:rsid w:val="005B5700"/>
    <w:rsid w:val="005B58FB"/>
    <w:rsid w:val="005B6D04"/>
    <w:rsid w:val="005C1127"/>
    <w:rsid w:val="005C2F4C"/>
    <w:rsid w:val="005C3B8B"/>
    <w:rsid w:val="005C3DFB"/>
    <w:rsid w:val="005C47D8"/>
    <w:rsid w:val="005C5003"/>
    <w:rsid w:val="005C7363"/>
    <w:rsid w:val="005C7B07"/>
    <w:rsid w:val="005D109B"/>
    <w:rsid w:val="005E0E1A"/>
    <w:rsid w:val="005E756D"/>
    <w:rsid w:val="005F0A11"/>
    <w:rsid w:val="005F0B34"/>
    <w:rsid w:val="005F1F5C"/>
    <w:rsid w:val="005F24F4"/>
    <w:rsid w:val="005F4149"/>
    <w:rsid w:val="006002BF"/>
    <w:rsid w:val="006057AB"/>
    <w:rsid w:val="00607314"/>
    <w:rsid w:val="006078D4"/>
    <w:rsid w:val="0061326E"/>
    <w:rsid w:val="00616F7A"/>
    <w:rsid w:val="00617036"/>
    <w:rsid w:val="0062423C"/>
    <w:rsid w:val="00625BCA"/>
    <w:rsid w:val="00626BDE"/>
    <w:rsid w:val="00627195"/>
    <w:rsid w:val="00630273"/>
    <w:rsid w:val="00630DB3"/>
    <w:rsid w:val="006313AC"/>
    <w:rsid w:val="0063199A"/>
    <w:rsid w:val="00632648"/>
    <w:rsid w:val="006404AD"/>
    <w:rsid w:val="006404CE"/>
    <w:rsid w:val="00641A7F"/>
    <w:rsid w:val="0064787D"/>
    <w:rsid w:val="00647DB9"/>
    <w:rsid w:val="00650669"/>
    <w:rsid w:val="00650E53"/>
    <w:rsid w:val="00650E6D"/>
    <w:rsid w:val="006521B5"/>
    <w:rsid w:val="00652BE7"/>
    <w:rsid w:val="00654AC0"/>
    <w:rsid w:val="006554F9"/>
    <w:rsid w:val="00660A7B"/>
    <w:rsid w:val="00663813"/>
    <w:rsid w:val="0066467E"/>
    <w:rsid w:val="00664E1E"/>
    <w:rsid w:val="00665BB2"/>
    <w:rsid w:val="00666709"/>
    <w:rsid w:val="0066763A"/>
    <w:rsid w:val="00667CC9"/>
    <w:rsid w:val="006717CD"/>
    <w:rsid w:val="0067363E"/>
    <w:rsid w:val="006738AE"/>
    <w:rsid w:val="00675889"/>
    <w:rsid w:val="00676610"/>
    <w:rsid w:val="00677559"/>
    <w:rsid w:val="006817E5"/>
    <w:rsid w:val="00681EB9"/>
    <w:rsid w:val="00685267"/>
    <w:rsid w:val="006855E6"/>
    <w:rsid w:val="00685E49"/>
    <w:rsid w:val="00686204"/>
    <w:rsid w:val="00687DD8"/>
    <w:rsid w:val="00687DE8"/>
    <w:rsid w:val="00690383"/>
    <w:rsid w:val="00690ED0"/>
    <w:rsid w:val="00691C5F"/>
    <w:rsid w:val="00696A03"/>
    <w:rsid w:val="006A3564"/>
    <w:rsid w:val="006A461E"/>
    <w:rsid w:val="006A6553"/>
    <w:rsid w:val="006B133F"/>
    <w:rsid w:val="006B14A8"/>
    <w:rsid w:val="006B2479"/>
    <w:rsid w:val="006B55D1"/>
    <w:rsid w:val="006B5BCA"/>
    <w:rsid w:val="006C0060"/>
    <w:rsid w:val="006C1DCC"/>
    <w:rsid w:val="006C3FCC"/>
    <w:rsid w:val="006C5048"/>
    <w:rsid w:val="006D0591"/>
    <w:rsid w:val="006D2ADC"/>
    <w:rsid w:val="006D47BE"/>
    <w:rsid w:val="006D4A3A"/>
    <w:rsid w:val="006D64C0"/>
    <w:rsid w:val="006D7016"/>
    <w:rsid w:val="006E032B"/>
    <w:rsid w:val="006E0966"/>
    <w:rsid w:val="006E12D1"/>
    <w:rsid w:val="006E60E9"/>
    <w:rsid w:val="006E610F"/>
    <w:rsid w:val="006E6F37"/>
    <w:rsid w:val="006F2D75"/>
    <w:rsid w:val="006F2E83"/>
    <w:rsid w:val="006F318C"/>
    <w:rsid w:val="006F3286"/>
    <w:rsid w:val="006F5AE9"/>
    <w:rsid w:val="006F5B73"/>
    <w:rsid w:val="00700DC9"/>
    <w:rsid w:val="007055A0"/>
    <w:rsid w:val="007114AE"/>
    <w:rsid w:val="0071382F"/>
    <w:rsid w:val="007138E8"/>
    <w:rsid w:val="007177A6"/>
    <w:rsid w:val="00717A7B"/>
    <w:rsid w:val="00717F11"/>
    <w:rsid w:val="007211A9"/>
    <w:rsid w:val="007218EC"/>
    <w:rsid w:val="00723A4D"/>
    <w:rsid w:val="00724ACF"/>
    <w:rsid w:val="00725CE9"/>
    <w:rsid w:val="00731ABA"/>
    <w:rsid w:val="0073242C"/>
    <w:rsid w:val="00736563"/>
    <w:rsid w:val="0073731B"/>
    <w:rsid w:val="0074333B"/>
    <w:rsid w:val="00743BE7"/>
    <w:rsid w:val="0074622A"/>
    <w:rsid w:val="00752883"/>
    <w:rsid w:val="00757838"/>
    <w:rsid w:val="00762F8D"/>
    <w:rsid w:val="00763C6F"/>
    <w:rsid w:val="00766956"/>
    <w:rsid w:val="0076788D"/>
    <w:rsid w:val="007700B9"/>
    <w:rsid w:val="00770336"/>
    <w:rsid w:val="00771C26"/>
    <w:rsid w:val="00777C2D"/>
    <w:rsid w:val="00784E81"/>
    <w:rsid w:val="0079140B"/>
    <w:rsid w:val="0079185A"/>
    <w:rsid w:val="00791BCC"/>
    <w:rsid w:val="007940FC"/>
    <w:rsid w:val="00794566"/>
    <w:rsid w:val="00794E7D"/>
    <w:rsid w:val="0079679A"/>
    <w:rsid w:val="00796FA3"/>
    <w:rsid w:val="007A1267"/>
    <w:rsid w:val="007A4A2B"/>
    <w:rsid w:val="007A5395"/>
    <w:rsid w:val="007B1149"/>
    <w:rsid w:val="007B54E2"/>
    <w:rsid w:val="007B7AF1"/>
    <w:rsid w:val="007C5AAA"/>
    <w:rsid w:val="007C5F9E"/>
    <w:rsid w:val="007C7185"/>
    <w:rsid w:val="007D1FC7"/>
    <w:rsid w:val="007D4B48"/>
    <w:rsid w:val="007D4CA0"/>
    <w:rsid w:val="007D5553"/>
    <w:rsid w:val="007D6A4E"/>
    <w:rsid w:val="007D6E0E"/>
    <w:rsid w:val="007E49C0"/>
    <w:rsid w:val="007E77ED"/>
    <w:rsid w:val="007F07DF"/>
    <w:rsid w:val="007F07E6"/>
    <w:rsid w:val="007F2F1F"/>
    <w:rsid w:val="007F3574"/>
    <w:rsid w:val="007F4AB4"/>
    <w:rsid w:val="007F6B0D"/>
    <w:rsid w:val="00800651"/>
    <w:rsid w:val="00801016"/>
    <w:rsid w:val="00816070"/>
    <w:rsid w:val="00816A57"/>
    <w:rsid w:val="00822FE5"/>
    <w:rsid w:val="00824064"/>
    <w:rsid w:val="00825239"/>
    <w:rsid w:val="00825882"/>
    <w:rsid w:val="00825BDD"/>
    <w:rsid w:val="00835D4A"/>
    <w:rsid w:val="00837BE7"/>
    <w:rsid w:val="00840E06"/>
    <w:rsid w:val="008419DA"/>
    <w:rsid w:val="0084327A"/>
    <w:rsid w:val="00843B1C"/>
    <w:rsid w:val="0084784E"/>
    <w:rsid w:val="00847933"/>
    <w:rsid w:val="00854B9B"/>
    <w:rsid w:val="00857A83"/>
    <w:rsid w:val="00861782"/>
    <w:rsid w:val="00861A58"/>
    <w:rsid w:val="0086294A"/>
    <w:rsid w:val="008634B1"/>
    <w:rsid w:val="00863E6D"/>
    <w:rsid w:val="008671E7"/>
    <w:rsid w:val="00867338"/>
    <w:rsid w:val="00867B01"/>
    <w:rsid w:val="00867D69"/>
    <w:rsid w:val="0087091E"/>
    <w:rsid w:val="00870992"/>
    <w:rsid w:val="00877374"/>
    <w:rsid w:val="0087787B"/>
    <w:rsid w:val="008802DD"/>
    <w:rsid w:val="008804AC"/>
    <w:rsid w:val="00880845"/>
    <w:rsid w:val="0088397C"/>
    <w:rsid w:val="00884AA9"/>
    <w:rsid w:val="00885305"/>
    <w:rsid w:val="008873C8"/>
    <w:rsid w:val="0089109D"/>
    <w:rsid w:val="00891FB3"/>
    <w:rsid w:val="008933DF"/>
    <w:rsid w:val="00893540"/>
    <w:rsid w:val="0089430C"/>
    <w:rsid w:val="00896205"/>
    <w:rsid w:val="00896336"/>
    <w:rsid w:val="00897E6D"/>
    <w:rsid w:val="008A104B"/>
    <w:rsid w:val="008A1CC6"/>
    <w:rsid w:val="008A36A6"/>
    <w:rsid w:val="008A3C41"/>
    <w:rsid w:val="008A4233"/>
    <w:rsid w:val="008A4974"/>
    <w:rsid w:val="008A6F9C"/>
    <w:rsid w:val="008A713E"/>
    <w:rsid w:val="008A7B5C"/>
    <w:rsid w:val="008A7F6A"/>
    <w:rsid w:val="008B00AF"/>
    <w:rsid w:val="008B335D"/>
    <w:rsid w:val="008B37C6"/>
    <w:rsid w:val="008B4C4F"/>
    <w:rsid w:val="008B6414"/>
    <w:rsid w:val="008B7240"/>
    <w:rsid w:val="008C03B0"/>
    <w:rsid w:val="008C1390"/>
    <w:rsid w:val="008C18EB"/>
    <w:rsid w:val="008C4140"/>
    <w:rsid w:val="008C51AC"/>
    <w:rsid w:val="008C6F60"/>
    <w:rsid w:val="008C78D5"/>
    <w:rsid w:val="008C79A8"/>
    <w:rsid w:val="008C7C94"/>
    <w:rsid w:val="008D2BFE"/>
    <w:rsid w:val="008D3B84"/>
    <w:rsid w:val="008D40E5"/>
    <w:rsid w:val="008D53A3"/>
    <w:rsid w:val="008D564E"/>
    <w:rsid w:val="008D6411"/>
    <w:rsid w:val="008D6670"/>
    <w:rsid w:val="008E0645"/>
    <w:rsid w:val="008E0CC3"/>
    <w:rsid w:val="008E180F"/>
    <w:rsid w:val="008E2583"/>
    <w:rsid w:val="008E521C"/>
    <w:rsid w:val="008F0B62"/>
    <w:rsid w:val="008F1003"/>
    <w:rsid w:val="008F45DB"/>
    <w:rsid w:val="008F6293"/>
    <w:rsid w:val="008F6497"/>
    <w:rsid w:val="00903997"/>
    <w:rsid w:val="00904A45"/>
    <w:rsid w:val="00905B62"/>
    <w:rsid w:val="009066A2"/>
    <w:rsid w:val="009072F5"/>
    <w:rsid w:val="0090751B"/>
    <w:rsid w:val="009137C5"/>
    <w:rsid w:val="00913DF2"/>
    <w:rsid w:val="00915896"/>
    <w:rsid w:val="00915BAB"/>
    <w:rsid w:val="00920370"/>
    <w:rsid w:val="00920D00"/>
    <w:rsid w:val="00921538"/>
    <w:rsid w:val="009239CD"/>
    <w:rsid w:val="00923E0F"/>
    <w:rsid w:val="00924172"/>
    <w:rsid w:val="009277FC"/>
    <w:rsid w:val="00930FB6"/>
    <w:rsid w:val="009320F0"/>
    <w:rsid w:val="009406F3"/>
    <w:rsid w:val="00941A73"/>
    <w:rsid w:val="00941B73"/>
    <w:rsid w:val="00941FBF"/>
    <w:rsid w:val="009474AC"/>
    <w:rsid w:val="00950E6D"/>
    <w:rsid w:val="0095490D"/>
    <w:rsid w:val="00955C86"/>
    <w:rsid w:val="00955FCB"/>
    <w:rsid w:val="00956276"/>
    <w:rsid w:val="009575EF"/>
    <w:rsid w:val="00960AB0"/>
    <w:rsid w:val="00962549"/>
    <w:rsid w:val="009631A7"/>
    <w:rsid w:val="00963366"/>
    <w:rsid w:val="00964639"/>
    <w:rsid w:val="00964F11"/>
    <w:rsid w:val="00966B73"/>
    <w:rsid w:val="009706B6"/>
    <w:rsid w:val="00974063"/>
    <w:rsid w:val="0097500E"/>
    <w:rsid w:val="00977128"/>
    <w:rsid w:val="00980142"/>
    <w:rsid w:val="009809EB"/>
    <w:rsid w:val="00980F2D"/>
    <w:rsid w:val="00981D55"/>
    <w:rsid w:val="00990228"/>
    <w:rsid w:val="00993626"/>
    <w:rsid w:val="0099414B"/>
    <w:rsid w:val="00995DBD"/>
    <w:rsid w:val="00995EC0"/>
    <w:rsid w:val="00996468"/>
    <w:rsid w:val="00997EC4"/>
    <w:rsid w:val="009A0F17"/>
    <w:rsid w:val="009A121C"/>
    <w:rsid w:val="009A1A5A"/>
    <w:rsid w:val="009A534D"/>
    <w:rsid w:val="009A7131"/>
    <w:rsid w:val="009A7DBC"/>
    <w:rsid w:val="009B0C36"/>
    <w:rsid w:val="009B143E"/>
    <w:rsid w:val="009B2775"/>
    <w:rsid w:val="009B2846"/>
    <w:rsid w:val="009C342B"/>
    <w:rsid w:val="009C4144"/>
    <w:rsid w:val="009C5469"/>
    <w:rsid w:val="009C55E9"/>
    <w:rsid w:val="009C568C"/>
    <w:rsid w:val="009C5FC6"/>
    <w:rsid w:val="009C75E8"/>
    <w:rsid w:val="009C7DA2"/>
    <w:rsid w:val="009D16CE"/>
    <w:rsid w:val="009D2505"/>
    <w:rsid w:val="009D38F9"/>
    <w:rsid w:val="009D3DE3"/>
    <w:rsid w:val="009D406C"/>
    <w:rsid w:val="009D452E"/>
    <w:rsid w:val="009D64A5"/>
    <w:rsid w:val="009D6DEC"/>
    <w:rsid w:val="009E3D23"/>
    <w:rsid w:val="009E42F2"/>
    <w:rsid w:val="009E54D2"/>
    <w:rsid w:val="009E63FF"/>
    <w:rsid w:val="009E7B6C"/>
    <w:rsid w:val="009F08E8"/>
    <w:rsid w:val="009F18B0"/>
    <w:rsid w:val="009F33BB"/>
    <w:rsid w:val="009F487F"/>
    <w:rsid w:val="00A007C9"/>
    <w:rsid w:val="00A03C86"/>
    <w:rsid w:val="00A041CD"/>
    <w:rsid w:val="00A04FD4"/>
    <w:rsid w:val="00A0577F"/>
    <w:rsid w:val="00A070F7"/>
    <w:rsid w:val="00A075C9"/>
    <w:rsid w:val="00A07888"/>
    <w:rsid w:val="00A138B5"/>
    <w:rsid w:val="00A14F4B"/>
    <w:rsid w:val="00A17E39"/>
    <w:rsid w:val="00A20CD7"/>
    <w:rsid w:val="00A23BF1"/>
    <w:rsid w:val="00A23F3E"/>
    <w:rsid w:val="00A24087"/>
    <w:rsid w:val="00A2615E"/>
    <w:rsid w:val="00A278EE"/>
    <w:rsid w:val="00A30172"/>
    <w:rsid w:val="00A30E6B"/>
    <w:rsid w:val="00A32D2B"/>
    <w:rsid w:val="00A32E47"/>
    <w:rsid w:val="00A3399D"/>
    <w:rsid w:val="00A34606"/>
    <w:rsid w:val="00A3678B"/>
    <w:rsid w:val="00A46089"/>
    <w:rsid w:val="00A46C9E"/>
    <w:rsid w:val="00A50EC4"/>
    <w:rsid w:val="00A51DD6"/>
    <w:rsid w:val="00A55013"/>
    <w:rsid w:val="00A56D3F"/>
    <w:rsid w:val="00A56EA2"/>
    <w:rsid w:val="00A610E1"/>
    <w:rsid w:val="00A6270B"/>
    <w:rsid w:val="00A62A12"/>
    <w:rsid w:val="00A63A3F"/>
    <w:rsid w:val="00A64922"/>
    <w:rsid w:val="00A64C0E"/>
    <w:rsid w:val="00A66537"/>
    <w:rsid w:val="00A67179"/>
    <w:rsid w:val="00A70EE3"/>
    <w:rsid w:val="00A71735"/>
    <w:rsid w:val="00A76387"/>
    <w:rsid w:val="00A7662B"/>
    <w:rsid w:val="00A77801"/>
    <w:rsid w:val="00A81082"/>
    <w:rsid w:val="00A8172E"/>
    <w:rsid w:val="00A823F0"/>
    <w:rsid w:val="00A87C3B"/>
    <w:rsid w:val="00A87C4E"/>
    <w:rsid w:val="00A91D15"/>
    <w:rsid w:val="00A94D8D"/>
    <w:rsid w:val="00AA012C"/>
    <w:rsid w:val="00AA05FB"/>
    <w:rsid w:val="00AA1D19"/>
    <w:rsid w:val="00AA35F1"/>
    <w:rsid w:val="00AA74C7"/>
    <w:rsid w:val="00AB2447"/>
    <w:rsid w:val="00AB3327"/>
    <w:rsid w:val="00AB642F"/>
    <w:rsid w:val="00AB77A1"/>
    <w:rsid w:val="00AC3280"/>
    <w:rsid w:val="00AC7901"/>
    <w:rsid w:val="00AC7B26"/>
    <w:rsid w:val="00AD0200"/>
    <w:rsid w:val="00AD5CAD"/>
    <w:rsid w:val="00AD74C5"/>
    <w:rsid w:val="00AE01B3"/>
    <w:rsid w:val="00AE1758"/>
    <w:rsid w:val="00AE3F06"/>
    <w:rsid w:val="00AE58B5"/>
    <w:rsid w:val="00AE661A"/>
    <w:rsid w:val="00AE6EB3"/>
    <w:rsid w:val="00AF1FB7"/>
    <w:rsid w:val="00AF3312"/>
    <w:rsid w:val="00AF3BD4"/>
    <w:rsid w:val="00AF6584"/>
    <w:rsid w:val="00AF774D"/>
    <w:rsid w:val="00B014B5"/>
    <w:rsid w:val="00B02412"/>
    <w:rsid w:val="00B02730"/>
    <w:rsid w:val="00B04D68"/>
    <w:rsid w:val="00B06BF5"/>
    <w:rsid w:val="00B07829"/>
    <w:rsid w:val="00B121B9"/>
    <w:rsid w:val="00B12588"/>
    <w:rsid w:val="00B143F4"/>
    <w:rsid w:val="00B15C46"/>
    <w:rsid w:val="00B16245"/>
    <w:rsid w:val="00B17582"/>
    <w:rsid w:val="00B213E4"/>
    <w:rsid w:val="00B22165"/>
    <w:rsid w:val="00B2519C"/>
    <w:rsid w:val="00B25D4B"/>
    <w:rsid w:val="00B2644F"/>
    <w:rsid w:val="00B26AF7"/>
    <w:rsid w:val="00B3077F"/>
    <w:rsid w:val="00B34E8A"/>
    <w:rsid w:val="00B35668"/>
    <w:rsid w:val="00B35C01"/>
    <w:rsid w:val="00B36E5C"/>
    <w:rsid w:val="00B36FF3"/>
    <w:rsid w:val="00B41FA3"/>
    <w:rsid w:val="00B42326"/>
    <w:rsid w:val="00B44CC8"/>
    <w:rsid w:val="00B458D2"/>
    <w:rsid w:val="00B46E14"/>
    <w:rsid w:val="00B52B15"/>
    <w:rsid w:val="00B62DF2"/>
    <w:rsid w:val="00B634F8"/>
    <w:rsid w:val="00B6673A"/>
    <w:rsid w:val="00B67DF0"/>
    <w:rsid w:val="00B7141D"/>
    <w:rsid w:val="00B7235C"/>
    <w:rsid w:val="00B72894"/>
    <w:rsid w:val="00B735B5"/>
    <w:rsid w:val="00B73BD8"/>
    <w:rsid w:val="00B75878"/>
    <w:rsid w:val="00B80743"/>
    <w:rsid w:val="00B816E3"/>
    <w:rsid w:val="00B819B1"/>
    <w:rsid w:val="00B827C6"/>
    <w:rsid w:val="00B83AF0"/>
    <w:rsid w:val="00B83F73"/>
    <w:rsid w:val="00B856DC"/>
    <w:rsid w:val="00B85829"/>
    <w:rsid w:val="00B86ED8"/>
    <w:rsid w:val="00B9164E"/>
    <w:rsid w:val="00B925A6"/>
    <w:rsid w:val="00B934C5"/>
    <w:rsid w:val="00B9395C"/>
    <w:rsid w:val="00B94DE6"/>
    <w:rsid w:val="00BA0147"/>
    <w:rsid w:val="00BA100C"/>
    <w:rsid w:val="00BA359E"/>
    <w:rsid w:val="00BA618B"/>
    <w:rsid w:val="00BA6C5E"/>
    <w:rsid w:val="00BA7EE1"/>
    <w:rsid w:val="00BB2F1C"/>
    <w:rsid w:val="00BB391C"/>
    <w:rsid w:val="00BB391E"/>
    <w:rsid w:val="00BB6475"/>
    <w:rsid w:val="00BC0386"/>
    <w:rsid w:val="00BC4171"/>
    <w:rsid w:val="00BC5BEB"/>
    <w:rsid w:val="00BC6421"/>
    <w:rsid w:val="00BC7014"/>
    <w:rsid w:val="00BC7792"/>
    <w:rsid w:val="00BD0AB7"/>
    <w:rsid w:val="00BD0EBB"/>
    <w:rsid w:val="00BD1F82"/>
    <w:rsid w:val="00BD2004"/>
    <w:rsid w:val="00BD22FE"/>
    <w:rsid w:val="00BD2CF2"/>
    <w:rsid w:val="00BD321A"/>
    <w:rsid w:val="00BD7B14"/>
    <w:rsid w:val="00BE3737"/>
    <w:rsid w:val="00BE472A"/>
    <w:rsid w:val="00BE5020"/>
    <w:rsid w:val="00BF1B07"/>
    <w:rsid w:val="00BF2375"/>
    <w:rsid w:val="00BF25F5"/>
    <w:rsid w:val="00BF3CDE"/>
    <w:rsid w:val="00BF5206"/>
    <w:rsid w:val="00BF6AD1"/>
    <w:rsid w:val="00BF76E1"/>
    <w:rsid w:val="00C007A7"/>
    <w:rsid w:val="00C061E5"/>
    <w:rsid w:val="00C07AA7"/>
    <w:rsid w:val="00C10328"/>
    <w:rsid w:val="00C1220A"/>
    <w:rsid w:val="00C12E20"/>
    <w:rsid w:val="00C130B7"/>
    <w:rsid w:val="00C14255"/>
    <w:rsid w:val="00C15D43"/>
    <w:rsid w:val="00C15F79"/>
    <w:rsid w:val="00C167D8"/>
    <w:rsid w:val="00C21E3C"/>
    <w:rsid w:val="00C27521"/>
    <w:rsid w:val="00C34E44"/>
    <w:rsid w:val="00C35538"/>
    <w:rsid w:val="00C413C3"/>
    <w:rsid w:val="00C433AC"/>
    <w:rsid w:val="00C45153"/>
    <w:rsid w:val="00C453AF"/>
    <w:rsid w:val="00C46331"/>
    <w:rsid w:val="00C46A6F"/>
    <w:rsid w:val="00C519E6"/>
    <w:rsid w:val="00C52747"/>
    <w:rsid w:val="00C52E70"/>
    <w:rsid w:val="00C53640"/>
    <w:rsid w:val="00C53DB7"/>
    <w:rsid w:val="00C54A0B"/>
    <w:rsid w:val="00C61756"/>
    <w:rsid w:val="00C6394C"/>
    <w:rsid w:val="00C673DA"/>
    <w:rsid w:val="00C67E7D"/>
    <w:rsid w:val="00C70383"/>
    <w:rsid w:val="00C713D9"/>
    <w:rsid w:val="00C7480B"/>
    <w:rsid w:val="00C84197"/>
    <w:rsid w:val="00C84757"/>
    <w:rsid w:val="00C8544C"/>
    <w:rsid w:val="00C856CF"/>
    <w:rsid w:val="00C92452"/>
    <w:rsid w:val="00C93DB2"/>
    <w:rsid w:val="00CA0E2D"/>
    <w:rsid w:val="00CA348A"/>
    <w:rsid w:val="00CA54FB"/>
    <w:rsid w:val="00CA61B7"/>
    <w:rsid w:val="00CA7840"/>
    <w:rsid w:val="00CB0AA0"/>
    <w:rsid w:val="00CB0BB4"/>
    <w:rsid w:val="00CB31B3"/>
    <w:rsid w:val="00CB407E"/>
    <w:rsid w:val="00CB4FE6"/>
    <w:rsid w:val="00CB53B3"/>
    <w:rsid w:val="00CB58D2"/>
    <w:rsid w:val="00CC42BB"/>
    <w:rsid w:val="00CC4346"/>
    <w:rsid w:val="00CC4B48"/>
    <w:rsid w:val="00CC74FF"/>
    <w:rsid w:val="00CC7E59"/>
    <w:rsid w:val="00CD4297"/>
    <w:rsid w:val="00CD468F"/>
    <w:rsid w:val="00CD48B0"/>
    <w:rsid w:val="00CD73AF"/>
    <w:rsid w:val="00CE1EED"/>
    <w:rsid w:val="00CE457A"/>
    <w:rsid w:val="00CE6310"/>
    <w:rsid w:val="00CE69BC"/>
    <w:rsid w:val="00CE746E"/>
    <w:rsid w:val="00CF099D"/>
    <w:rsid w:val="00CF4216"/>
    <w:rsid w:val="00CF4390"/>
    <w:rsid w:val="00D00612"/>
    <w:rsid w:val="00D04238"/>
    <w:rsid w:val="00D05891"/>
    <w:rsid w:val="00D0711D"/>
    <w:rsid w:val="00D1054B"/>
    <w:rsid w:val="00D108E3"/>
    <w:rsid w:val="00D119D3"/>
    <w:rsid w:val="00D1265E"/>
    <w:rsid w:val="00D135A2"/>
    <w:rsid w:val="00D13A29"/>
    <w:rsid w:val="00D21E6A"/>
    <w:rsid w:val="00D228C4"/>
    <w:rsid w:val="00D27AF8"/>
    <w:rsid w:val="00D30610"/>
    <w:rsid w:val="00D316F8"/>
    <w:rsid w:val="00D31F6F"/>
    <w:rsid w:val="00D3306E"/>
    <w:rsid w:val="00D36688"/>
    <w:rsid w:val="00D451FF"/>
    <w:rsid w:val="00D460A3"/>
    <w:rsid w:val="00D46805"/>
    <w:rsid w:val="00D50441"/>
    <w:rsid w:val="00D5074A"/>
    <w:rsid w:val="00D553B5"/>
    <w:rsid w:val="00D55D53"/>
    <w:rsid w:val="00D57855"/>
    <w:rsid w:val="00D57F19"/>
    <w:rsid w:val="00D57FFD"/>
    <w:rsid w:val="00D60651"/>
    <w:rsid w:val="00D622F1"/>
    <w:rsid w:val="00D63481"/>
    <w:rsid w:val="00D63B27"/>
    <w:rsid w:val="00D70D5E"/>
    <w:rsid w:val="00D71977"/>
    <w:rsid w:val="00D72549"/>
    <w:rsid w:val="00D76D58"/>
    <w:rsid w:val="00D772E7"/>
    <w:rsid w:val="00D8079B"/>
    <w:rsid w:val="00D80C19"/>
    <w:rsid w:val="00D81321"/>
    <w:rsid w:val="00D822D8"/>
    <w:rsid w:val="00D83F97"/>
    <w:rsid w:val="00D87B7D"/>
    <w:rsid w:val="00D958FB"/>
    <w:rsid w:val="00D959EE"/>
    <w:rsid w:val="00DA041B"/>
    <w:rsid w:val="00DA64C3"/>
    <w:rsid w:val="00DB027C"/>
    <w:rsid w:val="00DB56FC"/>
    <w:rsid w:val="00DB5E45"/>
    <w:rsid w:val="00DB60AF"/>
    <w:rsid w:val="00DB6F1E"/>
    <w:rsid w:val="00DC0D44"/>
    <w:rsid w:val="00DC3673"/>
    <w:rsid w:val="00DC37D8"/>
    <w:rsid w:val="00DD0776"/>
    <w:rsid w:val="00DD0F39"/>
    <w:rsid w:val="00DD1B90"/>
    <w:rsid w:val="00DD21D1"/>
    <w:rsid w:val="00DD6294"/>
    <w:rsid w:val="00DD73B9"/>
    <w:rsid w:val="00DE0F49"/>
    <w:rsid w:val="00DE3878"/>
    <w:rsid w:val="00DE4C52"/>
    <w:rsid w:val="00DE6923"/>
    <w:rsid w:val="00DE7027"/>
    <w:rsid w:val="00DE747E"/>
    <w:rsid w:val="00DE793A"/>
    <w:rsid w:val="00DF3168"/>
    <w:rsid w:val="00DF4332"/>
    <w:rsid w:val="00DF5401"/>
    <w:rsid w:val="00DF6D27"/>
    <w:rsid w:val="00DF7814"/>
    <w:rsid w:val="00E04E04"/>
    <w:rsid w:val="00E05CB2"/>
    <w:rsid w:val="00E05E15"/>
    <w:rsid w:val="00E11BF9"/>
    <w:rsid w:val="00E12DCD"/>
    <w:rsid w:val="00E14ED0"/>
    <w:rsid w:val="00E17E17"/>
    <w:rsid w:val="00E22215"/>
    <w:rsid w:val="00E225A2"/>
    <w:rsid w:val="00E2341A"/>
    <w:rsid w:val="00E266AC"/>
    <w:rsid w:val="00E27C0D"/>
    <w:rsid w:val="00E27D27"/>
    <w:rsid w:val="00E301D5"/>
    <w:rsid w:val="00E31B1C"/>
    <w:rsid w:val="00E3298B"/>
    <w:rsid w:val="00E35F30"/>
    <w:rsid w:val="00E366F3"/>
    <w:rsid w:val="00E41411"/>
    <w:rsid w:val="00E4176C"/>
    <w:rsid w:val="00E4598A"/>
    <w:rsid w:val="00E465B5"/>
    <w:rsid w:val="00E47923"/>
    <w:rsid w:val="00E51995"/>
    <w:rsid w:val="00E5413C"/>
    <w:rsid w:val="00E548DA"/>
    <w:rsid w:val="00E55963"/>
    <w:rsid w:val="00E61A89"/>
    <w:rsid w:val="00E63B84"/>
    <w:rsid w:val="00E661A6"/>
    <w:rsid w:val="00E66559"/>
    <w:rsid w:val="00E66BF7"/>
    <w:rsid w:val="00E678F9"/>
    <w:rsid w:val="00E723AB"/>
    <w:rsid w:val="00E72E3B"/>
    <w:rsid w:val="00E7475D"/>
    <w:rsid w:val="00E74996"/>
    <w:rsid w:val="00E76AE7"/>
    <w:rsid w:val="00E81DF7"/>
    <w:rsid w:val="00E8325B"/>
    <w:rsid w:val="00E85CB0"/>
    <w:rsid w:val="00E87ED6"/>
    <w:rsid w:val="00E90B80"/>
    <w:rsid w:val="00E92979"/>
    <w:rsid w:val="00E93F66"/>
    <w:rsid w:val="00E94653"/>
    <w:rsid w:val="00E94C89"/>
    <w:rsid w:val="00EA10A8"/>
    <w:rsid w:val="00EA2382"/>
    <w:rsid w:val="00EA4BA2"/>
    <w:rsid w:val="00EB0848"/>
    <w:rsid w:val="00EB1FE3"/>
    <w:rsid w:val="00EB7473"/>
    <w:rsid w:val="00EC08F9"/>
    <w:rsid w:val="00EC10A8"/>
    <w:rsid w:val="00EC10B8"/>
    <w:rsid w:val="00EC52F3"/>
    <w:rsid w:val="00EC69FA"/>
    <w:rsid w:val="00EC703F"/>
    <w:rsid w:val="00ED0E68"/>
    <w:rsid w:val="00ED256D"/>
    <w:rsid w:val="00ED3526"/>
    <w:rsid w:val="00ED51D5"/>
    <w:rsid w:val="00ED652A"/>
    <w:rsid w:val="00ED7A6A"/>
    <w:rsid w:val="00EE17E0"/>
    <w:rsid w:val="00EE3238"/>
    <w:rsid w:val="00EE3382"/>
    <w:rsid w:val="00EE33E5"/>
    <w:rsid w:val="00EE3CE3"/>
    <w:rsid w:val="00EE73CF"/>
    <w:rsid w:val="00EE795B"/>
    <w:rsid w:val="00EF1C12"/>
    <w:rsid w:val="00EF5419"/>
    <w:rsid w:val="00EF595B"/>
    <w:rsid w:val="00EF5AD3"/>
    <w:rsid w:val="00F012D1"/>
    <w:rsid w:val="00F01DE8"/>
    <w:rsid w:val="00F04181"/>
    <w:rsid w:val="00F11458"/>
    <w:rsid w:val="00F118DD"/>
    <w:rsid w:val="00F2396D"/>
    <w:rsid w:val="00F23F1B"/>
    <w:rsid w:val="00F24D7F"/>
    <w:rsid w:val="00F35E77"/>
    <w:rsid w:val="00F36FB5"/>
    <w:rsid w:val="00F379E9"/>
    <w:rsid w:val="00F37DB4"/>
    <w:rsid w:val="00F4364B"/>
    <w:rsid w:val="00F504D6"/>
    <w:rsid w:val="00F52775"/>
    <w:rsid w:val="00F543A3"/>
    <w:rsid w:val="00F54C1D"/>
    <w:rsid w:val="00F566DB"/>
    <w:rsid w:val="00F569F5"/>
    <w:rsid w:val="00F57122"/>
    <w:rsid w:val="00F578E9"/>
    <w:rsid w:val="00F60590"/>
    <w:rsid w:val="00F60A19"/>
    <w:rsid w:val="00F613D6"/>
    <w:rsid w:val="00F6382B"/>
    <w:rsid w:val="00F64A4D"/>
    <w:rsid w:val="00F67D0A"/>
    <w:rsid w:val="00F70575"/>
    <w:rsid w:val="00F73095"/>
    <w:rsid w:val="00F73CC0"/>
    <w:rsid w:val="00F75291"/>
    <w:rsid w:val="00F81ACF"/>
    <w:rsid w:val="00F82C63"/>
    <w:rsid w:val="00F850DE"/>
    <w:rsid w:val="00F87030"/>
    <w:rsid w:val="00F87102"/>
    <w:rsid w:val="00F8730D"/>
    <w:rsid w:val="00F90126"/>
    <w:rsid w:val="00F91770"/>
    <w:rsid w:val="00F94973"/>
    <w:rsid w:val="00F9633A"/>
    <w:rsid w:val="00FA20BC"/>
    <w:rsid w:val="00FA2E0E"/>
    <w:rsid w:val="00FA5670"/>
    <w:rsid w:val="00FB052E"/>
    <w:rsid w:val="00FB090F"/>
    <w:rsid w:val="00FB2D4A"/>
    <w:rsid w:val="00FC0B76"/>
    <w:rsid w:val="00FC10C7"/>
    <w:rsid w:val="00FC151A"/>
    <w:rsid w:val="00FC2272"/>
    <w:rsid w:val="00FC25A3"/>
    <w:rsid w:val="00FC284B"/>
    <w:rsid w:val="00FC7284"/>
    <w:rsid w:val="00FD1241"/>
    <w:rsid w:val="00FD2695"/>
    <w:rsid w:val="00FD3592"/>
    <w:rsid w:val="00FD3E65"/>
    <w:rsid w:val="00FD743C"/>
    <w:rsid w:val="00FD7DBF"/>
    <w:rsid w:val="00FE197E"/>
    <w:rsid w:val="00FE199F"/>
    <w:rsid w:val="00FE1D81"/>
    <w:rsid w:val="00FE2515"/>
    <w:rsid w:val="00FF4028"/>
    <w:rsid w:val="00FF4983"/>
    <w:rsid w:val="00FF4CD8"/>
    <w:rsid w:val="00FF4D13"/>
    <w:rsid w:val="00FF57E7"/>
    <w:rsid w:val="00FF66FC"/>
  </w:rsids>
  <m:mathPr>
    <m:mathFont m:val="Cambria Math"/>
    <m:brkBin m:val="before"/>
    <m:brkBinSub m:val="--"/>
    <m:smallFrac m:val="0"/>
    <m:dispDef/>
    <m:lMargin m:val="0"/>
    <m:rMargin m:val="0"/>
    <m:defJc m:val="centerGroup"/>
    <m:wrapIndent m:val="1440"/>
    <m:intLim m:val="subSup"/>
    <m:naryLim m:val="undOvr"/>
  </m:mathPr>
  <w:themeFontLang w:val="de-DE" w:eastAsia="ko-KR"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335F2F87"/>
  <w15:docId w15:val="{4480B13C-D24E-40F8-8CF6-9D174CB42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5"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ind w:left="360"/>
      <w:outlineLvl w:val="2"/>
    </w:pPr>
    <w:rPr>
      <w:u w:val="single"/>
      <w:lang w:val="pl-PL"/>
    </w:rPr>
  </w:style>
  <w:style w:type="paragraph" w:styleId="Heading4">
    <w:name w:val="heading 4"/>
    <w:basedOn w:val="Normal"/>
    <w:next w:val="Normal"/>
    <w:qFormat/>
    <w:pPr>
      <w:keepNext/>
      <w:outlineLvl w:val="3"/>
    </w:pPr>
    <w:rPr>
      <w:u w:val="single"/>
      <w:lang w:val="pl-PL"/>
    </w:rPr>
  </w:style>
  <w:style w:type="paragraph" w:styleId="Heading5">
    <w:name w:val="heading 5"/>
    <w:basedOn w:val="Normal"/>
    <w:next w:val="Normal"/>
    <w:qFormat/>
    <w:pPr>
      <w:keepNext/>
      <w:widowControl w:val="0"/>
      <w:autoSpaceDE w:val="0"/>
      <w:autoSpaceDN w:val="0"/>
      <w:adjustRightInd w:val="0"/>
      <w:jc w:val="both"/>
      <w:outlineLvl w:val="4"/>
    </w:pPr>
    <w:rPr>
      <w:u w:val="single"/>
      <w:lang w:val="pl-PL"/>
    </w:rPr>
  </w:style>
  <w:style w:type="paragraph" w:styleId="Heading6">
    <w:name w:val="heading 6"/>
    <w:basedOn w:val="Normal"/>
    <w:next w:val="Normal"/>
    <w:qFormat/>
    <w:pPr>
      <w:keepNext/>
      <w:spacing w:line="360" w:lineRule="auto"/>
      <w:jc w:val="both"/>
      <w:outlineLvl w:val="5"/>
    </w:pPr>
    <w:rPr>
      <w:b/>
      <w:lang w:val="pl-PL"/>
    </w:rPr>
  </w:style>
  <w:style w:type="paragraph" w:styleId="Heading7">
    <w:name w:val="heading 7"/>
    <w:basedOn w:val="Normal"/>
    <w:next w:val="Normal"/>
    <w:link w:val="Heading7Char"/>
    <w:uiPriority w:val="9"/>
    <w:semiHidden/>
    <w:unhideWhenUsed/>
    <w:qFormat/>
    <w:pPr>
      <w:spacing w:before="240" w:after="60"/>
      <w:outlineLvl w:val="6"/>
    </w:pPr>
    <w:rPr>
      <w:rFonts w:ascii="Calibri" w:hAnsi="Calibri"/>
    </w:rPr>
  </w:style>
  <w:style w:type="paragraph" w:styleId="Heading8">
    <w:name w:val="heading 8"/>
    <w:basedOn w:val="Normal"/>
    <w:next w:val="Normal"/>
    <w:link w:val="Heading8Char"/>
    <w:uiPriority w:val="9"/>
    <w:semiHidden/>
    <w:unhideWhenUsed/>
    <w:qFormat/>
    <w:p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360"/>
    </w:pPr>
    <w:rPr>
      <w:lang w:val="pl-PL"/>
    </w:rPr>
  </w:style>
  <w:style w:type="paragraph" w:styleId="BodyText">
    <w:name w:val="Body Text"/>
    <w:basedOn w:val="Normal"/>
    <w:link w:val="BodyTextChar"/>
    <w:pPr>
      <w:spacing w:line="360" w:lineRule="auto"/>
      <w:jc w:val="both"/>
    </w:pPr>
    <w:rPr>
      <w:lang w:val="x-none"/>
    </w:rPr>
  </w:style>
  <w:style w:type="paragraph" w:styleId="BodyTextIndent2">
    <w:name w:val="Body Text Indent 2"/>
    <w:basedOn w:val="Normal"/>
    <w:link w:val="BodyTextIndent2Char"/>
    <w:pPr>
      <w:spacing w:line="360" w:lineRule="auto"/>
      <w:ind w:left="74" w:hanging="74"/>
    </w:pPr>
  </w:style>
  <w:style w:type="paragraph" w:styleId="BodyText3">
    <w:name w:val="Body Text 3"/>
    <w:basedOn w:val="Normal"/>
    <w:pPr>
      <w:spacing w:before="465"/>
      <w:ind w:right="144"/>
    </w:pPr>
    <w:rPr>
      <w:snapToGrid w:val="0"/>
      <w:lang w:val="pl-PL" w:eastAsia="pl-PL"/>
    </w:rPr>
  </w:style>
  <w:style w:type="paragraph" w:styleId="Footer">
    <w:name w:val="footer"/>
    <w:basedOn w:val="Normal"/>
    <w:link w:val="FooterChar"/>
    <w:uiPriority w:val="99"/>
    <w:pPr>
      <w:tabs>
        <w:tab w:val="center" w:pos="4536"/>
        <w:tab w:val="right" w:pos="9072"/>
      </w:tabs>
    </w:pPr>
  </w:style>
  <w:style w:type="character" w:styleId="PageNumber">
    <w:name w:val="page number"/>
    <w:basedOn w:val="DefaultParagraphFont"/>
  </w:style>
  <w:style w:type="paragraph" w:styleId="Header">
    <w:name w:val="header"/>
    <w:basedOn w:val="Normal"/>
    <w:link w:val="HeaderChar"/>
    <w:uiPriority w:val="5"/>
    <w:pPr>
      <w:tabs>
        <w:tab w:val="center" w:pos="4536"/>
        <w:tab w:val="right" w:pos="9072"/>
      </w:tabs>
    </w:pPr>
  </w:style>
  <w:style w:type="paragraph" w:customStyle="1" w:styleId="Tekstdymka1">
    <w:name w:val="Tekst dymka1"/>
    <w:basedOn w:val="Normal"/>
    <w:semiHidden/>
    <w:rPr>
      <w:rFonts w:ascii="Tahoma" w:hAnsi="Tahoma" w:cs="Tahoma"/>
      <w:sz w:val="16"/>
      <w:szCs w:val="16"/>
    </w:rPr>
  </w:style>
  <w:style w:type="paragraph" w:styleId="EndnoteText">
    <w:name w:val="endnote text"/>
    <w:basedOn w:val="Normal"/>
    <w:next w:val="Normal"/>
    <w:link w:val="EndnoteTextChar"/>
    <w:uiPriority w:val="99"/>
    <w:semiHidden/>
    <w:pPr>
      <w:tabs>
        <w:tab w:val="left" w:pos="567"/>
      </w:tabs>
    </w:pPr>
    <w:rPr>
      <w:sz w:val="22"/>
      <w:szCs w:val="20"/>
      <w:lang w:val="pl-PL"/>
    </w:rPr>
  </w:style>
  <w:style w:type="paragraph" w:customStyle="1" w:styleId="Sprechblasentext1">
    <w:name w:val="Sprechblasentext1"/>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character" w:styleId="Hyperlink">
    <w:name w:val="Hyperlink"/>
    <w:uiPriority w:val="99"/>
    <w:rPr>
      <w:color w:val="0000FF"/>
      <w:u w:val="single"/>
    </w:rPr>
  </w:style>
  <w:style w:type="paragraph" w:styleId="DocumentMap">
    <w:name w:val="Document Map"/>
    <w:basedOn w:val="Normal"/>
    <w:semiHidden/>
    <w:pPr>
      <w:shd w:val="clear" w:color="auto" w:fill="000080"/>
    </w:pPr>
    <w:rPr>
      <w:rFonts w:ascii="Tahoma" w:hAnsi="Tahoma" w:cs="Tahoma"/>
    </w:rPr>
  </w:style>
  <w:style w:type="paragraph" w:customStyle="1" w:styleId="listssp">
    <w:name w:val="list:ssp"/>
    <w:basedOn w:val="Normal"/>
    <w:rPr>
      <w:szCs w:val="20"/>
      <w:lang w:val="en-GB"/>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paragraph" w:styleId="BodyText2">
    <w:name w:val="Body Text 2"/>
    <w:basedOn w:val="Normal"/>
    <w:pPr>
      <w:spacing w:after="120" w:line="480" w:lineRule="auto"/>
    </w:pPr>
  </w:style>
  <w:style w:type="paragraph" w:styleId="FootnoteText">
    <w:name w:val="footnote text"/>
    <w:basedOn w:val="Normal"/>
    <w:link w:val="FootnoteTextChar"/>
    <w:rPr>
      <w:sz w:val="20"/>
      <w:szCs w:val="20"/>
    </w:rPr>
  </w:style>
  <w:style w:type="character" w:styleId="FootnoteReference">
    <w:name w:val="footnote reference"/>
    <w:rPr>
      <w:vertAlign w:val="superscript"/>
    </w:rPr>
  </w:style>
  <w:style w:type="character" w:styleId="LineNumber">
    <w:name w:val="line number"/>
    <w:basedOn w:val="DefaultParagraphFont"/>
    <w:uiPriority w:val="99"/>
    <w:semiHidden/>
    <w:unhideWhenUsed/>
  </w:style>
  <w:style w:type="paragraph" w:customStyle="1" w:styleId="Default">
    <w:name w:val="Default"/>
    <w:pPr>
      <w:autoSpaceDE w:val="0"/>
      <w:autoSpaceDN w:val="0"/>
      <w:adjustRightInd w:val="0"/>
    </w:pPr>
    <w:rPr>
      <w:color w:val="000000"/>
      <w:sz w:val="24"/>
      <w:szCs w:val="24"/>
      <w:lang w:val="de-DE" w:eastAsia="de-DE"/>
    </w:rPr>
  </w:style>
  <w:style w:type="paragraph" w:customStyle="1" w:styleId="NoSpacing1">
    <w:name w:val="No Spacing1"/>
    <w:uiPriority w:val="1"/>
    <w:qFormat/>
    <w:rPr>
      <w:sz w:val="24"/>
      <w:szCs w:val="24"/>
      <w:lang w:val="en-US" w:eastAsia="en-US"/>
    </w:rPr>
  </w:style>
  <w:style w:type="paragraph" w:styleId="PlainText">
    <w:name w:val="Plain Text"/>
    <w:basedOn w:val="Normal"/>
    <w:link w:val="PlainTextChar"/>
    <w:uiPriority w:val="99"/>
    <w:unhideWhenUsed/>
    <w:rPr>
      <w:rFonts w:ascii="Consolas" w:eastAsia="Calibri" w:hAnsi="Consolas"/>
      <w:sz w:val="21"/>
      <w:szCs w:val="21"/>
      <w:lang w:val="de-DE"/>
    </w:rPr>
  </w:style>
  <w:style w:type="character" w:customStyle="1" w:styleId="PlainTextChar">
    <w:name w:val="Plain Text Char"/>
    <w:link w:val="PlainText"/>
    <w:uiPriority w:val="99"/>
    <w:rPr>
      <w:rFonts w:ascii="Consolas" w:eastAsia="Calibri" w:hAnsi="Consolas"/>
      <w:sz w:val="21"/>
      <w:szCs w:val="21"/>
      <w:lang w:val="de-DE" w:eastAsia="en-US"/>
    </w:rPr>
  </w:style>
  <w:style w:type="paragraph" w:customStyle="1" w:styleId="ListParagraph1">
    <w:name w:val="List Paragraph1"/>
    <w:basedOn w:val="Normal"/>
    <w:uiPriority w:val="34"/>
    <w:qFormat/>
    <w:pPr>
      <w:ind w:left="708"/>
    </w:pPr>
  </w:style>
  <w:style w:type="paragraph" w:customStyle="1" w:styleId="TitleB">
    <w:name w:val="Title B"/>
    <w:basedOn w:val="Normal"/>
    <w:pPr>
      <w:outlineLvl w:val="0"/>
    </w:pPr>
    <w:rPr>
      <w:b/>
      <w:sz w:val="22"/>
      <w:szCs w:val="22"/>
      <w:lang w:val="pl-PL"/>
    </w:rPr>
  </w:style>
  <w:style w:type="character" w:customStyle="1" w:styleId="BodyTextChar">
    <w:name w:val="Body Text Char"/>
    <w:link w:val="BodyText"/>
    <w:rPr>
      <w:sz w:val="24"/>
      <w:szCs w:val="24"/>
      <w:lang w:eastAsia="en-US"/>
    </w:rPr>
  </w:style>
  <w:style w:type="character" w:customStyle="1" w:styleId="hps">
    <w:name w:val="hps"/>
    <w:basedOn w:val="DefaultParagraphFont"/>
  </w:style>
  <w:style w:type="character" w:customStyle="1" w:styleId="atn">
    <w:name w:val="atn"/>
    <w:basedOn w:val="DefaultParagraphFont"/>
  </w:style>
  <w:style w:type="paragraph" w:customStyle="1" w:styleId="HeadNoNum1">
    <w:name w:val="HeadNoNum1"/>
    <w:next w:val="Normal"/>
    <w:pPr>
      <w:suppressAutoHyphens/>
      <w:ind w:left="567" w:hanging="567"/>
    </w:pPr>
    <w:rPr>
      <w:b/>
      <w:noProof/>
      <w:sz w:val="22"/>
      <w:lang w:val="en-GB" w:eastAsia="en-US"/>
    </w:rPr>
  </w:style>
  <w:style w:type="character" w:customStyle="1" w:styleId="span9">
    <w:name w:val="span9"/>
  </w:style>
  <w:style w:type="paragraph" w:customStyle="1" w:styleId="QRD1">
    <w:name w:val="QRD1"/>
    <w:basedOn w:val="BodyText"/>
    <w:link w:val="QRD1Zchn"/>
    <w:qFormat/>
    <w:pPr>
      <w:spacing w:line="240" w:lineRule="auto"/>
      <w:jc w:val="center"/>
      <w:outlineLvl w:val="0"/>
    </w:pPr>
    <w:rPr>
      <w:b/>
      <w:sz w:val="22"/>
      <w:szCs w:val="22"/>
    </w:rPr>
  </w:style>
  <w:style w:type="paragraph" w:customStyle="1" w:styleId="QRD2">
    <w:name w:val="QRD2"/>
    <w:basedOn w:val="Normal"/>
    <w:link w:val="QRD2Zchn"/>
    <w:qFormat/>
    <w:rsid w:val="00717A7B"/>
    <w:pPr>
      <w:keepNext/>
      <w:ind w:left="567" w:hanging="567"/>
      <w:outlineLvl w:val="0"/>
    </w:pPr>
    <w:rPr>
      <w:b/>
      <w:sz w:val="22"/>
      <w:szCs w:val="22"/>
      <w:lang w:val="pl-PL"/>
    </w:rPr>
  </w:style>
  <w:style w:type="character" w:customStyle="1" w:styleId="QRD1Zchn">
    <w:name w:val="QRD1 Zchn"/>
    <w:link w:val="QRD1"/>
    <w:rPr>
      <w:b/>
      <w:sz w:val="22"/>
      <w:szCs w:val="22"/>
      <w:lang w:val="x-none" w:eastAsia="en-US" w:bidi="ar-SA"/>
    </w:rPr>
  </w:style>
  <w:style w:type="paragraph" w:customStyle="1" w:styleId="BodytextAgency">
    <w:name w:val="Body text (Agency)"/>
    <w:basedOn w:val="Normal"/>
    <w:link w:val="BodytextAgencyChar"/>
    <w:pPr>
      <w:spacing w:after="140" w:line="280" w:lineRule="atLeast"/>
    </w:pPr>
    <w:rPr>
      <w:rFonts w:ascii="Verdana" w:hAnsi="Verdana"/>
      <w:sz w:val="18"/>
      <w:szCs w:val="20"/>
      <w:lang w:val="pl-PL" w:eastAsia="pl-PL"/>
    </w:rPr>
  </w:style>
  <w:style w:type="character" w:customStyle="1" w:styleId="QRD2Zchn">
    <w:name w:val="QRD2 Zchn"/>
    <w:link w:val="QRD2"/>
    <w:rsid w:val="00717A7B"/>
    <w:rPr>
      <w:b/>
      <w:sz w:val="22"/>
      <w:szCs w:val="22"/>
      <w:lang w:eastAsia="en-US"/>
    </w:rPr>
  </w:style>
  <w:style w:type="paragraph" w:customStyle="1" w:styleId="No-numheading1Agency">
    <w:name w:val="No-num heading 1 (Agency)"/>
    <w:basedOn w:val="Normal"/>
    <w:next w:val="BodytextAgency"/>
    <w:pPr>
      <w:keepNext/>
      <w:spacing w:before="280" w:after="220"/>
      <w:outlineLvl w:val="0"/>
    </w:pPr>
    <w:rPr>
      <w:rFonts w:ascii="Verdana" w:hAnsi="Verdana"/>
      <w:b/>
      <w:kern w:val="32"/>
      <w:sz w:val="27"/>
      <w:szCs w:val="20"/>
      <w:lang w:val="pl-PL" w:eastAsia="pl-PL"/>
    </w:rPr>
  </w:style>
  <w:style w:type="paragraph" w:customStyle="1" w:styleId="No-numheading2Agency">
    <w:name w:val="No-num heading 2 (Agency)"/>
    <w:basedOn w:val="Normal"/>
    <w:next w:val="BodytextAgency"/>
    <w:pPr>
      <w:keepNext/>
      <w:spacing w:before="280" w:after="220"/>
      <w:outlineLvl w:val="1"/>
    </w:pPr>
    <w:rPr>
      <w:rFonts w:ascii="Verdana" w:hAnsi="Verdana"/>
      <w:b/>
      <w:i/>
      <w:kern w:val="32"/>
      <w:sz w:val="22"/>
      <w:szCs w:val="20"/>
      <w:lang w:val="pl-PL" w:eastAsia="pl-PL"/>
    </w:rPr>
  </w:style>
  <w:style w:type="paragraph" w:customStyle="1" w:styleId="NormalAgency">
    <w:name w:val="Normal (Agency)"/>
    <w:link w:val="NormalAgencyChar"/>
    <w:rPr>
      <w:rFonts w:ascii="Verdana" w:hAnsi="Verdana"/>
      <w:sz w:val="18"/>
    </w:rPr>
  </w:style>
  <w:style w:type="character" w:customStyle="1" w:styleId="NormalAgencyChar">
    <w:name w:val="Normal (Agency) Char"/>
    <w:link w:val="NormalAgency"/>
    <w:rPr>
      <w:rFonts w:ascii="Verdana" w:hAnsi="Verdana"/>
      <w:sz w:val="18"/>
      <w:lang w:val="pl-PL" w:eastAsia="pl-PL" w:bidi="ar-SA"/>
    </w:rPr>
  </w:style>
  <w:style w:type="character" w:customStyle="1" w:styleId="BodytextAgencyChar">
    <w:name w:val="Body text (Agency) Char"/>
    <w:link w:val="BodytextAgency"/>
    <w:rPr>
      <w:rFonts w:ascii="Verdana" w:hAnsi="Verdana"/>
      <w:sz w:val="18"/>
      <w:lang w:val="pl-PL" w:eastAsia="pl-PL"/>
    </w:rPr>
  </w:style>
  <w:style w:type="character" w:customStyle="1" w:styleId="FootnoteTextChar">
    <w:name w:val="Footnote Text Char"/>
    <w:link w:val="FootnoteText"/>
    <w:rPr>
      <w:lang w:val="en-US" w:eastAsia="en-US"/>
    </w:rPr>
  </w:style>
  <w:style w:type="paragraph" w:customStyle="1" w:styleId="news-date">
    <w:name w:val="news-date"/>
    <w:basedOn w:val="Normal"/>
    <w:pPr>
      <w:spacing w:before="100" w:beforeAutospacing="1" w:after="100" w:afterAutospacing="1"/>
    </w:pPr>
    <w:rPr>
      <w:szCs w:val="20"/>
      <w:lang w:val="pl-PL" w:eastAsia="pl-PL"/>
    </w:rPr>
  </w:style>
  <w:style w:type="paragraph" w:styleId="Revision">
    <w:name w:val="Revision"/>
    <w:hidden/>
    <w:uiPriority w:val="99"/>
    <w:semiHidden/>
    <w:rPr>
      <w:sz w:val="24"/>
      <w:szCs w:val="24"/>
      <w:lang w:val="en-US" w:eastAsia="en-US"/>
    </w:rPr>
  </w:style>
  <w:style w:type="character" w:customStyle="1" w:styleId="CommentTextChar">
    <w:name w:val="Comment Text Char"/>
    <w:link w:val="CommentText"/>
    <w:semiHidden/>
    <w:rPr>
      <w:lang w:val="en-US" w:eastAsia="en-US"/>
    </w:rPr>
  </w:style>
  <w:style w:type="paragraph" w:styleId="TableofFigures">
    <w:name w:val="table of figures"/>
    <w:basedOn w:val="Normal"/>
    <w:next w:val="Normal"/>
    <w:uiPriority w:val="99"/>
    <w:semiHidden/>
    <w:unhideWhenUsed/>
  </w:style>
  <w:style w:type="paragraph" w:styleId="Salutation">
    <w:name w:val="Salutation"/>
    <w:basedOn w:val="Normal"/>
    <w:next w:val="Normal"/>
    <w:link w:val="SalutationChar"/>
    <w:uiPriority w:val="99"/>
    <w:semiHidden/>
    <w:unhideWhenUsed/>
  </w:style>
  <w:style w:type="character" w:customStyle="1" w:styleId="SalutationChar">
    <w:name w:val="Salutation Char"/>
    <w:link w:val="Salutation"/>
    <w:uiPriority w:val="99"/>
    <w:semiHidden/>
    <w:rPr>
      <w:sz w:val="24"/>
      <w:szCs w:val="24"/>
      <w:lang w:val="en-US" w:eastAsia="en-US"/>
    </w:rPr>
  </w:style>
  <w:style w:type="paragraph" w:styleId="ListBullet">
    <w:name w:val="List Bullet"/>
    <w:basedOn w:val="Normal"/>
    <w:uiPriority w:val="99"/>
    <w:unhideWhenUsed/>
    <w:pPr>
      <w:numPr>
        <w:numId w:val="17"/>
      </w:numPr>
      <w:contextualSpacing/>
    </w:pPr>
  </w:style>
  <w:style w:type="paragraph" w:styleId="ListBullet2">
    <w:name w:val="List Bullet 2"/>
    <w:basedOn w:val="Normal"/>
    <w:uiPriority w:val="99"/>
    <w:semiHidden/>
    <w:unhideWhenUsed/>
    <w:pPr>
      <w:numPr>
        <w:numId w:val="18"/>
      </w:numPr>
      <w:contextualSpacing/>
    </w:pPr>
  </w:style>
  <w:style w:type="paragraph" w:styleId="ListBullet3">
    <w:name w:val="List Bullet 3"/>
    <w:basedOn w:val="Normal"/>
    <w:uiPriority w:val="99"/>
    <w:semiHidden/>
    <w:unhideWhenUsed/>
    <w:pPr>
      <w:numPr>
        <w:numId w:val="19"/>
      </w:numPr>
      <w:contextualSpacing/>
    </w:pPr>
  </w:style>
  <w:style w:type="paragraph" w:styleId="ListBullet4">
    <w:name w:val="List Bullet 4"/>
    <w:basedOn w:val="Normal"/>
    <w:uiPriority w:val="99"/>
    <w:semiHidden/>
    <w:unhideWhenUsed/>
    <w:pPr>
      <w:numPr>
        <w:numId w:val="20"/>
      </w:numPr>
      <w:contextualSpacing/>
    </w:pPr>
  </w:style>
  <w:style w:type="paragraph" w:styleId="ListBullet5">
    <w:name w:val="List Bullet 5"/>
    <w:basedOn w:val="Normal"/>
    <w:uiPriority w:val="99"/>
    <w:semiHidden/>
    <w:unhideWhenUsed/>
    <w:pPr>
      <w:numPr>
        <w:numId w:val="21"/>
      </w:numPr>
      <w:contextualSpacing/>
    </w:pPr>
  </w:style>
  <w:style w:type="paragraph" w:styleId="Caption">
    <w:name w:val="caption"/>
    <w:basedOn w:val="Normal"/>
    <w:next w:val="Normal"/>
    <w:uiPriority w:val="35"/>
    <w:semiHidden/>
    <w:unhideWhenUsed/>
    <w:qFormat/>
    <w:rPr>
      <w:b/>
      <w:bCs/>
      <w:sz w:val="20"/>
      <w:szCs w:val="20"/>
    </w:rPr>
  </w:style>
  <w:style w:type="paragraph" w:styleId="BlockText">
    <w:name w:val="Block Text"/>
    <w:basedOn w:val="Normal"/>
    <w:uiPriority w:val="99"/>
    <w:semiHidden/>
    <w:unhideWhenUsed/>
    <w:pPr>
      <w:spacing w:after="120"/>
      <w:ind w:left="1440" w:right="1440"/>
    </w:pPr>
  </w:style>
  <w:style w:type="paragraph" w:styleId="Date">
    <w:name w:val="Date"/>
    <w:basedOn w:val="Normal"/>
    <w:next w:val="Normal"/>
    <w:link w:val="DateChar"/>
    <w:uiPriority w:val="99"/>
    <w:semiHidden/>
    <w:unhideWhenUsed/>
  </w:style>
  <w:style w:type="character" w:customStyle="1" w:styleId="DateChar">
    <w:name w:val="Date Char"/>
    <w:link w:val="Date"/>
    <w:uiPriority w:val="99"/>
    <w:semiHidden/>
    <w:rPr>
      <w:sz w:val="24"/>
      <w:szCs w:val="24"/>
      <w:lang w:val="en-US" w:eastAsia="en-US"/>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link w:val="E-mailSignature"/>
    <w:uiPriority w:val="99"/>
    <w:semiHidden/>
    <w:rPr>
      <w:sz w:val="24"/>
      <w:szCs w:val="24"/>
      <w:lang w:val="en-US" w:eastAsia="en-US"/>
    </w:r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link w:val="NoteHeading"/>
    <w:uiPriority w:val="99"/>
    <w:semiHidden/>
    <w:rPr>
      <w:sz w:val="24"/>
      <w:szCs w:val="24"/>
      <w:lang w:val="en-US" w:eastAsia="en-US"/>
    </w:rPr>
  </w:style>
  <w:style w:type="paragraph" w:styleId="Closing">
    <w:name w:val="Closing"/>
    <w:basedOn w:val="Normal"/>
    <w:link w:val="ClosingChar"/>
    <w:uiPriority w:val="99"/>
    <w:semiHidden/>
    <w:unhideWhenUsed/>
    <w:pPr>
      <w:ind w:left="4252"/>
    </w:pPr>
  </w:style>
  <w:style w:type="character" w:customStyle="1" w:styleId="ClosingChar">
    <w:name w:val="Closing Char"/>
    <w:link w:val="Closing"/>
    <w:uiPriority w:val="99"/>
    <w:semiHidden/>
    <w:rPr>
      <w:sz w:val="24"/>
      <w:szCs w:val="24"/>
      <w:lang w:val="en-US" w:eastAsia="en-US"/>
    </w:rPr>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link w:val="HTMLAddress"/>
    <w:uiPriority w:val="99"/>
    <w:semiHidden/>
    <w:rPr>
      <w:i/>
      <w:iCs/>
      <w:sz w:val="24"/>
      <w:szCs w:val="24"/>
      <w:lang w:val="en-US" w:eastAsia="en-US"/>
    </w:rPr>
  </w:style>
  <w:style w:type="paragraph" w:styleId="HTMLPreformatted">
    <w:name w:val="HTML Preformatted"/>
    <w:basedOn w:val="Normal"/>
    <w:link w:val="HTMLPreformattedChar"/>
    <w:uiPriority w:val="99"/>
    <w:semiHidden/>
    <w:unhideWhenUsed/>
    <w:rPr>
      <w:rFonts w:ascii="Courier New" w:hAnsi="Courier New"/>
      <w:sz w:val="20"/>
      <w:szCs w:val="20"/>
    </w:rPr>
  </w:style>
  <w:style w:type="character" w:customStyle="1" w:styleId="HTMLPreformattedChar">
    <w:name w:val="HTML Preformatted Char"/>
    <w:link w:val="HTMLPreformatted"/>
    <w:uiPriority w:val="99"/>
    <w:semiHidden/>
    <w:rPr>
      <w:rFonts w:ascii="Courier New" w:hAnsi="Courier New" w:cs="Courier New"/>
      <w:lang w:val="en-US" w:eastAsia="en-US"/>
    </w:rPr>
  </w:style>
  <w:style w:type="paragraph" w:styleId="Index1">
    <w:name w:val="index 1"/>
    <w:basedOn w:val="Normal"/>
    <w:next w:val="Normal"/>
    <w:autoRedefine/>
    <w:uiPriority w:val="99"/>
    <w:semiHidden/>
    <w:unhideWhenUsed/>
    <w:pPr>
      <w:ind w:left="240" w:hanging="240"/>
    </w:pPr>
  </w:style>
  <w:style w:type="paragraph" w:styleId="Index2">
    <w:name w:val="index 2"/>
    <w:basedOn w:val="Normal"/>
    <w:next w:val="Normal"/>
    <w:autoRedefine/>
    <w:uiPriority w:val="99"/>
    <w:semiHidden/>
    <w:unhideWhenUsed/>
    <w:pPr>
      <w:ind w:left="480" w:hanging="240"/>
    </w:pPr>
  </w:style>
  <w:style w:type="paragraph" w:styleId="Index3">
    <w:name w:val="index 3"/>
    <w:basedOn w:val="Normal"/>
    <w:next w:val="Normal"/>
    <w:autoRedefine/>
    <w:uiPriority w:val="99"/>
    <w:semiHidden/>
    <w:unhideWhenUsed/>
    <w:pPr>
      <w:ind w:left="720" w:hanging="240"/>
    </w:pPr>
  </w:style>
  <w:style w:type="paragraph" w:styleId="Index4">
    <w:name w:val="index 4"/>
    <w:basedOn w:val="Normal"/>
    <w:next w:val="Normal"/>
    <w:autoRedefine/>
    <w:uiPriority w:val="99"/>
    <w:semiHidden/>
    <w:unhideWhenUsed/>
    <w:pPr>
      <w:ind w:left="960" w:hanging="240"/>
    </w:pPr>
  </w:style>
  <w:style w:type="paragraph" w:styleId="Index5">
    <w:name w:val="index 5"/>
    <w:basedOn w:val="Normal"/>
    <w:next w:val="Normal"/>
    <w:autoRedefine/>
    <w:uiPriority w:val="99"/>
    <w:semiHidden/>
    <w:unhideWhenUsed/>
    <w:pPr>
      <w:ind w:left="1200" w:hanging="240"/>
    </w:pPr>
  </w:style>
  <w:style w:type="paragraph" w:styleId="Index6">
    <w:name w:val="index 6"/>
    <w:basedOn w:val="Normal"/>
    <w:next w:val="Normal"/>
    <w:autoRedefine/>
    <w:uiPriority w:val="99"/>
    <w:semiHidden/>
    <w:unhideWhenUsed/>
    <w:pPr>
      <w:ind w:left="1440" w:hanging="240"/>
    </w:pPr>
  </w:style>
  <w:style w:type="paragraph" w:styleId="Index7">
    <w:name w:val="index 7"/>
    <w:basedOn w:val="Normal"/>
    <w:next w:val="Normal"/>
    <w:autoRedefine/>
    <w:uiPriority w:val="99"/>
    <w:semiHidden/>
    <w:unhideWhenUsed/>
    <w:pPr>
      <w:ind w:left="1680" w:hanging="240"/>
    </w:pPr>
  </w:style>
  <w:style w:type="paragraph" w:styleId="Index8">
    <w:name w:val="index 8"/>
    <w:basedOn w:val="Normal"/>
    <w:next w:val="Normal"/>
    <w:autoRedefine/>
    <w:uiPriority w:val="99"/>
    <w:semiHidden/>
    <w:unhideWhenUsed/>
    <w:pPr>
      <w:ind w:left="1920" w:hanging="240"/>
    </w:pPr>
  </w:style>
  <w:style w:type="paragraph" w:styleId="Index9">
    <w:name w:val="index 9"/>
    <w:basedOn w:val="Normal"/>
    <w:next w:val="Normal"/>
    <w:autoRedefine/>
    <w:uiPriority w:val="99"/>
    <w:semiHidden/>
    <w:unhideWhenUsed/>
    <w:pPr>
      <w:ind w:left="2160" w:hanging="240"/>
    </w:pPr>
  </w:style>
  <w:style w:type="paragraph" w:styleId="IndexHeading">
    <w:name w:val="index heading"/>
    <w:basedOn w:val="Normal"/>
    <w:next w:val="Index1"/>
    <w:uiPriority w:val="99"/>
    <w:semiHidden/>
    <w:unhideWhenUsed/>
    <w:rPr>
      <w:rFonts w:ascii="Cambria" w:hAnsi="Cambria"/>
      <w:b/>
      <w:bCs/>
    </w:rPr>
  </w:style>
  <w:style w:type="paragraph" w:styleId="TOCHeading">
    <w:name w:val="TOC Heading"/>
    <w:basedOn w:val="Heading1"/>
    <w:next w:val="Normal"/>
    <w:uiPriority w:val="39"/>
    <w:semiHidden/>
    <w:unhideWhenUsed/>
    <w:qFormat/>
    <w:pPr>
      <w:outlineLvl w:val="9"/>
    </w:pPr>
    <w:rPr>
      <w:rFonts w:ascii="Cambria" w:hAnsi="Cambria" w:cs="Times New Roman"/>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b/>
      <w:bCs/>
      <w:i/>
      <w:iCs/>
      <w:color w:val="4F81BD"/>
      <w:sz w:val="24"/>
      <w:szCs w:val="24"/>
      <w:lang w:val="en-US" w:eastAsia="en-US"/>
    </w:rPr>
  </w:style>
  <w:style w:type="paragraph" w:styleId="NoSpacing">
    <w:name w:val="No Spacing"/>
    <w:uiPriority w:val="1"/>
    <w:qFormat/>
    <w:rPr>
      <w:sz w:val="24"/>
      <w:szCs w:val="24"/>
      <w:lang w:val="en-US" w:eastAsia="en-US"/>
    </w:rPr>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Paragraph">
    <w:name w:val="List Paragraph"/>
    <w:basedOn w:val="Normal"/>
    <w:uiPriority w:val="34"/>
    <w:qFormat/>
    <w:pPr>
      <w:ind w:left="708"/>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numPr>
        <w:numId w:val="22"/>
      </w:numPr>
      <w:contextualSpacing/>
    </w:pPr>
  </w:style>
  <w:style w:type="paragraph" w:styleId="ListNumber2">
    <w:name w:val="List Number 2"/>
    <w:basedOn w:val="Normal"/>
    <w:uiPriority w:val="99"/>
    <w:semiHidden/>
    <w:unhideWhenUsed/>
    <w:pPr>
      <w:numPr>
        <w:numId w:val="23"/>
      </w:numPr>
      <w:contextualSpacing/>
    </w:pPr>
  </w:style>
  <w:style w:type="paragraph" w:styleId="ListNumber3">
    <w:name w:val="List Number 3"/>
    <w:basedOn w:val="Normal"/>
    <w:uiPriority w:val="99"/>
    <w:semiHidden/>
    <w:unhideWhenUsed/>
    <w:pPr>
      <w:numPr>
        <w:numId w:val="24"/>
      </w:numPr>
      <w:contextualSpacing/>
    </w:pPr>
  </w:style>
  <w:style w:type="paragraph" w:styleId="ListNumber4">
    <w:name w:val="List Number 4"/>
    <w:basedOn w:val="Normal"/>
    <w:uiPriority w:val="99"/>
    <w:semiHidden/>
    <w:unhideWhenUsed/>
    <w:pPr>
      <w:numPr>
        <w:numId w:val="25"/>
      </w:numPr>
      <w:contextualSpacing/>
    </w:pPr>
  </w:style>
  <w:style w:type="paragraph" w:styleId="ListNumber5">
    <w:name w:val="List Number 5"/>
    <w:basedOn w:val="Normal"/>
    <w:uiPriority w:val="99"/>
    <w:semiHidden/>
    <w:unhideWhenUsed/>
    <w:pPr>
      <w:numPr>
        <w:numId w:val="26"/>
      </w:numPr>
      <w:contextualSpacing/>
    </w:pPr>
  </w:style>
  <w:style w:type="paragraph" w:styleId="Bibliography">
    <w:name w:val="Bibliography"/>
    <w:basedOn w:val="Normal"/>
    <w:next w:val="Normal"/>
    <w:uiPriority w:val="37"/>
    <w:semiHidden/>
    <w:unhideWhenUsed/>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character" w:customStyle="1" w:styleId="MacroTextChar">
    <w:name w:val="Macro Text Char"/>
    <w:link w:val="MacroText"/>
    <w:uiPriority w:val="99"/>
    <w:semiHidden/>
    <w:rPr>
      <w:rFonts w:ascii="Courier New" w:hAnsi="Courier New" w:cs="Courier New"/>
      <w:lang w:val="en-US" w:eastAsia="en-US" w:bidi="ar-SA"/>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rPr>
  </w:style>
  <w:style w:type="character" w:customStyle="1" w:styleId="MessageHeaderChar">
    <w:name w:val="Message Header Char"/>
    <w:link w:val="MessageHeader"/>
    <w:uiPriority w:val="99"/>
    <w:semiHidden/>
    <w:rPr>
      <w:rFonts w:ascii="Cambria" w:eastAsia="Times New Roman" w:hAnsi="Cambria" w:cs="Times New Roman"/>
      <w:sz w:val="24"/>
      <w:szCs w:val="24"/>
      <w:shd w:val="pct20" w:color="auto" w:fill="auto"/>
      <w:lang w:val="en-US" w:eastAsia="en-US"/>
    </w:rPr>
  </w:style>
  <w:style w:type="paragraph" w:styleId="TableofAuthorities">
    <w:name w:val="table of authorities"/>
    <w:basedOn w:val="Normal"/>
    <w:next w:val="Normal"/>
    <w:uiPriority w:val="99"/>
    <w:semiHidden/>
    <w:unhideWhenUsed/>
    <w:pPr>
      <w:ind w:left="240" w:hanging="240"/>
    </w:pPr>
  </w:style>
  <w:style w:type="paragraph" w:styleId="TOAHeading">
    <w:name w:val="toa heading"/>
    <w:basedOn w:val="Normal"/>
    <w:next w:val="Normal"/>
    <w:uiPriority w:val="99"/>
    <w:semiHidden/>
    <w:unhideWhenUsed/>
    <w:pPr>
      <w:spacing w:before="120"/>
    </w:pPr>
    <w:rPr>
      <w:rFonts w:ascii="Cambria" w:hAnsi="Cambria"/>
      <w:b/>
      <w:bCs/>
    </w:rPr>
  </w:style>
  <w:style w:type="paragraph" w:styleId="NormalWeb">
    <w:name w:val="Normal (Web)"/>
    <w:basedOn w:val="Normal"/>
    <w:uiPriority w:val="99"/>
    <w:semiHidden/>
    <w:unhideWhenUsed/>
  </w:style>
  <w:style w:type="paragraph" w:styleId="NormalIndent">
    <w:name w:val="Normal Indent"/>
    <w:basedOn w:val="Normal"/>
    <w:uiPriority w:val="99"/>
    <w:semiHidden/>
    <w:unhideWhenUsed/>
    <w:pPr>
      <w:ind w:left="708"/>
    </w:p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link w:val="BodyTextIndent3"/>
    <w:uiPriority w:val="99"/>
    <w:semiHidden/>
    <w:rPr>
      <w:sz w:val="16"/>
      <w:szCs w:val="16"/>
      <w:lang w:val="en-US" w:eastAsia="en-US"/>
    </w:rPr>
  </w:style>
  <w:style w:type="paragraph" w:styleId="BodyTextFirstIndent">
    <w:name w:val="Body Text First Indent"/>
    <w:basedOn w:val="BodyText"/>
    <w:link w:val="BodyTextFirstIndentChar"/>
    <w:uiPriority w:val="99"/>
    <w:semiHidden/>
    <w:unhideWhenUsed/>
    <w:pPr>
      <w:spacing w:after="120" w:line="240" w:lineRule="auto"/>
      <w:ind w:firstLine="210"/>
      <w:jc w:val="left"/>
    </w:pPr>
    <w:rPr>
      <w:lang w:val="en-US"/>
    </w:rPr>
  </w:style>
  <w:style w:type="character" w:customStyle="1" w:styleId="BodyTextFirstIndentChar">
    <w:name w:val="Body Text First Indent Char"/>
    <w:link w:val="BodyTextFirstIndent"/>
    <w:uiPriority w:val="99"/>
    <w:semiHidden/>
    <w:rPr>
      <w:sz w:val="24"/>
      <w:szCs w:val="24"/>
      <w:lang w:val="en-US" w:eastAsia="en-US"/>
    </w:rPr>
  </w:style>
  <w:style w:type="paragraph" w:styleId="BodyTextFirstIndent2">
    <w:name w:val="Body Text First Indent 2"/>
    <w:basedOn w:val="BodyTextIndent"/>
    <w:link w:val="BodyTextFirstIndent2Char"/>
    <w:uiPriority w:val="99"/>
    <w:semiHidden/>
    <w:unhideWhenUsed/>
    <w:pPr>
      <w:spacing w:after="120"/>
      <w:ind w:left="283" w:firstLine="210"/>
    </w:pPr>
    <w:rPr>
      <w:lang w:val="en-US"/>
    </w:rPr>
  </w:style>
  <w:style w:type="character" w:customStyle="1" w:styleId="BodyTextIndentChar">
    <w:name w:val="Body Text Indent Char"/>
    <w:link w:val="BodyTextIndent"/>
    <w:rPr>
      <w:sz w:val="24"/>
      <w:szCs w:val="24"/>
      <w:lang w:val="pl-PL" w:eastAsia="en-US"/>
    </w:rPr>
  </w:style>
  <w:style w:type="character" w:customStyle="1" w:styleId="BodyTextFirstIndent2Char">
    <w:name w:val="Body Text First Indent 2 Char"/>
    <w:link w:val="BodyTextFirstIndent2"/>
    <w:uiPriority w:val="99"/>
    <w:semiHidden/>
    <w:rPr>
      <w:sz w:val="24"/>
      <w:szCs w:val="24"/>
      <w:lang w:val="en-US" w:eastAsia="en-US"/>
    </w:rPr>
  </w:style>
  <w:style w:type="paragraph" w:styleId="Title">
    <w:name w:val="Title"/>
    <w:basedOn w:val="Normal"/>
    <w:next w:val="Normal"/>
    <w:link w:val="TitleChar"/>
    <w:uiPriority w:val="10"/>
    <w:qFormat/>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Pr>
      <w:rFonts w:ascii="Cambria" w:eastAsia="Times New Roman" w:hAnsi="Cambria" w:cs="Times New Roman"/>
      <w:b/>
      <w:bCs/>
      <w:kern w:val="28"/>
      <w:sz w:val="32"/>
      <w:szCs w:val="32"/>
      <w:lang w:val="en-US" w:eastAsia="en-US"/>
    </w:rPr>
  </w:style>
  <w:style w:type="character" w:customStyle="1" w:styleId="Heading7Char">
    <w:name w:val="Heading 7 Char"/>
    <w:link w:val="Heading7"/>
    <w:uiPriority w:val="9"/>
    <w:semiHidden/>
    <w:rPr>
      <w:rFonts w:ascii="Calibri" w:eastAsia="Times New Roman" w:hAnsi="Calibri" w:cs="Times New Roman"/>
      <w:sz w:val="24"/>
      <w:szCs w:val="24"/>
      <w:lang w:val="en-US" w:eastAsia="en-US"/>
    </w:rPr>
  </w:style>
  <w:style w:type="character" w:customStyle="1" w:styleId="Heading8Char">
    <w:name w:val="Heading 8 Char"/>
    <w:link w:val="Heading8"/>
    <w:uiPriority w:val="9"/>
    <w:semiHidden/>
    <w:rPr>
      <w:rFonts w:ascii="Calibri" w:eastAsia="Times New Roman" w:hAnsi="Calibri" w:cs="Times New Roman"/>
      <w:i/>
      <w:iCs/>
      <w:sz w:val="24"/>
      <w:szCs w:val="24"/>
      <w:lang w:val="en-US" w:eastAsia="en-US"/>
    </w:rPr>
  </w:style>
  <w:style w:type="character" w:customStyle="1" w:styleId="Heading9Char">
    <w:name w:val="Heading 9 Char"/>
    <w:link w:val="Heading9"/>
    <w:uiPriority w:val="9"/>
    <w:semiHidden/>
    <w:rPr>
      <w:rFonts w:ascii="Cambria" w:eastAsia="Times New Roman" w:hAnsi="Cambria" w:cs="Times New Roman"/>
      <w:sz w:val="22"/>
      <w:szCs w:val="22"/>
      <w:lang w:val="en-US" w:eastAsia="en-US"/>
    </w:rPr>
  </w:style>
  <w:style w:type="paragraph" w:styleId="EnvelopeReturn">
    <w:name w:val="envelope return"/>
    <w:basedOn w:val="Normal"/>
    <w:uiPriority w:val="99"/>
    <w:semiHidden/>
    <w:unhideWhenUsed/>
    <w:rPr>
      <w:rFonts w:ascii="Cambria" w:hAnsi="Cambria"/>
      <w:sz w:val="20"/>
      <w:szCs w:val="20"/>
    </w:rPr>
  </w:style>
  <w:style w:type="paragraph" w:styleId="EnvelopeAddress">
    <w:name w:val="envelope address"/>
    <w:basedOn w:val="Normal"/>
    <w:uiPriority w:val="99"/>
    <w:semiHidden/>
    <w:unhideWhenUsed/>
    <w:pPr>
      <w:framePr w:w="4320" w:h="2160" w:hRule="exact" w:hSpace="141" w:wrap="auto" w:hAnchor="page" w:xAlign="center" w:yAlign="bottom"/>
      <w:ind w:left="1"/>
    </w:pPr>
    <w:rPr>
      <w:rFonts w:ascii="Cambria" w:hAnsi="Cambria"/>
    </w:rPr>
  </w:style>
  <w:style w:type="paragraph" w:styleId="Signature">
    <w:name w:val="Signature"/>
    <w:basedOn w:val="Normal"/>
    <w:link w:val="SignatureChar"/>
    <w:uiPriority w:val="99"/>
    <w:semiHidden/>
    <w:unhideWhenUsed/>
    <w:pPr>
      <w:ind w:left="4252"/>
    </w:pPr>
  </w:style>
  <w:style w:type="character" w:customStyle="1" w:styleId="SignatureChar">
    <w:name w:val="Signature Char"/>
    <w:link w:val="Signature"/>
    <w:uiPriority w:val="99"/>
    <w:semiHidden/>
    <w:rPr>
      <w:sz w:val="24"/>
      <w:szCs w:val="24"/>
      <w:lang w:val="en-US" w:eastAsia="en-US"/>
    </w:rPr>
  </w:style>
  <w:style w:type="paragraph" w:styleId="Subtitle">
    <w:name w:val="Subtitle"/>
    <w:basedOn w:val="Normal"/>
    <w:next w:val="Normal"/>
    <w:link w:val="SubtitleChar"/>
    <w:uiPriority w:val="11"/>
    <w:qFormat/>
    <w:pPr>
      <w:spacing w:after="60"/>
      <w:jc w:val="center"/>
      <w:outlineLvl w:val="1"/>
    </w:pPr>
    <w:rPr>
      <w:rFonts w:ascii="Cambria" w:hAnsi="Cambria"/>
    </w:rPr>
  </w:style>
  <w:style w:type="character" w:customStyle="1" w:styleId="SubtitleChar">
    <w:name w:val="Subtitle Char"/>
    <w:link w:val="Subtitle"/>
    <w:uiPriority w:val="11"/>
    <w:rPr>
      <w:rFonts w:ascii="Cambria" w:eastAsia="Times New Roman" w:hAnsi="Cambria" w:cs="Times New Roman"/>
      <w:sz w:val="24"/>
      <w:szCs w:val="24"/>
      <w:lang w:val="en-US" w:eastAsia="en-US"/>
    </w:rPr>
  </w:style>
  <w:style w:type="paragraph" w:styleId="TOC1">
    <w:name w:val="toc 1"/>
    <w:basedOn w:val="Normal"/>
    <w:next w:val="Normal"/>
    <w:autoRedefine/>
    <w:uiPriority w:val="39"/>
    <w:semiHidden/>
    <w:unhideWhenUsed/>
  </w:style>
  <w:style w:type="paragraph" w:styleId="TOC2">
    <w:name w:val="toc 2"/>
    <w:basedOn w:val="Normal"/>
    <w:next w:val="Normal"/>
    <w:autoRedefine/>
    <w:uiPriority w:val="39"/>
    <w:semiHidden/>
    <w:unhideWhenUsed/>
    <w:pPr>
      <w:ind w:left="240"/>
    </w:pPr>
  </w:style>
  <w:style w:type="paragraph" w:styleId="TOC3">
    <w:name w:val="toc 3"/>
    <w:basedOn w:val="Normal"/>
    <w:next w:val="Normal"/>
    <w:autoRedefine/>
    <w:uiPriority w:val="39"/>
    <w:semiHidden/>
    <w:unhideWhenUsed/>
    <w:pPr>
      <w:ind w:left="480"/>
    </w:pPr>
  </w:style>
  <w:style w:type="paragraph" w:styleId="TOC4">
    <w:name w:val="toc 4"/>
    <w:basedOn w:val="Normal"/>
    <w:next w:val="Normal"/>
    <w:autoRedefine/>
    <w:uiPriority w:val="39"/>
    <w:semiHidden/>
    <w:unhideWhenUsed/>
    <w:pPr>
      <w:ind w:left="720"/>
    </w:pPr>
  </w:style>
  <w:style w:type="paragraph" w:styleId="TOC5">
    <w:name w:val="toc 5"/>
    <w:basedOn w:val="Normal"/>
    <w:next w:val="Normal"/>
    <w:autoRedefine/>
    <w:uiPriority w:val="39"/>
    <w:semiHidden/>
    <w:unhideWhenUsed/>
    <w:pPr>
      <w:ind w:left="960"/>
    </w:pPr>
  </w:style>
  <w:style w:type="paragraph" w:styleId="TOC6">
    <w:name w:val="toc 6"/>
    <w:basedOn w:val="Normal"/>
    <w:next w:val="Normal"/>
    <w:autoRedefine/>
    <w:uiPriority w:val="39"/>
    <w:semiHidden/>
    <w:unhideWhenUsed/>
    <w:pPr>
      <w:ind w:left="1200"/>
    </w:pPr>
  </w:style>
  <w:style w:type="paragraph" w:styleId="TOC7">
    <w:name w:val="toc 7"/>
    <w:basedOn w:val="Normal"/>
    <w:next w:val="Normal"/>
    <w:autoRedefine/>
    <w:uiPriority w:val="39"/>
    <w:semiHidden/>
    <w:unhideWhenUsed/>
    <w:pPr>
      <w:ind w:left="1440"/>
    </w:pPr>
  </w:style>
  <w:style w:type="paragraph" w:styleId="TOC8">
    <w:name w:val="toc 8"/>
    <w:basedOn w:val="Normal"/>
    <w:next w:val="Normal"/>
    <w:autoRedefine/>
    <w:uiPriority w:val="39"/>
    <w:semiHidden/>
    <w:unhideWhenUsed/>
    <w:pPr>
      <w:ind w:left="1680"/>
    </w:pPr>
  </w:style>
  <w:style w:type="paragraph" w:styleId="TOC9">
    <w:name w:val="toc 9"/>
    <w:basedOn w:val="Normal"/>
    <w:next w:val="Normal"/>
    <w:autoRedefine/>
    <w:uiPriority w:val="39"/>
    <w:semiHidden/>
    <w:unhideWhenUsed/>
    <w:pPr>
      <w:ind w:left="1920"/>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i/>
      <w:iCs/>
      <w:color w:val="000000"/>
      <w:sz w:val="24"/>
      <w:szCs w:val="24"/>
      <w:lang w:val="en-US" w:eastAsia="en-US"/>
    </w:rPr>
  </w:style>
  <w:style w:type="character" w:customStyle="1" w:styleId="FooterChar">
    <w:name w:val="Footer Char"/>
    <w:link w:val="Footer"/>
    <w:uiPriority w:val="99"/>
    <w:rPr>
      <w:sz w:val="24"/>
      <w:szCs w:val="24"/>
      <w:lang w:val="en-US" w:eastAsia="en-US"/>
    </w:rPr>
  </w:style>
  <w:style w:type="character" w:styleId="EndnoteReference">
    <w:name w:val="endnote reference"/>
    <w:uiPriority w:val="99"/>
    <w:semiHidden/>
    <w:unhideWhenUsed/>
    <w:rPr>
      <w:vertAlign w:val="superscript"/>
    </w:rPr>
  </w:style>
  <w:style w:type="character" w:customStyle="1" w:styleId="EndnoteTextChar">
    <w:name w:val="Endnote Text Char"/>
    <w:basedOn w:val="DefaultParagraphFont"/>
    <w:link w:val="EndnoteText"/>
    <w:uiPriority w:val="99"/>
    <w:semiHidden/>
    <w:locked/>
    <w:rPr>
      <w:sz w:val="22"/>
      <w:lang w:eastAsia="en-US"/>
    </w:rPr>
  </w:style>
  <w:style w:type="character" w:customStyle="1" w:styleId="BodyTextIndent2Char">
    <w:name w:val="Body Text Indent 2 Char"/>
    <w:link w:val="BodyTextIndent2"/>
    <w:rsid w:val="00DB5E45"/>
    <w:rPr>
      <w:sz w:val="24"/>
      <w:szCs w:val="24"/>
      <w:lang w:val="en-US" w:eastAsia="en-US"/>
    </w:rPr>
  </w:style>
  <w:style w:type="character" w:customStyle="1" w:styleId="Nierozpoznanawzmianka1">
    <w:name w:val="Nierozpoznana wzmianka1"/>
    <w:basedOn w:val="DefaultParagraphFont"/>
    <w:uiPriority w:val="99"/>
    <w:semiHidden/>
    <w:unhideWhenUsed/>
    <w:rsid w:val="00A62A12"/>
    <w:rPr>
      <w:color w:val="605E5C"/>
      <w:shd w:val="clear" w:color="auto" w:fill="E1DFDD"/>
    </w:rPr>
  </w:style>
  <w:style w:type="character" w:customStyle="1" w:styleId="HeaderChar">
    <w:name w:val="Header Char"/>
    <w:basedOn w:val="DefaultParagraphFont"/>
    <w:link w:val="Header"/>
    <w:uiPriority w:val="5"/>
    <w:rsid w:val="00C5364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15934">
      <w:bodyDiv w:val="1"/>
      <w:marLeft w:val="0"/>
      <w:marRight w:val="0"/>
      <w:marTop w:val="0"/>
      <w:marBottom w:val="0"/>
      <w:divBdr>
        <w:top w:val="none" w:sz="0" w:space="0" w:color="auto"/>
        <w:left w:val="none" w:sz="0" w:space="0" w:color="auto"/>
        <w:bottom w:val="none" w:sz="0" w:space="0" w:color="auto"/>
        <w:right w:val="none" w:sz="0" w:space="0" w:color="auto"/>
      </w:divBdr>
    </w:div>
    <w:div w:id="174658653">
      <w:bodyDiv w:val="1"/>
      <w:marLeft w:val="0"/>
      <w:marRight w:val="0"/>
      <w:marTop w:val="0"/>
      <w:marBottom w:val="0"/>
      <w:divBdr>
        <w:top w:val="none" w:sz="0" w:space="0" w:color="auto"/>
        <w:left w:val="none" w:sz="0" w:space="0" w:color="auto"/>
        <w:bottom w:val="none" w:sz="0" w:space="0" w:color="auto"/>
        <w:right w:val="none" w:sz="0" w:space="0" w:color="auto"/>
      </w:divBdr>
    </w:div>
    <w:div w:id="181016216">
      <w:bodyDiv w:val="1"/>
      <w:marLeft w:val="0"/>
      <w:marRight w:val="0"/>
      <w:marTop w:val="0"/>
      <w:marBottom w:val="0"/>
      <w:divBdr>
        <w:top w:val="none" w:sz="0" w:space="0" w:color="auto"/>
        <w:left w:val="none" w:sz="0" w:space="0" w:color="auto"/>
        <w:bottom w:val="none" w:sz="0" w:space="0" w:color="auto"/>
        <w:right w:val="none" w:sz="0" w:space="0" w:color="auto"/>
      </w:divBdr>
    </w:div>
    <w:div w:id="289825714">
      <w:bodyDiv w:val="1"/>
      <w:marLeft w:val="0"/>
      <w:marRight w:val="0"/>
      <w:marTop w:val="0"/>
      <w:marBottom w:val="0"/>
      <w:divBdr>
        <w:top w:val="none" w:sz="0" w:space="0" w:color="auto"/>
        <w:left w:val="none" w:sz="0" w:space="0" w:color="auto"/>
        <w:bottom w:val="none" w:sz="0" w:space="0" w:color="auto"/>
        <w:right w:val="none" w:sz="0" w:space="0" w:color="auto"/>
      </w:divBdr>
    </w:div>
    <w:div w:id="328757128">
      <w:bodyDiv w:val="1"/>
      <w:marLeft w:val="0"/>
      <w:marRight w:val="0"/>
      <w:marTop w:val="0"/>
      <w:marBottom w:val="0"/>
      <w:divBdr>
        <w:top w:val="none" w:sz="0" w:space="0" w:color="auto"/>
        <w:left w:val="none" w:sz="0" w:space="0" w:color="auto"/>
        <w:bottom w:val="none" w:sz="0" w:space="0" w:color="auto"/>
        <w:right w:val="none" w:sz="0" w:space="0" w:color="auto"/>
      </w:divBdr>
    </w:div>
    <w:div w:id="376205860">
      <w:bodyDiv w:val="1"/>
      <w:marLeft w:val="0"/>
      <w:marRight w:val="0"/>
      <w:marTop w:val="0"/>
      <w:marBottom w:val="0"/>
      <w:divBdr>
        <w:top w:val="none" w:sz="0" w:space="0" w:color="auto"/>
        <w:left w:val="none" w:sz="0" w:space="0" w:color="auto"/>
        <w:bottom w:val="none" w:sz="0" w:space="0" w:color="auto"/>
        <w:right w:val="none" w:sz="0" w:space="0" w:color="auto"/>
      </w:divBdr>
    </w:div>
    <w:div w:id="552280608">
      <w:bodyDiv w:val="1"/>
      <w:marLeft w:val="0"/>
      <w:marRight w:val="0"/>
      <w:marTop w:val="0"/>
      <w:marBottom w:val="0"/>
      <w:divBdr>
        <w:top w:val="none" w:sz="0" w:space="0" w:color="auto"/>
        <w:left w:val="none" w:sz="0" w:space="0" w:color="auto"/>
        <w:bottom w:val="none" w:sz="0" w:space="0" w:color="auto"/>
        <w:right w:val="none" w:sz="0" w:space="0" w:color="auto"/>
      </w:divBdr>
    </w:div>
    <w:div w:id="563298086">
      <w:bodyDiv w:val="1"/>
      <w:marLeft w:val="0"/>
      <w:marRight w:val="0"/>
      <w:marTop w:val="0"/>
      <w:marBottom w:val="0"/>
      <w:divBdr>
        <w:top w:val="none" w:sz="0" w:space="0" w:color="auto"/>
        <w:left w:val="none" w:sz="0" w:space="0" w:color="auto"/>
        <w:bottom w:val="none" w:sz="0" w:space="0" w:color="auto"/>
        <w:right w:val="none" w:sz="0" w:space="0" w:color="auto"/>
      </w:divBdr>
    </w:div>
    <w:div w:id="602107340">
      <w:bodyDiv w:val="1"/>
      <w:marLeft w:val="0"/>
      <w:marRight w:val="0"/>
      <w:marTop w:val="0"/>
      <w:marBottom w:val="0"/>
      <w:divBdr>
        <w:top w:val="none" w:sz="0" w:space="0" w:color="auto"/>
        <w:left w:val="none" w:sz="0" w:space="0" w:color="auto"/>
        <w:bottom w:val="none" w:sz="0" w:space="0" w:color="auto"/>
        <w:right w:val="none" w:sz="0" w:space="0" w:color="auto"/>
      </w:divBdr>
    </w:div>
    <w:div w:id="731542822">
      <w:bodyDiv w:val="1"/>
      <w:marLeft w:val="0"/>
      <w:marRight w:val="0"/>
      <w:marTop w:val="0"/>
      <w:marBottom w:val="0"/>
      <w:divBdr>
        <w:top w:val="none" w:sz="0" w:space="0" w:color="auto"/>
        <w:left w:val="none" w:sz="0" w:space="0" w:color="auto"/>
        <w:bottom w:val="none" w:sz="0" w:space="0" w:color="auto"/>
        <w:right w:val="none" w:sz="0" w:space="0" w:color="auto"/>
      </w:divBdr>
    </w:div>
    <w:div w:id="870923631">
      <w:bodyDiv w:val="1"/>
      <w:marLeft w:val="0"/>
      <w:marRight w:val="0"/>
      <w:marTop w:val="0"/>
      <w:marBottom w:val="0"/>
      <w:divBdr>
        <w:top w:val="none" w:sz="0" w:space="0" w:color="auto"/>
        <w:left w:val="none" w:sz="0" w:space="0" w:color="auto"/>
        <w:bottom w:val="none" w:sz="0" w:space="0" w:color="auto"/>
        <w:right w:val="none" w:sz="0" w:space="0" w:color="auto"/>
      </w:divBdr>
    </w:div>
    <w:div w:id="882208731">
      <w:bodyDiv w:val="1"/>
      <w:marLeft w:val="0"/>
      <w:marRight w:val="0"/>
      <w:marTop w:val="0"/>
      <w:marBottom w:val="0"/>
      <w:divBdr>
        <w:top w:val="none" w:sz="0" w:space="0" w:color="auto"/>
        <w:left w:val="none" w:sz="0" w:space="0" w:color="auto"/>
        <w:bottom w:val="none" w:sz="0" w:space="0" w:color="auto"/>
        <w:right w:val="none" w:sz="0" w:space="0" w:color="auto"/>
      </w:divBdr>
    </w:div>
    <w:div w:id="930434802">
      <w:bodyDiv w:val="1"/>
      <w:marLeft w:val="0"/>
      <w:marRight w:val="0"/>
      <w:marTop w:val="0"/>
      <w:marBottom w:val="0"/>
      <w:divBdr>
        <w:top w:val="none" w:sz="0" w:space="0" w:color="auto"/>
        <w:left w:val="none" w:sz="0" w:space="0" w:color="auto"/>
        <w:bottom w:val="none" w:sz="0" w:space="0" w:color="auto"/>
        <w:right w:val="none" w:sz="0" w:space="0" w:color="auto"/>
      </w:divBdr>
    </w:div>
    <w:div w:id="1030645503">
      <w:bodyDiv w:val="1"/>
      <w:marLeft w:val="0"/>
      <w:marRight w:val="0"/>
      <w:marTop w:val="0"/>
      <w:marBottom w:val="0"/>
      <w:divBdr>
        <w:top w:val="none" w:sz="0" w:space="0" w:color="auto"/>
        <w:left w:val="none" w:sz="0" w:space="0" w:color="auto"/>
        <w:bottom w:val="none" w:sz="0" w:space="0" w:color="auto"/>
        <w:right w:val="none" w:sz="0" w:space="0" w:color="auto"/>
      </w:divBdr>
    </w:div>
    <w:div w:id="1062824153">
      <w:bodyDiv w:val="1"/>
      <w:marLeft w:val="0"/>
      <w:marRight w:val="0"/>
      <w:marTop w:val="0"/>
      <w:marBottom w:val="0"/>
      <w:divBdr>
        <w:top w:val="none" w:sz="0" w:space="0" w:color="auto"/>
        <w:left w:val="none" w:sz="0" w:space="0" w:color="auto"/>
        <w:bottom w:val="none" w:sz="0" w:space="0" w:color="auto"/>
        <w:right w:val="none" w:sz="0" w:space="0" w:color="auto"/>
      </w:divBdr>
    </w:div>
    <w:div w:id="1105229294">
      <w:bodyDiv w:val="1"/>
      <w:marLeft w:val="0"/>
      <w:marRight w:val="0"/>
      <w:marTop w:val="0"/>
      <w:marBottom w:val="0"/>
      <w:divBdr>
        <w:top w:val="none" w:sz="0" w:space="0" w:color="auto"/>
        <w:left w:val="none" w:sz="0" w:space="0" w:color="auto"/>
        <w:bottom w:val="none" w:sz="0" w:space="0" w:color="auto"/>
        <w:right w:val="none" w:sz="0" w:space="0" w:color="auto"/>
      </w:divBdr>
    </w:div>
    <w:div w:id="1109468856">
      <w:bodyDiv w:val="1"/>
      <w:marLeft w:val="0"/>
      <w:marRight w:val="0"/>
      <w:marTop w:val="0"/>
      <w:marBottom w:val="0"/>
      <w:divBdr>
        <w:top w:val="none" w:sz="0" w:space="0" w:color="auto"/>
        <w:left w:val="none" w:sz="0" w:space="0" w:color="auto"/>
        <w:bottom w:val="none" w:sz="0" w:space="0" w:color="auto"/>
        <w:right w:val="none" w:sz="0" w:space="0" w:color="auto"/>
      </w:divBdr>
    </w:div>
    <w:div w:id="1123380653">
      <w:bodyDiv w:val="1"/>
      <w:marLeft w:val="0"/>
      <w:marRight w:val="0"/>
      <w:marTop w:val="0"/>
      <w:marBottom w:val="0"/>
      <w:divBdr>
        <w:top w:val="none" w:sz="0" w:space="0" w:color="auto"/>
        <w:left w:val="none" w:sz="0" w:space="0" w:color="auto"/>
        <w:bottom w:val="none" w:sz="0" w:space="0" w:color="auto"/>
        <w:right w:val="none" w:sz="0" w:space="0" w:color="auto"/>
      </w:divBdr>
    </w:div>
    <w:div w:id="1130173558">
      <w:bodyDiv w:val="1"/>
      <w:marLeft w:val="0"/>
      <w:marRight w:val="0"/>
      <w:marTop w:val="0"/>
      <w:marBottom w:val="0"/>
      <w:divBdr>
        <w:top w:val="none" w:sz="0" w:space="0" w:color="auto"/>
        <w:left w:val="none" w:sz="0" w:space="0" w:color="auto"/>
        <w:bottom w:val="none" w:sz="0" w:space="0" w:color="auto"/>
        <w:right w:val="none" w:sz="0" w:space="0" w:color="auto"/>
      </w:divBdr>
    </w:div>
    <w:div w:id="1264190808">
      <w:bodyDiv w:val="1"/>
      <w:marLeft w:val="0"/>
      <w:marRight w:val="0"/>
      <w:marTop w:val="0"/>
      <w:marBottom w:val="0"/>
      <w:divBdr>
        <w:top w:val="none" w:sz="0" w:space="0" w:color="auto"/>
        <w:left w:val="none" w:sz="0" w:space="0" w:color="auto"/>
        <w:bottom w:val="none" w:sz="0" w:space="0" w:color="auto"/>
        <w:right w:val="none" w:sz="0" w:space="0" w:color="auto"/>
      </w:divBdr>
    </w:div>
    <w:div w:id="1331567375">
      <w:bodyDiv w:val="1"/>
      <w:marLeft w:val="0"/>
      <w:marRight w:val="0"/>
      <w:marTop w:val="0"/>
      <w:marBottom w:val="0"/>
      <w:divBdr>
        <w:top w:val="none" w:sz="0" w:space="0" w:color="auto"/>
        <w:left w:val="none" w:sz="0" w:space="0" w:color="auto"/>
        <w:bottom w:val="none" w:sz="0" w:space="0" w:color="auto"/>
        <w:right w:val="none" w:sz="0" w:space="0" w:color="auto"/>
      </w:divBdr>
    </w:div>
    <w:div w:id="1559131031">
      <w:bodyDiv w:val="1"/>
      <w:marLeft w:val="0"/>
      <w:marRight w:val="0"/>
      <w:marTop w:val="0"/>
      <w:marBottom w:val="0"/>
      <w:divBdr>
        <w:top w:val="none" w:sz="0" w:space="0" w:color="auto"/>
        <w:left w:val="none" w:sz="0" w:space="0" w:color="auto"/>
        <w:bottom w:val="none" w:sz="0" w:space="0" w:color="auto"/>
        <w:right w:val="none" w:sz="0" w:space="0" w:color="auto"/>
      </w:divBdr>
    </w:div>
    <w:div w:id="1669140267">
      <w:bodyDiv w:val="1"/>
      <w:marLeft w:val="0"/>
      <w:marRight w:val="0"/>
      <w:marTop w:val="0"/>
      <w:marBottom w:val="0"/>
      <w:divBdr>
        <w:top w:val="none" w:sz="0" w:space="0" w:color="auto"/>
        <w:left w:val="none" w:sz="0" w:space="0" w:color="auto"/>
        <w:bottom w:val="none" w:sz="0" w:space="0" w:color="auto"/>
        <w:right w:val="none" w:sz="0" w:space="0" w:color="auto"/>
      </w:divBdr>
    </w:div>
    <w:div w:id="1700232693">
      <w:bodyDiv w:val="1"/>
      <w:marLeft w:val="0"/>
      <w:marRight w:val="0"/>
      <w:marTop w:val="0"/>
      <w:marBottom w:val="0"/>
      <w:divBdr>
        <w:top w:val="none" w:sz="0" w:space="0" w:color="auto"/>
        <w:left w:val="none" w:sz="0" w:space="0" w:color="auto"/>
        <w:bottom w:val="none" w:sz="0" w:space="0" w:color="auto"/>
        <w:right w:val="none" w:sz="0" w:space="0" w:color="auto"/>
      </w:divBdr>
    </w:div>
    <w:div w:id="1758163499">
      <w:bodyDiv w:val="1"/>
      <w:marLeft w:val="0"/>
      <w:marRight w:val="0"/>
      <w:marTop w:val="0"/>
      <w:marBottom w:val="0"/>
      <w:divBdr>
        <w:top w:val="none" w:sz="0" w:space="0" w:color="auto"/>
        <w:left w:val="none" w:sz="0" w:space="0" w:color="auto"/>
        <w:bottom w:val="none" w:sz="0" w:space="0" w:color="auto"/>
        <w:right w:val="none" w:sz="0" w:space="0" w:color="auto"/>
      </w:divBdr>
    </w:div>
    <w:div w:id="1761216209">
      <w:bodyDiv w:val="1"/>
      <w:marLeft w:val="0"/>
      <w:marRight w:val="0"/>
      <w:marTop w:val="0"/>
      <w:marBottom w:val="0"/>
      <w:divBdr>
        <w:top w:val="none" w:sz="0" w:space="0" w:color="auto"/>
        <w:left w:val="none" w:sz="0" w:space="0" w:color="auto"/>
        <w:bottom w:val="none" w:sz="0" w:space="0" w:color="auto"/>
        <w:right w:val="none" w:sz="0" w:space="0" w:color="auto"/>
      </w:divBdr>
    </w:div>
    <w:div w:id="1772968103">
      <w:bodyDiv w:val="1"/>
      <w:marLeft w:val="0"/>
      <w:marRight w:val="0"/>
      <w:marTop w:val="0"/>
      <w:marBottom w:val="0"/>
      <w:divBdr>
        <w:top w:val="none" w:sz="0" w:space="0" w:color="auto"/>
        <w:left w:val="none" w:sz="0" w:space="0" w:color="auto"/>
        <w:bottom w:val="none" w:sz="0" w:space="0" w:color="auto"/>
        <w:right w:val="none" w:sz="0" w:space="0" w:color="auto"/>
      </w:divBdr>
    </w:div>
    <w:div w:id="1949654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ma.europa.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documents/template-form/qrd-appendix-v-adverse-drug-reaction-reporting-details_en.doc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xsi:nil="true"/>
    <TaxCatchAll xmlns="a034c160-bfb7-45f5-8632-2eb7e0508071" xsi:nil="true"/>
    <Sign_x002d_off xmlns="62874b74-7561-4a92-a6e7-f8370cb4455a" xsi:nil="true"/>
    <_Flow_SignoffStatus xmlns="62874b74-7561-4a92-a6e7-f8370cb4455a" xsi:nil="true"/>
    <Application_x0020_Status xmlns="62874b74-7561-4a92-a6e7-f8370cb4455a" xsi:nil="true"/>
    <_vti_ItemDeclaredRecord xmlns="62874b74-7561-4a92-a6e7-f8370cb4455a" xsi:nil="true"/>
    <Information xmlns="62874b74-7561-4a92-a6e7-f8370cb4455a" xsi:nil="true"/>
    <_dlc_DocId xmlns="a034c160-bfb7-45f5-8632-2eb7e0508071">EMADOC-1700519818-3097354</_dlc_DocId>
    <_dlc_DocIdUrl xmlns="a034c160-bfb7-45f5-8632-2eb7e0508071">
      <Url>https://euema.sharepoint.com/sites/CRM/_layouts/15/DocIdRedir.aspx?ID=EMADOC-1700519818-3097354</Url>
      <Description>EMADOC-1700519818-3097354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7044A7FB2EB2F4D8B1CA47F982F77DB" ma:contentTypeVersion="7" ma:contentTypeDescription="Create a new document." ma:contentTypeScope="" ma:versionID="9bde299358ab445d9c904e97a4cef7fe">
  <xsd:schema xmlns:xsd="http://www.w3.org/2001/XMLSchema" xmlns:xs="http://www.w3.org/2001/XMLSchema" xmlns:p="http://schemas.microsoft.com/office/2006/metadata/properties" xmlns:ns2="a034c160-bfb7-45f5-8632-2eb7e0508071" xmlns:ns3="62874b74-7561-4a92-a6e7-f8370cb4455a" targetNamespace="http://schemas.microsoft.com/office/2006/metadata/properties" ma:root="true" ma:fieldsID="9f0f08612e6d834c3fc70ed8e26990be" ns2:_="" ns3:_="">
    <xsd:import namespace="a034c160-bfb7-45f5-8632-2eb7e0508071"/>
    <xsd:import namespace="62874b74-7561-4a92-a6e7-f8370cb4455a"/>
    <xsd:element name="properties">
      <xsd:complexType>
        <xsd:sequence>
          <xsd:element name="documentManagement">
            <xsd:complexType>
              <xsd:all>
                <xsd:element ref="ns2:_dlc_DocId" minOccurs="0"/>
                <xsd:element ref="ns2:_dlc_DocIdUrl" minOccurs="0"/>
                <xsd:element ref="ns2:_dlc_DocIdPersistId" minOccurs="0"/>
                <xsd:element ref="ns3:_Flow_SignoffStatus" minOccurs="0"/>
                <xsd:element ref="ns3:_vti_ItemDeclaredRecord" minOccurs="0"/>
                <xsd:element ref="ns3:Application_x0020_Status" minOccurs="0"/>
                <xsd:element ref="ns3:Information" minOccurs="0"/>
                <xsd:element ref="ns3:lcf76f155ced4ddcb4097134ff3c332f" minOccurs="0"/>
                <xsd:element ref="ns2:TaxCatchAll"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_Flow_SignoffStatus" ma:index="11" nillable="true" ma:displayName="Sign-off status" ma:internalName="Sign_x002d_off_x0020_status">
      <xsd:simpleType>
        <xsd:restriction base="dms:Text"/>
      </xsd:simpleType>
    </xsd:element>
    <xsd:element name="_vti_ItemDeclaredRecord" ma:index="12" nillable="true" ma:displayName="_vti_ItemDeclaredRecord" ma:format="DateOnly" ma:internalName="_vti_ItemDeclaredRecord">
      <xsd:simpleType>
        <xsd:restriction base="dms:DateTime"/>
      </xsd:simpleType>
    </xsd:element>
    <xsd:element name="Application_x0020_Status" ma:index="13" nillable="true" ma:displayName="Application Status" ma:internalName="Application_x0020_Status">
      <xsd:simpleType>
        <xsd:restriction base="dms:Text">
          <xsd:maxLength value="255"/>
        </xsd:restriction>
      </xsd:simpleType>
    </xsd:element>
    <xsd:element name="Information" ma:index="14" nillable="true" ma:displayName="Information" ma:indexed="true" ma:internalName="Information">
      <xsd:simpleType>
        <xsd:restriction base="dms:Text">
          <xsd:maxLength value="80"/>
        </xsd:restriction>
      </xsd:simpleType>
    </xsd:element>
    <xsd:element name="lcf76f155ced4ddcb4097134ff3c332f" ma:index="15" nillable="true" ma:displayName="Image Tags_0" ma:hidden="true" ma:internalName="lcf76f155ced4ddcb4097134ff3c332f">
      <xsd:simpleType>
        <xsd:restriction base="dms:Note"/>
      </xsd:simpleType>
    </xsd:element>
    <xsd:element name="Sign_x002d_off" ma:index="17" nillable="true" ma:displayName="Sign-off" ma:format="Dropdown" ma:internalName="Sign_x002d_off">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A4E5E27-F2E2-422B-944A-E4C5CBB08F39}">
  <ds:schemaRefs>
    <ds:schemaRef ds:uri="http://schemas.openxmlformats.org/officeDocument/2006/bibliography"/>
  </ds:schemaRefs>
</ds:datastoreItem>
</file>

<file path=customXml/itemProps2.xml><?xml version="1.0" encoding="utf-8"?>
<ds:datastoreItem xmlns:ds="http://schemas.openxmlformats.org/officeDocument/2006/customXml" ds:itemID="{2EEE15B1-3CFA-49F3-8E30-0975AC7F4F7A}">
  <ds:schemaRefs>
    <ds:schemaRef ds:uri="http://schemas.microsoft.com/office/2006/metadata/properties"/>
    <ds:schemaRef ds:uri="http://schemas.microsoft.com/office/infopath/2007/PartnerControls"/>
    <ds:schemaRef ds:uri="3d55995c-cfd8-4eac-9661-fb88ce908994"/>
    <ds:schemaRef ds:uri="27cf703c-f9e3-40b7-9eb5-9720f10ab8c7"/>
    <ds:schemaRef ds:uri="http://schemas.microsoft.com/sharepoint/v3"/>
  </ds:schemaRefs>
</ds:datastoreItem>
</file>

<file path=customXml/itemProps3.xml><?xml version="1.0" encoding="utf-8"?>
<ds:datastoreItem xmlns:ds="http://schemas.openxmlformats.org/officeDocument/2006/customXml" ds:itemID="{78FB6E0D-6858-40CA-85BD-4AE8E2CC4910}">
  <ds:schemaRefs>
    <ds:schemaRef ds:uri="http://schemas.microsoft.com/sharepoint/v3/contenttype/forms"/>
  </ds:schemaRefs>
</ds:datastoreItem>
</file>

<file path=customXml/itemProps4.xml><?xml version="1.0" encoding="utf-8"?>
<ds:datastoreItem xmlns:ds="http://schemas.openxmlformats.org/officeDocument/2006/customXml" ds:itemID="{93CB4E33-E072-49DB-AA74-D59867053CD0}"/>
</file>

<file path=customXml/itemProps5.xml><?xml version="1.0" encoding="utf-8"?>
<ds:datastoreItem xmlns:ds="http://schemas.openxmlformats.org/officeDocument/2006/customXml" ds:itemID="{D5BFBF03-4ED3-4362-82F3-130E2D646EA8}"/>
</file>

<file path=docMetadata/LabelInfo.xml><?xml version="1.0" encoding="utf-8"?>
<clbl:labelList xmlns:clbl="http://schemas.microsoft.com/office/2020/mipLabelMetadata">
  <clbl:label id="{bfd0b529-4a04-4616-88d2-531082d94bb8}" enabled="1" method="Standard" siteId="{e1f8af86-ee95-4718-bd0d-375b37366c83}"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98</Pages>
  <Words>29185</Words>
  <Characters>200215</Characters>
  <Application>Microsoft Office Word</Application>
  <DocSecurity>0</DocSecurity>
  <Lines>6067</Lines>
  <Paragraphs>2763</Paragraphs>
  <ScaleCrop>false</ScaleCrop>
  <HeadingPairs>
    <vt:vector size="6" baseType="variant">
      <vt:variant>
        <vt:lpstr>Tytuł</vt:lpstr>
      </vt:variant>
      <vt:variant>
        <vt:i4>1</vt:i4>
      </vt:variant>
      <vt:variant>
        <vt:lpstr>Titel</vt:lpstr>
      </vt:variant>
      <vt:variant>
        <vt:i4>1</vt:i4>
      </vt:variant>
      <vt:variant>
        <vt:lpstr>Title</vt:lpstr>
      </vt:variant>
      <vt:variant>
        <vt:i4>1</vt:i4>
      </vt:variant>
    </vt:vector>
  </HeadingPairs>
  <TitlesOfParts>
    <vt:vector size="3" baseType="lpstr">
      <vt:lpstr>MicardisPlus: EPAR – Product information - tracked changes</vt:lpstr>
      <vt:lpstr>MicardisPlus, INN-telmisartan/hydrochlorothiazide</vt:lpstr>
      <vt:lpstr>MicardisPlus, INN-telmisartan/hydrochlorothiazide</vt:lpstr>
    </vt:vector>
  </TitlesOfParts>
  <Manager/>
  <Company/>
  <LinksUpToDate>false</LinksUpToDate>
  <CharactersWithSpaces>226637</CharactersWithSpaces>
  <SharedDoc>false</SharedDoc>
  <HLinks>
    <vt:vector size="60" baseType="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MicardisPlus: EPAR - Product information - tracked changes</dc:title>
  <dc:subject>EPAR</dc:subject>
  <dc:creator>CHMP</dc:creator>
  <cp:keywords>MicardisPlus, INN-Telmisartan/Hydrochlorothiazide</cp:keywords>
  <dc:description/>
  <cp:lastModifiedBy>Author 3</cp:lastModifiedBy>
  <cp:revision>6</cp:revision>
  <dcterms:created xsi:type="dcterms:W3CDTF">2025-03-20T09:56:00Z</dcterms:created>
  <dcterms:modified xsi:type="dcterms:W3CDTF">2026-03-19T11:09:00Z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0x010100C7044A7FB2EB2F4D8B1CA47F982F77DB</vt:lpwstr>
  </property>
  <property fmtid="{D5CDD505-2E9C-101B-9397-08002B2CF9AE}" pid="3" name="MediaServiceImageTags">
    <vt:lpwstr/>
  </property>
  <property fmtid="{D5CDD505-2E9C-101B-9397-08002B2CF9AE}" pid="4" name="_dlc_DocIdItemGuid">
    <vt:lpwstr>f3135af4-1562-4033-8c4f-62e7726f3203</vt:lpwstr>
  </property>
</Properties>
</file>