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Look w:val="04A0" w:firstRow="1" w:lastRow="0" w:firstColumn="1" w:lastColumn="0" w:noHBand="0" w:noVBand="1"/>
      </w:tblPr>
      <w:tblGrid>
        <w:gridCol w:w="9568"/>
      </w:tblGrid>
      <w:tr w:rsidR="00FB0964" w14:paraId="4EC1E10B" w14:textId="77777777" w:rsidTr="00FB0964">
        <w:tc>
          <w:tcPr>
            <w:tcW w:w="9568" w:type="dxa"/>
          </w:tcPr>
          <w:p w14:paraId="37A9E567" w14:textId="50BF44F8" w:rsidR="00313088" w:rsidRPr="003D43C2" w:rsidRDefault="00313088" w:rsidP="00313088">
            <w:pPr>
              <w:widowControl w:val="0"/>
              <w:rPr>
                <w:rFonts w:ascii="Times New Roman" w:hAnsi="Times New Roman"/>
              </w:rPr>
            </w:pPr>
            <w:proofErr w:type="spellStart"/>
            <w:r w:rsidRPr="003D43C2">
              <w:rPr>
                <w:rFonts w:ascii="Times New Roman" w:hAnsi="Times New Roman"/>
              </w:rPr>
              <w:t>Niniejszy</w:t>
            </w:r>
            <w:proofErr w:type="spellEnd"/>
            <w:r w:rsidRPr="003D43C2">
              <w:rPr>
                <w:rFonts w:ascii="Times New Roman" w:hAnsi="Times New Roman"/>
              </w:rPr>
              <w:t xml:space="preserve"> </w:t>
            </w:r>
            <w:proofErr w:type="spellStart"/>
            <w:r w:rsidRPr="003D43C2">
              <w:rPr>
                <w:rFonts w:ascii="Times New Roman" w:hAnsi="Times New Roman"/>
              </w:rPr>
              <w:t>dokument</w:t>
            </w:r>
            <w:proofErr w:type="spellEnd"/>
            <w:r w:rsidRPr="003D43C2">
              <w:rPr>
                <w:rFonts w:ascii="Times New Roman" w:hAnsi="Times New Roman"/>
              </w:rPr>
              <w:t xml:space="preserve"> to </w:t>
            </w:r>
            <w:proofErr w:type="spellStart"/>
            <w:r w:rsidRPr="003D43C2">
              <w:rPr>
                <w:rFonts w:ascii="Times New Roman" w:hAnsi="Times New Roman"/>
              </w:rPr>
              <w:t>zatwierdzone</w:t>
            </w:r>
            <w:proofErr w:type="spellEnd"/>
            <w:r w:rsidRPr="003D43C2">
              <w:rPr>
                <w:rFonts w:ascii="Times New Roman" w:hAnsi="Times New Roman"/>
              </w:rPr>
              <w:t xml:space="preserve"> </w:t>
            </w:r>
            <w:proofErr w:type="spellStart"/>
            <w:r w:rsidRPr="003D43C2">
              <w:rPr>
                <w:rFonts w:ascii="Times New Roman" w:hAnsi="Times New Roman"/>
              </w:rPr>
              <w:t>druki</w:t>
            </w:r>
            <w:proofErr w:type="spellEnd"/>
            <w:r w:rsidRPr="003D43C2">
              <w:rPr>
                <w:rFonts w:ascii="Times New Roman" w:hAnsi="Times New Roman"/>
              </w:rPr>
              <w:t xml:space="preserve"> </w:t>
            </w:r>
            <w:proofErr w:type="spellStart"/>
            <w:r w:rsidRPr="003D43C2">
              <w:rPr>
                <w:rFonts w:ascii="Times New Roman" w:hAnsi="Times New Roman"/>
              </w:rPr>
              <w:t>informacyjne</w:t>
            </w:r>
            <w:proofErr w:type="spellEnd"/>
            <w:r w:rsidRPr="003D43C2">
              <w:rPr>
                <w:rFonts w:ascii="Times New Roman" w:hAnsi="Times New Roman"/>
              </w:rPr>
              <w:t xml:space="preserve"> </w:t>
            </w:r>
            <w:r w:rsidRPr="003D43C2">
              <w:rPr>
                <w:rFonts w:ascii="Times New Roman" w:hAnsi="Times New Roman"/>
                <w:lang w:val="pl-PL"/>
              </w:rPr>
              <w:t>produktu leczniczego</w:t>
            </w:r>
            <w:r w:rsidRPr="003D43C2">
              <w:rPr>
                <w:rFonts w:ascii="Times New Roman" w:hAnsi="Times New Roman"/>
              </w:rPr>
              <w:t xml:space="preserve"> </w:t>
            </w:r>
            <w:proofErr w:type="spellStart"/>
            <w:r w:rsidRPr="003D43C2">
              <w:rPr>
                <w:rFonts w:ascii="Times New Roman" w:hAnsi="Times New Roman"/>
              </w:rPr>
              <w:t>Mvasi</w:t>
            </w:r>
            <w:proofErr w:type="spellEnd"/>
            <w:r w:rsidRPr="003D43C2">
              <w:rPr>
                <w:rFonts w:ascii="Times New Roman" w:hAnsi="Times New Roman"/>
              </w:rPr>
              <w:t xml:space="preserve"> z </w:t>
            </w:r>
            <w:proofErr w:type="spellStart"/>
            <w:r w:rsidRPr="003D43C2">
              <w:rPr>
                <w:rFonts w:ascii="Times New Roman" w:hAnsi="Times New Roman"/>
              </w:rPr>
              <w:t>wyróżnionymi</w:t>
            </w:r>
            <w:proofErr w:type="spellEnd"/>
            <w:r w:rsidRPr="003D43C2">
              <w:rPr>
                <w:rFonts w:ascii="Times New Roman" w:hAnsi="Times New Roman"/>
              </w:rPr>
              <w:t xml:space="preserve"> </w:t>
            </w:r>
            <w:proofErr w:type="spellStart"/>
            <w:r w:rsidRPr="003D43C2">
              <w:rPr>
                <w:rFonts w:ascii="Times New Roman" w:hAnsi="Times New Roman"/>
              </w:rPr>
              <w:t>zmianami</w:t>
            </w:r>
            <w:proofErr w:type="spellEnd"/>
            <w:r w:rsidRPr="003D43C2">
              <w:rPr>
                <w:rFonts w:ascii="Times New Roman" w:hAnsi="Times New Roman"/>
              </w:rPr>
              <w:t xml:space="preserve"> </w:t>
            </w:r>
            <w:proofErr w:type="spellStart"/>
            <w:r w:rsidRPr="003D43C2">
              <w:rPr>
                <w:rFonts w:ascii="Times New Roman" w:hAnsi="Times New Roman"/>
              </w:rPr>
              <w:t>wprowadzonymi</w:t>
            </w:r>
            <w:proofErr w:type="spellEnd"/>
            <w:r w:rsidRPr="003D43C2">
              <w:rPr>
                <w:rFonts w:ascii="Times New Roman" w:hAnsi="Times New Roman"/>
              </w:rPr>
              <w:t xml:space="preserve"> </w:t>
            </w:r>
            <w:proofErr w:type="spellStart"/>
            <w:r w:rsidRPr="003D43C2">
              <w:rPr>
                <w:rFonts w:ascii="Times New Roman" w:hAnsi="Times New Roman"/>
              </w:rPr>
              <w:t>od</w:t>
            </w:r>
            <w:proofErr w:type="spellEnd"/>
            <w:r w:rsidRPr="003D43C2">
              <w:rPr>
                <w:rFonts w:ascii="Times New Roman" w:hAnsi="Times New Roman"/>
              </w:rPr>
              <w:t xml:space="preserve"> </w:t>
            </w:r>
            <w:proofErr w:type="spellStart"/>
            <w:r w:rsidRPr="003D43C2">
              <w:rPr>
                <w:rFonts w:ascii="Times New Roman" w:hAnsi="Times New Roman"/>
              </w:rPr>
              <w:t>czasu</w:t>
            </w:r>
            <w:proofErr w:type="spellEnd"/>
            <w:r w:rsidRPr="003D43C2">
              <w:rPr>
                <w:rFonts w:ascii="Times New Roman" w:hAnsi="Times New Roman"/>
              </w:rPr>
              <w:t xml:space="preserve"> </w:t>
            </w:r>
            <w:proofErr w:type="spellStart"/>
            <w:r w:rsidRPr="003D43C2">
              <w:rPr>
                <w:rFonts w:ascii="Times New Roman" w:hAnsi="Times New Roman"/>
              </w:rPr>
              <w:t>poprzedniej</w:t>
            </w:r>
            <w:proofErr w:type="spellEnd"/>
            <w:r w:rsidRPr="003D43C2">
              <w:rPr>
                <w:rFonts w:ascii="Times New Roman" w:hAnsi="Times New Roman"/>
              </w:rPr>
              <w:t xml:space="preserve"> </w:t>
            </w:r>
            <w:proofErr w:type="spellStart"/>
            <w:r w:rsidRPr="003D43C2">
              <w:rPr>
                <w:rFonts w:ascii="Times New Roman" w:hAnsi="Times New Roman"/>
              </w:rPr>
              <w:t>procedury</w:t>
            </w:r>
            <w:proofErr w:type="spellEnd"/>
            <w:r w:rsidRPr="003D43C2">
              <w:rPr>
                <w:rFonts w:ascii="Times New Roman" w:hAnsi="Times New Roman"/>
              </w:rPr>
              <w:t xml:space="preserve">, </w:t>
            </w:r>
            <w:proofErr w:type="spellStart"/>
            <w:r w:rsidRPr="003D43C2">
              <w:rPr>
                <w:rFonts w:ascii="Times New Roman" w:hAnsi="Times New Roman"/>
              </w:rPr>
              <w:t>mającymi</w:t>
            </w:r>
            <w:proofErr w:type="spellEnd"/>
            <w:r w:rsidRPr="003D43C2">
              <w:rPr>
                <w:rFonts w:ascii="Times New Roman" w:hAnsi="Times New Roman"/>
              </w:rPr>
              <w:t xml:space="preserve"> </w:t>
            </w:r>
            <w:proofErr w:type="spellStart"/>
            <w:r w:rsidRPr="003D43C2">
              <w:rPr>
                <w:rFonts w:ascii="Times New Roman" w:hAnsi="Times New Roman"/>
              </w:rPr>
              <w:t>wpływ</w:t>
            </w:r>
            <w:proofErr w:type="spellEnd"/>
            <w:r w:rsidRPr="003D43C2">
              <w:rPr>
                <w:rFonts w:ascii="Times New Roman" w:hAnsi="Times New Roman"/>
              </w:rPr>
              <w:t xml:space="preserve"> </w:t>
            </w:r>
            <w:proofErr w:type="spellStart"/>
            <w:r w:rsidRPr="003D43C2">
              <w:rPr>
                <w:rFonts w:ascii="Times New Roman" w:hAnsi="Times New Roman"/>
              </w:rPr>
              <w:t>na</w:t>
            </w:r>
            <w:proofErr w:type="spellEnd"/>
            <w:r w:rsidRPr="003D43C2">
              <w:rPr>
                <w:rFonts w:ascii="Times New Roman" w:hAnsi="Times New Roman"/>
              </w:rPr>
              <w:t xml:space="preserve"> </w:t>
            </w:r>
            <w:proofErr w:type="spellStart"/>
            <w:r w:rsidRPr="003D43C2">
              <w:rPr>
                <w:rFonts w:ascii="Times New Roman" w:hAnsi="Times New Roman"/>
              </w:rPr>
              <w:t>druki</w:t>
            </w:r>
            <w:proofErr w:type="spellEnd"/>
            <w:r w:rsidRPr="003D43C2">
              <w:rPr>
                <w:rFonts w:ascii="Times New Roman" w:hAnsi="Times New Roman"/>
              </w:rPr>
              <w:t xml:space="preserve"> </w:t>
            </w:r>
            <w:proofErr w:type="spellStart"/>
            <w:r w:rsidRPr="003D43C2">
              <w:rPr>
                <w:rFonts w:ascii="Times New Roman" w:hAnsi="Times New Roman"/>
              </w:rPr>
              <w:t>informacyjne</w:t>
            </w:r>
            <w:proofErr w:type="spellEnd"/>
            <w:r w:rsidRPr="003D43C2">
              <w:rPr>
                <w:rFonts w:ascii="Times New Roman" w:hAnsi="Times New Roman"/>
              </w:rPr>
              <w:t xml:space="preserve"> (EMEA/H/C/PSUSA/00000403/202202).</w:t>
            </w:r>
          </w:p>
          <w:p w14:paraId="0BD267E7" w14:textId="77777777" w:rsidR="00313088" w:rsidRPr="003D43C2" w:rsidRDefault="00313088" w:rsidP="00313088">
            <w:pPr>
              <w:widowControl w:val="0"/>
              <w:rPr>
                <w:rFonts w:ascii="Times New Roman" w:hAnsi="Times New Roman"/>
              </w:rPr>
            </w:pPr>
          </w:p>
          <w:p w14:paraId="5101D7D5" w14:textId="26295A58" w:rsidR="00FB0964" w:rsidRPr="003D43C2" w:rsidRDefault="00313088" w:rsidP="00313088">
            <w:pPr>
              <w:rPr>
                <w:rFonts w:ascii="Times New Roman" w:eastAsia="Times New Roman" w:hAnsi="Times New Roman"/>
                <w:lang w:val="lt-LT"/>
              </w:rPr>
            </w:pPr>
            <w:proofErr w:type="spellStart"/>
            <w:r w:rsidRPr="003D43C2">
              <w:rPr>
                <w:rFonts w:ascii="Times New Roman" w:hAnsi="Times New Roman"/>
              </w:rPr>
              <w:t>Więcej</w:t>
            </w:r>
            <w:proofErr w:type="spellEnd"/>
            <w:r w:rsidRPr="003D43C2">
              <w:rPr>
                <w:rFonts w:ascii="Times New Roman" w:hAnsi="Times New Roman"/>
              </w:rPr>
              <w:t xml:space="preserve"> </w:t>
            </w:r>
            <w:proofErr w:type="spellStart"/>
            <w:r w:rsidRPr="003D43C2">
              <w:rPr>
                <w:rFonts w:ascii="Times New Roman" w:hAnsi="Times New Roman"/>
              </w:rPr>
              <w:t>informacji</w:t>
            </w:r>
            <w:proofErr w:type="spellEnd"/>
            <w:r w:rsidRPr="003D43C2">
              <w:rPr>
                <w:rFonts w:ascii="Times New Roman" w:hAnsi="Times New Roman"/>
              </w:rPr>
              <w:t xml:space="preserve"> </w:t>
            </w:r>
            <w:proofErr w:type="spellStart"/>
            <w:r w:rsidRPr="003D43C2">
              <w:rPr>
                <w:rFonts w:ascii="Times New Roman" w:hAnsi="Times New Roman"/>
              </w:rPr>
              <w:t>znajduje</w:t>
            </w:r>
            <w:proofErr w:type="spellEnd"/>
            <w:r w:rsidRPr="003D43C2">
              <w:rPr>
                <w:rFonts w:ascii="Times New Roman" w:hAnsi="Times New Roman"/>
              </w:rPr>
              <w:t xml:space="preserve"> </w:t>
            </w:r>
            <w:proofErr w:type="spellStart"/>
            <w:r w:rsidRPr="003D43C2">
              <w:rPr>
                <w:rFonts w:ascii="Times New Roman" w:hAnsi="Times New Roman"/>
              </w:rPr>
              <w:t>się</w:t>
            </w:r>
            <w:proofErr w:type="spellEnd"/>
            <w:r w:rsidRPr="003D43C2">
              <w:rPr>
                <w:rFonts w:ascii="Times New Roman" w:hAnsi="Times New Roman"/>
              </w:rPr>
              <w:t xml:space="preserve"> </w:t>
            </w:r>
            <w:proofErr w:type="spellStart"/>
            <w:r w:rsidRPr="003D43C2">
              <w:rPr>
                <w:rFonts w:ascii="Times New Roman" w:hAnsi="Times New Roman"/>
              </w:rPr>
              <w:t>na</w:t>
            </w:r>
            <w:proofErr w:type="spellEnd"/>
            <w:r w:rsidRPr="003D43C2">
              <w:rPr>
                <w:rFonts w:ascii="Times New Roman" w:hAnsi="Times New Roman"/>
              </w:rPr>
              <w:t xml:space="preserve"> </w:t>
            </w:r>
            <w:proofErr w:type="spellStart"/>
            <w:r w:rsidRPr="003D43C2">
              <w:rPr>
                <w:rFonts w:ascii="Times New Roman" w:hAnsi="Times New Roman"/>
              </w:rPr>
              <w:t>stronie</w:t>
            </w:r>
            <w:proofErr w:type="spellEnd"/>
            <w:r w:rsidRPr="003D43C2">
              <w:rPr>
                <w:rFonts w:ascii="Times New Roman" w:hAnsi="Times New Roman"/>
              </w:rPr>
              <w:t xml:space="preserve"> </w:t>
            </w:r>
            <w:proofErr w:type="spellStart"/>
            <w:r w:rsidRPr="003D43C2">
              <w:rPr>
                <w:rFonts w:ascii="Times New Roman" w:hAnsi="Times New Roman"/>
              </w:rPr>
              <w:t>internetowej</w:t>
            </w:r>
            <w:proofErr w:type="spellEnd"/>
            <w:r w:rsidRPr="003D43C2">
              <w:rPr>
                <w:rFonts w:ascii="Times New Roman" w:hAnsi="Times New Roman"/>
              </w:rPr>
              <w:t xml:space="preserve"> </w:t>
            </w:r>
            <w:proofErr w:type="spellStart"/>
            <w:r w:rsidRPr="003D43C2">
              <w:rPr>
                <w:rFonts w:ascii="Times New Roman" w:hAnsi="Times New Roman"/>
              </w:rPr>
              <w:t>Europejskiej</w:t>
            </w:r>
            <w:proofErr w:type="spellEnd"/>
            <w:r w:rsidRPr="003D43C2">
              <w:rPr>
                <w:rFonts w:ascii="Times New Roman" w:hAnsi="Times New Roman"/>
              </w:rPr>
              <w:t xml:space="preserve"> </w:t>
            </w:r>
            <w:proofErr w:type="spellStart"/>
            <w:r w:rsidRPr="003D43C2">
              <w:rPr>
                <w:rFonts w:ascii="Times New Roman" w:hAnsi="Times New Roman"/>
              </w:rPr>
              <w:t>Agencji</w:t>
            </w:r>
            <w:proofErr w:type="spellEnd"/>
            <w:r w:rsidRPr="003D43C2">
              <w:rPr>
                <w:rFonts w:ascii="Times New Roman" w:hAnsi="Times New Roman"/>
              </w:rPr>
              <w:t xml:space="preserve"> </w:t>
            </w:r>
            <w:proofErr w:type="spellStart"/>
            <w:r w:rsidRPr="003D43C2">
              <w:rPr>
                <w:rFonts w:ascii="Times New Roman" w:hAnsi="Times New Roman"/>
              </w:rPr>
              <w:t>Leków</w:t>
            </w:r>
            <w:proofErr w:type="spellEnd"/>
            <w:r w:rsidRPr="003D43C2">
              <w:rPr>
                <w:rFonts w:ascii="Times New Roman" w:hAnsi="Times New Roman"/>
              </w:rPr>
              <w:t xml:space="preserve">: </w:t>
            </w:r>
            <w:hyperlink r:id="rId9" w:history="1">
              <w:r w:rsidR="00FB274F" w:rsidRPr="003D43C2">
                <w:rPr>
                  <w:rStyle w:val="Hyperlink"/>
                  <w:rFonts w:ascii="Times New Roman" w:hAnsi="Times New Roman"/>
                </w:rPr>
                <w:t>https://www.ema.europa.eu/en/medicines/human/EPAR/</w:t>
              </w:r>
              <w:r w:rsidR="00FB274F" w:rsidRPr="003D43C2">
                <w:rPr>
                  <w:rStyle w:val="Hyperlink"/>
                  <w:rFonts w:ascii="Times New Roman" w:hAnsi="Times New Roman"/>
                </w:rPr>
                <w:t>mvasi</w:t>
              </w:r>
            </w:hyperlink>
          </w:p>
        </w:tc>
      </w:tr>
    </w:tbl>
    <w:p w14:paraId="0ECF6F6F" w14:textId="77777777" w:rsidR="00071CFE" w:rsidRPr="00741122" w:rsidRDefault="00071CFE" w:rsidP="001C6CA9">
      <w:pPr>
        <w:jc w:val="center"/>
        <w:rPr>
          <w:rFonts w:ascii="Times New Roman" w:eastAsia="Times New Roman" w:hAnsi="Times New Roman"/>
          <w:sz w:val="22"/>
          <w:szCs w:val="22"/>
          <w:lang w:val="lt-LT"/>
        </w:rPr>
      </w:pPr>
    </w:p>
    <w:p w14:paraId="46F2B982" w14:textId="77777777" w:rsidR="00071CFE" w:rsidRPr="00741122" w:rsidRDefault="00071CFE" w:rsidP="001C6CA9">
      <w:pPr>
        <w:jc w:val="center"/>
        <w:rPr>
          <w:rFonts w:ascii="Times New Roman" w:eastAsia="Times New Roman" w:hAnsi="Times New Roman"/>
          <w:sz w:val="22"/>
          <w:szCs w:val="22"/>
          <w:lang w:val="lt-LT"/>
        </w:rPr>
      </w:pPr>
    </w:p>
    <w:p w14:paraId="68C3954D" w14:textId="77777777" w:rsidR="00071CFE" w:rsidRPr="00741122" w:rsidRDefault="00071CFE" w:rsidP="001C6CA9">
      <w:pPr>
        <w:jc w:val="center"/>
        <w:rPr>
          <w:rFonts w:ascii="Times New Roman" w:eastAsia="Times New Roman" w:hAnsi="Times New Roman"/>
          <w:sz w:val="22"/>
          <w:szCs w:val="22"/>
          <w:lang w:val="lt-LT"/>
        </w:rPr>
      </w:pPr>
    </w:p>
    <w:p w14:paraId="3243AC73" w14:textId="77777777" w:rsidR="00071CFE" w:rsidRPr="00741122" w:rsidRDefault="00071CFE" w:rsidP="001C6CA9">
      <w:pPr>
        <w:jc w:val="center"/>
        <w:rPr>
          <w:rFonts w:ascii="Times New Roman" w:eastAsia="Times New Roman" w:hAnsi="Times New Roman"/>
          <w:sz w:val="22"/>
          <w:szCs w:val="22"/>
          <w:lang w:val="lt-LT"/>
        </w:rPr>
      </w:pPr>
    </w:p>
    <w:p w14:paraId="693B8CD2" w14:textId="77777777" w:rsidR="00071CFE" w:rsidRPr="00741122" w:rsidRDefault="00071CFE" w:rsidP="001C6CA9">
      <w:pPr>
        <w:jc w:val="center"/>
        <w:rPr>
          <w:rFonts w:ascii="Times New Roman" w:eastAsia="Times New Roman" w:hAnsi="Times New Roman"/>
          <w:sz w:val="22"/>
          <w:szCs w:val="22"/>
          <w:lang w:val="lt-LT"/>
        </w:rPr>
      </w:pPr>
    </w:p>
    <w:p w14:paraId="2C963459" w14:textId="77777777" w:rsidR="00071CFE" w:rsidRPr="00741122" w:rsidRDefault="00071CFE" w:rsidP="001C6CA9">
      <w:pPr>
        <w:jc w:val="center"/>
        <w:rPr>
          <w:rFonts w:ascii="Times New Roman" w:eastAsia="Times New Roman" w:hAnsi="Times New Roman"/>
          <w:sz w:val="22"/>
          <w:szCs w:val="22"/>
          <w:lang w:val="lt-LT"/>
        </w:rPr>
      </w:pPr>
    </w:p>
    <w:p w14:paraId="19630EEE" w14:textId="77777777" w:rsidR="00071CFE" w:rsidRPr="00741122" w:rsidRDefault="00071CFE" w:rsidP="001C6CA9">
      <w:pPr>
        <w:jc w:val="center"/>
        <w:rPr>
          <w:rFonts w:ascii="Times New Roman" w:eastAsia="Times New Roman" w:hAnsi="Times New Roman"/>
          <w:sz w:val="22"/>
          <w:szCs w:val="22"/>
          <w:lang w:val="lt-LT"/>
        </w:rPr>
      </w:pPr>
    </w:p>
    <w:p w14:paraId="084076B6" w14:textId="77777777" w:rsidR="00071CFE" w:rsidRPr="00741122" w:rsidRDefault="00071CFE" w:rsidP="001C6CA9">
      <w:pPr>
        <w:jc w:val="center"/>
        <w:rPr>
          <w:rFonts w:ascii="Times New Roman" w:eastAsia="Times New Roman" w:hAnsi="Times New Roman"/>
          <w:sz w:val="22"/>
          <w:szCs w:val="22"/>
          <w:lang w:val="lt-LT"/>
        </w:rPr>
      </w:pPr>
    </w:p>
    <w:p w14:paraId="1E012066" w14:textId="77777777" w:rsidR="00071CFE" w:rsidRPr="00741122" w:rsidRDefault="00071CFE" w:rsidP="001C6CA9">
      <w:pPr>
        <w:jc w:val="center"/>
        <w:rPr>
          <w:rFonts w:ascii="Times New Roman" w:eastAsia="Times New Roman" w:hAnsi="Times New Roman"/>
          <w:sz w:val="22"/>
          <w:szCs w:val="22"/>
          <w:lang w:val="lt-LT"/>
        </w:rPr>
      </w:pPr>
    </w:p>
    <w:p w14:paraId="2C44BE40" w14:textId="77777777" w:rsidR="00071CFE" w:rsidRPr="00741122" w:rsidRDefault="00071CFE" w:rsidP="001C6CA9">
      <w:pPr>
        <w:jc w:val="center"/>
        <w:rPr>
          <w:rFonts w:ascii="Times New Roman" w:eastAsia="Times New Roman" w:hAnsi="Times New Roman"/>
          <w:sz w:val="22"/>
          <w:szCs w:val="22"/>
          <w:lang w:val="lt-LT"/>
        </w:rPr>
      </w:pPr>
    </w:p>
    <w:p w14:paraId="644364E1" w14:textId="77777777" w:rsidR="00071CFE" w:rsidRPr="00741122" w:rsidRDefault="00071CFE" w:rsidP="001C6CA9">
      <w:pPr>
        <w:jc w:val="center"/>
        <w:rPr>
          <w:rFonts w:ascii="Times New Roman" w:eastAsia="Times New Roman" w:hAnsi="Times New Roman"/>
          <w:sz w:val="22"/>
          <w:szCs w:val="22"/>
          <w:lang w:val="lt-LT"/>
        </w:rPr>
      </w:pPr>
    </w:p>
    <w:p w14:paraId="7E0B857F" w14:textId="77777777" w:rsidR="00071CFE" w:rsidRPr="00741122" w:rsidRDefault="00071CFE" w:rsidP="001C6CA9">
      <w:pPr>
        <w:jc w:val="center"/>
        <w:rPr>
          <w:rFonts w:ascii="Times New Roman" w:eastAsia="Times New Roman" w:hAnsi="Times New Roman"/>
          <w:sz w:val="22"/>
          <w:szCs w:val="22"/>
          <w:lang w:val="lt-LT"/>
        </w:rPr>
      </w:pPr>
    </w:p>
    <w:p w14:paraId="1B0D65C8" w14:textId="77777777" w:rsidR="00071CFE" w:rsidRPr="00741122" w:rsidRDefault="00071CFE" w:rsidP="001C6CA9">
      <w:pPr>
        <w:jc w:val="center"/>
        <w:rPr>
          <w:rFonts w:ascii="Times New Roman" w:eastAsia="Times New Roman" w:hAnsi="Times New Roman"/>
          <w:sz w:val="22"/>
          <w:szCs w:val="22"/>
          <w:lang w:val="lt-LT"/>
        </w:rPr>
      </w:pPr>
    </w:p>
    <w:p w14:paraId="6C065AE2" w14:textId="77777777" w:rsidR="00071CFE" w:rsidRPr="00741122" w:rsidRDefault="00071CFE" w:rsidP="001C6CA9">
      <w:pPr>
        <w:jc w:val="center"/>
        <w:rPr>
          <w:rFonts w:ascii="Times New Roman" w:eastAsia="Times New Roman" w:hAnsi="Times New Roman"/>
          <w:sz w:val="22"/>
          <w:szCs w:val="22"/>
          <w:lang w:val="lt-LT"/>
        </w:rPr>
      </w:pPr>
    </w:p>
    <w:p w14:paraId="4AD976E7" w14:textId="77777777" w:rsidR="00071CFE" w:rsidRPr="00741122" w:rsidRDefault="00071CFE" w:rsidP="001C6CA9">
      <w:pPr>
        <w:jc w:val="center"/>
        <w:rPr>
          <w:rFonts w:ascii="Times New Roman" w:eastAsia="Times New Roman" w:hAnsi="Times New Roman"/>
          <w:sz w:val="22"/>
          <w:szCs w:val="22"/>
          <w:lang w:val="lt-LT"/>
        </w:rPr>
      </w:pPr>
    </w:p>
    <w:p w14:paraId="13B35DDA" w14:textId="77777777" w:rsidR="00E60A90" w:rsidRPr="00741122" w:rsidRDefault="00E60A90" w:rsidP="001C6CA9">
      <w:pPr>
        <w:jc w:val="center"/>
        <w:rPr>
          <w:rFonts w:ascii="Times New Roman" w:eastAsia="Times New Roman" w:hAnsi="Times New Roman"/>
          <w:sz w:val="22"/>
          <w:szCs w:val="22"/>
          <w:lang w:val="lt-LT"/>
        </w:rPr>
      </w:pPr>
    </w:p>
    <w:p w14:paraId="6324372E" w14:textId="77777777" w:rsidR="00E60A90" w:rsidRPr="00DF21B4" w:rsidRDefault="00E60A90" w:rsidP="001C6CA9">
      <w:pPr>
        <w:jc w:val="center"/>
        <w:rPr>
          <w:rFonts w:ascii="Times New Roman" w:eastAsia="Times New Roman" w:hAnsi="Times New Roman"/>
          <w:sz w:val="22"/>
          <w:szCs w:val="22"/>
          <w:lang w:val="lt-LT"/>
        </w:rPr>
      </w:pPr>
    </w:p>
    <w:p w14:paraId="7F65C862" w14:textId="77777777" w:rsidR="00071CFE" w:rsidRPr="00741122" w:rsidRDefault="00071CFE" w:rsidP="001C6CA9">
      <w:pPr>
        <w:jc w:val="center"/>
        <w:rPr>
          <w:rFonts w:ascii="Times New Roman" w:eastAsia="Times New Roman" w:hAnsi="Times New Roman"/>
          <w:b/>
          <w:sz w:val="22"/>
          <w:szCs w:val="22"/>
          <w:lang w:val="lt-LT"/>
        </w:rPr>
      </w:pPr>
      <w:r w:rsidRPr="00741122">
        <w:rPr>
          <w:rFonts w:ascii="Times New Roman" w:eastAsia="Times New Roman" w:hAnsi="Times New Roman"/>
          <w:b/>
          <w:sz w:val="22"/>
          <w:szCs w:val="22"/>
          <w:lang w:val="lt-LT"/>
        </w:rPr>
        <w:t>ANEKS I</w:t>
      </w:r>
    </w:p>
    <w:p w14:paraId="7EC54E49" w14:textId="77777777" w:rsidR="00071CFE" w:rsidRPr="00741122" w:rsidRDefault="00071CFE" w:rsidP="001C6CA9">
      <w:pPr>
        <w:jc w:val="center"/>
        <w:rPr>
          <w:rFonts w:ascii="Times New Roman" w:eastAsia="Times New Roman" w:hAnsi="Times New Roman"/>
          <w:sz w:val="22"/>
          <w:szCs w:val="22"/>
          <w:lang w:val="lt-LT"/>
        </w:rPr>
      </w:pPr>
    </w:p>
    <w:p w14:paraId="72593BEE" w14:textId="77777777" w:rsidR="00261A5A" w:rsidRDefault="00071CFE" w:rsidP="001C6CA9">
      <w:pPr>
        <w:pStyle w:val="TitleA"/>
        <w:spacing w:line="240" w:lineRule="auto"/>
        <w:ind w:right="0"/>
      </w:pPr>
      <w:r w:rsidRPr="00741122">
        <w:t>CHARAKTERYSTYKA PRODUKTU LECZNICZEGO</w:t>
      </w:r>
    </w:p>
    <w:p w14:paraId="645D0B93" w14:textId="77777777" w:rsidR="00071CFE" w:rsidRPr="00741122" w:rsidRDefault="00261A5A" w:rsidP="0023471C">
      <w:pPr>
        <w:pStyle w:val="TitleA"/>
        <w:spacing w:line="240" w:lineRule="auto"/>
        <w:jc w:val="left"/>
      </w:pPr>
      <w:r>
        <w:br w:type="page"/>
      </w:r>
    </w:p>
    <w:p w14:paraId="2517CF52" w14:textId="77777777" w:rsidR="00071CFE" w:rsidRPr="00741122" w:rsidRDefault="00071CFE" w:rsidP="0023471C">
      <w:pPr>
        <w:numPr>
          <w:ilvl w:val="0"/>
          <w:numId w:val="2"/>
        </w:numPr>
        <w:tabs>
          <w:tab w:val="left" w:pos="562"/>
        </w:tabs>
        <w:ind w:left="567" w:hanging="567"/>
        <w:rPr>
          <w:rFonts w:ascii="Times New Roman" w:eastAsia="Times New Roman" w:hAnsi="Times New Roman" w:cs="Times New Roman"/>
          <w:b/>
          <w:sz w:val="22"/>
          <w:szCs w:val="22"/>
          <w:lang w:val="lt-LT"/>
        </w:rPr>
      </w:pPr>
      <w:bookmarkStart w:id="0" w:name="page2"/>
      <w:bookmarkEnd w:id="0"/>
      <w:r w:rsidRPr="00741122">
        <w:rPr>
          <w:rFonts w:ascii="Times New Roman" w:eastAsia="Times New Roman" w:hAnsi="Times New Roman" w:cs="Times New Roman"/>
          <w:b/>
          <w:sz w:val="22"/>
          <w:szCs w:val="22"/>
          <w:lang w:val="lt-LT"/>
        </w:rPr>
        <w:t>NAZWA PRODUKTU LECZNICZEGO</w:t>
      </w:r>
    </w:p>
    <w:p w14:paraId="1D794459" w14:textId="77777777" w:rsidR="00071CFE" w:rsidRPr="00741122" w:rsidRDefault="00071CFE" w:rsidP="001B794B">
      <w:pPr>
        <w:rPr>
          <w:rFonts w:ascii="Times New Roman" w:eastAsia="Times New Roman" w:hAnsi="Times New Roman" w:cs="Times New Roman"/>
          <w:sz w:val="22"/>
          <w:szCs w:val="22"/>
          <w:lang w:val="lt-LT"/>
        </w:rPr>
      </w:pPr>
    </w:p>
    <w:p w14:paraId="503FCFB7" w14:textId="77777777" w:rsidR="00071CFE" w:rsidRPr="00741122" w:rsidRDefault="00261A5A" w:rsidP="001B794B">
      <w:pPr>
        <w:ind w:left="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D21701" w:rsidRPr="00741122">
        <w:rPr>
          <w:rFonts w:ascii="Times New Roman" w:eastAsia="Times New Roman" w:hAnsi="Times New Roman" w:cs="Times New Roman"/>
          <w:sz w:val="22"/>
          <w:szCs w:val="22"/>
          <w:lang w:val="lt-LT"/>
        </w:rPr>
        <w:t xml:space="preserve"> 25 </w:t>
      </w:r>
      <w:r w:rsidR="00071CFE" w:rsidRPr="00741122">
        <w:rPr>
          <w:rFonts w:ascii="Times New Roman" w:eastAsia="Times New Roman" w:hAnsi="Times New Roman" w:cs="Times New Roman"/>
          <w:sz w:val="22"/>
          <w:szCs w:val="22"/>
          <w:lang w:val="lt-LT"/>
        </w:rPr>
        <w:t>mg/ml koncentrat do sporządzania roztworu do infuzji.</w:t>
      </w:r>
    </w:p>
    <w:p w14:paraId="3B1080F6" w14:textId="77777777" w:rsidR="00071CFE" w:rsidRPr="00741122" w:rsidRDefault="00071CFE" w:rsidP="001B794B">
      <w:pPr>
        <w:rPr>
          <w:rFonts w:ascii="Times New Roman" w:eastAsia="Times New Roman" w:hAnsi="Times New Roman" w:cs="Times New Roman"/>
          <w:sz w:val="22"/>
          <w:szCs w:val="22"/>
          <w:lang w:val="lt-LT"/>
        </w:rPr>
      </w:pPr>
    </w:p>
    <w:p w14:paraId="03304346" w14:textId="77777777" w:rsidR="00071CFE" w:rsidRPr="00741122" w:rsidRDefault="00071CFE" w:rsidP="001B794B">
      <w:pPr>
        <w:rPr>
          <w:rFonts w:ascii="Times New Roman" w:eastAsia="Times New Roman" w:hAnsi="Times New Roman" w:cs="Times New Roman"/>
          <w:sz w:val="22"/>
          <w:szCs w:val="22"/>
          <w:lang w:val="lt-LT"/>
        </w:rPr>
      </w:pPr>
    </w:p>
    <w:p w14:paraId="6D91891A" w14:textId="77777777" w:rsidR="00071CFE" w:rsidRPr="00741122" w:rsidRDefault="00071CFE" w:rsidP="0023471C">
      <w:pPr>
        <w:numPr>
          <w:ilvl w:val="0"/>
          <w:numId w:val="2"/>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SKŁAD JAKOŚCIOWY I ILOŚCIOWY</w:t>
      </w:r>
    </w:p>
    <w:p w14:paraId="03459EE4" w14:textId="77777777" w:rsidR="00071CFE" w:rsidRPr="00741122" w:rsidRDefault="00071CFE" w:rsidP="001B794B">
      <w:pPr>
        <w:rPr>
          <w:rFonts w:ascii="Times New Roman" w:eastAsia="Times New Roman" w:hAnsi="Times New Roman" w:cs="Times New Roman"/>
          <w:sz w:val="22"/>
          <w:szCs w:val="22"/>
          <w:lang w:val="lt-LT"/>
        </w:rPr>
      </w:pPr>
    </w:p>
    <w:p w14:paraId="20ED3F5C" w14:textId="77777777" w:rsidR="00071CFE" w:rsidRPr="00741122" w:rsidRDefault="00071CFE" w:rsidP="001B794B">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Każdy mililitr</w:t>
      </w:r>
      <w:r w:rsidR="00D21701" w:rsidRPr="00741122">
        <w:rPr>
          <w:rFonts w:ascii="Times New Roman" w:eastAsia="Times New Roman" w:hAnsi="Times New Roman" w:cs="Times New Roman"/>
          <w:sz w:val="22"/>
          <w:szCs w:val="22"/>
          <w:lang w:val="lt-LT"/>
        </w:rPr>
        <w:t xml:space="preserve"> koncentratu zawiera 25 </w:t>
      </w:r>
      <w:r w:rsidRPr="00741122">
        <w:rPr>
          <w:rFonts w:ascii="Times New Roman" w:eastAsia="Times New Roman" w:hAnsi="Times New Roman" w:cs="Times New Roman"/>
          <w:sz w:val="22"/>
          <w:szCs w:val="22"/>
          <w:lang w:val="lt-LT"/>
        </w:rPr>
        <w:t>mg bewacyzumabu*.</w:t>
      </w:r>
    </w:p>
    <w:p w14:paraId="48A47E8C" w14:textId="77777777" w:rsidR="008B138C" w:rsidRDefault="008B138C" w:rsidP="001B794B">
      <w:pPr>
        <w:ind w:left="2"/>
        <w:rPr>
          <w:rFonts w:ascii="Times New Roman" w:eastAsia="Times New Roman" w:hAnsi="Times New Roman" w:cs="Times New Roman"/>
          <w:sz w:val="22"/>
          <w:szCs w:val="22"/>
          <w:lang w:val="lt-LT"/>
        </w:rPr>
      </w:pPr>
    </w:p>
    <w:p w14:paraId="69978E55" w14:textId="77777777" w:rsidR="00071CFE" w:rsidRPr="00741122" w:rsidRDefault="00D21701" w:rsidP="001B794B">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Każda fiolka o objętości 4 ml </w:t>
      </w:r>
      <w:r w:rsidR="00261A5A">
        <w:rPr>
          <w:rFonts w:ascii="Times New Roman" w:eastAsia="Times New Roman" w:hAnsi="Times New Roman" w:cs="Times New Roman"/>
          <w:sz w:val="22"/>
          <w:szCs w:val="22"/>
          <w:lang w:val="lt-LT"/>
        </w:rPr>
        <w:t xml:space="preserve">koncentratu </w:t>
      </w:r>
      <w:r w:rsidRPr="00741122">
        <w:rPr>
          <w:rFonts w:ascii="Times New Roman" w:eastAsia="Times New Roman" w:hAnsi="Times New Roman" w:cs="Times New Roman"/>
          <w:sz w:val="22"/>
          <w:szCs w:val="22"/>
          <w:lang w:val="lt-LT"/>
        </w:rPr>
        <w:t>zawiera 100 </w:t>
      </w:r>
      <w:r w:rsidR="00071CFE" w:rsidRPr="00741122">
        <w:rPr>
          <w:rFonts w:ascii="Times New Roman" w:eastAsia="Times New Roman" w:hAnsi="Times New Roman" w:cs="Times New Roman"/>
          <w:sz w:val="22"/>
          <w:szCs w:val="22"/>
          <w:lang w:val="lt-LT"/>
        </w:rPr>
        <w:t>mg bewacyzumabu.</w:t>
      </w:r>
    </w:p>
    <w:p w14:paraId="763C4C09" w14:textId="77777777" w:rsidR="00071CFE" w:rsidRPr="00741122" w:rsidRDefault="00D21701" w:rsidP="001B794B">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Każda fiolka o objętości 16 ml </w:t>
      </w:r>
      <w:r w:rsidR="00261A5A">
        <w:rPr>
          <w:rFonts w:ascii="Times New Roman" w:eastAsia="Times New Roman" w:hAnsi="Times New Roman" w:cs="Times New Roman"/>
          <w:sz w:val="22"/>
          <w:szCs w:val="22"/>
          <w:lang w:val="lt-LT"/>
        </w:rPr>
        <w:t xml:space="preserve">koncentratu </w:t>
      </w:r>
      <w:r w:rsidRPr="00741122">
        <w:rPr>
          <w:rFonts w:ascii="Times New Roman" w:eastAsia="Times New Roman" w:hAnsi="Times New Roman" w:cs="Times New Roman"/>
          <w:sz w:val="22"/>
          <w:szCs w:val="22"/>
          <w:lang w:val="lt-LT"/>
        </w:rPr>
        <w:t>zawiera 400 </w:t>
      </w:r>
      <w:r w:rsidR="00071CFE" w:rsidRPr="00741122">
        <w:rPr>
          <w:rFonts w:ascii="Times New Roman" w:eastAsia="Times New Roman" w:hAnsi="Times New Roman" w:cs="Times New Roman"/>
          <w:sz w:val="22"/>
          <w:szCs w:val="22"/>
          <w:lang w:val="lt-LT"/>
        </w:rPr>
        <w:t>mg bewacyzumabu.</w:t>
      </w:r>
    </w:p>
    <w:p w14:paraId="023DEA76" w14:textId="77777777" w:rsidR="00071CFE" w:rsidRPr="00741122" w:rsidRDefault="00071CFE" w:rsidP="001B794B">
      <w:pPr>
        <w:rPr>
          <w:rFonts w:ascii="Times New Roman" w:eastAsia="Times New Roman" w:hAnsi="Times New Roman" w:cs="Times New Roman"/>
          <w:sz w:val="22"/>
          <w:szCs w:val="22"/>
          <w:lang w:val="lt-LT"/>
        </w:rPr>
      </w:pPr>
    </w:p>
    <w:p w14:paraId="1C5867A4" w14:textId="77777777" w:rsidR="00071CFE" w:rsidRPr="00741122" w:rsidRDefault="00071CFE" w:rsidP="001B794B">
      <w:pPr>
        <w:ind w:left="2" w:right="72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Zalecenia dotyczące rozcieńczania i przygotowania produktu leczniczego do stosowania, patrz punkt 6.6.</w:t>
      </w:r>
    </w:p>
    <w:p w14:paraId="068CCFF5" w14:textId="77777777" w:rsidR="00071CFE" w:rsidRPr="00741122" w:rsidRDefault="00071CFE" w:rsidP="001B794B">
      <w:pPr>
        <w:ind w:left="2" w:right="720"/>
        <w:rPr>
          <w:rFonts w:ascii="Times New Roman" w:eastAsia="Times New Roman" w:hAnsi="Times New Roman" w:cs="Times New Roman"/>
          <w:sz w:val="22"/>
          <w:szCs w:val="22"/>
          <w:lang w:val="lt-LT"/>
        </w:rPr>
      </w:pPr>
    </w:p>
    <w:p w14:paraId="63129828" w14:textId="77777777" w:rsidR="00071CFE" w:rsidRPr="00741122" w:rsidRDefault="00071CFE" w:rsidP="001B794B">
      <w:pPr>
        <w:ind w:left="2" w:right="118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*Bewacyzumab jest rekombinowanym, humanizowanym przeciwciałem monoklonalnym</w:t>
      </w:r>
      <w:r w:rsidR="00553AF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produkowanym z użyciem technologii DNA w komórkach jajnika chomika chińskiego.</w:t>
      </w:r>
    </w:p>
    <w:p w14:paraId="2F33FBA3" w14:textId="77777777" w:rsidR="00226B6B" w:rsidRDefault="00226B6B" w:rsidP="00226B6B">
      <w:pPr>
        <w:rPr>
          <w:rFonts w:ascii="Times New Roman" w:eastAsia="Times New Roman" w:hAnsi="Times New Roman" w:cs="Times New Roman"/>
          <w:sz w:val="22"/>
          <w:szCs w:val="22"/>
          <w:lang w:val="lt-LT"/>
        </w:rPr>
      </w:pPr>
    </w:p>
    <w:p w14:paraId="78497680" w14:textId="77777777" w:rsidR="00226B6B" w:rsidRDefault="00226B6B" w:rsidP="00226B6B">
      <w:pPr>
        <w:rPr>
          <w:rFonts w:ascii="Times New Roman" w:eastAsia="Times New Roman" w:hAnsi="Times New Roman" w:cs="Times New Roman"/>
          <w:sz w:val="22"/>
          <w:szCs w:val="22"/>
          <w:u w:val="single"/>
          <w:lang w:val="lt-LT"/>
        </w:rPr>
      </w:pPr>
      <w:bookmarkStart w:id="1" w:name="_Hlk42628647"/>
      <w:r>
        <w:rPr>
          <w:rFonts w:ascii="Times New Roman" w:eastAsia="Times New Roman" w:hAnsi="Times New Roman" w:cs="Times New Roman"/>
          <w:sz w:val="22"/>
          <w:szCs w:val="22"/>
          <w:u w:val="single"/>
          <w:lang w:val="lt-LT"/>
        </w:rPr>
        <w:t>Substancje pomocnicze o znanym działaniu</w:t>
      </w:r>
    </w:p>
    <w:p w14:paraId="355407FC" w14:textId="77777777" w:rsidR="00226B6B" w:rsidRDefault="00226B6B" w:rsidP="00226B6B">
      <w:pPr>
        <w:rPr>
          <w:rFonts w:ascii="Times New Roman" w:eastAsia="Times New Roman" w:hAnsi="Times New Roman" w:cs="Times New Roman"/>
          <w:sz w:val="22"/>
          <w:szCs w:val="22"/>
          <w:lang w:val="lt-LT"/>
        </w:rPr>
      </w:pPr>
    </w:p>
    <w:p w14:paraId="1D2B5B18" w14:textId="2BEBEA41" w:rsidR="00226B6B" w:rsidRDefault="00226B6B" w:rsidP="00226B6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Każda fiolka </w:t>
      </w:r>
      <w:r w:rsidR="005C3758">
        <w:rPr>
          <w:rFonts w:ascii="Times New Roman" w:eastAsia="Times New Roman" w:hAnsi="Times New Roman" w:cs="Times New Roman"/>
          <w:sz w:val="22"/>
          <w:szCs w:val="22"/>
          <w:lang w:val="lt-LT"/>
        </w:rPr>
        <w:t xml:space="preserve">4 ml </w:t>
      </w:r>
      <w:r>
        <w:rPr>
          <w:rFonts w:ascii="Times New Roman" w:eastAsia="Times New Roman" w:hAnsi="Times New Roman" w:cs="Times New Roman"/>
          <w:sz w:val="22"/>
          <w:szCs w:val="22"/>
          <w:lang w:val="lt-LT"/>
        </w:rPr>
        <w:t xml:space="preserve">zawiera </w:t>
      </w:r>
      <w:r w:rsidR="00F00F36">
        <w:rPr>
          <w:rFonts w:ascii="Times New Roman" w:eastAsia="Times New Roman" w:hAnsi="Times New Roman" w:cs="Times New Roman"/>
          <w:sz w:val="22"/>
          <w:szCs w:val="22"/>
          <w:lang w:val="lt-LT"/>
        </w:rPr>
        <w:t>5</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4</w:t>
      </w:r>
      <w:r>
        <w:rPr>
          <w:rFonts w:ascii="Times New Roman" w:eastAsia="Times New Roman" w:hAnsi="Times New Roman" w:cs="Times New Roman"/>
          <w:sz w:val="22"/>
          <w:szCs w:val="22"/>
          <w:lang w:val="lt-LT"/>
        </w:rPr>
        <w:t> mg sodu.</w:t>
      </w:r>
    </w:p>
    <w:p w14:paraId="23525E7E" w14:textId="77777777" w:rsidR="00226B6B" w:rsidRDefault="00226B6B" w:rsidP="00226B6B">
      <w:pPr>
        <w:rPr>
          <w:rFonts w:ascii="Times New Roman" w:eastAsia="Times New Roman" w:hAnsi="Times New Roman" w:cs="Times New Roman"/>
          <w:sz w:val="22"/>
          <w:szCs w:val="22"/>
          <w:lang w:val="lt-LT"/>
        </w:rPr>
      </w:pPr>
    </w:p>
    <w:p w14:paraId="573A4452" w14:textId="3A796138" w:rsidR="00226B6B" w:rsidRDefault="00226B6B" w:rsidP="00226B6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Każda fiolka </w:t>
      </w:r>
      <w:r w:rsidR="005C3758">
        <w:rPr>
          <w:rFonts w:ascii="Times New Roman" w:eastAsia="Times New Roman" w:hAnsi="Times New Roman" w:cs="Times New Roman"/>
          <w:sz w:val="22"/>
          <w:szCs w:val="22"/>
          <w:lang w:val="lt-LT"/>
        </w:rPr>
        <w:t xml:space="preserve">16 ml </w:t>
      </w:r>
      <w:r>
        <w:rPr>
          <w:rFonts w:ascii="Times New Roman" w:eastAsia="Times New Roman" w:hAnsi="Times New Roman" w:cs="Times New Roman"/>
          <w:sz w:val="22"/>
          <w:szCs w:val="22"/>
          <w:lang w:val="lt-LT"/>
        </w:rPr>
        <w:t xml:space="preserve">zawiera </w:t>
      </w:r>
      <w:r w:rsidR="00F00F36">
        <w:rPr>
          <w:rFonts w:ascii="Times New Roman" w:eastAsia="Times New Roman" w:hAnsi="Times New Roman" w:cs="Times New Roman"/>
          <w:sz w:val="22"/>
          <w:szCs w:val="22"/>
          <w:lang w:val="lt-LT"/>
        </w:rPr>
        <w:t>21</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7</w:t>
      </w:r>
      <w:r>
        <w:rPr>
          <w:rFonts w:ascii="Times New Roman" w:eastAsia="Times New Roman" w:hAnsi="Times New Roman" w:cs="Times New Roman"/>
          <w:sz w:val="22"/>
          <w:szCs w:val="22"/>
          <w:lang w:val="lt-LT"/>
        </w:rPr>
        <w:t> mg sodu.</w:t>
      </w:r>
      <w:bookmarkEnd w:id="1"/>
    </w:p>
    <w:p w14:paraId="5B643289" w14:textId="77777777" w:rsidR="00071CFE" w:rsidRPr="00741122" w:rsidRDefault="00071CFE" w:rsidP="001B794B">
      <w:pPr>
        <w:rPr>
          <w:rFonts w:ascii="Times New Roman" w:eastAsia="Times New Roman" w:hAnsi="Times New Roman" w:cs="Times New Roman"/>
          <w:sz w:val="22"/>
          <w:szCs w:val="22"/>
          <w:lang w:val="lt-LT"/>
        </w:rPr>
      </w:pPr>
    </w:p>
    <w:p w14:paraId="2DF3A336" w14:textId="77777777" w:rsidR="00071CFE" w:rsidRPr="00741122" w:rsidRDefault="00071CFE" w:rsidP="001B794B">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Pełny wykaz substancji pomocniczych, patrz punkt 6.1.</w:t>
      </w:r>
    </w:p>
    <w:p w14:paraId="76C9289A" w14:textId="77777777" w:rsidR="00071CFE" w:rsidRPr="00741122" w:rsidRDefault="00071CFE" w:rsidP="001B794B">
      <w:pPr>
        <w:rPr>
          <w:rFonts w:ascii="Times New Roman" w:eastAsia="Times New Roman" w:hAnsi="Times New Roman" w:cs="Times New Roman"/>
          <w:sz w:val="22"/>
          <w:szCs w:val="22"/>
          <w:lang w:val="lt-LT"/>
        </w:rPr>
      </w:pPr>
    </w:p>
    <w:p w14:paraId="1E27A1EB" w14:textId="77777777" w:rsidR="00071CFE" w:rsidRPr="00741122" w:rsidRDefault="00071CFE" w:rsidP="001B794B">
      <w:pPr>
        <w:rPr>
          <w:rFonts w:ascii="Times New Roman" w:eastAsia="Times New Roman" w:hAnsi="Times New Roman" w:cs="Times New Roman"/>
          <w:sz w:val="22"/>
          <w:szCs w:val="22"/>
          <w:lang w:val="lt-LT"/>
        </w:rPr>
      </w:pPr>
    </w:p>
    <w:p w14:paraId="717B8584" w14:textId="77777777" w:rsidR="00071CFE" w:rsidRPr="00741122" w:rsidRDefault="00071CFE" w:rsidP="0023471C">
      <w:pPr>
        <w:numPr>
          <w:ilvl w:val="0"/>
          <w:numId w:val="3"/>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POSTAĆ FARMACEUTYCZNA</w:t>
      </w:r>
    </w:p>
    <w:p w14:paraId="2ABE0E4B" w14:textId="77777777" w:rsidR="00071CFE" w:rsidRPr="00741122" w:rsidRDefault="00071CFE" w:rsidP="001B794B">
      <w:pPr>
        <w:rPr>
          <w:rFonts w:ascii="Times New Roman" w:eastAsia="Times New Roman" w:hAnsi="Times New Roman" w:cs="Times New Roman"/>
          <w:sz w:val="22"/>
          <w:szCs w:val="22"/>
          <w:lang w:val="lt-LT"/>
        </w:rPr>
      </w:pPr>
    </w:p>
    <w:p w14:paraId="5837181B" w14:textId="3F696173" w:rsidR="00071CFE" w:rsidRPr="00741122" w:rsidRDefault="00071CFE" w:rsidP="001B794B">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Koncentrat do sporządzania roztworu do infuzji</w:t>
      </w:r>
      <w:r w:rsidR="005C3758" w:rsidRPr="005C3758">
        <w:rPr>
          <w:rFonts w:ascii="Times New Roman" w:eastAsia="Times New Roman" w:hAnsi="Times New Roman" w:cs="Times New Roman"/>
          <w:sz w:val="22"/>
          <w:szCs w:val="22"/>
          <w:lang w:val="lt-LT"/>
        </w:rPr>
        <w:t xml:space="preserve"> (koncentrat</w:t>
      </w:r>
      <w:r w:rsidR="00295C0C">
        <w:rPr>
          <w:rFonts w:ascii="Times New Roman" w:eastAsia="Times New Roman" w:hAnsi="Times New Roman" w:cs="Times New Roman"/>
          <w:sz w:val="22"/>
          <w:szCs w:val="22"/>
          <w:lang w:val="lt-LT"/>
        </w:rPr>
        <w:t xml:space="preserve"> </w:t>
      </w:r>
      <w:r w:rsidR="00681220" w:rsidRPr="00681220">
        <w:rPr>
          <w:rFonts w:ascii="Times New Roman" w:eastAsia="Times New Roman" w:hAnsi="Times New Roman" w:cs="Times New Roman"/>
          <w:sz w:val="22"/>
          <w:szCs w:val="22"/>
          <w:lang w:val="lt-LT"/>
        </w:rPr>
        <w:t>jałowy</w:t>
      </w:r>
      <w:r w:rsidR="005C3758" w:rsidRPr="005C375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w:t>
      </w:r>
    </w:p>
    <w:p w14:paraId="54A49AE0" w14:textId="77777777" w:rsidR="00071CFE" w:rsidRPr="00741122" w:rsidRDefault="00071CFE" w:rsidP="001B794B">
      <w:pPr>
        <w:rPr>
          <w:rFonts w:ascii="Times New Roman" w:eastAsia="Times New Roman" w:hAnsi="Times New Roman" w:cs="Times New Roman"/>
          <w:sz w:val="22"/>
          <w:szCs w:val="22"/>
          <w:lang w:val="lt-LT"/>
        </w:rPr>
      </w:pPr>
    </w:p>
    <w:p w14:paraId="49D65FC3" w14:textId="77777777" w:rsidR="00071CFE" w:rsidRPr="00741122" w:rsidRDefault="00071CFE" w:rsidP="001B794B">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Produkt ma postać przejrzystego lub lekko opalizującego, bezbarwnego do jasno</w:t>
      </w:r>
      <w:r w:rsidR="00261A5A">
        <w:rPr>
          <w:rFonts w:ascii="Times New Roman" w:eastAsia="Times New Roman" w:hAnsi="Times New Roman" w:cs="Times New Roman"/>
          <w:sz w:val="22"/>
          <w:szCs w:val="22"/>
          <w:lang w:val="lt-LT"/>
        </w:rPr>
        <w:t>żółtego</w:t>
      </w:r>
      <w:r w:rsidRPr="00741122">
        <w:rPr>
          <w:rFonts w:ascii="Times New Roman" w:eastAsia="Times New Roman" w:hAnsi="Times New Roman" w:cs="Times New Roman"/>
          <w:sz w:val="22"/>
          <w:szCs w:val="22"/>
          <w:lang w:val="lt-LT"/>
        </w:rPr>
        <w:t xml:space="preserve"> płynu.</w:t>
      </w:r>
    </w:p>
    <w:p w14:paraId="40249441" w14:textId="77777777" w:rsidR="00071CFE" w:rsidRPr="00741122" w:rsidRDefault="00071CFE" w:rsidP="001B794B">
      <w:pPr>
        <w:rPr>
          <w:rFonts w:ascii="Times New Roman" w:eastAsia="Times New Roman" w:hAnsi="Times New Roman" w:cs="Times New Roman"/>
          <w:sz w:val="22"/>
          <w:szCs w:val="22"/>
          <w:lang w:val="lt-LT"/>
        </w:rPr>
      </w:pPr>
    </w:p>
    <w:p w14:paraId="56586857" w14:textId="77777777" w:rsidR="00071CFE" w:rsidRPr="00741122" w:rsidRDefault="00071CFE" w:rsidP="001B794B">
      <w:pPr>
        <w:rPr>
          <w:rFonts w:ascii="Times New Roman" w:eastAsia="Times New Roman" w:hAnsi="Times New Roman" w:cs="Times New Roman"/>
          <w:sz w:val="22"/>
          <w:szCs w:val="22"/>
          <w:lang w:val="lt-LT"/>
        </w:rPr>
      </w:pPr>
    </w:p>
    <w:p w14:paraId="18A7AC92" w14:textId="77777777" w:rsidR="00071CFE" w:rsidRPr="00741122" w:rsidRDefault="00071CFE" w:rsidP="0023471C">
      <w:pPr>
        <w:numPr>
          <w:ilvl w:val="0"/>
          <w:numId w:val="4"/>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SZCZEGÓŁOWE DANE KLINICZNE</w:t>
      </w:r>
    </w:p>
    <w:p w14:paraId="73942425" w14:textId="77777777" w:rsidR="00071CFE" w:rsidRPr="00741122" w:rsidRDefault="00071CFE" w:rsidP="001B794B">
      <w:pPr>
        <w:rPr>
          <w:rFonts w:ascii="Times New Roman" w:eastAsia="Times New Roman" w:hAnsi="Times New Roman" w:cs="Times New Roman"/>
          <w:sz w:val="22"/>
          <w:szCs w:val="22"/>
          <w:lang w:val="lt-LT"/>
        </w:rPr>
      </w:pPr>
    </w:p>
    <w:p w14:paraId="153B87BF" w14:textId="77777777" w:rsidR="00071CFE" w:rsidRPr="00741122" w:rsidRDefault="00071CFE" w:rsidP="001B794B">
      <w:pPr>
        <w:tabs>
          <w:tab w:val="left" w:pos="567"/>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4.1</w:t>
      </w:r>
      <w:r w:rsidRPr="00741122">
        <w:rPr>
          <w:rFonts w:ascii="Times New Roman" w:eastAsia="Times New Roman" w:hAnsi="Times New Roman" w:cs="Times New Roman"/>
          <w:b/>
          <w:sz w:val="22"/>
          <w:szCs w:val="22"/>
          <w:lang w:val="lt-LT"/>
        </w:rPr>
        <w:tab/>
        <w:t>Wskazania do stosowania</w:t>
      </w:r>
    </w:p>
    <w:p w14:paraId="27D357DF" w14:textId="77777777" w:rsidR="00071CFE" w:rsidRPr="00741122" w:rsidRDefault="00071CFE" w:rsidP="001B794B">
      <w:pPr>
        <w:rPr>
          <w:rFonts w:ascii="Times New Roman" w:eastAsia="Times New Roman" w:hAnsi="Times New Roman" w:cs="Times New Roman"/>
          <w:sz w:val="22"/>
          <w:szCs w:val="22"/>
          <w:lang w:val="lt-LT"/>
        </w:rPr>
      </w:pPr>
    </w:p>
    <w:p w14:paraId="71DEC34D" w14:textId="77777777" w:rsidR="00071CFE" w:rsidRPr="00741122" w:rsidRDefault="009E0C61" w:rsidP="001B794B">
      <w:pPr>
        <w:ind w:left="2" w:right="200"/>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w skojarzeniu z chemioterapią opartą na fluoropirymidynie jest wskazany w leczeniu dorosłych pacjentów z rakiem okrężnicy lub odbytnicy z przerzutami.</w:t>
      </w:r>
    </w:p>
    <w:p w14:paraId="09F75125" w14:textId="77777777" w:rsidR="00071CFE" w:rsidRPr="00741122" w:rsidRDefault="00071CFE" w:rsidP="001B794B">
      <w:pPr>
        <w:rPr>
          <w:rFonts w:ascii="Times New Roman" w:eastAsia="Times New Roman" w:hAnsi="Times New Roman" w:cs="Times New Roman"/>
          <w:sz w:val="22"/>
          <w:szCs w:val="22"/>
          <w:lang w:val="lt-LT"/>
        </w:rPr>
      </w:pPr>
    </w:p>
    <w:p w14:paraId="6FF0A8C4" w14:textId="43BC3CA5" w:rsidR="00071CFE" w:rsidRDefault="00071CFE" w:rsidP="001B794B">
      <w:pPr>
        <w:ind w:left="2" w:right="8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Terapia skojarzona </w:t>
      </w:r>
      <w:r w:rsidR="009E0C61">
        <w:rPr>
          <w:rFonts w:ascii="Times New Roman" w:eastAsia="Times New Roman" w:hAnsi="Times New Roman" w:cs="Times New Roman"/>
          <w:sz w:val="22"/>
          <w:szCs w:val="22"/>
          <w:lang w:val="lt-LT"/>
        </w:rPr>
        <w:t>produktem MVASI</w:t>
      </w:r>
      <w:r w:rsidR="009E0C61"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 chemioterapią opartą o paklitaksel jest wskazana jako leczenie pierwszego rzutu u dorosłych pacjentów z rozsianym rakiem piersi. W celu uzyskania dalszych informacji dotyczących statusu receptora ludzkiego naskórkowego czynnika wzrostu typu 2 (HER2), patrz punkt 5.1.</w:t>
      </w:r>
    </w:p>
    <w:p w14:paraId="276F5D03" w14:textId="77777777" w:rsidR="006807D7" w:rsidRPr="00741122" w:rsidRDefault="006807D7" w:rsidP="001B794B">
      <w:pPr>
        <w:ind w:left="2" w:right="80"/>
        <w:rPr>
          <w:rFonts w:ascii="Times New Roman" w:eastAsia="Times New Roman" w:hAnsi="Times New Roman" w:cs="Times New Roman"/>
          <w:sz w:val="22"/>
          <w:szCs w:val="22"/>
          <w:lang w:val="lt-LT"/>
        </w:rPr>
      </w:pPr>
    </w:p>
    <w:p w14:paraId="1C873B6D" w14:textId="118B9395" w:rsidR="006807D7" w:rsidRDefault="006B0C84" w:rsidP="001B794B">
      <w:pPr>
        <w:rPr>
          <w:rFonts w:ascii="Times New Roman" w:hAnsi="Times New Roman" w:cs="Times New Roman"/>
          <w:sz w:val="22"/>
          <w:szCs w:val="22"/>
          <w:lang w:val="pl-PL"/>
        </w:rPr>
      </w:pPr>
      <w:r>
        <w:rPr>
          <w:rFonts w:ascii="Times New Roman" w:hAnsi="Times New Roman" w:cs="Times New Roman"/>
          <w:sz w:val="22"/>
          <w:szCs w:val="22"/>
          <w:lang w:val="pl-PL"/>
        </w:rPr>
        <w:t>MVASI w skojarzeniu</w:t>
      </w:r>
      <w:r w:rsidR="00A12F2F" w:rsidRPr="008704D1">
        <w:rPr>
          <w:rFonts w:ascii="Times New Roman" w:hAnsi="Times New Roman" w:cs="Times New Roman"/>
          <w:sz w:val="22"/>
          <w:szCs w:val="22"/>
          <w:lang w:val="pl-PL"/>
        </w:rPr>
        <w:t xml:space="preserve"> z kapecytabiną jest wskazan</w:t>
      </w:r>
      <w:r>
        <w:rPr>
          <w:rFonts w:ascii="Times New Roman" w:hAnsi="Times New Roman" w:cs="Times New Roman"/>
          <w:sz w:val="22"/>
          <w:szCs w:val="22"/>
          <w:lang w:val="pl-PL"/>
        </w:rPr>
        <w:t>y</w:t>
      </w:r>
      <w:r w:rsidR="00A12F2F" w:rsidRPr="008704D1">
        <w:rPr>
          <w:rFonts w:ascii="Times New Roman" w:hAnsi="Times New Roman" w:cs="Times New Roman"/>
          <w:sz w:val="22"/>
          <w:szCs w:val="22"/>
          <w:lang w:val="pl-PL"/>
        </w:rPr>
        <w:t xml:space="preserve"> </w:t>
      </w:r>
      <w:r>
        <w:rPr>
          <w:rFonts w:ascii="Times New Roman" w:hAnsi="Times New Roman" w:cs="Times New Roman"/>
          <w:sz w:val="22"/>
          <w:szCs w:val="22"/>
          <w:lang w:val="pl-PL"/>
        </w:rPr>
        <w:t>w</w:t>
      </w:r>
      <w:r w:rsidR="00D10A10" w:rsidRPr="008704D1">
        <w:rPr>
          <w:rFonts w:ascii="Times New Roman" w:hAnsi="Times New Roman" w:cs="Times New Roman"/>
          <w:sz w:val="22"/>
          <w:szCs w:val="22"/>
          <w:lang w:val="pl-PL"/>
        </w:rPr>
        <w:t xml:space="preserve"> leczeni</w:t>
      </w:r>
      <w:r>
        <w:rPr>
          <w:rFonts w:ascii="Times New Roman" w:hAnsi="Times New Roman" w:cs="Times New Roman"/>
          <w:sz w:val="22"/>
          <w:szCs w:val="22"/>
          <w:lang w:val="pl-PL"/>
        </w:rPr>
        <w:t>u</w:t>
      </w:r>
      <w:r w:rsidR="00D10A10" w:rsidRPr="008704D1">
        <w:rPr>
          <w:rFonts w:ascii="Times New Roman" w:hAnsi="Times New Roman" w:cs="Times New Roman"/>
          <w:sz w:val="22"/>
          <w:szCs w:val="22"/>
          <w:lang w:val="pl-PL"/>
        </w:rPr>
        <w:t xml:space="preserve"> pierwszego rzutu u </w:t>
      </w:r>
      <w:r w:rsidR="00A12F2F" w:rsidRPr="008704D1">
        <w:rPr>
          <w:rFonts w:ascii="Times New Roman" w:hAnsi="Times New Roman" w:cs="Times New Roman"/>
          <w:sz w:val="22"/>
          <w:szCs w:val="22"/>
          <w:lang w:val="pl-PL"/>
        </w:rPr>
        <w:t>dorosłych pacjentów z rozsianym rakiem piersi, u których inny rodzaj chemioterapii, w tym taksany lub antracykliny, nie został uznany za odpowiedni. Pacjenci, którzy otrzymali taksany lub antracykliny w ramach leczenia uzupełniającego w czasie ostatnich 12 miesięcy nie powinni być leczeni produktem MVASI w skojarzeniu z kapecytabiną. W celu uzyskania dalszych informacji dotyczących statusu receptora HER2, patrz punkt </w:t>
      </w:r>
      <w:r w:rsidR="008704D1" w:rsidRPr="008704D1">
        <w:rPr>
          <w:rFonts w:ascii="Times New Roman" w:hAnsi="Times New Roman" w:cs="Times New Roman"/>
          <w:sz w:val="22"/>
          <w:szCs w:val="22"/>
          <w:lang w:val="pl-PL"/>
        </w:rPr>
        <w:t>5.1.</w:t>
      </w:r>
    </w:p>
    <w:p w14:paraId="09A177B3" w14:textId="77777777" w:rsidR="008704D1" w:rsidRPr="008704D1" w:rsidRDefault="008704D1" w:rsidP="001B794B">
      <w:pPr>
        <w:rPr>
          <w:rFonts w:ascii="Times New Roman" w:eastAsia="Times New Roman" w:hAnsi="Times New Roman" w:cs="Times New Roman"/>
          <w:sz w:val="22"/>
          <w:szCs w:val="22"/>
          <w:lang w:val="lt-LT"/>
        </w:rPr>
      </w:pPr>
    </w:p>
    <w:p w14:paraId="2C7FA7FB" w14:textId="77777777" w:rsidR="00071CFE" w:rsidRPr="00741122" w:rsidRDefault="00C84E3D" w:rsidP="00FD7F9C">
      <w:pPr>
        <w:ind w:right="20"/>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 xml:space="preserve">Ponadto </w:t>
      </w:r>
      <w:r w:rsidR="00071CFE" w:rsidRPr="00741122">
        <w:rPr>
          <w:rFonts w:ascii="Times New Roman" w:eastAsia="Times New Roman" w:hAnsi="Times New Roman" w:cs="Times New Roman"/>
          <w:sz w:val="22"/>
          <w:szCs w:val="22"/>
          <w:lang w:val="lt-LT"/>
        </w:rPr>
        <w:t xml:space="preserve">w skojarzeniu z chemioterapią opartą na pochodnych platyny </w:t>
      </w:r>
      <w:r w:rsidR="00EA3221">
        <w:rPr>
          <w:rFonts w:ascii="Times New Roman" w:eastAsia="Times New Roman" w:hAnsi="Times New Roman" w:cs="Times New Roman"/>
          <w:sz w:val="22"/>
          <w:szCs w:val="22"/>
          <w:lang w:val="lt-LT"/>
        </w:rPr>
        <w:t xml:space="preserve">MVASI </w:t>
      </w:r>
      <w:r w:rsidR="00071CFE" w:rsidRPr="00741122">
        <w:rPr>
          <w:rFonts w:ascii="Times New Roman" w:eastAsia="Times New Roman" w:hAnsi="Times New Roman" w:cs="Times New Roman"/>
          <w:sz w:val="22"/>
          <w:szCs w:val="22"/>
          <w:lang w:val="lt-LT"/>
        </w:rPr>
        <w:t>jest wskazany w leczeniu pierwszego rzutu u dorosłych pacjentów z nieoperacyjnym</w:t>
      </w:r>
      <w:r w:rsidR="00EA322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zaawansowanym, z przerzutami lub nawrotowym, niedrobnokomórkowym rakiem płuca, o histologii innej niż w przeważającym stopniu płaskonabłonkowa.</w:t>
      </w:r>
    </w:p>
    <w:p w14:paraId="385C06C0" w14:textId="2C396605" w:rsidR="00071CFE" w:rsidRPr="008704D1" w:rsidRDefault="00071CFE" w:rsidP="001B794B">
      <w:pPr>
        <w:rPr>
          <w:rFonts w:ascii="Times New Roman" w:eastAsia="Times New Roman" w:hAnsi="Times New Roman" w:cs="Times New Roman"/>
          <w:sz w:val="22"/>
          <w:szCs w:val="22"/>
          <w:lang w:val="lt-LT"/>
        </w:rPr>
      </w:pPr>
    </w:p>
    <w:p w14:paraId="310B91B4" w14:textId="72A47EE7" w:rsidR="006807D7" w:rsidRPr="008704D1" w:rsidRDefault="006807D7" w:rsidP="006807D7">
      <w:pPr>
        <w:rPr>
          <w:rFonts w:ascii="Times New Roman" w:eastAsia="Times New Roman" w:hAnsi="Times New Roman" w:cs="Times New Roman"/>
          <w:sz w:val="22"/>
          <w:szCs w:val="22"/>
          <w:lang w:val="lt-LT"/>
        </w:rPr>
      </w:pPr>
      <w:r w:rsidRPr="008704D1">
        <w:rPr>
          <w:rFonts w:ascii="Times New Roman" w:eastAsia="Times New Roman" w:hAnsi="Times New Roman" w:cs="Times New Roman"/>
          <w:sz w:val="22"/>
          <w:szCs w:val="22"/>
          <w:lang w:val="pl-PL" w:eastAsia="en-US"/>
        </w:rPr>
        <w:t xml:space="preserve">MVASI w skojarzeniu z erlotynibem jest wskazany </w:t>
      </w:r>
      <w:r w:rsidR="00A12F2F" w:rsidRPr="008704D1">
        <w:rPr>
          <w:rFonts w:ascii="Times New Roman" w:hAnsi="Times New Roman" w:cs="Times New Roman"/>
          <w:sz w:val="22"/>
          <w:szCs w:val="22"/>
          <w:lang w:val="pl-PL"/>
        </w:rPr>
        <w:t>w leczeniu pierwszego rzutu u dorosłych pacjentów z nieoperacyjnym, zaawansowanym, z przerzutami lub nawrotowym, niepłaskonabłonkowym, niedrobnokomórkowym rakiem płuca, z aktywującymi mutacjami w genie receptora naskórkowego czynnika wzrostu (EGFR)</w:t>
      </w:r>
      <w:r w:rsidR="0020540E" w:rsidRPr="008704D1">
        <w:rPr>
          <w:rFonts w:ascii="Times New Roman" w:hAnsi="Times New Roman" w:cs="Times New Roman"/>
          <w:sz w:val="22"/>
          <w:szCs w:val="22"/>
          <w:lang w:val="pl-PL"/>
        </w:rPr>
        <w:t xml:space="preserve"> </w:t>
      </w:r>
      <w:r w:rsidRPr="008704D1">
        <w:rPr>
          <w:rFonts w:ascii="Times New Roman" w:eastAsia="Times New Roman" w:hAnsi="Times New Roman" w:cs="Times New Roman"/>
          <w:sz w:val="22"/>
          <w:szCs w:val="22"/>
          <w:lang w:val="pl-PL" w:eastAsia="en-US"/>
        </w:rPr>
        <w:t>(patrz punkt 5.1).</w:t>
      </w:r>
    </w:p>
    <w:p w14:paraId="1A8305D2" w14:textId="77777777" w:rsidR="006807D7" w:rsidRPr="00741122" w:rsidRDefault="006807D7" w:rsidP="001B794B">
      <w:pPr>
        <w:rPr>
          <w:rFonts w:ascii="Times New Roman" w:eastAsia="Times New Roman" w:hAnsi="Times New Roman" w:cs="Times New Roman"/>
          <w:sz w:val="22"/>
          <w:szCs w:val="22"/>
          <w:lang w:val="lt-LT"/>
        </w:rPr>
      </w:pPr>
    </w:p>
    <w:p w14:paraId="3D7BC0ED" w14:textId="77777777" w:rsidR="00071CFE" w:rsidRPr="00741122" w:rsidRDefault="009E0C61" w:rsidP="001B794B">
      <w:pPr>
        <w:ind w:left="2" w:right="460"/>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w skojarzeniu z interferonem alfa-2a jest wskazan</w:t>
      </w:r>
      <w:r w:rsidR="00C359D3">
        <w:rPr>
          <w:rFonts w:ascii="Times New Roman" w:eastAsia="Times New Roman" w:hAnsi="Times New Roman" w:cs="Times New Roman"/>
          <w:sz w:val="22"/>
          <w:szCs w:val="22"/>
          <w:lang w:val="lt-LT"/>
        </w:rPr>
        <w:t>y w leczeniu pierwszego rzutu u </w:t>
      </w:r>
      <w:r w:rsidR="00071CFE" w:rsidRPr="00741122">
        <w:rPr>
          <w:rFonts w:ascii="Times New Roman" w:eastAsia="Times New Roman" w:hAnsi="Times New Roman" w:cs="Times New Roman"/>
          <w:sz w:val="22"/>
          <w:szCs w:val="22"/>
          <w:lang w:val="lt-LT"/>
        </w:rPr>
        <w:t>dorosłych pacjentów z zaawansowanym i (lub) rozsianym rakiem nerki.</w:t>
      </w:r>
    </w:p>
    <w:p w14:paraId="4FA52162" w14:textId="77777777" w:rsidR="004F461B" w:rsidRPr="00741122" w:rsidRDefault="004F461B" w:rsidP="001B794B">
      <w:pPr>
        <w:ind w:right="6"/>
        <w:rPr>
          <w:rFonts w:ascii="Times New Roman" w:eastAsia="Times New Roman" w:hAnsi="Times New Roman" w:cs="Times New Roman"/>
          <w:sz w:val="22"/>
          <w:szCs w:val="22"/>
          <w:lang w:val="lt-LT"/>
        </w:rPr>
      </w:pPr>
      <w:bookmarkStart w:id="2" w:name="page3"/>
      <w:bookmarkEnd w:id="2"/>
    </w:p>
    <w:p w14:paraId="0CFE8BEA" w14:textId="77777777" w:rsidR="00071CFE" w:rsidRPr="00741122" w:rsidRDefault="009E0C61" w:rsidP="001B794B">
      <w:pPr>
        <w:ind w:right="6"/>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w skojarzeniu z karboplatyną i paklitakselem jest wskazan</w:t>
      </w:r>
      <w:r w:rsidR="00C359D3">
        <w:rPr>
          <w:rFonts w:ascii="Times New Roman" w:eastAsia="Times New Roman" w:hAnsi="Times New Roman" w:cs="Times New Roman"/>
          <w:sz w:val="22"/>
          <w:szCs w:val="22"/>
          <w:lang w:val="lt-LT"/>
        </w:rPr>
        <w:t>y w leczeniu pierwszego rzutu u </w:t>
      </w:r>
      <w:r w:rsidR="00071CFE" w:rsidRPr="00741122">
        <w:rPr>
          <w:rFonts w:ascii="Times New Roman" w:eastAsia="Times New Roman" w:hAnsi="Times New Roman" w:cs="Times New Roman"/>
          <w:sz w:val="22"/>
          <w:szCs w:val="22"/>
          <w:lang w:val="lt-LT"/>
        </w:rPr>
        <w:t>dorosłych pacjentów z zaawansowanym (w stadium IIIB, IIIC i IV wg klasyfikacji FIGO</w:t>
      </w:r>
      <w:r w:rsidR="00EA3221">
        <w:rPr>
          <w:rFonts w:ascii="Times New Roman" w:eastAsia="Times New Roman" w:hAnsi="Times New Roman" w:cs="Times New Roman"/>
          <w:sz w:val="22"/>
          <w:szCs w:val="22"/>
          <w:lang w:val="lt-LT"/>
        </w:rPr>
        <w:t xml:space="preserve"> - </w:t>
      </w:r>
      <w:r w:rsidR="00071CFE" w:rsidRPr="00741122">
        <w:rPr>
          <w:rFonts w:ascii="Times New Roman" w:eastAsia="Times New Roman" w:hAnsi="Times New Roman" w:cs="Times New Roman"/>
          <w:sz w:val="22"/>
          <w:szCs w:val="22"/>
          <w:lang w:val="lt-LT"/>
        </w:rPr>
        <w:t>Międzynarodowa Federacja Ginekologii i Położnictwa) rakiem jajnika, rakiem jajowodu i pierwotnym rakiem otrzewnej (</w:t>
      </w:r>
      <w:r w:rsidR="001E62B2">
        <w:rPr>
          <w:rFonts w:ascii="Times New Roman" w:eastAsia="Times New Roman" w:hAnsi="Times New Roman" w:cs="Times New Roman"/>
          <w:sz w:val="22"/>
          <w:szCs w:val="22"/>
          <w:lang w:val="lt-LT"/>
        </w:rPr>
        <w:t>p</w:t>
      </w:r>
      <w:r w:rsidR="00071CFE" w:rsidRPr="00741122">
        <w:rPr>
          <w:rFonts w:ascii="Times New Roman" w:eastAsia="Times New Roman" w:hAnsi="Times New Roman" w:cs="Times New Roman"/>
          <w:sz w:val="22"/>
          <w:szCs w:val="22"/>
          <w:lang w:val="lt-LT"/>
        </w:rPr>
        <w:t>atrz punkt 5.1).</w:t>
      </w:r>
    </w:p>
    <w:p w14:paraId="1C4A4549" w14:textId="77777777" w:rsidR="00071CFE" w:rsidRPr="00741122" w:rsidRDefault="00071CFE" w:rsidP="001B794B">
      <w:pPr>
        <w:rPr>
          <w:rFonts w:ascii="Times New Roman" w:eastAsia="Times New Roman" w:hAnsi="Times New Roman" w:cs="Times New Roman"/>
          <w:sz w:val="22"/>
          <w:szCs w:val="22"/>
          <w:lang w:val="lt-LT"/>
        </w:rPr>
      </w:pPr>
    </w:p>
    <w:p w14:paraId="6850BA9D" w14:textId="77777777" w:rsidR="00071CFE" w:rsidRPr="00741122" w:rsidRDefault="009E0C61" w:rsidP="001B794B">
      <w:pPr>
        <w:ind w:right="106"/>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w skojarzeniu z karboplatyną i gemcytabiną lub w skojarzeniu z karboplatyną i paklitakselem jest wskazany w leczeniu dorosłych pacjentów z pierwszym nawrotem wrażliwego na związki platyny raka jajnika, raka jajowodu lub pierwotnego raka otrzewnej, u których nie stosowano wcześniej bewacyzumabu ani innych inhibitorów VEGF</w:t>
      </w:r>
      <w:r w:rsidR="001E62B2">
        <w:rPr>
          <w:rFonts w:ascii="Times New Roman" w:eastAsia="Times New Roman" w:hAnsi="Times New Roman" w:cs="Times New Roman"/>
          <w:sz w:val="22"/>
          <w:szCs w:val="22"/>
          <w:lang w:val="lt-LT"/>
        </w:rPr>
        <w:t xml:space="preserve"> (ang. Vascular Endothelial Growth Factor)</w:t>
      </w:r>
      <w:r w:rsidR="00071CFE" w:rsidRPr="00741122">
        <w:rPr>
          <w:rFonts w:ascii="Times New Roman" w:eastAsia="Times New Roman" w:hAnsi="Times New Roman" w:cs="Times New Roman"/>
          <w:sz w:val="22"/>
          <w:szCs w:val="22"/>
          <w:lang w:val="lt-LT"/>
        </w:rPr>
        <w:t xml:space="preserve"> lub leków działających na receptor dla VEGF.</w:t>
      </w:r>
    </w:p>
    <w:p w14:paraId="7C14029B" w14:textId="77777777" w:rsidR="00071CFE" w:rsidRPr="00741122" w:rsidRDefault="00071CFE" w:rsidP="001B794B">
      <w:pPr>
        <w:rPr>
          <w:rFonts w:ascii="Times New Roman" w:eastAsia="Times New Roman" w:hAnsi="Times New Roman" w:cs="Times New Roman"/>
          <w:sz w:val="22"/>
          <w:szCs w:val="22"/>
          <w:lang w:val="lt-LT"/>
        </w:rPr>
      </w:pPr>
    </w:p>
    <w:p w14:paraId="26B4F1E4" w14:textId="7AB85247" w:rsidR="00071CFE" w:rsidRPr="00741122" w:rsidRDefault="009E0C61" w:rsidP="001B794B">
      <w:pPr>
        <w:ind w:right="266"/>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 xml:space="preserve">w skojarzeniu z </w:t>
      </w:r>
      <w:r w:rsidR="00F93819">
        <w:rPr>
          <w:rFonts w:ascii="Times New Roman" w:eastAsia="Times New Roman" w:hAnsi="Times New Roman" w:cs="Times New Roman"/>
          <w:sz w:val="22"/>
          <w:szCs w:val="22"/>
          <w:lang w:val="lt-LT"/>
        </w:rPr>
        <w:t xml:space="preserve">paklitakselem, </w:t>
      </w:r>
      <w:r w:rsidR="00071CFE" w:rsidRPr="00741122">
        <w:rPr>
          <w:rFonts w:ascii="Times New Roman" w:eastAsia="Times New Roman" w:hAnsi="Times New Roman" w:cs="Times New Roman"/>
          <w:sz w:val="22"/>
          <w:szCs w:val="22"/>
          <w:lang w:val="lt-LT"/>
        </w:rPr>
        <w:t>topotekanem lub pegylowaną liposomalną doksorubicyną jest wskazany w leczeniu dorosłych pacjentów z nawrotem opornego na związki platyny raka jajnika, raka jajowodu lub pierwotnego raka otrzewnej, którzy otrzymali wcześniej nie więcej niż dwa schematy chemioterapii i</w:t>
      </w:r>
      <w:r w:rsidR="001E62B2">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u których nie stosowano wcześniej bewacyzumabu ani innych inhibitorów VEGF lub leków działających na receptor dla VEGF (patrz punkt 5.1).</w:t>
      </w:r>
    </w:p>
    <w:p w14:paraId="06B07BCB" w14:textId="77777777" w:rsidR="00071CFE" w:rsidRPr="00741122" w:rsidRDefault="00071CFE" w:rsidP="001B794B">
      <w:pPr>
        <w:rPr>
          <w:rFonts w:ascii="Times New Roman" w:eastAsia="Times New Roman" w:hAnsi="Times New Roman" w:cs="Times New Roman"/>
          <w:sz w:val="22"/>
          <w:szCs w:val="22"/>
          <w:lang w:val="lt-LT"/>
        </w:rPr>
      </w:pPr>
    </w:p>
    <w:p w14:paraId="3B89C48F" w14:textId="77777777" w:rsidR="00071CFE" w:rsidRPr="00741122" w:rsidRDefault="009E0C61" w:rsidP="001B794B">
      <w:pPr>
        <w:ind w:right="106"/>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w skojarzeniu z paklitakselem i cisplatyną lub alternatywnie u pacjentek, które nie mogą być leczone związkami platyny, w skojarzeniu z paklitakselem i topotekanem, jest wskazany w leczeniu dorosłych pacjentek z przetrwałym, nawrotowym lub przerzutowym rakiem szyjki macicy (patrz punkt 5.1).</w:t>
      </w:r>
    </w:p>
    <w:p w14:paraId="2F466310" w14:textId="77777777" w:rsidR="00071CFE" w:rsidRPr="00741122" w:rsidRDefault="00071CFE" w:rsidP="001B794B">
      <w:pPr>
        <w:rPr>
          <w:rFonts w:ascii="Times New Roman" w:eastAsia="Times New Roman" w:hAnsi="Times New Roman" w:cs="Times New Roman"/>
          <w:sz w:val="22"/>
          <w:szCs w:val="22"/>
          <w:lang w:val="lt-LT"/>
        </w:rPr>
      </w:pPr>
    </w:p>
    <w:p w14:paraId="3A5330BC" w14:textId="77777777" w:rsidR="00071CFE" w:rsidRPr="00741122" w:rsidRDefault="00071CFE" w:rsidP="0023471C">
      <w:pPr>
        <w:tabs>
          <w:tab w:val="left" w:pos="540"/>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4.2</w:t>
      </w:r>
      <w:r w:rsidRPr="00741122">
        <w:rPr>
          <w:rFonts w:ascii="Times New Roman" w:eastAsia="Times New Roman" w:hAnsi="Times New Roman" w:cs="Times New Roman"/>
          <w:b/>
          <w:sz w:val="22"/>
          <w:szCs w:val="22"/>
          <w:lang w:val="lt-LT"/>
        </w:rPr>
        <w:tab/>
        <w:t>Dawkowanie i sposób podawania</w:t>
      </w:r>
    </w:p>
    <w:p w14:paraId="2481608F" w14:textId="77777777" w:rsidR="00071CFE" w:rsidRPr="00741122" w:rsidRDefault="00071CFE" w:rsidP="001B794B">
      <w:pPr>
        <w:rPr>
          <w:rFonts w:ascii="Times New Roman" w:eastAsia="Times New Roman" w:hAnsi="Times New Roman" w:cs="Times New Roman"/>
          <w:sz w:val="22"/>
          <w:szCs w:val="22"/>
          <w:lang w:val="lt-LT"/>
        </w:rPr>
      </w:pPr>
    </w:p>
    <w:p w14:paraId="126213A3" w14:textId="7BA8E842" w:rsidR="00071CFE" w:rsidRPr="00741122" w:rsidRDefault="00071CFE" w:rsidP="001B794B">
      <w:pPr>
        <w:ind w:right="76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Podawanie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musi być prowadzone pod nadzorem lekarza doświadczonego w stosowaniu leków przeciwnowotworowych.</w:t>
      </w:r>
    </w:p>
    <w:p w14:paraId="579804D8" w14:textId="77777777" w:rsidR="00071CFE" w:rsidRPr="00741122" w:rsidRDefault="00071CFE" w:rsidP="001B794B">
      <w:pPr>
        <w:rPr>
          <w:rFonts w:ascii="Times New Roman" w:eastAsia="Times New Roman" w:hAnsi="Times New Roman" w:cs="Times New Roman"/>
          <w:sz w:val="22"/>
          <w:szCs w:val="22"/>
          <w:lang w:val="lt-LT"/>
        </w:rPr>
      </w:pPr>
    </w:p>
    <w:p w14:paraId="7DFEA7E2"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Dawkowanie</w:t>
      </w:r>
    </w:p>
    <w:p w14:paraId="2D7B8C01" w14:textId="77777777" w:rsidR="00071CFE" w:rsidRPr="00741122" w:rsidRDefault="00071CFE" w:rsidP="001B794B">
      <w:pPr>
        <w:rPr>
          <w:rFonts w:ascii="Times New Roman" w:eastAsia="Times New Roman" w:hAnsi="Times New Roman" w:cs="Times New Roman"/>
          <w:sz w:val="22"/>
          <w:szCs w:val="22"/>
          <w:lang w:val="lt-LT"/>
        </w:rPr>
      </w:pPr>
    </w:p>
    <w:p w14:paraId="77B6C26D" w14:textId="77777777" w:rsidR="00071CFE" w:rsidRPr="00741122" w:rsidRDefault="00071CFE" w:rsidP="001B794B">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Rak okrężnicy lub odbytnicy z przerzutami (mCRC)</w:t>
      </w:r>
    </w:p>
    <w:p w14:paraId="394DB50D" w14:textId="77777777" w:rsidR="0099737B" w:rsidRPr="00741122" w:rsidRDefault="0099737B" w:rsidP="001B794B">
      <w:pPr>
        <w:rPr>
          <w:rFonts w:ascii="Times New Roman" w:eastAsia="Times New Roman" w:hAnsi="Times New Roman" w:cs="Times New Roman"/>
          <w:i/>
          <w:sz w:val="22"/>
          <w:szCs w:val="22"/>
          <w:u w:val="single"/>
          <w:lang w:val="lt-LT"/>
        </w:rPr>
      </w:pPr>
    </w:p>
    <w:p w14:paraId="75278B76" w14:textId="77777777" w:rsidR="00071CFE" w:rsidRPr="00741122" w:rsidRDefault="00071CFE" w:rsidP="001B794B">
      <w:pPr>
        <w:ind w:right="8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Zalecana dawka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podawana w postac</w:t>
      </w:r>
      <w:r w:rsidR="004F461B" w:rsidRPr="00741122">
        <w:rPr>
          <w:rFonts w:ascii="Times New Roman" w:eastAsia="Times New Roman" w:hAnsi="Times New Roman" w:cs="Times New Roman"/>
          <w:sz w:val="22"/>
          <w:szCs w:val="22"/>
          <w:lang w:val="lt-LT"/>
        </w:rPr>
        <w:t>i infuzji dożylnej to zarówno 5 mg/kg</w:t>
      </w:r>
      <w:r w:rsidR="00C72478">
        <w:rPr>
          <w:rFonts w:ascii="Times New Roman" w:eastAsia="Times New Roman" w:hAnsi="Times New Roman" w:cs="Times New Roman"/>
          <w:sz w:val="22"/>
          <w:szCs w:val="22"/>
          <w:lang w:val="lt-LT"/>
        </w:rPr>
        <w:t> mc.</w:t>
      </w:r>
      <w:r w:rsidR="004F461B" w:rsidRPr="00741122">
        <w:rPr>
          <w:rFonts w:ascii="Times New Roman" w:eastAsia="Times New Roman" w:hAnsi="Times New Roman" w:cs="Times New Roman"/>
          <w:sz w:val="22"/>
          <w:szCs w:val="22"/>
          <w:lang w:val="lt-LT"/>
        </w:rPr>
        <w:t xml:space="preserve"> lub 10 </w:t>
      </w:r>
      <w:r w:rsidRPr="00741122">
        <w:rPr>
          <w:rFonts w:ascii="Times New Roman" w:eastAsia="Times New Roman" w:hAnsi="Times New Roman" w:cs="Times New Roman"/>
          <w:sz w:val="22"/>
          <w:szCs w:val="22"/>
          <w:lang w:val="lt-LT"/>
        </w:rPr>
        <w:t>mg/kg</w:t>
      </w:r>
      <w:r w:rsidR="00C72478">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podawana </w:t>
      </w:r>
      <w:r w:rsidRPr="00741122">
        <w:rPr>
          <w:rFonts w:ascii="Times New Roman" w:eastAsia="Times New Roman" w:hAnsi="Times New Roman" w:cs="Times New Roman"/>
          <w:sz w:val="22"/>
          <w:szCs w:val="22"/>
          <w:u w:val="single"/>
          <w:lang w:val="lt-LT"/>
        </w:rPr>
        <w:t>co 2 tygodnie</w:t>
      </w:r>
      <w:r w:rsidR="00C72478">
        <w:rPr>
          <w:rFonts w:ascii="Times New Roman" w:eastAsia="Times New Roman" w:hAnsi="Times New Roman" w:cs="Times New Roman"/>
          <w:sz w:val="22"/>
          <w:szCs w:val="22"/>
          <w:u w:val="single"/>
          <w:lang w:val="lt-LT"/>
        </w:rPr>
        <w:t>,</w:t>
      </w:r>
      <w:r w:rsidR="004F461B" w:rsidRPr="00741122">
        <w:rPr>
          <w:rFonts w:ascii="Times New Roman" w:eastAsia="Times New Roman" w:hAnsi="Times New Roman" w:cs="Times New Roman"/>
          <w:sz w:val="22"/>
          <w:szCs w:val="22"/>
          <w:lang w:val="lt-LT"/>
        </w:rPr>
        <w:t xml:space="preserve"> jak i 7,5 mg/kg</w:t>
      </w:r>
      <w:r w:rsidR="00C72478">
        <w:rPr>
          <w:rFonts w:ascii="Times New Roman" w:eastAsia="Times New Roman" w:hAnsi="Times New Roman" w:cs="Times New Roman"/>
          <w:sz w:val="22"/>
          <w:szCs w:val="22"/>
          <w:lang w:val="lt-LT"/>
        </w:rPr>
        <w:t> mc</w:t>
      </w:r>
      <w:r w:rsidR="004F461B" w:rsidRPr="00741122">
        <w:rPr>
          <w:rFonts w:ascii="Times New Roman" w:eastAsia="Times New Roman" w:hAnsi="Times New Roman" w:cs="Times New Roman"/>
          <w:sz w:val="22"/>
          <w:szCs w:val="22"/>
          <w:lang w:val="lt-LT"/>
        </w:rPr>
        <w:t xml:space="preserve"> lub 15 </w:t>
      </w:r>
      <w:r w:rsidRPr="00741122">
        <w:rPr>
          <w:rFonts w:ascii="Times New Roman" w:eastAsia="Times New Roman" w:hAnsi="Times New Roman" w:cs="Times New Roman"/>
          <w:sz w:val="22"/>
          <w:szCs w:val="22"/>
          <w:lang w:val="lt-LT"/>
        </w:rPr>
        <w:t>mg/kg</w:t>
      </w:r>
      <w:r w:rsidR="00C72478">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podawana </w:t>
      </w:r>
      <w:r w:rsidRPr="00741122">
        <w:rPr>
          <w:rFonts w:ascii="Times New Roman" w:eastAsia="Times New Roman" w:hAnsi="Times New Roman" w:cs="Times New Roman"/>
          <w:sz w:val="22"/>
          <w:szCs w:val="22"/>
          <w:u w:val="single"/>
          <w:lang w:val="lt-LT"/>
        </w:rPr>
        <w:t>co 3 tygodnie</w:t>
      </w:r>
      <w:r w:rsidRPr="00741122">
        <w:rPr>
          <w:rFonts w:ascii="Times New Roman" w:eastAsia="Times New Roman" w:hAnsi="Times New Roman" w:cs="Times New Roman"/>
          <w:sz w:val="22"/>
          <w:szCs w:val="22"/>
          <w:lang w:val="lt-LT"/>
        </w:rPr>
        <w:t>.</w:t>
      </w:r>
    </w:p>
    <w:p w14:paraId="091E229C" w14:textId="77777777" w:rsidR="00071CFE" w:rsidRPr="00741122" w:rsidRDefault="00071CFE" w:rsidP="001B794B">
      <w:pPr>
        <w:rPr>
          <w:rFonts w:ascii="Times New Roman" w:eastAsia="Times New Roman" w:hAnsi="Times New Roman" w:cs="Times New Roman"/>
          <w:sz w:val="22"/>
          <w:szCs w:val="22"/>
          <w:lang w:val="lt-LT"/>
        </w:rPr>
      </w:pPr>
    </w:p>
    <w:p w14:paraId="64226E25" w14:textId="77777777" w:rsidR="00071CFE" w:rsidRPr="00741122" w:rsidRDefault="00071CFE" w:rsidP="001B794B">
      <w:pPr>
        <w:ind w:right="44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 się prowadzenie leczenia aż do wystąpienia progresji choroby zasadniczej lub wystąpienia nieakceptowalnej toksyczności.</w:t>
      </w:r>
    </w:p>
    <w:p w14:paraId="17E8797B" w14:textId="77777777" w:rsidR="00071CFE" w:rsidRPr="00741122" w:rsidRDefault="00071CFE" w:rsidP="001B794B">
      <w:pPr>
        <w:rPr>
          <w:rFonts w:ascii="Times New Roman" w:eastAsia="Times New Roman" w:hAnsi="Times New Roman" w:cs="Times New Roman"/>
          <w:sz w:val="22"/>
          <w:szCs w:val="22"/>
          <w:lang w:val="lt-LT"/>
        </w:rPr>
      </w:pPr>
    </w:p>
    <w:p w14:paraId="4C8916B6" w14:textId="77777777" w:rsidR="00071CFE" w:rsidRPr="00D87730" w:rsidRDefault="00071CFE" w:rsidP="001B794B">
      <w:pPr>
        <w:rPr>
          <w:rFonts w:ascii="Times New Roman" w:eastAsia="Times New Roman" w:hAnsi="Times New Roman" w:cs="Times New Roman"/>
          <w:i/>
          <w:sz w:val="22"/>
          <w:szCs w:val="22"/>
          <w:u w:val="single"/>
          <w:lang w:val="lt-LT"/>
        </w:rPr>
      </w:pPr>
      <w:r w:rsidRPr="00D87730">
        <w:rPr>
          <w:rFonts w:ascii="Times New Roman" w:eastAsia="Times New Roman" w:hAnsi="Times New Roman" w:cs="Times New Roman"/>
          <w:i/>
          <w:sz w:val="22"/>
          <w:szCs w:val="22"/>
          <w:u w:val="single"/>
          <w:lang w:val="lt-LT"/>
        </w:rPr>
        <w:t>Rozsiany rak piersi (mBC)</w:t>
      </w:r>
    </w:p>
    <w:p w14:paraId="42391258" w14:textId="77777777" w:rsidR="0099737B" w:rsidRPr="00D87730" w:rsidRDefault="0099737B" w:rsidP="001B794B">
      <w:pPr>
        <w:rPr>
          <w:rFonts w:ascii="Times New Roman" w:eastAsia="Times New Roman" w:hAnsi="Times New Roman" w:cs="Times New Roman"/>
          <w:i/>
          <w:sz w:val="22"/>
          <w:szCs w:val="22"/>
          <w:u w:val="single"/>
          <w:lang w:val="lt-LT"/>
        </w:rPr>
      </w:pPr>
    </w:p>
    <w:p w14:paraId="228185B9" w14:textId="77777777" w:rsidR="00071CFE" w:rsidRPr="00D87730" w:rsidRDefault="00071CFE" w:rsidP="001B794B">
      <w:pPr>
        <w:ind w:right="406"/>
        <w:rPr>
          <w:rFonts w:ascii="Times New Roman" w:eastAsia="Times New Roman" w:hAnsi="Times New Roman" w:cs="Times New Roman"/>
          <w:sz w:val="22"/>
          <w:szCs w:val="22"/>
          <w:lang w:val="lt-LT"/>
        </w:rPr>
      </w:pPr>
      <w:r w:rsidRPr="00D87730">
        <w:rPr>
          <w:rFonts w:ascii="Times New Roman" w:eastAsia="Times New Roman" w:hAnsi="Times New Roman" w:cs="Times New Roman"/>
          <w:sz w:val="22"/>
          <w:szCs w:val="22"/>
          <w:lang w:val="lt-LT"/>
        </w:rPr>
        <w:t xml:space="preserve">Zalecane </w:t>
      </w:r>
      <w:r w:rsidR="004F461B" w:rsidRPr="00D87730">
        <w:rPr>
          <w:rFonts w:ascii="Times New Roman" w:eastAsia="Times New Roman" w:hAnsi="Times New Roman" w:cs="Times New Roman"/>
          <w:sz w:val="22"/>
          <w:szCs w:val="22"/>
          <w:lang w:val="lt-LT"/>
        </w:rPr>
        <w:t xml:space="preserve">dawkowanie produktu </w:t>
      </w:r>
      <w:r w:rsidR="00261A5A" w:rsidRPr="00D87730">
        <w:rPr>
          <w:rFonts w:ascii="Times New Roman" w:eastAsia="Times New Roman" w:hAnsi="Times New Roman" w:cs="Times New Roman"/>
          <w:sz w:val="22"/>
          <w:szCs w:val="22"/>
          <w:lang w:val="lt-LT"/>
        </w:rPr>
        <w:t>MVASI</w:t>
      </w:r>
      <w:r w:rsidR="004F461B" w:rsidRPr="00D87730">
        <w:rPr>
          <w:rFonts w:ascii="Times New Roman" w:eastAsia="Times New Roman" w:hAnsi="Times New Roman" w:cs="Times New Roman"/>
          <w:sz w:val="22"/>
          <w:szCs w:val="22"/>
          <w:lang w:val="lt-LT"/>
        </w:rPr>
        <w:t>: 10 </w:t>
      </w:r>
      <w:r w:rsidRPr="00D87730">
        <w:rPr>
          <w:rFonts w:ascii="Times New Roman" w:eastAsia="Times New Roman" w:hAnsi="Times New Roman" w:cs="Times New Roman"/>
          <w:sz w:val="22"/>
          <w:szCs w:val="22"/>
          <w:lang w:val="lt-LT"/>
        </w:rPr>
        <w:t>mg/kg</w:t>
      </w:r>
      <w:r w:rsidR="00116986">
        <w:rPr>
          <w:rFonts w:ascii="Times New Roman" w:eastAsia="Times New Roman" w:hAnsi="Times New Roman" w:cs="Times New Roman"/>
          <w:sz w:val="22"/>
          <w:szCs w:val="22"/>
          <w:lang w:val="lt-LT"/>
        </w:rPr>
        <w:t> </w:t>
      </w:r>
      <w:r w:rsidRPr="00D87730">
        <w:rPr>
          <w:rFonts w:ascii="Times New Roman" w:eastAsia="Times New Roman" w:hAnsi="Times New Roman" w:cs="Times New Roman"/>
          <w:sz w:val="22"/>
          <w:szCs w:val="22"/>
          <w:lang w:val="lt-LT"/>
        </w:rPr>
        <w:t>mc. raz na 2 tygodnie l</w:t>
      </w:r>
      <w:r w:rsidR="004F461B" w:rsidRPr="00D87730">
        <w:rPr>
          <w:rFonts w:ascii="Times New Roman" w:eastAsia="Times New Roman" w:hAnsi="Times New Roman" w:cs="Times New Roman"/>
          <w:sz w:val="22"/>
          <w:szCs w:val="22"/>
          <w:lang w:val="lt-LT"/>
        </w:rPr>
        <w:t>ub 15 </w:t>
      </w:r>
      <w:r w:rsidRPr="00D87730">
        <w:rPr>
          <w:rFonts w:ascii="Times New Roman" w:eastAsia="Times New Roman" w:hAnsi="Times New Roman" w:cs="Times New Roman"/>
          <w:sz w:val="22"/>
          <w:szCs w:val="22"/>
          <w:lang w:val="lt-LT"/>
        </w:rPr>
        <w:t>mg/kg</w:t>
      </w:r>
      <w:r w:rsidR="00116986">
        <w:rPr>
          <w:rFonts w:ascii="Times New Roman" w:eastAsia="Times New Roman" w:hAnsi="Times New Roman" w:cs="Times New Roman"/>
          <w:sz w:val="22"/>
          <w:szCs w:val="22"/>
          <w:lang w:val="lt-LT"/>
        </w:rPr>
        <w:t> </w:t>
      </w:r>
      <w:r w:rsidRPr="00D87730">
        <w:rPr>
          <w:rFonts w:ascii="Times New Roman" w:eastAsia="Times New Roman" w:hAnsi="Times New Roman" w:cs="Times New Roman"/>
          <w:sz w:val="22"/>
          <w:szCs w:val="22"/>
          <w:lang w:val="lt-LT"/>
        </w:rPr>
        <w:t>mc. raz na 3 tygodnie w</w:t>
      </w:r>
      <w:r w:rsidR="00116986">
        <w:rPr>
          <w:rFonts w:ascii="Times New Roman" w:eastAsia="Times New Roman" w:hAnsi="Times New Roman" w:cs="Times New Roman"/>
          <w:sz w:val="22"/>
          <w:szCs w:val="22"/>
          <w:lang w:val="lt-LT"/>
        </w:rPr>
        <w:t xml:space="preserve"> infuzji</w:t>
      </w:r>
      <w:r w:rsidRPr="00D87730">
        <w:rPr>
          <w:rFonts w:ascii="Times New Roman" w:eastAsia="Times New Roman" w:hAnsi="Times New Roman" w:cs="Times New Roman"/>
          <w:sz w:val="22"/>
          <w:szCs w:val="22"/>
          <w:lang w:val="lt-LT"/>
        </w:rPr>
        <w:t xml:space="preserve"> dożyln</w:t>
      </w:r>
      <w:r w:rsidR="00116986">
        <w:rPr>
          <w:rFonts w:ascii="Times New Roman" w:eastAsia="Times New Roman" w:hAnsi="Times New Roman" w:cs="Times New Roman"/>
          <w:sz w:val="22"/>
          <w:szCs w:val="22"/>
          <w:lang w:val="lt-LT"/>
        </w:rPr>
        <w:t>ej</w:t>
      </w:r>
      <w:r w:rsidRPr="00D87730">
        <w:rPr>
          <w:rFonts w:ascii="Times New Roman" w:eastAsia="Times New Roman" w:hAnsi="Times New Roman" w:cs="Times New Roman"/>
          <w:sz w:val="22"/>
          <w:szCs w:val="22"/>
          <w:lang w:val="lt-LT"/>
        </w:rPr>
        <w:t>.</w:t>
      </w:r>
    </w:p>
    <w:p w14:paraId="5DF3D62F" w14:textId="77777777" w:rsidR="005C2A9C" w:rsidRPr="00D87730" w:rsidRDefault="005C2A9C" w:rsidP="001B794B">
      <w:pPr>
        <w:ind w:right="446"/>
        <w:rPr>
          <w:rFonts w:ascii="Times New Roman" w:eastAsia="Times New Roman" w:hAnsi="Times New Roman" w:cs="Times New Roman"/>
          <w:sz w:val="22"/>
          <w:szCs w:val="22"/>
          <w:lang w:val="lt-LT"/>
        </w:rPr>
      </w:pPr>
    </w:p>
    <w:p w14:paraId="6E6CA9F4" w14:textId="77777777" w:rsidR="00071CFE" w:rsidRPr="00D87730" w:rsidRDefault="00071CFE" w:rsidP="001B794B">
      <w:pPr>
        <w:ind w:right="446"/>
        <w:rPr>
          <w:rFonts w:ascii="Times New Roman" w:eastAsia="Times New Roman" w:hAnsi="Times New Roman" w:cs="Times New Roman"/>
          <w:sz w:val="22"/>
          <w:szCs w:val="22"/>
          <w:lang w:val="lt-LT"/>
        </w:rPr>
      </w:pPr>
      <w:r w:rsidRPr="00D87730">
        <w:rPr>
          <w:rFonts w:ascii="Times New Roman" w:eastAsia="Times New Roman" w:hAnsi="Times New Roman" w:cs="Times New Roman"/>
          <w:sz w:val="22"/>
          <w:szCs w:val="22"/>
          <w:lang w:val="lt-LT"/>
        </w:rPr>
        <w:lastRenderedPageBreak/>
        <w:t>Zaleca się prowadzenie leczenia aż do wystąpienia progresji choroby zasadniczej lub wystąpienia nieakceptowalnej toksyczności.</w:t>
      </w:r>
    </w:p>
    <w:p w14:paraId="59C0F086" w14:textId="77777777" w:rsidR="00071CFE" w:rsidRPr="00741122" w:rsidRDefault="00071CFE" w:rsidP="001B794B">
      <w:pPr>
        <w:rPr>
          <w:rFonts w:ascii="Times New Roman" w:eastAsia="Times New Roman" w:hAnsi="Times New Roman" w:cs="Times New Roman"/>
          <w:sz w:val="22"/>
          <w:szCs w:val="22"/>
          <w:lang w:val="lt-LT"/>
        </w:rPr>
      </w:pPr>
    </w:p>
    <w:p w14:paraId="59D81A52" w14:textId="77777777" w:rsidR="00071CFE" w:rsidRPr="00741122" w:rsidRDefault="00071CFE" w:rsidP="00247641">
      <w:pPr>
        <w:keepNext/>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Niedrobnokomórkowy rak płuca (NSCLC)</w:t>
      </w:r>
    </w:p>
    <w:p w14:paraId="5276AD3B" w14:textId="77777777" w:rsidR="00071CFE" w:rsidRPr="00741122" w:rsidRDefault="00071CFE" w:rsidP="00247641">
      <w:pPr>
        <w:keepNext/>
        <w:rPr>
          <w:rFonts w:ascii="Times New Roman" w:eastAsia="Times New Roman" w:hAnsi="Times New Roman" w:cs="Times New Roman"/>
          <w:sz w:val="22"/>
          <w:szCs w:val="22"/>
          <w:lang w:val="lt-LT"/>
        </w:rPr>
      </w:pPr>
    </w:p>
    <w:p w14:paraId="2DE08A6D" w14:textId="77777777" w:rsidR="00071CFE" w:rsidRPr="00741122" w:rsidRDefault="00071CFE" w:rsidP="00247641">
      <w:pPr>
        <w:keepNext/>
        <w:ind w:right="1206"/>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Leczenie pierwszego rzutu u pacjentów z niepłaskonabłonkowym NSCLC w skojarzeniu z chemioterapią opartą na pochodnych platyny</w:t>
      </w:r>
    </w:p>
    <w:p w14:paraId="1A2B30D8" w14:textId="77777777" w:rsidR="005C2A9C" w:rsidRDefault="005C2A9C" w:rsidP="001B794B">
      <w:pPr>
        <w:rPr>
          <w:rFonts w:ascii="Times New Roman" w:eastAsia="Times New Roman" w:hAnsi="Times New Roman" w:cs="Times New Roman"/>
          <w:sz w:val="22"/>
          <w:szCs w:val="22"/>
          <w:lang w:val="lt-LT"/>
        </w:rPr>
      </w:pPr>
    </w:p>
    <w:p w14:paraId="05FD9F9F" w14:textId="77777777" w:rsidR="00C72478" w:rsidRDefault="00261A5A" w:rsidP="001B794B">
      <w:pPr>
        <w:rPr>
          <w:rFonts w:ascii="Times New Roman" w:eastAsia="Times New Roman" w:hAnsi="Times New Roman"/>
          <w:sz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podawany jako uzupełnienie chemioterapii opartej na pochodnych platyny przez maksymalnie 6 cykli leczenia, a następnie w monoterapii do wystąpienia progresji choroby.</w:t>
      </w:r>
    </w:p>
    <w:p w14:paraId="6DE13F5F" w14:textId="77777777" w:rsidR="00C72478" w:rsidRDefault="00C72478" w:rsidP="001B794B">
      <w:pPr>
        <w:rPr>
          <w:rFonts w:ascii="Times New Roman" w:eastAsia="Times New Roman" w:hAnsi="Times New Roman"/>
          <w:sz w:val="22"/>
          <w:lang w:val="lt-LT"/>
        </w:rPr>
      </w:pPr>
    </w:p>
    <w:p w14:paraId="75490A9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Zalecana da</w:t>
      </w:r>
      <w:r w:rsidR="004F461B" w:rsidRPr="00741122">
        <w:rPr>
          <w:rFonts w:ascii="Times New Roman" w:eastAsia="Times New Roman" w:hAnsi="Times New Roman" w:cs="Times New Roman"/>
          <w:sz w:val="22"/>
          <w:szCs w:val="22"/>
          <w:lang w:val="lt-LT"/>
        </w:rPr>
        <w:t xml:space="preserve">wka produktu </w:t>
      </w:r>
      <w:r w:rsidR="00261A5A">
        <w:rPr>
          <w:rFonts w:ascii="Times New Roman" w:eastAsia="Times New Roman" w:hAnsi="Times New Roman" w:cs="Times New Roman"/>
          <w:sz w:val="22"/>
          <w:szCs w:val="22"/>
          <w:lang w:val="lt-LT"/>
        </w:rPr>
        <w:t>MVASI</w:t>
      </w:r>
      <w:r w:rsidR="004F461B" w:rsidRPr="00741122">
        <w:rPr>
          <w:rFonts w:ascii="Times New Roman" w:eastAsia="Times New Roman" w:hAnsi="Times New Roman" w:cs="Times New Roman"/>
          <w:sz w:val="22"/>
          <w:szCs w:val="22"/>
          <w:lang w:val="lt-LT"/>
        </w:rPr>
        <w:t xml:space="preserve"> wynosi 7,5 mg/kg</w:t>
      </w:r>
      <w:r w:rsidR="003C4482">
        <w:rPr>
          <w:rFonts w:ascii="Times New Roman" w:eastAsia="Times New Roman" w:hAnsi="Times New Roman" w:cs="Times New Roman"/>
          <w:sz w:val="22"/>
          <w:szCs w:val="22"/>
          <w:lang w:val="lt-LT"/>
        </w:rPr>
        <w:t> </w:t>
      </w:r>
      <w:r w:rsidR="004F461B" w:rsidRPr="00741122">
        <w:rPr>
          <w:rFonts w:ascii="Times New Roman" w:eastAsia="Times New Roman" w:hAnsi="Times New Roman" w:cs="Times New Roman"/>
          <w:sz w:val="22"/>
          <w:szCs w:val="22"/>
          <w:lang w:val="lt-LT"/>
        </w:rPr>
        <w:t>mc. lub 15 </w:t>
      </w:r>
      <w:r w:rsidRPr="00741122">
        <w:rPr>
          <w:rFonts w:ascii="Times New Roman" w:eastAsia="Times New Roman" w:hAnsi="Times New Roman" w:cs="Times New Roman"/>
          <w:sz w:val="22"/>
          <w:szCs w:val="22"/>
          <w:lang w:val="lt-LT"/>
        </w:rPr>
        <w:t>mg/kg</w:t>
      </w:r>
      <w:r w:rsidR="003C448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podawana raz na 3 tygodnie w</w:t>
      </w:r>
      <w:r w:rsidR="00567913">
        <w:rPr>
          <w:rFonts w:ascii="Times New Roman" w:eastAsia="Times New Roman" w:hAnsi="Times New Roman" w:cs="Times New Roman"/>
          <w:sz w:val="22"/>
          <w:szCs w:val="22"/>
          <w:lang w:val="lt-LT"/>
        </w:rPr>
        <w:t xml:space="preserve"> infuzji</w:t>
      </w:r>
      <w:r w:rsidRPr="00741122">
        <w:rPr>
          <w:rFonts w:ascii="Times New Roman" w:eastAsia="Times New Roman" w:hAnsi="Times New Roman" w:cs="Times New Roman"/>
          <w:sz w:val="22"/>
          <w:szCs w:val="22"/>
          <w:lang w:val="lt-LT"/>
        </w:rPr>
        <w:t xml:space="preserve"> dożyln</w:t>
      </w:r>
      <w:r w:rsidR="00567913">
        <w:rPr>
          <w:rFonts w:ascii="Times New Roman" w:eastAsia="Times New Roman" w:hAnsi="Times New Roman" w:cs="Times New Roman"/>
          <w:sz w:val="22"/>
          <w:szCs w:val="22"/>
          <w:lang w:val="lt-LT"/>
        </w:rPr>
        <w:t>ej</w:t>
      </w:r>
      <w:r w:rsidRPr="00741122">
        <w:rPr>
          <w:rFonts w:ascii="Times New Roman" w:eastAsia="Times New Roman" w:hAnsi="Times New Roman" w:cs="Times New Roman"/>
          <w:sz w:val="22"/>
          <w:szCs w:val="22"/>
          <w:lang w:val="lt-LT"/>
        </w:rPr>
        <w:t>.</w:t>
      </w:r>
    </w:p>
    <w:p w14:paraId="0E27E5B3" w14:textId="77777777" w:rsidR="00E96E9E" w:rsidRDefault="00E96E9E" w:rsidP="001B794B">
      <w:pPr>
        <w:rPr>
          <w:rFonts w:ascii="Times New Roman" w:eastAsia="Times New Roman" w:hAnsi="Times New Roman" w:cs="Times New Roman"/>
          <w:sz w:val="22"/>
          <w:szCs w:val="22"/>
          <w:lang w:val="lt-LT"/>
        </w:rPr>
      </w:pPr>
    </w:p>
    <w:p w14:paraId="2BA3C956"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U pacjentów z NSCLC zaobserwowano korzyści klinicz</w:t>
      </w:r>
      <w:r w:rsidR="004F461B" w:rsidRPr="00741122">
        <w:rPr>
          <w:rFonts w:ascii="Times New Roman" w:eastAsia="Times New Roman" w:hAnsi="Times New Roman" w:cs="Times New Roman"/>
          <w:sz w:val="22"/>
          <w:szCs w:val="22"/>
          <w:lang w:val="lt-LT"/>
        </w:rPr>
        <w:t>ne zarówno po podaniu dawki 7,5 </w:t>
      </w:r>
      <w:r w:rsidRPr="00741122">
        <w:rPr>
          <w:rFonts w:ascii="Times New Roman" w:eastAsia="Times New Roman" w:hAnsi="Times New Roman" w:cs="Times New Roman"/>
          <w:sz w:val="22"/>
          <w:szCs w:val="22"/>
          <w:lang w:val="lt-LT"/>
        </w:rPr>
        <w:t>mg/kg</w:t>
      </w:r>
      <w:r w:rsidR="003C448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w:t>
      </w:r>
      <w:r w:rsidR="003C4482">
        <w:rPr>
          <w:rFonts w:ascii="Times New Roman" w:eastAsia="Times New Roman" w:hAnsi="Times New Roman" w:cs="Times New Roman"/>
          <w:sz w:val="22"/>
          <w:szCs w:val="22"/>
          <w:lang w:val="lt-LT"/>
        </w:rPr>
        <w:t>,</w:t>
      </w:r>
    </w:p>
    <w:p w14:paraId="456FC2C1" w14:textId="77777777" w:rsidR="00071CFE" w:rsidRPr="00741122" w:rsidRDefault="004F461B"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jak i 15 </w:t>
      </w:r>
      <w:r w:rsidR="00071CFE" w:rsidRPr="00741122">
        <w:rPr>
          <w:rFonts w:ascii="Times New Roman" w:eastAsia="Times New Roman" w:hAnsi="Times New Roman" w:cs="Times New Roman"/>
          <w:sz w:val="22"/>
          <w:szCs w:val="22"/>
          <w:lang w:val="lt-LT"/>
        </w:rPr>
        <w:t>mg/kg</w:t>
      </w:r>
      <w:r w:rsidR="003C4482">
        <w:rPr>
          <w:rFonts w:ascii="Times New Roman" w:eastAsia="Times New Roman" w:hAnsi="Times New Roman" w:cs="Times New Roman"/>
          <w:sz w:val="22"/>
          <w:szCs w:val="22"/>
          <w:lang w:val="lt-LT"/>
        </w:rPr>
        <w:t> </w:t>
      </w:r>
      <w:r w:rsidR="00071CFE" w:rsidRPr="00741122">
        <w:rPr>
          <w:rFonts w:ascii="Times New Roman" w:eastAsia="Times New Roman" w:hAnsi="Times New Roman" w:cs="Times New Roman"/>
          <w:sz w:val="22"/>
          <w:szCs w:val="22"/>
          <w:lang w:val="lt-LT"/>
        </w:rPr>
        <w:t>mc. (patrz punkt. 5.1).</w:t>
      </w:r>
    </w:p>
    <w:p w14:paraId="6B8F5022" w14:textId="77777777" w:rsidR="004F461B" w:rsidRPr="00741122" w:rsidRDefault="004F461B" w:rsidP="001B794B">
      <w:pPr>
        <w:rPr>
          <w:rFonts w:ascii="Times New Roman" w:eastAsia="Times New Roman" w:hAnsi="Times New Roman" w:cs="Times New Roman"/>
          <w:sz w:val="22"/>
          <w:szCs w:val="22"/>
          <w:lang w:val="lt-LT"/>
        </w:rPr>
      </w:pPr>
      <w:bookmarkStart w:id="3" w:name="page4"/>
      <w:bookmarkEnd w:id="3"/>
    </w:p>
    <w:p w14:paraId="74022960"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 się prowadzenie leczenia aż do wystąpienia progresji choroby zasadniczej lub wystąpienia nieakceptowalnej toksyczności.</w:t>
      </w:r>
    </w:p>
    <w:p w14:paraId="11FA3FFD" w14:textId="3947195F" w:rsidR="00071CFE" w:rsidRDefault="00071CFE" w:rsidP="001B794B">
      <w:pPr>
        <w:rPr>
          <w:rFonts w:ascii="Times New Roman" w:eastAsia="Times New Roman" w:hAnsi="Times New Roman" w:cs="Times New Roman"/>
          <w:sz w:val="22"/>
          <w:szCs w:val="22"/>
          <w:lang w:val="lt-LT"/>
        </w:rPr>
      </w:pPr>
    </w:p>
    <w:p w14:paraId="7998A91B" w14:textId="13DBA790" w:rsidR="006807D7" w:rsidRPr="008704D1" w:rsidRDefault="006807D7" w:rsidP="006807D7">
      <w:pPr>
        <w:keepNext/>
        <w:tabs>
          <w:tab w:val="left" w:pos="567"/>
        </w:tabs>
        <w:autoSpaceDE w:val="0"/>
        <w:autoSpaceDN w:val="0"/>
        <w:adjustRightInd w:val="0"/>
        <w:rPr>
          <w:rFonts w:ascii="Times New Roman" w:hAnsi="Times New Roman" w:cs="Times New Roman"/>
          <w:i/>
          <w:sz w:val="22"/>
          <w:szCs w:val="22"/>
          <w:lang w:val="pl-PL" w:eastAsia="en-US"/>
        </w:rPr>
      </w:pPr>
      <w:r w:rsidRPr="008704D1">
        <w:rPr>
          <w:rFonts w:ascii="Times New Roman" w:eastAsia="Times New Roman" w:hAnsi="Times New Roman" w:cs="Times New Roman"/>
          <w:i/>
          <w:sz w:val="22"/>
          <w:szCs w:val="22"/>
          <w:lang w:val="pl-PL" w:eastAsia="en-US"/>
        </w:rPr>
        <w:t xml:space="preserve">Leczenie pierwszego rzutu </w:t>
      </w:r>
      <w:r w:rsidR="0020540E" w:rsidRPr="008704D1">
        <w:rPr>
          <w:rFonts w:ascii="Times New Roman" w:hAnsi="Times New Roman" w:cs="Times New Roman"/>
          <w:i/>
          <w:sz w:val="22"/>
          <w:szCs w:val="22"/>
          <w:lang w:val="pl-PL"/>
        </w:rPr>
        <w:t>u pacjentów z niepłaskonabłonkowym NSCLC z aktywującymi mutacjami w genie EGFR w skojarzeniu z erlotynibem</w:t>
      </w:r>
    </w:p>
    <w:p w14:paraId="709C6B9D" w14:textId="77777777" w:rsidR="006807D7" w:rsidRPr="008704D1" w:rsidRDefault="006807D7" w:rsidP="006807D7">
      <w:pPr>
        <w:keepNext/>
        <w:tabs>
          <w:tab w:val="left" w:pos="567"/>
        </w:tabs>
        <w:autoSpaceDE w:val="0"/>
        <w:autoSpaceDN w:val="0"/>
        <w:adjustRightInd w:val="0"/>
        <w:rPr>
          <w:rFonts w:ascii="Times New Roman" w:hAnsi="Times New Roman" w:cs="Times New Roman"/>
          <w:sz w:val="22"/>
          <w:szCs w:val="22"/>
          <w:lang w:val="pl-PL" w:eastAsia="en-US"/>
        </w:rPr>
      </w:pPr>
    </w:p>
    <w:p w14:paraId="3BD95B26" w14:textId="2039A166" w:rsidR="006807D7" w:rsidRPr="008704D1" w:rsidRDefault="0020540E" w:rsidP="006807D7">
      <w:pPr>
        <w:tabs>
          <w:tab w:val="left" w:pos="567"/>
        </w:tabs>
        <w:autoSpaceDE w:val="0"/>
        <w:autoSpaceDN w:val="0"/>
        <w:adjustRightInd w:val="0"/>
        <w:rPr>
          <w:rFonts w:ascii="Times New Roman" w:hAnsi="Times New Roman" w:cs="Times New Roman"/>
          <w:sz w:val="22"/>
          <w:szCs w:val="22"/>
          <w:lang w:val="pl-PL" w:eastAsia="en-US"/>
        </w:rPr>
      </w:pPr>
      <w:r w:rsidRPr="008704D1">
        <w:rPr>
          <w:rFonts w:ascii="Times New Roman" w:hAnsi="Times New Roman" w:cs="Times New Roman"/>
          <w:sz w:val="22"/>
          <w:szCs w:val="22"/>
          <w:lang w:val="pl-PL"/>
        </w:rPr>
        <w:t>Badanie statusu mutacji w genie EGFR należy wykonać przed rozpoczęciem leczenia z zastosowaniem produktu MVASI w skojarzeniu z erlotynibem. Ważne jest użycie zwalidowanej (potwierdzonej) i rzetelnej metody badania, aby uniknąć oznaczeń fałszywie dodatnich lub fałszywie ujemnych</w:t>
      </w:r>
      <w:r w:rsidR="006807D7" w:rsidRPr="008704D1">
        <w:rPr>
          <w:rFonts w:ascii="Times New Roman" w:eastAsia="Times New Roman" w:hAnsi="Times New Roman" w:cs="Times New Roman"/>
          <w:sz w:val="22"/>
          <w:szCs w:val="22"/>
          <w:lang w:val="pl-PL" w:eastAsia="en-US"/>
        </w:rPr>
        <w:t>.</w:t>
      </w:r>
    </w:p>
    <w:p w14:paraId="1C8A970D" w14:textId="77777777" w:rsidR="006807D7" w:rsidRPr="008704D1" w:rsidRDefault="006807D7" w:rsidP="006807D7">
      <w:pPr>
        <w:tabs>
          <w:tab w:val="left" w:pos="567"/>
        </w:tabs>
        <w:autoSpaceDE w:val="0"/>
        <w:autoSpaceDN w:val="0"/>
        <w:adjustRightInd w:val="0"/>
        <w:rPr>
          <w:rFonts w:ascii="Times New Roman" w:hAnsi="Times New Roman" w:cs="Times New Roman"/>
          <w:sz w:val="22"/>
          <w:szCs w:val="22"/>
          <w:lang w:val="pl-PL" w:eastAsia="en-US"/>
        </w:rPr>
      </w:pPr>
    </w:p>
    <w:p w14:paraId="0BD183D3" w14:textId="6F26A86D" w:rsidR="006807D7" w:rsidRPr="008704D1" w:rsidRDefault="0020540E" w:rsidP="006807D7">
      <w:pPr>
        <w:tabs>
          <w:tab w:val="left" w:pos="567"/>
        </w:tabs>
        <w:autoSpaceDE w:val="0"/>
        <w:autoSpaceDN w:val="0"/>
        <w:adjustRightInd w:val="0"/>
        <w:rPr>
          <w:rFonts w:ascii="Times New Roman" w:hAnsi="Times New Roman" w:cs="Times New Roman"/>
          <w:sz w:val="22"/>
          <w:szCs w:val="22"/>
          <w:lang w:val="pl-PL" w:eastAsia="en-US"/>
        </w:rPr>
      </w:pPr>
      <w:r w:rsidRPr="008704D1">
        <w:rPr>
          <w:rFonts w:ascii="Times New Roman" w:hAnsi="Times New Roman" w:cs="Times New Roman"/>
          <w:sz w:val="22"/>
          <w:szCs w:val="22"/>
          <w:lang w:val="pl-PL"/>
        </w:rPr>
        <w:t>Zalecana dawka produktu MVASI stosowanego w skojarzeniu z erlotynibem wynosi 15 mg/kg mc. podawana raz na 3 tygodnie we wlewie dożylnym</w:t>
      </w:r>
      <w:r w:rsidR="006807D7" w:rsidRPr="008704D1">
        <w:rPr>
          <w:rFonts w:ascii="Times New Roman" w:eastAsia="Times New Roman" w:hAnsi="Times New Roman" w:cs="Times New Roman"/>
          <w:sz w:val="22"/>
          <w:szCs w:val="22"/>
          <w:lang w:val="pl-PL" w:eastAsia="en-US"/>
        </w:rPr>
        <w:t>.</w:t>
      </w:r>
    </w:p>
    <w:p w14:paraId="7FBAEEAB" w14:textId="77777777" w:rsidR="006807D7" w:rsidRPr="008704D1" w:rsidRDefault="006807D7" w:rsidP="006807D7">
      <w:pPr>
        <w:tabs>
          <w:tab w:val="left" w:pos="567"/>
        </w:tabs>
        <w:autoSpaceDE w:val="0"/>
        <w:autoSpaceDN w:val="0"/>
        <w:adjustRightInd w:val="0"/>
        <w:rPr>
          <w:rFonts w:ascii="Times New Roman" w:hAnsi="Times New Roman" w:cs="Times New Roman"/>
          <w:sz w:val="22"/>
          <w:szCs w:val="22"/>
          <w:lang w:val="pl-PL" w:eastAsia="en-US"/>
        </w:rPr>
      </w:pPr>
    </w:p>
    <w:p w14:paraId="12AC90B2" w14:textId="644BBA1A" w:rsidR="006807D7" w:rsidRDefault="0020540E" w:rsidP="006807D7">
      <w:pPr>
        <w:tabs>
          <w:tab w:val="left" w:pos="567"/>
        </w:tabs>
        <w:autoSpaceDE w:val="0"/>
        <w:autoSpaceDN w:val="0"/>
        <w:adjustRightInd w:val="0"/>
        <w:rPr>
          <w:rFonts w:ascii="Times New Roman" w:hAnsi="Times New Roman" w:cs="Times New Roman"/>
          <w:sz w:val="22"/>
          <w:szCs w:val="22"/>
          <w:lang w:val="pl-PL"/>
        </w:rPr>
      </w:pPr>
      <w:r w:rsidRPr="008704D1">
        <w:rPr>
          <w:rFonts w:ascii="Times New Roman" w:hAnsi="Times New Roman" w:cs="Times New Roman"/>
          <w:sz w:val="22"/>
          <w:szCs w:val="22"/>
          <w:lang w:val="pl-PL"/>
        </w:rPr>
        <w:t>Zaleca się prowadzenie leczenia produktem MVASI stosowanym w skojarzeniu z erlotynibem aż do wystąpienia progresji choroby.</w:t>
      </w:r>
    </w:p>
    <w:p w14:paraId="482F6CDC" w14:textId="77777777" w:rsidR="00F4354B" w:rsidRPr="008704D1" w:rsidRDefault="00F4354B" w:rsidP="006807D7">
      <w:pPr>
        <w:tabs>
          <w:tab w:val="left" w:pos="567"/>
        </w:tabs>
        <w:autoSpaceDE w:val="0"/>
        <w:autoSpaceDN w:val="0"/>
        <w:adjustRightInd w:val="0"/>
        <w:rPr>
          <w:rFonts w:ascii="Times New Roman" w:hAnsi="Times New Roman" w:cs="Times New Roman"/>
          <w:sz w:val="22"/>
          <w:szCs w:val="22"/>
          <w:lang w:val="pl-PL" w:eastAsia="en-US"/>
        </w:rPr>
      </w:pPr>
    </w:p>
    <w:p w14:paraId="77A53131" w14:textId="4C7EC10F" w:rsidR="006807D7" w:rsidRPr="008704D1" w:rsidRDefault="0020540E" w:rsidP="006807D7">
      <w:pPr>
        <w:rPr>
          <w:rFonts w:ascii="Times New Roman" w:eastAsia="Times New Roman" w:hAnsi="Times New Roman" w:cs="Times New Roman"/>
          <w:sz w:val="22"/>
          <w:szCs w:val="22"/>
          <w:lang w:val="lt-LT"/>
        </w:rPr>
      </w:pPr>
      <w:r w:rsidRPr="008704D1">
        <w:rPr>
          <w:rFonts w:ascii="Times New Roman" w:hAnsi="Times New Roman" w:cs="Times New Roman"/>
          <w:sz w:val="22"/>
          <w:szCs w:val="22"/>
          <w:lang w:val="pl-PL"/>
        </w:rPr>
        <w:t>W</w:t>
      </w:r>
      <w:r w:rsidR="005506E2" w:rsidRPr="008704D1">
        <w:rPr>
          <w:rFonts w:ascii="Times New Roman" w:hAnsi="Times New Roman" w:cs="Times New Roman"/>
          <w:sz w:val="22"/>
          <w:szCs w:val="22"/>
          <w:lang w:val="pl-PL"/>
        </w:rPr>
        <w:t xml:space="preserve"> </w:t>
      </w:r>
      <w:r w:rsidRPr="008704D1">
        <w:rPr>
          <w:rFonts w:ascii="Times New Roman" w:hAnsi="Times New Roman" w:cs="Times New Roman"/>
          <w:sz w:val="22"/>
          <w:szCs w:val="22"/>
          <w:lang w:val="pl-PL"/>
        </w:rPr>
        <w:t xml:space="preserve">celu uzyskania informacji na temat dawkowania i sposobu podawania erlotynibu należy zapoznać się z </w:t>
      </w:r>
      <w:r w:rsidR="006B0C84">
        <w:rPr>
          <w:rFonts w:ascii="Times New Roman" w:eastAsia="Times New Roman" w:hAnsi="Times New Roman" w:cs="Times New Roman"/>
          <w:sz w:val="22"/>
          <w:szCs w:val="22"/>
          <w:lang w:val="pl-PL" w:eastAsia="en-US"/>
        </w:rPr>
        <w:t>Charakterystyką Produktu Leczniczego</w:t>
      </w:r>
      <w:r w:rsidR="006807D7" w:rsidRPr="008704D1">
        <w:rPr>
          <w:rFonts w:ascii="Times New Roman" w:eastAsia="Times New Roman" w:hAnsi="Times New Roman" w:cs="Times New Roman"/>
          <w:sz w:val="22"/>
          <w:szCs w:val="22"/>
          <w:lang w:val="pl-PL" w:eastAsia="en-US"/>
        </w:rPr>
        <w:t xml:space="preserve"> erlotynibu.</w:t>
      </w:r>
    </w:p>
    <w:p w14:paraId="6B1F4C02" w14:textId="77777777" w:rsidR="006807D7" w:rsidRPr="00741122" w:rsidRDefault="006807D7" w:rsidP="001B794B">
      <w:pPr>
        <w:rPr>
          <w:rFonts w:ascii="Times New Roman" w:eastAsia="Times New Roman" w:hAnsi="Times New Roman" w:cs="Times New Roman"/>
          <w:sz w:val="22"/>
          <w:szCs w:val="22"/>
          <w:lang w:val="lt-LT"/>
        </w:rPr>
      </w:pPr>
    </w:p>
    <w:p w14:paraId="487586FB" w14:textId="77777777" w:rsidR="00071CFE" w:rsidRPr="00741122" w:rsidRDefault="00071CFE" w:rsidP="001B794B">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Zaawansowany i (lub) rozsiany rak nerki (mRCC)</w:t>
      </w:r>
    </w:p>
    <w:p w14:paraId="5FC81C41" w14:textId="77777777" w:rsidR="00071CFE" w:rsidRPr="00741122" w:rsidRDefault="00071CFE" w:rsidP="001B794B">
      <w:pPr>
        <w:rPr>
          <w:rFonts w:ascii="Times New Roman" w:eastAsia="Times New Roman" w:hAnsi="Times New Roman" w:cs="Times New Roman"/>
          <w:sz w:val="22"/>
          <w:szCs w:val="22"/>
          <w:lang w:val="lt-LT"/>
        </w:rPr>
      </w:pPr>
    </w:p>
    <w:p w14:paraId="1AF0D7FC" w14:textId="77777777" w:rsidR="00E96E9E"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Zalecane da</w:t>
      </w:r>
      <w:r w:rsidR="00087BFD" w:rsidRPr="00741122">
        <w:rPr>
          <w:rFonts w:ascii="Times New Roman" w:eastAsia="Times New Roman" w:hAnsi="Times New Roman" w:cs="Times New Roman"/>
          <w:sz w:val="22"/>
          <w:szCs w:val="22"/>
          <w:lang w:val="lt-LT"/>
        </w:rPr>
        <w:t xml:space="preserve">wkowanie produktu </w:t>
      </w:r>
      <w:r w:rsidR="00261A5A">
        <w:rPr>
          <w:rFonts w:ascii="Times New Roman" w:eastAsia="Times New Roman" w:hAnsi="Times New Roman" w:cs="Times New Roman"/>
          <w:sz w:val="22"/>
          <w:szCs w:val="22"/>
          <w:lang w:val="lt-LT"/>
        </w:rPr>
        <w:t>MVASI</w:t>
      </w:r>
      <w:r w:rsidR="00087BFD" w:rsidRPr="00741122">
        <w:rPr>
          <w:rFonts w:ascii="Times New Roman" w:eastAsia="Times New Roman" w:hAnsi="Times New Roman" w:cs="Times New Roman"/>
          <w:sz w:val="22"/>
          <w:szCs w:val="22"/>
          <w:lang w:val="lt-LT"/>
        </w:rPr>
        <w:t xml:space="preserve"> to 10 </w:t>
      </w:r>
      <w:r w:rsidRPr="00741122">
        <w:rPr>
          <w:rFonts w:ascii="Times New Roman" w:eastAsia="Times New Roman" w:hAnsi="Times New Roman" w:cs="Times New Roman"/>
          <w:sz w:val="22"/>
          <w:szCs w:val="22"/>
          <w:lang w:val="lt-LT"/>
        </w:rPr>
        <w:t>mg/kg</w:t>
      </w:r>
      <w:r w:rsidR="003C448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raz na 2 tygodnie w</w:t>
      </w:r>
      <w:r w:rsidR="00567913">
        <w:rPr>
          <w:rFonts w:ascii="Times New Roman" w:eastAsia="Times New Roman" w:hAnsi="Times New Roman" w:cs="Times New Roman"/>
          <w:sz w:val="22"/>
          <w:szCs w:val="22"/>
          <w:lang w:val="lt-LT"/>
        </w:rPr>
        <w:t xml:space="preserve"> infuzji</w:t>
      </w:r>
      <w:r w:rsidRPr="00741122">
        <w:rPr>
          <w:rFonts w:ascii="Times New Roman" w:eastAsia="Times New Roman" w:hAnsi="Times New Roman" w:cs="Times New Roman"/>
          <w:sz w:val="22"/>
          <w:szCs w:val="22"/>
          <w:lang w:val="lt-LT"/>
        </w:rPr>
        <w:t xml:space="preserve"> dożyln</w:t>
      </w:r>
      <w:r w:rsidR="00567913">
        <w:rPr>
          <w:rFonts w:ascii="Times New Roman" w:eastAsia="Times New Roman" w:hAnsi="Times New Roman" w:cs="Times New Roman"/>
          <w:sz w:val="22"/>
          <w:szCs w:val="22"/>
          <w:lang w:val="lt-LT"/>
        </w:rPr>
        <w:t>ej</w:t>
      </w:r>
      <w:r w:rsidRPr="00741122">
        <w:rPr>
          <w:rFonts w:ascii="Times New Roman" w:eastAsia="Times New Roman" w:hAnsi="Times New Roman" w:cs="Times New Roman"/>
          <w:sz w:val="22"/>
          <w:szCs w:val="22"/>
          <w:lang w:val="lt-LT"/>
        </w:rPr>
        <w:t xml:space="preserve">. </w:t>
      </w:r>
    </w:p>
    <w:p w14:paraId="249AA761" w14:textId="77777777" w:rsidR="00E96E9E" w:rsidRDefault="00E96E9E" w:rsidP="001B794B">
      <w:pPr>
        <w:rPr>
          <w:rFonts w:ascii="Times New Roman" w:eastAsia="Times New Roman" w:hAnsi="Times New Roman" w:cs="Times New Roman"/>
          <w:sz w:val="22"/>
          <w:szCs w:val="22"/>
          <w:lang w:val="lt-LT"/>
        </w:rPr>
      </w:pPr>
    </w:p>
    <w:p w14:paraId="5C13FCFE"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 się prowadzenie leczenia aż do wystąpienia progresji choroby zasadniczej lub wystąpienia nieakceptowalnej toksyczności.</w:t>
      </w:r>
    </w:p>
    <w:p w14:paraId="05DD846D" w14:textId="77777777" w:rsidR="00071CFE" w:rsidRPr="00741122" w:rsidRDefault="00071CFE" w:rsidP="001B794B">
      <w:pPr>
        <w:rPr>
          <w:rFonts w:ascii="Times New Roman" w:eastAsia="Times New Roman" w:hAnsi="Times New Roman" w:cs="Times New Roman"/>
          <w:sz w:val="22"/>
          <w:szCs w:val="22"/>
          <w:lang w:val="lt-LT"/>
        </w:rPr>
      </w:pPr>
    </w:p>
    <w:p w14:paraId="1E2E0F82" w14:textId="77777777" w:rsidR="00071CFE" w:rsidRPr="00741122" w:rsidRDefault="00071CFE" w:rsidP="007C0024">
      <w:pPr>
        <w:keepNext/>
        <w:keepLines/>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Rak jajnika, rak jajowodu i pierwotny rak otrzewnej</w:t>
      </w:r>
    </w:p>
    <w:p w14:paraId="6815B3C2" w14:textId="77777777" w:rsidR="00071CFE" w:rsidRPr="00741122" w:rsidRDefault="00071CFE" w:rsidP="007C0024">
      <w:pPr>
        <w:keepNext/>
        <w:keepLines/>
        <w:rPr>
          <w:rFonts w:ascii="Times New Roman" w:eastAsia="Times New Roman" w:hAnsi="Times New Roman" w:cs="Times New Roman"/>
          <w:sz w:val="22"/>
          <w:szCs w:val="22"/>
          <w:lang w:val="lt-LT"/>
        </w:rPr>
      </w:pPr>
    </w:p>
    <w:p w14:paraId="239E08E6" w14:textId="77777777" w:rsidR="00071CFE" w:rsidRPr="00741122" w:rsidRDefault="00071CFE" w:rsidP="007C0024">
      <w:pPr>
        <w:keepNext/>
        <w:keepLines/>
        <w:rPr>
          <w:rFonts w:ascii="Times New Roman" w:eastAsia="Times New Roman" w:hAnsi="Times New Roman" w:cs="Times New Roman"/>
          <w:sz w:val="22"/>
          <w:szCs w:val="22"/>
          <w:lang w:val="lt-LT"/>
        </w:rPr>
      </w:pPr>
      <w:r w:rsidRPr="00741122">
        <w:rPr>
          <w:rFonts w:ascii="Times New Roman" w:eastAsia="Times New Roman" w:hAnsi="Times New Roman" w:cs="Times New Roman"/>
          <w:i/>
          <w:sz w:val="22"/>
          <w:szCs w:val="22"/>
          <w:lang w:val="lt-LT"/>
        </w:rPr>
        <w:t xml:space="preserve">Leczenie pierwszego rzutu: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jest stosowany łącznie z karboplatyną i paklitakselem przez</w:t>
      </w:r>
      <w:r w:rsidRPr="00741122">
        <w:rPr>
          <w:rFonts w:ascii="Times New Roman" w:eastAsia="Times New Roman" w:hAnsi="Times New Roman" w:cs="Times New Roman"/>
          <w:i/>
          <w:sz w:val="22"/>
          <w:szCs w:val="22"/>
          <w:lang w:val="lt-LT"/>
        </w:rPr>
        <w:t xml:space="preserve"> </w:t>
      </w:r>
      <w:r w:rsidRPr="00741122">
        <w:rPr>
          <w:rFonts w:ascii="Times New Roman" w:eastAsia="Times New Roman" w:hAnsi="Times New Roman" w:cs="Times New Roman"/>
          <w:sz w:val="22"/>
          <w:szCs w:val="22"/>
          <w:lang w:val="lt-LT"/>
        </w:rPr>
        <w:t>maksymalnie 6 cykli leczenia, a następnie w monoterapii aż do progresji choroby lub przez maksymalnie 15 miesięcy lub do wystąpienia nieakceptowalnej toksyczności, zależnie od tego, które z tych zjawisk wystąpi wcześniej.</w:t>
      </w:r>
    </w:p>
    <w:p w14:paraId="00C816DB" w14:textId="77777777" w:rsidR="00071CFE" w:rsidRPr="00741122" w:rsidRDefault="00071CFE" w:rsidP="007C0024">
      <w:pPr>
        <w:keepNext/>
        <w:keepLines/>
        <w:rPr>
          <w:rFonts w:ascii="Times New Roman" w:eastAsia="Times New Roman" w:hAnsi="Times New Roman" w:cs="Times New Roman"/>
          <w:sz w:val="22"/>
          <w:szCs w:val="22"/>
          <w:lang w:val="lt-LT"/>
        </w:rPr>
      </w:pPr>
    </w:p>
    <w:p w14:paraId="172184FC" w14:textId="2BA56A5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Zalecana d</w:t>
      </w:r>
      <w:r w:rsidR="00087BFD" w:rsidRPr="00741122">
        <w:rPr>
          <w:rFonts w:ascii="Times New Roman" w:eastAsia="Times New Roman" w:hAnsi="Times New Roman" w:cs="Times New Roman"/>
          <w:sz w:val="22"/>
          <w:szCs w:val="22"/>
          <w:lang w:val="lt-LT"/>
        </w:rPr>
        <w:t>awk</w:t>
      </w:r>
      <w:r w:rsidR="00213F9E">
        <w:rPr>
          <w:rFonts w:ascii="Times New Roman" w:eastAsia="Times New Roman" w:hAnsi="Times New Roman" w:cs="Times New Roman"/>
          <w:sz w:val="22"/>
          <w:szCs w:val="22"/>
          <w:lang w:val="lt-LT"/>
        </w:rPr>
        <w:t>a</w:t>
      </w:r>
      <w:r w:rsidR="00087BFD" w:rsidRPr="00741122">
        <w:rPr>
          <w:rFonts w:ascii="Times New Roman" w:eastAsia="Times New Roman" w:hAnsi="Times New Roman" w:cs="Times New Roman"/>
          <w:sz w:val="22"/>
          <w:szCs w:val="22"/>
          <w:lang w:val="lt-LT"/>
        </w:rPr>
        <w:t xml:space="preserve"> produktu </w:t>
      </w:r>
      <w:r w:rsidR="00261A5A">
        <w:rPr>
          <w:rFonts w:ascii="Times New Roman" w:eastAsia="Times New Roman" w:hAnsi="Times New Roman" w:cs="Times New Roman"/>
          <w:sz w:val="22"/>
          <w:szCs w:val="22"/>
          <w:lang w:val="lt-LT"/>
        </w:rPr>
        <w:t>MVASI</w:t>
      </w:r>
      <w:r w:rsidR="00087BFD" w:rsidRPr="00741122">
        <w:rPr>
          <w:rFonts w:ascii="Times New Roman" w:eastAsia="Times New Roman" w:hAnsi="Times New Roman" w:cs="Times New Roman"/>
          <w:sz w:val="22"/>
          <w:szCs w:val="22"/>
          <w:lang w:val="lt-LT"/>
        </w:rPr>
        <w:t xml:space="preserve"> wynosi 15 </w:t>
      </w:r>
      <w:r w:rsidRPr="00741122">
        <w:rPr>
          <w:rFonts w:ascii="Times New Roman" w:eastAsia="Times New Roman" w:hAnsi="Times New Roman" w:cs="Times New Roman"/>
          <w:sz w:val="22"/>
          <w:szCs w:val="22"/>
          <w:lang w:val="lt-LT"/>
        </w:rPr>
        <w:t>mg/kg</w:t>
      </w:r>
      <w:r w:rsidR="003C448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podawana raz na 3 tygodnie w</w:t>
      </w:r>
      <w:r w:rsidR="00567913">
        <w:rPr>
          <w:rFonts w:ascii="Times New Roman" w:eastAsia="Times New Roman" w:hAnsi="Times New Roman" w:cs="Times New Roman"/>
          <w:sz w:val="22"/>
          <w:szCs w:val="22"/>
          <w:lang w:val="lt-LT"/>
        </w:rPr>
        <w:t xml:space="preserve"> infuzji</w:t>
      </w:r>
      <w:r w:rsidRPr="00741122">
        <w:rPr>
          <w:rFonts w:ascii="Times New Roman" w:eastAsia="Times New Roman" w:hAnsi="Times New Roman" w:cs="Times New Roman"/>
          <w:sz w:val="22"/>
          <w:szCs w:val="22"/>
          <w:lang w:val="lt-LT"/>
        </w:rPr>
        <w:t xml:space="preserve"> dożyln</w:t>
      </w:r>
      <w:r w:rsidR="00567913">
        <w:rPr>
          <w:rFonts w:ascii="Times New Roman" w:eastAsia="Times New Roman" w:hAnsi="Times New Roman" w:cs="Times New Roman"/>
          <w:sz w:val="22"/>
          <w:szCs w:val="22"/>
          <w:lang w:val="lt-LT"/>
        </w:rPr>
        <w:t>ej</w:t>
      </w:r>
      <w:r w:rsidRPr="00741122">
        <w:rPr>
          <w:rFonts w:ascii="Times New Roman" w:eastAsia="Times New Roman" w:hAnsi="Times New Roman" w:cs="Times New Roman"/>
          <w:sz w:val="22"/>
          <w:szCs w:val="22"/>
          <w:lang w:val="lt-LT"/>
        </w:rPr>
        <w:t>.</w:t>
      </w:r>
    </w:p>
    <w:p w14:paraId="7BF77E94" w14:textId="77777777" w:rsidR="00071CFE" w:rsidRPr="00741122" w:rsidRDefault="00071CFE" w:rsidP="001B794B">
      <w:pPr>
        <w:rPr>
          <w:rFonts w:ascii="Times New Roman" w:eastAsia="Times New Roman" w:hAnsi="Times New Roman" w:cs="Times New Roman"/>
          <w:sz w:val="22"/>
          <w:szCs w:val="22"/>
          <w:lang w:val="lt-LT"/>
        </w:rPr>
      </w:pPr>
    </w:p>
    <w:p w14:paraId="60BFE09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i/>
          <w:sz w:val="22"/>
          <w:szCs w:val="22"/>
          <w:lang w:val="lt-LT"/>
        </w:rPr>
        <w:t xml:space="preserve">Leczenie nawrotu choroby wrażliwej na związki platyny: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jest stosowany w skojarzeniu</w:t>
      </w:r>
      <w:r w:rsidRPr="00741122">
        <w:rPr>
          <w:rFonts w:ascii="Times New Roman" w:eastAsia="Times New Roman" w:hAnsi="Times New Roman" w:cs="Times New Roman"/>
          <w:i/>
          <w:sz w:val="22"/>
          <w:szCs w:val="22"/>
          <w:lang w:val="lt-LT"/>
        </w:rPr>
        <w:t xml:space="preserve"> </w:t>
      </w:r>
      <w:r w:rsidRPr="00741122">
        <w:rPr>
          <w:rFonts w:ascii="Times New Roman" w:eastAsia="Times New Roman" w:hAnsi="Times New Roman" w:cs="Times New Roman"/>
          <w:sz w:val="22"/>
          <w:szCs w:val="22"/>
          <w:lang w:val="lt-LT"/>
        </w:rPr>
        <w:t>albo</w:t>
      </w:r>
      <w:r w:rsidRPr="00741122">
        <w:rPr>
          <w:rFonts w:ascii="Times New Roman" w:eastAsia="Times New Roman" w:hAnsi="Times New Roman" w:cs="Times New Roman"/>
          <w:i/>
          <w:sz w:val="22"/>
          <w:szCs w:val="22"/>
          <w:lang w:val="lt-LT"/>
        </w:rPr>
        <w:t xml:space="preserve"> </w:t>
      </w:r>
      <w:r w:rsidR="00C359D3">
        <w:rPr>
          <w:rFonts w:ascii="Times New Roman" w:eastAsia="Times New Roman" w:hAnsi="Times New Roman" w:cs="Times New Roman"/>
          <w:sz w:val="22"/>
          <w:szCs w:val="22"/>
          <w:lang w:val="lt-LT"/>
        </w:rPr>
        <w:t>z </w:t>
      </w:r>
      <w:r w:rsidRPr="00741122">
        <w:rPr>
          <w:rFonts w:ascii="Times New Roman" w:eastAsia="Times New Roman" w:hAnsi="Times New Roman" w:cs="Times New Roman"/>
          <w:sz w:val="22"/>
          <w:szCs w:val="22"/>
          <w:lang w:val="lt-LT"/>
        </w:rPr>
        <w:t>karboplatyną i gemcytabiną przez 6 do 10 cykli, albo w skojarzeniu z karboplatyną i p</w:t>
      </w:r>
      <w:r w:rsidR="00087BFD" w:rsidRPr="00741122">
        <w:rPr>
          <w:rFonts w:ascii="Times New Roman" w:eastAsia="Times New Roman" w:hAnsi="Times New Roman" w:cs="Times New Roman"/>
          <w:sz w:val="22"/>
          <w:szCs w:val="22"/>
          <w:lang w:val="lt-LT"/>
        </w:rPr>
        <w:t xml:space="preserve">aklitakselem </w:t>
      </w:r>
      <w:r w:rsidR="00087BFD" w:rsidRPr="00741122">
        <w:rPr>
          <w:rFonts w:ascii="Times New Roman" w:eastAsia="Times New Roman" w:hAnsi="Times New Roman" w:cs="Times New Roman"/>
          <w:sz w:val="22"/>
          <w:szCs w:val="22"/>
          <w:lang w:val="lt-LT"/>
        </w:rPr>
        <w:lastRenderedPageBreak/>
        <w:t>przez 6 do 8 cykli</w:t>
      </w:r>
      <w:r w:rsidRPr="00741122">
        <w:rPr>
          <w:rFonts w:ascii="Times New Roman" w:eastAsia="Times New Roman" w:hAnsi="Times New Roman" w:cs="Times New Roman"/>
          <w:sz w:val="22"/>
          <w:szCs w:val="22"/>
          <w:lang w:val="lt-LT"/>
        </w:rPr>
        <w:t>, a następnie w monoterapii</w:t>
      </w:r>
      <w:r w:rsidR="003C4482">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aż do stwierdzenia progresji choroby. Zaleca</w:t>
      </w:r>
      <w:r w:rsidR="00087BFD" w:rsidRPr="00741122">
        <w:rPr>
          <w:rFonts w:ascii="Times New Roman" w:eastAsia="Times New Roman" w:hAnsi="Times New Roman" w:cs="Times New Roman"/>
          <w:sz w:val="22"/>
          <w:szCs w:val="22"/>
          <w:lang w:val="lt-LT"/>
        </w:rPr>
        <w:t xml:space="preserve">na dawka produktu </w:t>
      </w:r>
      <w:r w:rsidR="00261A5A">
        <w:rPr>
          <w:rFonts w:ascii="Times New Roman" w:eastAsia="Times New Roman" w:hAnsi="Times New Roman" w:cs="Times New Roman"/>
          <w:sz w:val="22"/>
          <w:szCs w:val="22"/>
          <w:lang w:val="lt-LT"/>
        </w:rPr>
        <w:t>MVASI</w:t>
      </w:r>
      <w:r w:rsidR="00087BFD" w:rsidRPr="00741122">
        <w:rPr>
          <w:rFonts w:ascii="Times New Roman" w:eastAsia="Times New Roman" w:hAnsi="Times New Roman" w:cs="Times New Roman"/>
          <w:sz w:val="22"/>
          <w:szCs w:val="22"/>
          <w:lang w:val="lt-LT"/>
        </w:rPr>
        <w:t xml:space="preserve"> to 15 </w:t>
      </w:r>
      <w:r w:rsidRPr="00741122">
        <w:rPr>
          <w:rFonts w:ascii="Times New Roman" w:eastAsia="Times New Roman" w:hAnsi="Times New Roman" w:cs="Times New Roman"/>
          <w:sz w:val="22"/>
          <w:szCs w:val="22"/>
          <w:lang w:val="lt-LT"/>
        </w:rPr>
        <w:t>mg/kg</w:t>
      </w:r>
      <w:r w:rsidR="003C448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masy ciała raz na 3 tygodnie w</w:t>
      </w:r>
      <w:r w:rsidR="00567913">
        <w:rPr>
          <w:rFonts w:ascii="Times New Roman" w:eastAsia="Times New Roman" w:hAnsi="Times New Roman" w:cs="Times New Roman"/>
          <w:sz w:val="22"/>
          <w:szCs w:val="22"/>
          <w:lang w:val="lt-LT"/>
        </w:rPr>
        <w:t xml:space="preserve"> infuzji</w:t>
      </w:r>
      <w:r w:rsidRPr="00741122">
        <w:rPr>
          <w:rFonts w:ascii="Times New Roman" w:eastAsia="Times New Roman" w:hAnsi="Times New Roman" w:cs="Times New Roman"/>
          <w:sz w:val="22"/>
          <w:szCs w:val="22"/>
          <w:lang w:val="lt-LT"/>
        </w:rPr>
        <w:t xml:space="preserve"> dożyln</w:t>
      </w:r>
      <w:r w:rsidR="00567913">
        <w:rPr>
          <w:rFonts w:ascii="Times New Roman" w:eastAsia="Times New Roman" w:hAnsi="Times New Roman" w:cs="Times New Roman"/>
          <w:sz w:val="22"/>
          <w:szCs w:val="22"/>
          <w:lang w:val="lt-LT"/>
        </w:rPr>
        <w:t>ej</w:t>
      </w:r>
      <w:r w:rsidRPr="00741122">
        <w:rPr>
          <w:rFonts w:ascii="Times New Roman" w:eastAsia="Times New Roman" w:hAnsi="Times New Roman" w:cs="Times New Roman"/>
          <w:sz w:val="22"/>
          <w:szCs w:val="22"/>
          <w:lang w:val="lt-LT"/>
        </w:rPr>
        <w:t>.</w:t>
      </w:r>
    </w:p>
    <w:p w14:paraId="3C18344F" w14:textId="77777777" w:rsidR="00071CFE" w:rsidRPr="00741122" w:rsidRDefault="00071CFE" w:rsidP="001B794B">
      <w:pPr>
        <w:rPr>
          <w:rFonts w:ascii="Times New Roman" w:eastAsia="Times New Roman" w:hAnsi="Times New Roman" w:cs="Times New Roman"/>
          <w:sz w:val="22"/>
          <w:szCs w:val="22"/>
          <w:lang w:val="lt-LT"/>
        </w:rPr>
      </w:pPr>
    </w:p>
    <w:p w14:paraId="079B95AA" w14:textId="40133F7C"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i/>
          <w:sz w:val="22"/>
          <w:szCs w:val="22"/>
          <w:lang w:val="lt-LT"/>
        </w:rPr>
        <w:t xml:space="preserve">Leczenie nawrotu choroby opornej na związki platyny: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jest stosowany w skojarzeniu z jednym</w:t>
      </w:r>
      <w:r w:rsidRPr="00741122">
        <w:rPr>
          <w:rFonts w:ascii="Times New Roman" w:eastAsia="Times New Roman" w:hAnsi="Times New Roman" w:cs="Times New Roman"/>
          <w:i/>
          <w:sz w:val="22"/>
          <w:szCs w:val="22"/>
          <w:lang w:val="lt-LT"/>
        </w:rPr>
        <w:t xml:space="preserve"> </w:t>
      </w:r>
      <w:r w:rsidR="00C359D3">
        <w:rPr>
          <w:rFonts w:ascii="Times New Roman" w:eastAsia="Times New Roman" w:hAnsi="Times New Roman" w:cs="Times New Roman"/>
          <w:sz w:val="22"/>
          <w:szCs w:val="22"/>
          <w:lang w:val="lt-LT"/>
        </w:rPr>
        <w:t>z </w:t>
      </w:r>
      <w:r w:rsidRPr="00741122">
        <w:rPr>
          <w:rFonts w:ascii="Times New Roman" w:eastAsia="Times New Roman" w:hAnsi="Times New Roman" w:cs="Times New Roman"/>
          <w:sz w:val="22"/>
          <w:szCs w:val="22"/>
          <w:lang w:val="lt-LT"/>
        </w:rPr>
        <w:t xml:space="preserve">następujących leków – </w:t>
      </w:r>
      <w:r w:rsidR="00F93819">
        <w:rPr>
          <w:rFonts w:ascii="Times New Roman" w:eastAsia="Times New Roman" w:hAnsi="Times New Roman" w:cs="Times New Roman"/>
          <w:sz w:val="22"/>
          <w:szCs w:val="22"/>
          <w:lang w:val="lt-LT"/>
        </w:rPr>
        <w:t xml:space="preserve">paklitakselem, </w:t>
      </w:r>
      <w:r w:rsidRPr="00741122">
        <w:rPr>
          <w:rFonts w:ascii="Times New Roman" w:eastAsia="Times New Roman" w:hAnsi="Times New Roman" w:cs="Times New Roman"/>
          <w:sz w:val="22"/>
          <w:szCs w:val="22"/>
          <w:lang w:val="lt-LT"/>
        </w:rPr>
        <w:t>topotekanem (podawany w odstępach tygodniowych) lub pegylowaną liposomalną doksorubicyną. Zalecana d</w:t>
      </w:r>
      <w:r w:rsidR="00CA39F5">
        <w:rPr>
          <w:rFonts w:ascii="Times New Roman" w:eastAsia="Times New Roman" w:hAnsi="Times New Roman" w:cs="Times New Roman"/>
          <w:sz w:val="22"/>
          <w:szCs w:val="22"/>
          <w:lang w:val="lt-LT"/>
        </w:rPr>
        <w:t xml:space="preserve">awka produktu </w:t>
      </w:r>
      <w:r w:rsidR="00261A5A">
        <w:rPr>
          <w:rFonts w:ascii="Times New Roman" w:eastAsia="Times New Roman" w:hAnsi="Times New Roman" w:cs="Times New Roman"/>
          <w:sz w:val="22"/>
          <w:szCs w:val="22"/>
          <w:lang w:val="lt-LT"/>
        </w:rPr>
        <w:t>MVASI</w:t>
      </w:r>
      <w:r w:rsidR="00CA39F5">
        <w:rPr>
          <w:rFonts w:ascii="Times New Roman" w:eastAsia="Times New Roman" w:hAnsi="Times New Roman" w:cs="Times New Roman"/>
          <w:sz w:val="22"/>
          <w:szCs w:val="22"/>
          <w:lang w:val="lt-LT"/>
        </w:rPr>
        <w:t xml:space="preserve"> wynosi 10 </w:t>
      </w:r>
      <w:r w:rsidRPr="00741122">
        <w:rPr>
          <w:rFonts w:ascii="Times New Roman" w:eastAsia="Times New Roman" w:hAnsi="Times New Roman" w:cs="Times New Roman"/>
          <w:sz w:val="22"/>
          <w:szCs w:val="22"/>
          <w:lang w:val="lt-LT"/>
        </w:rPr>
        <w:t>mg/kg</w:t>
      </w:r>
      <w:r w:rsidR="008E0963">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dwa tygodnie w postaci </w:t>
      </w:r>
      <w:r w:rsidR="004A112C">
        <w:rPr>
          <w:rFonts w:ascii="Times New Roman" w:eastAsia="Times New Roman" w:hAnsi="Times New Roman" w:cs="Times New Roman"/>
          <w:sz w:val="22"/>
          <w:szCs w:val="22"/>
          <w:lang w:val="lt-LT"/>
        </w:rPr>
        <w:t>infuzji</w:t>
      </w:r>
      <w:r w:rsidRPr="00741122">
        <w:rPr>
          <w:rFonts w:ascii="Times New Roman" w:eastAsia="Times New Roman" w:hAnsi="Times New Roman" w:cs="Times New Roman"/>
          <w:sz w:val="22"/>
          <w:szCs w:val="22"/>
          <w:lang w:val="lt-LT"/>
        </w:rPr>
        <w:t xml:space="preserve"> dożylne</w:t>
      </w:r>
      <w:r w:rsidR="004A112C">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W przypa</w:t>
      </w:r>
      <w:r w:rsidR="00941F4B" w:rsidRPr="00741122">
        <w:rPr>
          <w:rFonts w:ascii="Times New Roman" w:eastAsia="Times New Roman" w:hAnsi="Times New Roman" w:cs="Times New Roman"/>
          <w:sz w:val="22"/>
          <w:szCs w:val="22"/>
          <w:lang w:val="lt-LT"/>
        </w:rPr>
        <w:t xml:space="preserve">dku stosowania produktu </w:t>
      </w:r>
      <w:r w:rsidR="00261A5A">
        <w:rPr>
          <w:rFonts w:ascii="Times New Roman" w:eastAsia="Times New Roman" w:hAnsi="Times New Roman" w:cs="Times New Roman"/>
          <w:sz w:val="22"/>
          <w:szCs w:val="22"/>
          <w:lang w:val="lt-LT"/>
        </w:rPr>
        <w:t>MVASI</w:t>
      </w:r>
      <w:r w:rsidR="00941F4B" w:rsidRPr="00741122">
        <w:rPr>
          <w:rFonts w:ascii="Times New Roman" w:eastAsia="Times New Roman" w:hAnsi="Times New Roman" w:cs="Times New Roman"/>
          <w:sz w:val="22"/>
          <w:szCs w:val="22"/>
          <w:lang w:val="lt-LT"/>
        </w:rPr>
        <w:t xml:space="preserve"> </w:t>
      </w:r>
      <w:r w:rsidR="00C359D3">
        <w:rPr>
          <w:rFonts w:ascii="Times New Roman" w:eastAsia="Times New Roman" w:hAnsi="Times New Roman" w:cs="Times New Roman"/>
          <w:sz w:val="22"/>
          <w:szCs w:val="22"/>
          <w:lang w:val="lt-LT"/>
        </w:rPr>
        <w:t>w skojarzeniu z </w:t>
      </w:r>
      <w:r w:rsidRPr="00741122">
        <w:rPr>
          <w:rFonts w:ascii="Times New Roman" w:eastAsia="Times New Roman" w:hAnsi="Times New Roman" w:cs="Times New Roman"/>
          <w:sz w:val="22"/>
          <w:szCs w:val="22"/>
          <w:lang w:val="lt-LT"/>
        </w:rPr>
        <w:t>topotekanem (podawanym w dniach 1-5, co 3 tygodnie), zalecana d</w:t>
      </w:r>
      <w:r w:rsidR="00CA39F5">
        <w:rPr>
          <w:rFonts w:ascii="Times New Roman" w:eastAsia="Times New Roman" w:hAnsi="Times New Roman" w:cs="Times New Roman"/>
          <w:sz w:val="22"/>
          <w:szCs w:val="22"/>
          <w:lang w:val="lt-LT"/>
        </w:rPr>
        <w:t xml:space="preserve">awka produktu </w:t>
      </w:r>
      <w:r w:rsidR="00261A5A">
        <w:rPr>
          <w:rFonts w:ascii="Times New Roman" w:eastAsia="Times New Roman" w:hAnsi="Times New Roman" w:cs="Times New Roman"/>
          <w:sz w:val="22"/>
          <w:szCs w:val="22"/>
          <w:lang w:val="lt-LT"/>
        </w:rPr>
        <w:t>MVASI</w:t>
      </w:r>
      <w:r w:rsidR="00CA39F5">
        <w:rPr>
          <w:rFonts w:ascii="Times New Roman" w:eastAsia="Times New Roman" w:hAnsi="Times New Roman" w:cs="Times New Roman"/>
          <w:sz w:val="22"/>
          <w:szCs w:val="22"/>
          <w:lang w:val="lt-LT"/>
        </w:rPr>
        <w:t xml:space="preserve"> wynosi 15 </w:t>
      </w:r>
      <w:r w:rsidRPr="00741122">
        <w:rPr>
          <w:rFonts w:ascii="Times New Roman" w:eastAsia="Times New Roman" w:hAnsi="Times New Roman" w:cs="Times New Roman"/>
          <w:sz w:val="22"/>
          <w:szCs w:val="22"/>
          <w:lang w:val="lt-LT"/>
        </w:rPr>
        <w:t>mg/kg</w:t>
      </w:r>
      <w:r w:rsidR="008E0963">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3 tygodnie w postaci </w:t>
      </w:r>
      <w:r w:rsidR="004A112C">
        <w:rPr>
          <w:rFonts w:ascii="Times New Roman" w:eastAsia="Times New Roman" w:hAnsi="Times New Roman" w:cs="Times New Roman"/>
          <w:sz w:val="22"/>
          <w:szCs w:val="22"/>
          <w:lang w:val="lt-LT"/>
        </w:rPr>
        <w:t>infuzji</w:t>
      </w:r>
      <w:r w:rsidRPr="00741122">
        <w:rPr>
          <w:rFonts w:ascii="Times New Roman" w:eastAsia="Times New Roman" w:hAnsi="Times New Roman" w:cs="Times New Roman"/>
          <w:sz w:val="22"/>
          <w:szCs w:val="22"/>
          <w:lang w:val="lt-LT"/>
        </w:rPr>
        <w:t xml:space="preserve"> dożylne</w:t>
      </w:r>
      <w:r w:rsidR="004A112C">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Zaleca się kontynuowanie leczenia do czasu progresji choroby lub nieakceptowalnej toksyczności (patrz punkt 5.1, badanie MO22224).</w:t>
      </w:r>
    </w:p>
    <w:p w14:paraId="76C961DD" w14:textId="77777777" w:rsidR="00071CFE" w:rsidRPr="00741122" w:rsidRDefault="00071CFE" w:rsidP="001B794B">
      <w:pPr>
        <w:rPr>
          <w:rFonts w:ascii="Times New Roman" w:eastAsia="Times New Roman" w:hAnsi="Times New Roman" w:cs="Times New Roman"/>
          <w:sz w:val="22"/>
          <w:szCs w:val="22"/>
          <w:lang w:val="lt-LT"/>
        </w:rPr>
      </w:pPr>
    </w:p>
    <w:p w14:paraId="26BC4396" w14:textId="77777777" w:rsidR="00071CFE" w:rsidRPr="00741122" w:rsidRDefault="00071CFE" w:rsidP="001B794B">
      <w:pPr>
        <w:keepNext/>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Rak szyjki macicy</w:t>
      </w:r>
    </w:p>
    <w:p w14:paraId="1F79A557" w14:textId="77777777" w:rsidR="00071CFE" w:rsidRPr="00741122" w:rsidRDefault="00071CFE" w:rsidP="001B794B">
      <w:pPr>
        <w:keepNext/>
        <w:rPr>
          <w:rFonts w:ascii="Times New Roman" w:eastAsia="Times New Roman" w:hAnsi="Times New Roman" w:cs="Times New Roman"/>
          <w:sz w:val="22"/>
          <w:szCs w:val="22"/>
          <w:lang w:val="lt-LT"/>
        </w:rPr>
      </w:pPr>
    </w:p>
    <w:p w14:paraId="18C8B7E6" w14:textId="77777777" w:rsidR="00071CFE" w:rsidRPr="00741122" w:rsidRDefault="00261A5A" w:rsidP="001B794B">
      <w:pPr>
        <w:ind w:right="40"/>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stosowany w skojarzeniu z jednym z następujących schemat</w:t>
      </w:r>
      <w:r w:rsidR="00C359D3">
        <w:rPr>
          <w:rFonts w:ascii="Times New Roman" w:eastAsia="Times New Roman" w:hAnsi="Times New Roman" w:cs="Times New Roman"/>
          <w:sz w:val="22"/>
          <w:szCs w:val="22"/>
          <w:lang w:val="lt-LT"/>
        </w:rPr>
        <w:t>ów chemioterapii: paklitaksel z </w:t>
      </w:r>
      <w:r w:rsidR="00071CFE" w:rsidRPr="00741122">
        <w:rPr>
          <w:rFonts w:ascii="Times New Roman" w:eastAsia="Times New Roman" w:hAnsi="Times New Roman" w:cs="Times New Roman"/>
          <w:sz w:val="22"/>
          <w:szCs w:val="22"/>
          <w:lang w:val="lt-LT"/>
        </w:rPr>
        <w:t>cisplatyną lub paklitaksel z topotekanem.</w:t>
      </w:r>
    </w:p>
    <w:p w14:paraId="6743BC5B" w14:textId="77777777" w:rsidR="0099737B" w:rsidRPr="00741122" w:rsidRDefault="0099737B" w:rsidP="001B794B">
      <w:pPr>
        <w:ind w:right="40"/>
        <w:rPr>
          <w:rFonts w:ascii="Times New Roman" w:eastAsia="Times New Roman" w:hAnsi="Times New Roman" w:cs="Times New Roman"/>
          <w:sz w:val="22"/>
          <w:szCs w:val="22"/>
          <w:lang w:val="lt-LT"/>
        </w:rPr>
      </w:pPr>
    </w:p>
    <w:p w14:paraId="2C9DEC0A" w14:textId="77777777" w:rsidR="00071CFE" w:rsidRPr="00741122" w:rsidRDefault="00071CFE" w:rsidP="001B794B">
      <w:pPr>
        <w:ind w:right="42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w:t>
      </w:r>
      <w:r w:rsidR="00941F4B" w:rsidRPr="00741122">
        <w:rPr>
          <w:rFonts w:ascii="Times New Roman" w:eastAsia="Times New Roman" w:hAnsi="Times New Roman" w:cs="Times New Roman"/>
          <w:sz w:val="22"/>
          <w:szCs w:val="22"/>
          <w:lang w:val="lt-LT"/>
        </w:rPr>
        <w:t xml:space="preserve">na dawka produktu </w:t>
      </w:r>
      <w:r w:rsidR="00261A5A">
        <w:rPr>
          <w:rFonts w:ascii="Times New Roman" w:eastAsia="Times New Roman" w:hAnsi="Times New Roman" w:cs="Times New Roman"/>
          <w:sz w:val="22"/>
          <w:szCs w:val="22"/>
          <w:lang w:val="lt-LT"/>
        </w:rPr>
        <w:t>MVASI</w:t>
      </w:r>
      <w:r w:rsidR="00941F4B" w:rsidRPr="00741122">
        <w:rPr>
          <w:rFonts w:ascii="Times New Roman" w:eastAsia="Times New Roman" w:hAnsi="Times New Roman" w:cs="Times New Roman"/>
          <w:sz w:val="22"/>
          <w:szCs w:val="22"/>
          <w:lang w:val="lt-LT"/>
        </w:rPr>
        <w:t xml:space="preserve"> to 15 </w:t>
      </w:r>
      <w:r w:rsidRPr="00741122">
        <w:rPr>
          <w:rFonts w:ascii="Times New Roman" w:eastAsia="Times New Roman" w:hAnsi="Times New Roman" w:cs="Times New Roman"/>
          <w:sz w:val="22"/>
          <w:szCs w:val="22"/>
          <w:lang w:val="lt-LT"/>
        </w:rPr>
        <w:t>mg/kg</w:t>
      </w:r>
      <w:r w:rsidR="008E0963">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podawana raz na 3 tygodnie w</w:t>
      </w:r>
      <w:r w:rsidR="004A112C">
        <w:rPr>
          <w:rFonts w:ascii="Times New Roman" w:eastAsia="Times New Roman" w:hAnsi="Times New Roman" w:cs="Times New Roman"/>
          <w:sz w:val="22"/>
          <w:szCs w:val="22"/>
          <w:lang w:val="lt-LT"/>
        </w:rPr>
        <w:t xml:space="preserve"> infuzji</w:t>
      </w:r>
      <w:r w:rsidRPr="00741122">
        <w:rPr>
          <w:rFonts w:ascii="Times New Roman" w:eastAsia="Times New Roman" w:hAnsi="Times New Roman" w:cs="Times New Roman"/>
          <w:sz w:val="22"/>
          <w:szCs w:val="22"/>
          <w:lang w:val="lt-LT"/>
        </w:rPr>
        <w:t xml:space="preserve"> dożyln</w:t>
      </w:r>
      <w:r w:rsidR="004A112C">
        <w:rPr>
          <w:rFonts w:ascii="Times New Roman" w:eastAsia="Times New Roman" w:hAnsi="Times New Roman" w:cs="Times New Roman"/>
          <w:sz w:val="22"/>
          <w:szCs w:val="22"/>
          <w:lang w:val="lt-LT"/>
        </w:rPr>
        <w:t>ej</w:t>
      </w:r>
      <w:r w:rsidRPr="00741122">
        <w:rPr>
          <w:rFonts w:ascii="Times New Roman" w:eastAsia="Times New Roman" w:hAnsi="Times New Roman" w:cs="Times New Roman"/>
          <w:sz w:val="22"/>
          <w:szCs w:val="22"/>
          <w:lang w:val="lt-LT"/>
        </w:rPr>
        <w:t>.</w:t>
      </w:r>
    </w:p>
    <w:p w14:paraId="41751493" w14:textId="77777777" w:rsidR="0099737B" w:rsidRPr="00741122" w:rsidRDefault="0099737B" w:rsidP="001B794B">
      <w:pPr>
        <w:ind w:right="420"/>
        <w:rPr>
          <w:rFonts w:ascii="Times New Roman" w:eastAsia="Times New Roman" w:hAnsi="Times New Roman" w:cs="Times New Roman"/>
          <w:sz w:val="22"/>
          <w:szCs w:val="22"/>
          <w:lang w:val="lt-LT"/>
        </w:rPr>
      </w:pPr>
    </w:p>
    <w:p w14:paraId="43A3162E"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Zaleca się kontynuowanie leczenia do czasu progresji choroby lub nieakceptowalnej toksyczności (patrz punkt 5.1).</w:t>
      </w:r>
    </w:p>
    <w:p w14:paraId="6296C730" w14:textId="77777777" w:rsidR="00071CFE" w:rsidRPr="00741122" w:rsidRDefault="00071CFE" w:rsidP="001B794B">
      <w:pPr>
        <w:rPr>
          <w:rFonts w:ascii="Times New Roman" w:eastAsia="Times New Roman" w:hAnsi="Times New Roman" w:cs="Times New Roman"/>
          <w:sz w:val="22"/>
          <w:szCs w:val="22"/>
          <w:lang w:val="lt-LT"/>
        </w:rPr>
      </w:pPr>
    </w:p>
    <w:p w14:paraId="4D646C88" w14:textId="77777777" w:rsidR="00071CFE" w:rsidRPr="004474EE" w:rsidRDefault="00071CFE" w:rsidP="00C45F84">
      <w:pPr>
        <w:rPr>
          <w:rFonts w:ascii="Times New Roman" w:eastAsia="Times New Roman" w:hAnsi="Times New Roman" w:cs="Times New Roman"/>
          <w:sz w:val="22"/>
          <w:szCs w:val="22"/>
          <w:u w:val="single"/>
          <w:lang w:val="lt-LT"/>
        </w:rPr>
      </w:pPr>
      <w:bookmarkStart w:id="4" w:name="page5"/>
      <w:bookmarkEnd w:id="4"/>
      <w:r w:rsidRPr="004474EE">
        <w:rPr>
          <w:rFonts w:ascii="Times New Roman" w:eastAsia="Times New Roman" w:hAnsi="Times New Roman" w:cs="Times New Roman"/>
          <w:sz w:val="22"/>
          <w:szCs w:val="22"/>
          <w:u w:val="single"/>
          <w:lang w:val="lt-LT"/>
        </w:rPr>
        <w:t>Szczególne grupy pacjentów</w:t>
      </w:r>
    </w:p>
    <w:p w14:paraId="20A46D0F" w14:textId="77777777" w:rsidR="00071CFE" w:rsidRPr="00741122" w:rsidRDefault="00071CFE" w:rsidP="00C45F84">
      <w:pPr>
        <w:rPr>
          <w:rFonts w:ascii="Times New Roman" w:eastAsia="Times New Roman" w:hAnsi="Times New Roman" w:cs="Times New Roman"/>
          <w:sz w:val="22"/>
          <w:szCs w:val="22"/>
          <w:lang w:val="lt-LT"/>
        </w:rPr>
      </w:pPr>
    </w:p>
    <w:p w14:paraId="62BD519F" w14:textId="000FA971" w:rsidR="005C3758" w:rsidRDefault="00071CFE" w:rsidP="001B794B">
      <w:pPr>
        <w:rPr>
          <w:rFonts w:ascii="Times New Roman" w:eastAsia="Times New Roman" w:hAnsi="Times New Roman" w:cs="Times New Roman"/>
          <w:i/>
          <w:sz w:val="22"/>
          <w:szCs w:val="22"/>
          <w:lang w:val="lt-LT"/>
        </w:rPr>
      </w:pPr>
      <w:r w:rsidRPr="004474EE">
        <w:rPr>
          <w:rFonts w:ascii="Times New Roman" w:eastAsia="Times New Roman" w:hAnsi="Times New Roman" w:cs="Times New Roman"/>
          <w:i/>
          <w:sz w:val="22"/>
          <w:szCs w:val="22"/>
          <w:u w:val="single"/>
          <w:lang w:val="lt-LT"/>
        </w:rPr>
        <w:t>Osoby w wieku</w:t>
      </w:r>
      <w:r w:rsidR="008E0963" w:rsidRPr="004474EE">
        <w:rPr>
          <w:rFonts w:ascii="Times New Roman" w:eastAsia="Times New Roman" w:hAnsi="Times New Roman" w:cs="Times New Roman"/>
          <w:i/>
          <w:sz w:val="22"/>
          <w:szCs w:val="22"/>
          <w:u w:val="single"/>
          <w:lang w:val="lt-LT"/>
        </w:rPr>
        <w:t xml:space="preserve"> podeszłym</w:t>
      </w:r>
    </w:p>
    <w:p w14:paraId="33186BF3" w14:textId="77777777" w:rsidR="005C3758" w:rsidRDefault="005C3758" w:rsidP="001B794B">
      <w:pPr>
        <w:rPr>
          <w:rFonts w:ascii="Times New Roman" w:eastAsia="Times New Roman" w:hAnsi="Times New Roman" w:cs="Times New Roman"/>
          <w:i/>
          <w:sz w:val="22"/>
          <w:szCs w:val="22"/>
          <w:lang w:val="lt-LT"/>
        </w:rPr>
      </w:pPr>
    </w:p>
    <w:p w14:paraId="5EF88F25" w14:textId="13F13A99"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ma potrzeby modyfikowania dawek u pacjentów </w:t>
      </w:r>
      <w:r w:rsidR="00F93819" w:rsidRPr="00F93819">
        <w:rPr>
          <w:rFonts w:ascii="Times New Roman" w:eastAsia="Times New Roman" w:hAnsi="Times New Roman" w:cs="Times New Roman"/>
          <w:sz w:val="22"/>
          <w:szCs w:val="22"/>
          <w:lang w:val="lt-LT"/>
        </w:rPr>
        <w:t>≥ 65 lat</w:t>
      </w:r>
      <w:r w:rsidR="00F93819">
        <w:rPr>
          <w:rFonts w:ascii="Times New Roman" w:eastAsia="Times New Roman" w:hAnsi="Times New Roman" w:cs="Times New Roman"/>
          <w:sz w:val="22"/>
          <w:szCs w:val="22"/>
          <w:lang w:val="lt-LT"/>
        </w:rPr>
        <w:t>.</w:t>
      </w:r>
    </w:p>
    <w:p w14:paraId="00986F36" w14:textId="77777777" w:rsidR="00071CFE" w:rsidRPr="00741122" w:rsidRDefault="00071CFE" w:rsidP="001B794B">
      <w:pPr>
        <w:rPr>
          <w:rFonts w:ascii="Times New Roman" w:eastAsia="Times New Roman" w:hAnsi="Times New Roman" w:cs="Times New Roman"/>
          <w:sz w:val="22"/>
          <w:szCs w:val="22"/>
          <w:lang w:val="lt-LT"/>
        </w:rPr>
      </w:pPr>
    </w:p>
    <w:p w14:paraId="7B0BAC1C" w14:textId="5C6C9879" w:rsidR="005C3758" w:rsidRDefault="005C3758" w:rsidP="001B794B">
      <w:pPr>
        <w:rPr>
          <w:rFonts w:ascii="Times New Roman" w:eastAsia="Times New Roman" w:hAnsi="Times New Roman" w:cs="Times New Roman"/>
          <w:i/>
          <w:sz w:val="22"/>
          <w:szCs w:val="22"/>
          <w:lang w:val="lt-LT"/>
        </w:rPr>
      </w:pPr>
      <w:r w:rsidRPr="004474EE">
        <w:rPr>
          <w:rFonts w:ascii="Times New Roman" w:eastAsia="Times New Roman" w:hAnsi="Times New Roman" w:cs="Times New Roman"/>
          <w:i/>
          <w:sz w:val="22"/>
          <w:szCs w:val="22"/>
          <w:u w:val="single"/>
          <w:lang w:val="lt-LT"/>
        </w:rPr>
        <w:t>Zaburzeni</w:t>
      </w:r>
      <w:r w:rsidR="00F30D3E">
        <w:rPr>
          <w:rFonts w:ascii="Times New Roman" w:eastAsia="Times New Roman" w:hAnsi="Times New Roman" w:cs="Times New Roman"/>
          <w:i/>
          <w:sz w:val="22"/>
          <w:szCs w:val="22"/>
          <w:u w:val="single"/>
          <w:lang w:val="lt-LT"/>
        </w:rPr>
        <w:t>e</w:t>
      </w:r>
      <w:r w:rsidR="00071CFE" w:rsidRPr="004474EE">
        <w:rPr>
          <w:rFonts w:ascii="Times New Roman" w:eastAsia="Times New Roman" w:hAnsi="Times New Roman" w:cs="Times New Roman"/>
          <w:i/>
          <w:sz w:val="22"/>
          <w:szCs w:val="22"/>
          <w:u w:val="single"/>
          <w:lang w:val="lt-LT"/>
        </w:rPr>
        <w:t xml:space="preserve"> czynności nerek</w:t>
      </w:r>
    </w:p>
    <w:p w14:paraId="59F9F11D" w14:textId="77777777" w:rsidR="005C3758" w:rsidRDefault="005C3758" w:rsidP="001B794B">
      <w:pPr>
        <w:rPr>
          <w:rFonts w:ascii="Times New Roman" w:eastAsia="Times New Roman" w:hAnsi="Times New Roman" w:cs="Times New Roman"/>
          <w:i/>
          <w:sz w:val="22"/>
          <w:szCs w:val="22"/>
          <w:lang w:val="lt-LT"/>
        </w:rPr>
      </w:pPr>
    </w:p>
    <w:p w14:paraId="72EF2C40" w14:textId="09D6AD8E"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badano bezpieczeństwa stosowania i skuteczności leczenia</w:t>
      </w:r>
      <w:r w:rsidRPr="00741122">
        <w:rPr>
          <w:rFonts w:ascii="Times New Roman" w:eastAsia="Times New Roman" w:hAnsi="Times New Roman" w:cs="Times New Roman"/>
          <w:i/>
          <w:sz w:val="22"/>
          <w:szCs w:val="22"/>
          <w:lang w:val="lt-LT"/>
        </w:rPr>
        <w:t xml:space="preserve"> </w:t>
      </w:r>
      <w:r w:rsidR="00C359D3">
        <w:rPr>
          <w:rFonts w:ascii="Times New Roman" w:eastAsia="Times New Roman" w:hAnsi="Times New Roman" w:cs="Times New Roman"/>
          <w:sz w:val="22"/>
          <w:szCs w:val="22"/>
          <w:lang w:val="lt-LT"/>
        </w:rPr>
        <w:t>u </w:t>
      </w:r>
      <w:r w:rsidRPr="00741122">
        <w:rPr>
          <w:rFonts w:ascii="Times New Roman" w:eastAsia="Times New Roman" w:hAnsi="Times New Roman" w:cs="Times New Roman"/>
          <w:sz w:val="22"/>
          <w:szCs w:val="22"/>
          <w:lang w:val="lt-LT"/>
        </w:rPr>
        <w:t>osób z zaburzeniem czynności nerek (patrz punkt 5.2).</w:t>
      </w:r>
    </w:p>
    <w:p w14:paraId="5C8197F3" w14:textId="77777777" w:rsidR="00071CFE" w:rsidRPr="00741122" w:rsidRDefault="00071CFE" w:rsidP="001B794B">
      <w:pPr>
        <w:rPr>
          <w:rFonts w:ascii="Times New Roman" w:eastAsia="Times New Roman" w:hAnsi="Times New Roman" w:cs="Times New Roman"/>
          <w:sz w:val="22"/>
          <w:szCs w:val="22"/>
          <w:lang w:val="lt-LT"/>
        </w:rPr>
      </w:pPr>
    </w:p>
    <w:p w14:paraId="0B6E88F6" w14:textId="25B3A900" w:rsidR="005C3758" w:rsidRDefault="005C3758" w:rsidP="001B794B">
      <w:pPr>
        <w:rPr>
          <w:rFonts w:ascii="Times New Roman" w:eastAsia="Times New Roman" w:hAnsi="Times New Roman" w:cs="Times New Roman"/>
          <w:i/>
          <w:sz w:val="22"/>
          <w:szCs w:val="22"/>
          <w:lang w:val="lt-LT"/>
        </w:rPr>
      </w:pPr>
      <w:r w:rsidRPr="004474EE">
        <w:rPr>
          <w:rFonts w:ascii="Times New Roman" w:eastAsia="Times New Roman" w:hAnsi="Times New Roman" w:cs="Times New Roman"/>
          <w:i/>
          <w:sz w:val="22"/>
          <w:szCs w:val="22"/>
          <w:u w:val="single"/>
          <w:lang w:val="lt-LT"/>
        </w:rPr>
        <w:t>Zaburzeni</w:t>
      </w:r>
      <w:r w:rsidR="00F30D3E">
        <w:rPr>
          <w:rFonts w:ascii="Times New Roman" w:eastAsia="Times New Roman" w:hAnsi="Times New Roman" w:cs="Times New Roman"/>
          <w:i/>
          <w:sz w:val="22"/>
          <w:szCs w:val="22"/>
          <w:u w:val="single"/>
          <w:lang w:val="lt-LT"/>
        </w:rPr>
        <w:t>e</w:t>
      </w:r>
      <w:r w:rsidRPr="004474EE">
        <w:rPr>
          <w:rFonts w:ascii="Times New Roman" w:eastAsia="Times New Roman" w:hAnsi="Times New Roman" w:cs="Times New Roman"/>
          <w:i/>
          <w:sz w:val="22"/>
          <w:szCs w:val="22"/>
          <w:u w:val="single"/>
          <w:lang w:val="lt-LT"/>
        </w:rPr>
        <w:t xml:space="preserve"> </w:t>
      </w:r>
      <w:r w:rsidR="00071CFE" w:rsidRPr="004474EE">
        <w:rPr>
          <w:rFonts w:ascii="Times New Roman" w:eastAsia="Times New Roman" w:hAnsi="Times New Roman" w:cs="Times New Roman"/>
          <w:i/>
          <w:sz w:val="22"/>
          <w:szCs w:val="22"/>
          <w:u w:val="single"/>
          <w:lang w:val="lt-LT"/>
        </w:rPr>
        <w:t>czynności wątroby</w:t>
      </w:r>
    </w:p>
    <w:p w14:paraId="44097F1A" w14:textId="77777777" w:rsidR="005C3758" w:rsidRDefault="005C3758" w:rsidP="001B794B">
      <w:pPr>
        <w:rPr>
          <w:rFonts w:ascii="Times New Roman" w:eastAsia="Times New Roman" w:hAnsi="Times New Roman" w:cs="Times New Roman"/>
          <w:i/>
          <w:sz w:val="22"/>
          <w:szCs w:val="22"/>
          <w:lang w:val="lt-LT"/>
        </w:rPr>
      </w:pPr>
    </w:p>
    <w:p w14:paraId="72AF1EAA" w14:textId="2A89096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badano bezpieczeństwa stosowania i skuteczności</w:t>
      </w:r>
      <w:r w:rsidRPr="00741122">
        <w:rPr>
          <w:rFonts w:ascii="Times New Roman" w:eastAsia="Times New Roman" w:hAnsi="Times New Roman" w:cs="Times New Roman"/>
          <w:i/>
          <w:sz w:val="22"/>
          <w:szCs w:val="22"/>
          <w:lang w:val="lt-LT"/>
        </w:rPr>
        <w:t xml:space="preserve"> </w:t>
      </w:r>
      <w:r w:rsidRPr="00741122">
        <w:rPr>
          <w:rFonts w:ascii="Times New Roman" w:eastAsia="Times New Roman" w:hAnsi="Times New Roman" w:cs="Times New Roman"/>
          <w:sz w:val="22"/>
          <w:szCs w:val="22"/>
          <w:lang w:val="lt-LT"/>
        </w:rPr>
        <w:t>leczenia u osób z zaburzeniem czynności wątroby (patrz punkt 5.2).</w:t>
      </w:r>
    </w:p>
    <w:p w14:paraId="43385459" w14:textId="77777777" w:rsidR="00071CFE" w:rsidRPr="00741122" w:rsidRDefault="00071CFE" w:rsidP="001B794B">
      <w:pPr>
        <w:rPr>
          <w:rFonts w:ascii="Times New Roman" w:eastAsia="Times New Roman" w:hAnsi="Times New Roman" w:cs="Times New Roman"/>
          <w:sz w:val="22"/>
          <w:szCs w:val="22"/>
          <w:lang w:val="lt-LT"/>
        </w:rPr>
      </w:pPr>
    </w:p>
    <w:p w14:paraId="6308A615" w14:textId="77777777" w:rsidR="00071CFE" w:rsidRPr="00741122" w:rsidRDefault="00071CFE" w:rsidP="00C45F84">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Dzieci i młodzież</w:t>
      </w:r>
    </w:p>
    <w:p w14:paraId="5DD865F8" w14:textId="77777777" w:rsidR="00071CFE" w:rsidRPr="00741122" w:rsidRDefault="00071CFE" w:rsidP="00C45F84">
      <w:pPr>
        <w:rPr>
          <w:rFonts w:ascii="Times New Roman" w:eastAsia="Times New Roman" w:hAnsi="Times New Roman" w:cs="Times New Roman"/>
          <w:sz w:val="22"/>
          <w:szCs w:val="22"/>
          <w:lang w:val="lt-LT"/>
        </w:rPr>
      </w:pPr>
    </w:p>
    <w:p w14:paraId="51CCBBF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określono bezpieczeństwa stosowania i skuteczności bewacyzumabu u dzieci w wieku poniżej 18 lat. Aktualn</w:t>
      </w:r>
      <w:r w:rsidR="008E0963">
        <w:rPr>
          <w:rFonts w:ascii="Times New Roman" w:eastAsia="Times New Roman" w:hAnsi="Times New Roman" w:cs="Times New Roman"/>
          <w:sz w:val="22"/>
          <w:szCs w:val="22"/>
          <w:lang w:val="lt-LT"/>
        </w:rPr>
        <w:t>i</w:t>
      </w:r>
      <w:r w:rsidRPr="00741122">
        <w:rPr>
          <w:rFonts w:ascii="Times New Roman" w:eastAsia="Times New Roman" w:hAnsi="Times New Roman" w:cs="Times New Roman"/>
          <w:sz w:val="22"/>
          <w:szCs w:val="22"/>
          <w:lang w:val="lt-LT"/>
        </w:rPr>
        <w:t>e dostępne dane przedstawiono w punkcie 4.8, 5.1 i 5.2, ale na tej podstawie nie można ustalić dawkowania.</w:t>
      </w:r>
    </w:p>
    <w:p w14:paraId="36543A57" w14:textId="77777777" w:rsidR="00071CFE" w:rsidRPr="00741122" w:rsidRDefault="00071CFE" w:rsidP="001B794B">
      <w:pPr>
        <w:rPr>
          <w:rFonts w:ascii="Times New Roman" w:eastAsia="Times New Roman" w:hAnsi="Times New Roman" w:cs="Times New Roman"/>
          <w:sz w:val="22"/>
          <w:szCs w:val="22"/>
          <w:lang w:val="lt-LT"/>
        </w:rPr>
      </w:pPr>
    </w:p>
    <w:p w14:paraId="584EF13F"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ma wskazań do stosowania bewacyzumabu u dzieci i młodzieży w leczeniu raka okrężnicy, odbytnicy, </w:t>
      </w:r>
      <w:r w:rsidR="00F217E9">
        <w:rPr>
          <w:rFonts w:ascii="Times New Roman" w:eastAsia="Times New Roman" w:hAnsi="Times New Roman" w:cs="Times New Roman"/>
          <w:sz w:val="22"/>
          <w:szCs w:val="22"/>
          <w:lang w:val="lt-LT"/>
        </w:rPr>
        <w:t xml:space="preserve">piersi, </w:t>
      </w:r>
      <w:r w:rsidRPr="00741122">
        <w:rPr>
          <w:rFonts w:ascii="Times New Roman" w:eastAsia="Times New Roman" w:hAnsi="Times New Roman" w:cs="Times New Roman"/>
          <w:sz w:val="22"/>
          <w:szCs w:val="22"/>
          <w:lang w:val="lt-LT"/>
        </w:rPr>
        <w:t>płuca, jajnika, jajowodu, otrzewnej, szyjki macicy i nerki.</w:t>
      </w:r>
    </w:p>
    <w:p w14:paraId="6789EF53" w14:textId="77777777" w:rsidR="00071CFE" w:rsidRPr="00741122" w:rsidRDefault="00071CFE" w:rsidP="001B794B">
      <w:pPr>
        <w:rPr>
          <w:rFonts w:ascii="Times New Roman" w:eastAsia="Times New Roman" w:hAnsi="Times New Roman" w:cs="Times New Roman"/>
          <w:sz w:val="22"/>
          <w:szCs w:val="22"/>
          <w:lang w:val="lt-LT"/>
        </w:rPr>
      </w:pPr>
    </w:p>
    <w:p w14:paraId="31AF4381" w14:textId="77777777" w:rsidR="00071CFE" w:rsidRPr="00741122" w:rsidRDefault="00071CFE" w:rsidP="00C45F84">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Sposób podawania</w:t>
      </w:r>
    </w:p>
    <w:p w14:paraId="2BBD8B79" w14:textId="77777777" w:rsidR="00071CFE" w:rsidRPr="00741122" w:rsidRDefault="00071CFE" w:rsidP="00C45F84">
      <w:pPr>
        <w:rPr>
          <w:rFonts w:ascii="Times New Roman" w:eastAsia="Times New Roman" w:hAnsi="Times New Roman" w:cs="Times New Roman"/>
          <w:sz w:val="22"/>
          <w:szCs w:val="22"/>
          <w:lang w:val="lt-LT"/>
        </w:rPr>
      </w:pPr>
    </w:p>
    <w:p w14:paraId="219C721B" w14:textId="77777777" w:rsidR="00071CFE" w:rsidRPr="00741122" w:rsidRDefault="00B15CB7"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MVASI jest </w:t>
      </w:r>
      <w:r w:rsidR="00C201A5">
        <w:rPr>
          <w:rFonts w:ascii="Times New Roman" w:eastAsia="Times New Roman" w:hAnsi="Times New Roman" w:cs="Times New Roman"/>
          <w:sz w:val="22"/>
          <w:szCs w:val="22"/>
          <w:lang w:val="lt-LT"/>
        </w:rPr>
        <w:t xml:space="preserve">przeznaczony </w:t>
      </w:r>
      <w:r>
        <w:rPr>
          <w:rFonts w:ascii="Times New Roman" w:eastAsia="Times New Roman" w:hAnsi="Times New Roman" w:cs="Times New Roman"/>
          <w:sz w:val="22"/>
          <w:szCs w:val="22"/>
          <w:lang w:val="lt-LT"/>
        </w:rPr>
        <w:t>do poda</w:t>
      </w:r>
      <w:r w:rsidR="00C201A5">
        <w:rPr>
          <w:rFonts w:ascii="Times New Roman" w:eastAsia="Times New Roman" w:hAnsi="Times New Roman" w:cs="Times New Roman"/>
          <w:sz w:val="22"/>
          <w:szCs w:val="22"/>
          <w:lang w:val="lt-LT"/>
        </w:rPr>
        <w:t>wa</w:t>
      </w:r>
      <w:r>
        <w:rPr>
          <w:rFonts w:ascii="Times New Roman" w:eastAsia="Times New Roman" w:hAnsi="Times New Roman" w:cs="Times New Roman"/>
          <w:sz w:val="22"/>
          <w:szCs w:val="22"/>
          <w:lang w:val="lt-LT"/>
        </w:rPr>
        <w:t xml:space="preserve">nia dożylnego. </w:t>
      </w:r>
      <w:r w:rsidR="00071CFE" w:rsidRPr="00741122">
        <w:rPr>
          <w:rFonts w:ascii="Times New Roman" w:eastAsia="Times New Roman" w:hAnsi="Times New Roman" w:cs="Times New Roman"/>
          <w:sz w:val="22"/>
          <w:szCs w:val="22"/>
          <w:lang w:val="lt-LT"/>
        </w:rPr>
        <w:t>Pierwszą dawkę należy podać w 90-minutow</w:t>
      </w:r>
      <w:r w:rsidR="004A112C">
        <w:rPr>
          <w:rFonts w:ascii="Times New Roman" w:eastAsia="Times New Roman" w:hAnsi="Times New Roman" w:cs="Times New Roman"/>
          <w:sz w:val="22"/>
          <w:szCs w:val="22"/>
          <w:lang w:val="lt-LT"/>
        </w:rPr>
        <w:t>ej</w:t>
      </w:r>
      <w:r w:rsidR="00071CFE" w:rsidRPr="00741122">
        <w:rPr>
          <w:rFonts w:ascii="Times New Roman" w:eastAsia="Times New Roman" w:hAnsi="Times New Roman" w:cs="Times New Roman"/>
          <w:sz w:val="22"/>
          <w:szCs w:val="22"/>
          <w:lang w:val="lt-LT"/>
        </w:rPr>
        <w:t xml:space="preserve"> </w:t>
      </w:r>
      <w:r w:rsidR="004A112C">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dożyln</w:t>
      </w:r>
      <w:r w:rsidR="004A112C">
        <w:rPr>
          <w:rFonts w:ascii="Times New Roman" w:eastAsia="Times New Roman" w:hAnsi="Times New Roman" w:cs="Times New Roman"/>
          <w:sz w:val="22"/>
          <w:szCs w:val="22"/>
          <w:lang w:val="lt-LT"/>
        </w:rPr>
        <w:t>ej</w:t>
      </w:r>
      <w:r w:rsidR="00071CFE" w:rsidRPr="00741122">
        <w:rPr>
          <w:rFonts w:ascii="Times New Roman" w:eastAsia="Times New Roman" w:hAnsi="Times New Roman" w:cs="Times New Roman"/>
          <w:sz w:val="22"/>
          <w:szCs w:val="22"/>
          <w:lang w:val="lt-LT"/>
        </w:rPr>
        <w:t xml:space="preserve">. W przypadku, gdy pacjent dobrze tolerował podanie </w:t>
      </w:r>
      <w:r w:rsidR="00C359D3">
        <w:rPr>
          <w:rFonts w:ascii="Times New Roman" w:eastAsia="Times New Roman" w:hAnsi="Times New Roman" w:cs="Times New Roman"/>
          <w:sz w:val="22"/>
          <w:szCs w:val="22"/>
          <w:lang w:val="lt-LT"/>
        </w:rPr>
        <w:t>leku, drugą dawkę można podać w </w:t>
      </w:r>
      <w:r w:rsidR="00071CFE" w:rsidRPr="00741122">
        <w:rPr>
          <w:rFonts w:ascii="Times New Roman" w:eastAsia="Times New Roman" w:hAnsi="Times New Roman" w:cs="Times New Roman"/>
          <w:sz w:val="22"/>
          <w:szCs w:val="22"/>
          <w:lang w:val="lt-LT"/>
        </w:rPr>
        <w:t>postaci 60-minutowe</w:t>
      </w:r>
      <w:r w:rsidR="004A112C">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t>
      </w:r>
      <w:r w:rsidR="004A112C">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Jeżeli i w tym przypadku tolerancja była dobra, kolejne </w:t>
      </w:r>
      <w:r w:rsidR="004A112C">
        <w:rPr>
          <w:rFonts w:ascii="Times New Roman" w:eastAsia="Times New Roman" w:hAnsi="Times New Roman" w:cs="Times New Roman"/>
          <w:sz w:val="22"/>
          <w:szCs w:val="22"/>
          <w:lang w:val="lt-LT"/>
        </w:rPr>
        <w:t>infuzje</w:t>
      </w:r>
      <w:r w:rsidR="00071CFE" w:rsidRPr="00741122">
        <w:rPr>
          <w:rFonts w:ascii="Times New Roman" w:eastAsia="Times New Roman" w:hAnsi="Times New Roman" w:cs="Times New Roman"/>
          <w:sz w:val="22"/>
          <w:szCs w:val="22"/>
          <w:lang w:val="lt-LT"/>
        </w:rPr>
        <w:t xml:space="preserve"> mogą być podawane w ciągu 30 minut.</w:t>
      </w:r>
    </w:p>
    <w:p w14:paraId="09D244C9" w14:textId="77777777" w:rsidR="00071CFE" w:rsidRPr="00741122" w:rsidRDefault="00071CFE" w:rsidP="001B794B">
      <w:pPr>
        <w:rPr>
          <w:rFonts w:ascii="Times New Roman" w:eastAsia="Times New Roman" w:hAnsi="Times New Roman" w:cs="Times New Roman"/>
          <w:sz w:val="22"/>
          <w:szCs w:val="22"/>
          <w:lang w:val="lt-LT"/>
        </w:rPr>
      </w:pPr>
    </w:p>
    <w:p w14:paraId="62A597B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podawać w szybkim wstrzyknięciu dożylnym ani w bolusie.</w:t>
      </w:r>
    </w:p>
    <w:p w14:paraId="05BAAA11" w14:textId="77777777" w:rsidR="00071CFE" w:rsidRPr="00741122" w:rsidRDefault="00071CFE" w:rsidP="001B794B">
      <w:pPr>
        <w:rPr>
          <w:rFonts w:ascii="Times New Roman" w:eastAsia="Times New Roman" w:hAnsi="Times New Roman" w:cs="Times New Roman"/>
          <w:sz w:val="22"/>
          <w:szCs w:val="22"/>
          <w:lang w:val="lt-LT"/>
        </w:rPr>
      </w:pPr>
    </w:p>
    <w:p w14:paraId="651B0C70"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Nie zaleca się zmniejszania dawki leku w przypadku wystąpienia działań niepożądanych. Jeśli jest to wskazane, terapia powinna być trwale przerwana lub odłożona w czasie, patrz punkt 4.4.</w:t>
      </w:r>
    </w:p>
    <w:p w14:paraId="59B922B7" w14:textId="77777777" w:rsidR="00071CFE" w:rsidRPr="00741122" w:rsidRDefault="00071CFE" w:rsidP="001B794B">
      <w:pPr>
        <w:rPr>
          <w:rFonts w:ascii="Times New Roman" w:eastAsia="Times New Roman" w:hAnsi="Times New Roman" w:cs="Times New Roman"/>
          <w:sz w:val="22"/>
          <w:szCs w:val="22"/>
          <w:lang w:val="lt-LT"/>
        </w:rPr>
      </w:pPr>
    </w:p>
    <w:p w14:paraId="2E75B440" w14:textId="77777777" w:rsidR="00071CFE" w:rsidRPr="00741122" w:rsidRDefault="00071CFE" w:rsidP="00FD7F9C">
      <w:pPr>
        <w:keepNext/>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Środki ostrożności, które należy podjąć przed użyciem lub podaniem produktu leczniczego</w:t>
      </w:r>
    </w:p>
    <w:p w14:paraId="7490D90F" w14:textId="77777777" w:rsidR="00071CFE" w:rsidRPr="00741122" w:rsidRDefault="00071CFE" w:rsidP="00FD7F9C">
      <w:pPr>
        <w:keepNext/>
        <w:rPr>
          <w:rFonts w:ascii="Times New Roman" w:eastAsia="Times New Roman" w:hAnsi="Times New Roman" w:cs="Times New Roman"/>
          <w:sz w:val="22"/>
          <w:szCs w:val="22"/>
          <w:lang w:val="lt-LT"/>
        </w:rPr>
      </w:pPr>
    </w:p>
    <w:p w14:paraId="73E3FE2C" w14:textId="77777777" w:rsidR="00071CFE" w:rsidRPr="00741122" w:rsidRDefault="00071CFE" w:rsidP="00FD7F9C">
      <w:pPr>
        <w:keepNex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Instrukcja dotycząca rozcieńczania produktu leczniczego przed podaniem, patrz punkt 6.6.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nie należy podawać ani mieszać z rozworami glukozy. Produktu leczniczego nie wolno mieszać z innymi lekami poza podanymi w punkcie 6.6.</w:t>
      </w:r>
    </w:p>
    <w:p w14:paraId="0C9AC337" w14:textId="77777777" w:rsidR="00071CFE" w:rsidRPr="00741122" w:rsidRDefault="00071CFE" w:rsidP="001B794B">
      <w:pPr>
        <w:rPr>
          <w:rFonts w:ascii="Times New Roman" w:eastAsia="Times New Roman" w:hAnsi="Times New Roman" w:cs="Times New Roman"/>
          <w:sz w:val="22"/>
          <w:szCs w:val="22"/>
          <w:lang w:val="lt-LT"/>
        </w:rPr>
      </w:pPr>
    </w:p>
    <w:p w14:paraId="283FD7BE" w14:textId="77777777" w:rsidR="00071CFE" w:rsidRPr="00741122" w:rsidRDefault="00071CFE" w:rsidP="000802EA">
      <w:pPr>
        <w:keepNext/>
        <w:tabs>
          <w:tab w:val="left" w:pos="54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4.3</w:t>
      </w:r>
      <w:r w:rsidRPr="00741122">
        <w:rPr>
          <w:rFonts w:ascii="Times New Roman" w:eastAsia="Times New Roman" w:hAnsi="Times New Roman" w:cs="Times New Roman"/>
          <w:b/>
          <w:sz w:val="22"/>
          <w:szCs w:val="22"/>
          <w:lang w:val="lt-LT"/>
        </w:rPr>
        <w:tab/>
        <w:t>Przeciwwskazania</w:t>
      </w:r>
    </w:p>
    <w:p w14:paraId="344467CB" w14:textId="77777777" w:rsidR="00071CFE" w:rsidRPr="00741122" w:rsidRDefault="00071CFE" w:rsidP="000802EA">
      <w:pPr>
        <w:keepNext/>
        <w:rPr>
          <w:rFonts w:ascii="Times New Roman" w:eastAsia="Times New Roman" w:hAnsi="Times New Roman" w:cs="Times New Roman"/>
          <w:sz w:val="22"/>
          <w:szCs w:val="22"/>
          <w:lang w:val="lt-LT"/>
        </w:rPr>
      </w:pPr>
    </w:p>
    <w:p w14:paraId="3F4EB36F" w14:textId="77777777" w:rsidR="00071CFE" w:rsidRPr="00741122" w:rsidRDefault="00071CFE" w:rsidP="00930DAA">
      <w:pPr>
        <w:numPr>
          <w:ilvl w:val="0"/>
          <w:numId w:val="80"/>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Nadwrażliwość na substancję czynną lub którąkolwiek sub</w:t>
      </w:r>
      <w:r w:rsidR="00C359D3">
        <w:rPr>
          <w:rFonts w:ascii="Times New Roman" w:eastAsia="Times New Roman" w:hAnsi="Times New Roman" w:cs="Times New Roman"/>
          <w:sz w:val="22"/>
          <w:szCs w:val="22"/>
          <w:lang w:val="lt-LT"/>
        </w:rPr>
        <w:t>stancję pomocniczą wymienioną w </w:t>
      </w:r>
      <w:r w:rsidRPr="00741122">
        <w:rPr>
          <w:rFonts w:ascii="Times New Roman" w:eastAsia="Times New Roman" w:hAnsi="Times New Roman" w:cs="Times New Roman"/>
          <w:sz w:val="22"/>
          <w:szCs w:val="22"/>
          <w:lang w:val="lt-LT"/>
        </w:rPr>
        <w:t>punkcie 6.1.</w:t>
      </w:r>
    </w:p>
    <w:p w14:paraId="49467740" w14:textId="77777777" w:rsidR="00071CFE" w:rsidRPr="004D1781" w:rsidRDefault="00071CFE" w:rsidP="00930DAA">
      <w:pPr>
        <w:numPr>
          <w:ilvl w:val="0"/>
          <w:numId w:val="80"/>
        </w:numPr>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Nadwrażliwość na produkty otrzymywane z komórek jajnika chomika chińskiego (CHO) lub inne rekombinowane ludzkie lub humanizowane przeciwciała.</w:t>
      </w:r>
    </w:p>
    <w:p w14:paraId="2F59A87E" w14:textId="77777777" w:rsidR="00071CFE" w:rsidRPr="00741122" w:rsidRDefault="00071CFE" w:rsidP="00930DAA">
      <w:pPr>
        <w:numPr>
          <w:ilvl w:val="0"/>
          <w:numId w:val="80"/>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Ciąża (patrz punkt 4.6).</w:t>
      </w:r>
    </w:p>
    <w:p w14:paraId="1DA1C63D" w14:textId="77777777" w:rsidR="00071CFE" w:rsidRPr="00741122" w:rsidRDefault="00071CFE" w:rsidP="001B794B">
      <w:pPr>
        <w:rPr>
          <w:rFonts w:ascii="Times New Roman" w:eastAsia="Times New Roman" w:hAnsi="Times New Roman" w:cs="Times New Roman"/>
          <w:sz w:val="22"/>
          <w:szCs w:val="22"/>
          <w:lang w:val="lt-LT"/>
        </w:rPr>
      </w:pPr>
    </w:p>
    <w:p w14:paraId="623ECB2E" w14:textId="77777777" w:rsidR="00071CFE" w:rsidRPr="00741122" w:rsidRDefault="00071CFE" w:rsidP="001B794B">
      <w:pPr>
        <w:keepNext/>
        <w:tabs>
          <w:tab w:val="left" w:pos="54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4.4</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Specjalne ostrzeżenia i środki ostrożności dotyczące stosowania</w:t>
      </w:r>
    </w:p>
    <w:p w14:paraId="1E058652" w14:textId="77777777" w:rsidR="00071CFE" w:rsidRPr="00741122" w:rsidRDefault="00071CFE" w:rsidP="001B794B">
      <w:pPr>
        <w:keepNext/>
        <w:rPr>
          <w:rFonts w:ascii="Times New Roman" w:eastAsia="Times New Roman" w:hAnsi="Times New Roman" w:cs="Times New Roman"/>
          <w:sz w:val="22"/>
          <w:szCs w:val="22"/>
          <w:lang w:val="lt-LT"/>
        </w:rPr>
      </w:pPr>
    </w:p>
    <w:p w14:paraId="114AF057" w14:textId="67001C19" w:rsidR="00F93819" w:rsidRPr="002F7CDD" w:rsidRDefault="007D0726" w:rsidP="001B794B">
      <w:pPr>
        <w:rPr>
          <w:rFonts w:ascii="Times New Roman" w:eastAsia="Times New Roman" w:hAnsi="Times New Roman" w:cs="Times New Roman"/>
          <w:sz w:val="22"/>
          <w:szCs w:val="22"/>
          <w:u w:val="single"/>
          <w:lang w:val="lt-LT"/>
        </w:rPr>
      </w:pPr>
      <w:r w:rsidRPr="0041202B">
        <w:rPr>
          <w:rFonts w:ascii="Times New Roman" w:eastAsia="Times New Roman" w:hAnsi="Times New Roman" w:cs="Times New Roman"/>
          <w:sz w:val="22"/>
          <w:szCs w:val="22"/>
          <w:u w:val="single"/>
          <w:lang w:val="lt-LT"/>
        </w:rPr>
        <w:t>Identyfikowalność</w:t>
      </w:r>
    </w:p>
    <w:p w14:paraId="0A42D004" w14:textId="77777777" w:rsidR="007D0726" w:rsidRPr="001E2C6A" w:rsidRDefault="007D0726" w:rsidP="001B794B">
      <w:pPr>
        <w:rPr>
          <w:rFonts w:ascii="Times New Roman" w:eastAsia="Times New Roman" w:hAnsi="Times New Roman" w:cs="Times New Roman"/>
          <w:sz w:val="22"/>
          <w:szCs w:val="22"/>
          <w:u w:val="single"/>
          <w:lang w:val="lt-LT"/>
        </w:rPr>
      </w:pPr>
    </w:p>
    <w:p w14:paraId="54FEACC3" w14:textId="449620E1"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celu poprawy identyfikowalności biologicznych produktów leczniczych, nazwa i numer serii produktu stosowanego u pacjenta powinny zostać wyraźnie odnotowane.</w:t>
      </w:r>
    </w:p>
    <w:p w14:paraId="49369ECA" w14:textId="77777777" w:rsidR="00071CFE" w:rsidRPr="00741122" w:rsidRDefault="00071CFE" w:rsidP="001B794B">
      <w:pPr>
        <w:rPr>
          <w:rFonts w:ascii="Times New Roman" w:eastAsia="Times New Roman" w:hAnsi="Times New Roman" w:cs="Times New Roman"/>
          <w:sz w:val="22"/>
          <w:szCs w:val="22"/>
          <w:lang w:val="lt-LT"/>
        </w:rPr>
      </w:pPr>
    </w:p>
    <w:p w14:paraId="4F767F14" w14:textId="77777777" w:rsidR="00071CFE" w:rsidRPr="00741122" w:rsidRDefault="00071CFE" w:rsidP="002905B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Perforacje żołądkowo-jelitowe i przetoki (patrz punkt 4.8)</w:t>
      </w:r>
    </w:p>
    <w:p w14:paraId="0FF5F7FD" w14:textId="77777777" w:rsidR="00071CFE" w:rsidRPr="00741122" w:rsidRDefault="00071CFE" w:rsidP="002905BB">
      <w:pPr>
        <w:rPr>
          <w:rFonts w:ascii="Times New Roman" w:eastAsia="Times New Roman" w:hAnsi="Times New Roman" w:cs="Times New Roman"/>
          <w:sz w:val="22"/>
          <w:szCs w:val="22"/>
          <w:lang w:val="lt-LT"/>
        </w:rPr>
      </w:pPr>
    </w:p>
    <w:p w14:paraId="6A375097"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Podczas terapii </w:t>
      </w:r>
      <w:r w:rsidR="00C727F7">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pacjenci mogą być narażeni na zwiększone ryzyko wystąpienia perforacji w obrębie żołądka, jelit i pęcherzyka żółciowego. Proces zapalny wewnątrz jamy brzusznej może być czynnikiem ryzyka perforacji żołądkowo-jelitowej u pacjentów z rozsianym rakiem okrężnicy lub odbytnicy, w związku z czym należy zachować ostrożność podczas podawania leku tej grupie chorych. Wcześniejsza radioterapia jest czynnikiem ryzyka dla pe</w:t>
      </w:r>
      <w:r w:rsidR="00C359D3">
        <w:rPr>
          <w:rFonts w:ascii="Times New Roman" w:eastAsia="Times New Roman" w:hAnsi="Times New Roman" w:cs="Times New Roman"/>
          <w:sz w:val="22"/>
          <w:szCs w:val="22"/>
          <w:lang w:val="lt-LT"/>
        </w:rPr>
        <w:t>rforacji żołądkowo-jelitowych u </w:t>
      </w:r>
      <w:r w:rsidRPr="00741122">
        <w:rPr>
          <w:rFonts w:ascii="Times New Roman" w:eastAsia="Times New Roman" w:hAnsi="Times New Roman" w:cs="Times New Roman"/>
          <w:sz w:val="22"/>
          <w:szCs w:val="22"/>
          <w:lang w:val="lt-LT"/>
        </w:rPr>
        <w:t xml:space="preserve">pacjentek leczonych produktem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z powodu przetrwałego, nawrotowego lub</w:t>
      </w:r>
      <w:bookmarkStart w:id="5" w:name="page6"/>
      <w:bookmarkEnd w:id="5"/>
      <w:r w:rsidR="00397EEC">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przerzutowego raka szyjki macicy, </w:t>
      </w:r>
      <w:r w:rsidR="000E1CC5">
        <w:rPr>
          <w:rFonts w:ascii="Times New Roman" w:eastAsia="Times New Roman" w:hAnsi="Times New Roman" w:cs="Times New Roman"/>
          <w:sz w:val="22"/>
          <w:szCs w:val="22"/>
          <w:lang w:val="lt-LT"/>
        </w:rPr>
        <w:t xml:space="preserve">a </w:t>
      </w:r>
      <w:r w:rsidRPr="00741122">
        <w:rPr>
          <w:rFonts w:ascii="Times New Roman" w:eastAsia="Times New Roman" w:hAnsi="Times New Roman" w:cs="Times New Roman"/>
          <w:sz w:val="22"/>
          <w:szCs w:val="22"/>
          <w:lang w:val="lt-LT"/>
        </w:rPr>
        <w:t>wszystkie pacjentki z perforacjami żołądkowo-jelitowymi były uprzednio poddawane radioterapii. Należy zakończyć terapię w przypadku wystąpienia u pacjenta perforacji żołądkowo-jelitowej.</w:t>
      </w:r>
    </w:p>
    <w:p w14:paraId="671BAD16" w14:textId="77777777" w:rsidR="00071CFE" w:rsidRPr="00741122" w:rsidRDefault="00071CFE" w:rsidP="001B794B">
      <w:pPr>
        <w:rPr>
          <w:rFonts w:ascii="Times New Roman" w:eastAsia="Times New Roman" w:hAnsi="Times New Roman" w:cs="Times New Roman"/>
          <w:sz w:val="22"/>
          <w:szCs w:val="22"/>
          <w:lang w:val="lt-LT"/>
        </w:rPr>
      </w:pPr>
    </w:p>
    <w:p w14:paraId="2BCC04FA"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Przetoki pomiędzy układem pokarmowym a pochwą w badaniu GOG-0240</w:t>
      </w:r>
    </w:p>
    <w:p w14:paraId="4CE7B872" w14:textId="77777777" w:rsidR="00071CFE" w:rsidRPr="00741122" w:rsidRDefault="00071CFE" w:rsidP="001B794B">
      <w:pPr>
        <w:rPr>
          <w:rFonts w:ascii="Times New Roman" w:eastAsia="Times New Roman" w:hAnsi="Times New Roman" w:cs="Times New Roman"/>
          <w:sz w:val="22"/>
          <w:szCs w:val="22"/>
          <w:lang w:val="lt-LT"/>
        </w:rPr>
      </w:pPr>
    </w:p>
    <w:p w14:paraId="709BCE2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Pacjentki leczone </w:t>
      </w:r>
      <w:r w:rsidR="00C727F7">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z powodu przetrwałego, nawrotowego lub przerzutowego raka szyjki macicy są narażone na większe ryzyko powstawania przetoki pomiędzy pochwą a przewodem pokarmowym. Uprzednia radioterapia jest istotnym czynnikiem ryzyka powstawania przetok pomiędzy przewodem pokarmowym a pochwą. Wszystkie pacjentki z przetokami pomiędzy przewodem pokarmowym a pochwą były uprzednio poddawane radioterapii. Wznowa nowotworu w obszarach poddawanych radioterapii jest dodatkowym istotnym czynnikiem ryzyka powstawania przetok pomiędzy przewodem pokarmowym a pochwą.</w:t>
      </w:r>
    </w:p>
    <w:p w14:paraId="24404E64" w14:textId="77777777" w:rsidR="00071CFE" w:rsidRPr="00741122" w:rsidRDefault="00071CFE" w:rsidP="001B794B">
      <w:pPr>
        <w:rPr>
          <w:rFonts w:ascii="Times New Roman" w:eastAsia="Times New Roman" w:hAnsi="Times New Roman" w:cs="Times New Roman"/>
          <w:sz w:val="22"/>
          <w:szCs w:val="22"/>
          <w:lang w:val="lt-LT"/>
        </w:rPr>
      </w:pPr>
    </w:p>
    <w:p w14:paraId="520C0A00"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Przetoki inne niż żołądkowo-jelitowe (patrz punkt 4.8)</w:t>
      </w:r>
    </w:p>
    <w:p w14:paraId="32E87A44" w14:textId="77777777" w:rsidR="00071CFE" w:rsidRPr="00741122" w:rsidRDefault="00071CFE" w:rsidP="001B794B">
      <w:pPr>
        <w:rPr>
          <w:rFonts w:ascii="Times New Roman" w:eastAsia="Times New Roman" w:hAnsi="Times New Roman" w:cs="Times New Roman"/>
          <w:sz w:val="22"/>
          <w:szCs w:val="22"/>
          <w:lang w:val="lt-LT"/>
        </w:rPr>
      </w:pPr>
    </w:p>
    <w:p w14:paraId="1BA75B7F" w14:textId="4E783CD1"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Pacjenci leczeni </w:t>
      </w:r>
      <w:r w:rsidR="00C727F7">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mogą być narażeni na zwiększone ryzyko powstawania przetok. Należy całkowicie zaprzestać podawania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jeśli u pacjenta rozwinie się przetoka tchawiczo-przełykowa lub ja</w:t>
      </w:r>
      <w:r w:rsidR="009108E9" w:rsidRPr="00741122">
        <w:rPr>
          <w:rFonts w:ascii="Times New Roman" w:eastAsia="Times New Roman" w:hAnsi="Times New Roman" w:cs="Times New Roman"/>
          <w:sz w:val="22"/>
          <w:szCs w:val="22"/>
          <w:lang w:val="lt-LT"/>
        </w:rPr>
        <w:t>kakolwiek przetoka 4. stopnia [</w:t>
      </w:r>
      <w:r w:rsidRPr="00741122">
        <w:rPr>
          <w:rFonts w:ascii="Times New Roman" w:eastAsia="Times New Roman" w:hAnsi="Times New Roman" w:cs="Times New Roman"/>
          <w:sz w:val="22"/>
          <w:szCs w:val="22"/>
          <w:lang w:val="lt-LT"/>
        </w:rPr>
        <w:t xml:space="preserve">w/g klasyfikacji US National Cancer Institute-Common Terminology Criteria for Adverse Events (NCI-CTCAE) </w:t>
      </w:r>
      <w:r w:rsidR="00E05CA1">
        <w:rPr>
          <w:rFonts w:ascii="Times New Roman" w:eastAsia="Times New Roman" w:hAnsi="Times New Roman" w:cs="Times New Roman"/>
          <w:sz w:val="22"/>
          <w:szCs w:val="22"/>
          <w:lang w:val="lt-LT"/>
        </w:rPr>
        <w:t>v.</w:t>
      </w:r>
      <w:r w:rsidRPr="00741122">
        <w:rPr>
          <w:rFonts w:ascii="Times New Roman" w:eastAsia="Times New Roman" w:hAnsi="Times New Roman" w:cs="Times New Roman"/>
          <w:sz w:val="22"/>
          <w:szCs w:val="22"/>
          <w:lang w:val="lt-LT"/>
        </w:rPr>
        <w:t xml:space="preserve"> 3]. Dostępne są nieliczne dane dotyczące nieprzerwanego stosowania </w:t>
      </w:r>
      <w:r w:rsidR="00ED36CB">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u pacjen</w:t>
      </w:r>
      <w:r w:rsidR="00632227">
        <w:rPr>
          <w:rFonts w:ascii="Times New Roman" w:eastAsia="Times New Roman" w:hAnsi="Times New Roman" w:cs="Times New Roman"/>
          <w:sz w:val="22"/>
          <w:szCs w:val="22"/>
          <w:lang w:val="lt-LT"/>
        </w:rPr>
        <w:t xml:space="preserve">tów z innymi rodzajami przetok. </w:t>
      </w:r>
      <w:r w:rsidRPr="00741122">
        <w:rPr>
          <w:rFonts w:ascii="Times New Roman" w:eastAsia="Times New Roman" w:hAnsi="Times New Roman" w:cs="Times New Roman"/>
          <w:sz w:val="22"/>
          <w:szCs w:val="22"/>
          <w:lang w:val="lt-LT"/>
        </w:rPr>
        <w:t xml:space="preserve">W przypadkach stwierdzenia wewnętrznej przetoki, poza przewodem pokarmowym, należy rozważyć zaprzestanie podawania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w:t>
      </w:r>
    </w:p>
    <w:p w14:paraId="7E6DD3FA" w14:textId="77777777" w:rsidR="00071CFE" w:rsidRPr="00741122" w:rsidRDefault="00071CFE" w:rsidP="001B794B">
      <w:pPr>
        <w:rPr>
          <w:rFonts w:ascii="Times New Roman" w:eastAsia="Times New Roman" w:hAnsi="Times New Roman" w:cs="Times New Roman"/>
          <w:sz w:val="22"/>
          <w:szCs w:val="22"/>
          <w:lang w:val="lt-LT"/>
        </w:rPr>
      </w:pPr>
    </w:p>
    <w:p w14:paraId="566A0A8A"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Komplikacje w gojeniu ran (patrz punkt 4.8)</w:t>
      </w:r>
    </w:p>
    <w:p w14:paraId="3D233F8D" w14:textId="77777777" w:rsidR="00071CFE" w:rsidRPr="00741122" w:rsidRDefault="00071CFE" w:rsidP="001B794B">
      <w:pPr>
        <w:rPr>
          <w:rFonts w:ascii="Times New Roman" w:eastAsia="Times New Roman" w:hAnsi="Times New Roman" w:cs="Times New Roman"/>
          <w:sz w:val="22"/>
          <w:szCs w:val="22"/>
          <w:lang w:val="lt-LT"/>
        </w:rPr>
      </w:pPr>
    </w:p>
    <w:p w14:paraId="0C49E1E3" w14:textId="77777777" w:rsidR="00071CFE" w:rsidRPr="00741122" w:rsidRDefault="00ED36CB"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Bewacyzumab</w:t>
      </w:r>
      <w:r w:rsidR="00071CFE" w:rsidRPr="00741122">
        <w:rPr>
          <w:rFonts w:ascii="Times New Roman" w:eastAsia="Times New Roman" w:hAnsi="Times New Roman" w:cs="Times New Roman"/>
          <w:sz w:val="22"/>
          <w:szCs w:val="22"/>
          <w:lang w:val="lt-LT"/>
        </w:rPr>
        <w:t xml:space="preserve"> może mieć niekorzystny wpływ na proces gojenia ran. Donoszono o przypadkach komplikacji w gojeniu ran o ciężkim przebiegu, włączając komplikacje związane z zespoleniami, w tym zakończone zgonem. Terapii nie należy rozpoczynać w okresie krótszym niż 28 dni po większym zabiegu chirurgicznym lub do momentu całkowitego wygojenia się ran po zabiegu. U pacjentów, u których wystąpiło utrudnione gojenie ran w trakcie terapii, podawanie leku powinno być wstrzymane do momentu całkowitego wygojenia ran. Terapia powinna być wstrzymana w związku z operacjami planowanymi.</w:t>
      </w:r>
    </w:p>
    <w:p w14:paraId="096B76E4" w14:textId="77777777" w:rsidR="00071CFE" w:rsidRPr="00741122" w:rsidRDefault="00071CFE" w:rsidP="001B794B">
      <w:pPr>
        <w:rPr>
          <w:rFonts w:ascii="Times New Roman" w:eastAsia="Times New Roman" w:hAnsi="Times New Roman" w:cs="Times New Roman"/>
          <w:sz w:val="22"/>
          <w:szCs w:val="22"/>
          <w:lang w:val="lt-LT"/>
        </w:rPr>
      </w:pPr>
    </w:p>
    <w:p w14:paraId="7ABCCFDB"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chorych przyjmujących </w:t>
      </w:r>
      <w:r w:rsidR="00ED36CB">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zgłaszano rzadkie przypadki m</w:t>
      </w:r>
      <w:r w:rsidR="00C359D3">
        <w:rPr>
          <w:rFonts w:ascii="Times New Roman" w:eastAsia="Times New Roman" w:hAnsi="Times New Roman" w:cs="Times New Roman"/>
          <w:sz w:val="22"/>
          <w:szCs w:val="22"/>
          <w:lang w:val="lt-LT"/>
        </w:rPr>
        <w:t>artwiczego zapalenia powięzi, w </w:t>
      </w:r>
      <w:r w:rsidRPr="00741122">
        <w:rPr>
          <w:rFonts w:ascii="Times New Roman" w:eastAsia="Times New Roman" w:hAnsi="Times New Roman" w:cs="Times New Roman"/>
          <w:sz w:val="22"/>
          <w:szCs w:val="22"/>
          <w:lang w:val="lt-LT"/>
        </w:rPr>
        <w:t xml:space="preserve">tym zakończone zgonem. Zdarzenie to jest zazwyczaj wtórne do powikłanego gojenia ran, perforacji układu pokarmowego lub powstania przetoki. U chorych, u których wystąpiło martwicze zapalenie powięzi, należy przerwać terapię produktem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i wdrożyć niezwłocznie odpowiednie leczenie.</w:t>
      </w:r>
    </w:p>
    <w:p w14:paraId="387F0C41" w14:textId="77777777" w:rsidR="00071CFE" w:rsidRPr="00741122" w:rsidRDefault="00071CFE" w:rsidP="001B794B">
      <w:pPr>
        <w:rPr>
          <w:rFonts w:ascii="Times New Roman" w:eastAsia="Times New Roman" w:hAnsi="Times New Roman" w:cs="Times New Roman"/>
          <w:sz w:val="22"/>
          <w:szCs w:val="22"/>
          <w:lang w:val="lt-LT"/>
        </w:rPr>
      </w:pPr>
    </w:p>
    <w:p w14:paraId="7D05F1A7"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Nadciśnienie (patrz punkt 4.8)</w:t>
      </w:r>
    </w:p>
    <w:p w14:paraId="68147DEA" w14:textId="77777777" w:rsidR="00071CFE" w:rsidRPr="00741122" w:rsidRDefault="00071CFE" w:rsidP="001B794B">
      <w:pPr>
        <w:rPr>
          <w:rFonts w:ascii="Times New Roman" w:eastAsia="Times New Roman" w:hAnsi="Times New Roman" w:cs="Times New Roman"/>
          <w:sz w:val="22"/>
          <w:szCs w:val="22"/>
          <w:lang w:val="lt-LT"/>
        </w:rPr>
      </w:pPr>
    </w:p>
    <w:p w14:paraId="752F69B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Obserwowano zwiększoną częstość występowania nadciśnienia u pacjentów leczonych </w:t>
      </w:r>
      <w:r w:rsidR="00105FDF">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Dane kliniczne dotyczące bezpieczeństwa wskazują, że częstość występowania nadciśnienia jest zależna od dawki leku. Przed rozpoczęciem leczenia produktem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należy odpowiednio kontrolować istniejące uprzednio nadciśnienie tętnicze. Nie ma danych dotyczących wpływu </w:t>
      </w:r>
      <w:r w:rsidR="00105FDF">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grupie pacjentów z niekontrolowanym nadciśnieniem w chwili rozpoczynania terapii. Generalnie zaleca się kontrolę ciśnienia tętniczego podczas terapii.</w:t>
      </w:r>
    </w:p>
    <w:p w14:paraId="36F7D7BE" w14:textId="77777777" w:rsidR="00071CFE" w:rsidRPr="00741122" w:rsidRDefault="00071CFE" w:rsidP="001B794B">
      <w:pPr>
        <w:rPr>
          <w:rFonts w:ascii="Times New Roman" w:eastAsia="Times New Roman" w:hAnsi="Times New Roman" w:cs="Times New Roman"/>
          <w:sz w:val="22"/>
          <w:szCs w:val="22"/>
          <w:lang w:val="lt-LT"/>
        </w:rPr>
      </w:pPr>
    </w:p>
    <w:p w14:paraId="5D1C5F7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większości przypadków nadciśnienie było odpowiednio kontrolowane standardowymi metodami leczenia nadciśnienia, odpowiednimi dla sytuacji danego pacjenta. U pacjentów</w:t>
      </w:r>
      <w:r w:rsidR="0069539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otrzymujących schematy chemioterapii zawierające cisplatynę nie zaleca się stosowania leków moczopędnych</w:t>
      </w:r>
      <w:r w:rsidR="00E05CA1" w:rsidRPr="00E05CA1">
        <w:rPr>
          <w:rFonts w:ascii="Times New Roman" w:eastAsia="Times New Roman" w:hAnsi="Times New Roman" w:cs="Times New Roman"/>
          <w:sz w:val="22"/>
          <w:szCs w:val="22"/>
          <w:lang w:val="lt-LT"/>
        </w:rPr>
        <w:t xml:space="preserve"> </w:t>
      </w:r>
      <w:r w:rsidR="00E05CA1" w:rsidRPr="00741122">
        <w:rPr>
          <w:rFonts w:ascii="Times New Roman" w:eastAsia="Times New Roman" w:hAnsi="Times New Roman" w:cs="Times New Roman"/>
          <w:sz w:val="22"/>
          <w:szCs w:val="22"/>
          <w:lang w:val="lt-LT"/>
        </w:rPr>
        <w:t>do leczenia nadciśnienia tętniczego</w:t>
      </w:r>
      <w:r w:rsidRPr="00741122">
        <w:rPr>
          <w:rFonts w:ascii="Times New Roman" w:eastAsia="Times New Roman" w:hAnsi="Times New Roman" w:cs="Times New Roman"/>
          <w:sz w:val="22"/>
          <w:szCs w:val="22"/>
          <w:lang w:val="lt-LT"/>
        </w:rPr>
        <w:t xml:space="preserve">. W przypadku, gdy nie udaje się uzyskać kontroli nadciśnienia lub u pacjenta rozwinie się przełom nadciśnieniowy lub encefalopatia nadciśnieniowa, należy trwale przerwać stosowanie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w:t>
      </w:r>
    </w:p>
    <w:p w14:paraId="2487A1CA" w14:textId="77777777" w:rsidR="00071CFE" w:rsidRPr="00741122" w:rsidRDefault="00071CFE" w:rsidP="001B794B">
      <w:pPr>
        <w:rPr>
          <w:rFonts w:ascii="Times New Roman" w:eastAsia="Times New Roman" w:hAnsi="Times New Roman" w:cs="Times New Roman"/>
          <w:sz w:val="22"/>
          <w:szCs w:val="22"/>
          <w:lang w:val="lt-LT"/>
        </w:rPr>
      </w:pPr>
    </w:p>
    <w:p w14:paraId="02568D64" w14:textId="41EEAA64" w:rsidR="00071CFE" w:rsidRPr="00741122" w:rsidRDefault="00071CFE" w:rsidP="001B794B">
      <w:pPr>
        <w:rPr>
          <w:rFonts w:ascii="Times New Roman" w:eastAsia="Times New Roman" w:hAnsi="Times New Roman" w:cs="Times New Roman"/>
          <w:sz w:val="22"/>
          <w:szCs w:val="22"/>
          <w:u w:val="single"/>
          <w:lang w:val="lt-LT"/>
        </w:rPr>
      </w:pPr>
      <w:r w:rsidRPr="00460124">
        <w:rPr>
          <w:rFonts w:ascii="Times New Roman" w:eastAsia="Times New Roman" w:hAnsi="Times New Roman" w:cs="Times New Roman"/>
          <w:sz w:val="22"/>
          <w:szCs w:val="22"/>
          <w:u w:val="single"/>
          <w:lang w:val="lt-LT"/>
        </w:rPr>
        <w:t>Zespół tylnej</w:t>
      </w:r>
      <w:r w:rsidR="00E05CA1" w:rsidRPr="00460124">
        <w:rPr>
          <w:rFonts w:ascii="Times New Roman" w:eastAsia="Times New Roman" w:hAnsi="Times New Roman" w:cs="Times New Roman"/>
          <w:sz w:val="22"/>
          <w:szCs w:val="22"/>
          <w:u w:val="single"/>
          <w:lang w:val="lt-LT"/>
        </w:rPr>
        <w:t>,</w:t>
      </w:r>
      <w:r w:rsidRPr="00460124">
        <w:rPr>
          <w:rFonts w:ascii="Times New Roman" w:eastAsia="Times New Roman" w:hAnsi="Times New Roman" w:cs="Times New Roman"/>
          <w:sz w:val="22"/>
          <w:szCs w:val="22"/>
          <w:u w:val="single"/>
          <w:lang w:val="lt-LT"/>
        </w:rPr>
        <w:t xml:space="preserve"> odwracalnej encefalopatii (ang. Posterior </w:t>
      </w:r>
      <w:r w:rsidR="005C3758">
        <w:rPr>
          <w:rFonts w:ascii="Times New Roman" w:eastAsia="Times New Roman" w:hAnsi="Times New Roman" w:cs="Times New Roman"/>
          <w:sz w:val="22"/>
          <w:szCs w:val="22"/>
          <w:u w:val="single"/>
          <w:lang w:val="lt-LT"/>
        </w:rPr>
        <w:t>r</w:t>
      </w:r>
      <w:r w:rsidRPr="00460124">
        <w:rPr>
          <w:rFonts w:ascii="Times New Roman" w:eastAsia="Times New Roman" w:hAnsi="Times New Roman" w:cs="Times New Roman"/>
          <w:sz w:val="22"/>
          <w:szCs w:val="22"/>
          <w:u w:val="single"/>
          <w:lang w:val="lt-LT"/>
        </w:rPr>
        <w:t xml:space="preserve">eversible </w:t>
      </w:r>
      <w:r w:rsidR="005C3758">
        <w:rPr>
          <w:rFonts w:ascii="Times New Roman" w:eastAsia="Times New Roman" w:hAnsi="Times New Roman" w:cs="Times New Roman"/>
          <w:sz w:val="22"/>
          <w:szCs w:val="22"/>
          <w:u w:val="single"/>
          <w:lang w:val="lt-LT"/>
        </w:rPr>
        <w:t>e</w:t>
      </w:r>
      <w:r w:rsidR="00E069EA" w:rsidRPr="00460124">
        <w:rPr>
          <w:rFonts w:ascii="Times New Roman" w:eastAsia="Times New Roman" w:hAnsi="Times New Roman" w:cs="Times New Roman"/>
          <w:sz w:val="22"/>
          <w:szCs w:val="22"/>
          <w:u w:val="single"/>
          <w:lang w:val="lt-LT"/>
        </w:rPr>
        <w:t xml:space="preserve">ncephalopathy </w:t>
      </w:r>
      <w:r w:rsidR="005C3758">
        <w:rPr>
          <w:rFonts w:ascii="Times New Roman" w:eastAsia="Times New Roman" w:hAnsi="Times New Roman" w:cs="Times New Roman"/>
          <w:sz w:val="22"/>
          <w:szCs w:val="22"/>
          <w:u w:val="single"/>
          <w:lang w:val="lt-LT"/>
        </w:rPr>
        <w:t>s</w:t>
      </w:r>
      <w:r w:rsidR="00E069EA" w:rsidRPr="00460124">
        <w:rPr>
          <w:rFonts w:ascii="Times New Roman" w:eastAsia="Times New Roman" w:hAnsi="Times New Roman" w:cs="Times New Roman"/>
          <w:sz w:val="22"/>
          <w:szCs w:val="22"/>
          <w:u w:val="single"/>
          <w:lang w:val="lt-LT"/>
        </w:rPr>
        <w:t xml:space="preserve">yndrome - PRES) </w:t>
      </w:r>
      <w:r w:rsidRPr="00460124">
        <w:rPr>
          <w:rFonts w:ascii="Times New Roman" w:eastAsia="Times New Roman" w:hAnsi="Times New Roman" w:cs="Times New Roman"/>
          <w:sz w:val="22"/>
          <w:szCs w:val="22"/>
          <w:u w:val="single"/>
          <w:lang w:val="lt-LT"/>
        </w:rPr>
        <w:t>(patrz punkt 4.8)</w:t>
      </w:r>
    </w:p>
    <w:p w14:paraId="4D7AE1FC" w14:textId="77777777" w:rsidR="00071CFE" w:rsidRPr="00741122" w:rsidRDefault="00071CFE" w:rsidP="001B794B">
      <w:pPr>
        <w:rPr>
          <w:rFonts w:ascii="Times New Roman" w:eastAsia="Times New Roman" w:hAnsi="Times New Roman" w:cs="Times New Roman"/>
          <w:sz w:val="22"/>
          <w:szCs w:val="22"/>
          <w:lang w:val="lt-LT"/>
        </w:rPr>
      </w:pPr>
    </w:p>
    <w:p w14:paraId="7E3C6446"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Rzadko donoszono o rozwijaniu się u pacjentów leczonych </w:t>
      </w:r>
      <w:r w:rsidR="00105FDF">
        <w:rPr>
          <w:rFonts w:ascii="Times New Roman" w:eastAsia="Times New Roman" w:hAnsi="Times New Roman" w:cs="Times New Roman"/>
          <w:sz w:val="22"/>
          <w:szCs w:val="22"/>
          <w:lang w:val="lt-LT"/>
        </w:rPr>
        <w:t>bewacyzumabem</w:t>
      </w:r>
      <w:r w:rsidR="00C359D3">
        <w:rPr>
          <w:rFonts w:ascii="Times New Roman" w:eastAsia="Times New Roman" w:hAnsi="Times New Roman" w:cs="Times New Roman"/>
          <w:sz w:val="22"/>
          <w:szCs w:val="22"/>
          <w:lang w:val="lt-LT"/>
        </w:rPr>
        <w:t xml:space="preserve"> objawów podmiotowych i </w:t>
      </w:r>
      <w:r w:rsidRPr="00741122">
        <w:rPr>
          <w:rFonts w:ascii="Times New Roman" w:eastAsia="Times New Roman" w:hAnsi="Times New Roman" w:cs="Times New Roman"/>
          <w:sz w:val="22"/>
          <w:szCs w:val="22"/>
          <w:lang w:val="lt-LT"/>
        </w:rPr>
        <w:t>przedmiotowych</w:t>
      </w:r>
      <w:r w:rsidR="0069539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odpowiadających zespołowi </w:t>
      </w:r>
      <w:r w:rsidRPr="00FD7F9C">
        <w:rPr>
          <w:rFonts w:ascii="Times New Roman" w:eastAsia="Times New Roman" w:hAnsi="Times New Roman" w:cs="Times New Roman"/>
          <w:sz w:val="22"/>
          <w:szCs w:val="22"/>
          <w:lang w:val="lt-LT"/>
        </w:rPr>
        <w:t>tylnej</w:t>
      </w:r>
      <w:r w:rsidR="00E05CA1">
        <w:rPr>
          <w:rFonts w:ascii="Times New Roman" w:eastAsia="Times New Roman" w:hAnsi="Times New Roman" w:cs="Times New Roman"/>
          <w:sz w:val="22"/>
          <w:szCs w:val="22"/>
          <w:lang w:val="lt-LT"/>
        </w:rPr>
        <w:t>,</w:t>
      </w:r>
      <w:r w:rsidRPr="00FD7F9C">
        <w:rPr>
          <w:rFonts w:ascii="Times New Roman" w:eastAsia="Times New Roman" w:hAnsi="Times New Roman" w:cs="Times New Roman"/>
          <w:sz w:val="22"/>
          <w:szCs w:val="22"/>
          <w:lang w:val="lt-LT"/>
        </w:rPr>
        <w:t xml:space="preserve"> odwracalnej encefalopatii</w:t>
      </w:r>
      <w:r w:rsidRPr="00741122">
        <w:rPr>
          <w:rFonts w:ascii="Times New Roman" w:eastAsia="Times New Roman" w:hAnsi="Times New Roman" w:cs="Times New Roman"/>
          <w:sz w:val="22"/>
          <w:szCs w:val="22"/>
          <w:lang w:val="lt-LT"/>
        </w:rPr>
        <w:t xml:space="preserve"> (PRES), rzadkiej choroby neurologicznej, która może między innymi dawać następujące objawy:</w:t>
      </w:r>
      <w:bookmarkStart w:id="6" w:name="page7"/>
      <w:bookmarkEnd w:id="6"/>
      <w:r w:rsidR="00000B0F">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napady drgawkowe, bóle głowy, zmianę stanu psychicznego, zaburzenia widzenia lub ślepotę korową, z towarzyszącym nadciśnieniem lub bez. Rozpoznanie PRES należy potwierdzić metodami obrazowania mózgu, zwłaszcza metodą rezonansu magnetycznego. U osób z PRES zaleca się stosowanie leczenia określonych objawów, w tym kontrolę nadciśnienia, jak również odstawienie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Nie zbadano bezpieczeństwa ponownego rozpoczęcia leczenia </w:t>
      </w:r>
      <w:r w:rsidR="00105FDF">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u pacjentów, którzy przebyli wcześniej PRES.</w:t>
      </w:r>
    </w:p>
    <w:p w14:paraId="6DDFDF91" w14:textId="77777777" w:rsidR="00071CFE" w:rsidRPr="00741122" w:rsidRDefault="00071CFE" w:rsidP="001B794B">
      <w:pPr>
        <w:rPr>
          <w:rFonts w:ascii="Times New Roman" w:eastAsia="Times New Roman" w:hAnsi="Times New Roman" w:cs="Times New Roman"/>
          <w:sz w:val="22"/>
          <w:szCs w:val="22"/>
          <w:lang w:val="lt-LT"/>
        </w:rPr>
      </w:pPr>
    </w:p>
    <w:p w14:paraId="4090AD8B"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Białkomocz (patrz punkt 4.8)</w:t>
      </w:r>
    </w:p>
    <w:p w14:paraId="095E8EAF" w14:textId="77777777" w:rsidR="0099737B" w:rsidRPr="009A2142" w:rsidRDefault="0099737B" w:rsidP="001B794B">
      <w:pPr>
        <w:rPr>
          <w:rFonts w:ascii="Times New Roman" w:eastAsia="Times New Roman" w:hAnsi="Times New Roman" w:cs="Times New Roman"/>
          <w:sz w:val="22"/>
          <w:szCs w:val="22"/>
          <w:u w:val="single"/>
          <w:lang w:val="lt-LT"/>
        </w:rPr>
      </w:pPr>
    </w:p>
    <w:p w14:paraId="0B94733E" w14:textId="75C1F909" w:rsidR="00071CFE" w:rsidRPr="009A2142" w:rsidRDefault="00071CFE" w:rsidP="001B794B">
      <w:pPr>
        <w:rPr>
          <w:rFonts w:ascii="Times New Roman" w:eastAsia="Times New Roman" w:hAnsi="Times New Roman" w:cs="Times New Roman"/>
          <w:sz w:val="22"/>
          <w:szCs w:val="22"/>
          <w:lang w:val="lt-LT"/>
        </w:rPr>
      </w:pPr>
      <w:r w:rsidRPr="009A2142">
        <w:rPr>
          <w:rFonts w:ascii="Times New Roman" w:eastAsia="Times New Roman" w:hAnsi="Times New Roman" w:cs="Times New Roman"/>
          <w:sz w:val="22"/>
          <w:szCs w:val="22"/>
          <w:lang w:val="lt-LT"/>
        </w:rPr>
        <w:t xml:space="preserve">U pacjentów z nadciśnieniem tętniczym w wywiadzie zwiększa się ryzyko wystąpienia białkomoczu podczas terapii </w:t>
      </w:r>
      <w:r w:rsidR="00F35712" w:rsidRPr="009A2142">
        <w:rPr>
          <w:rFonts w:ascii="Times New Roman" w:eastAsia="Times New Roman" w:hAnsi="Times New Roman" w:cs="Times New Roman"/>
          <w:sz w:val="22"/>
          <w:szCs w:val="22"/>
          <w:lang w:val="lt-LT"/>
        </w:rPr>
        <w:t>bewacyzumabem</w:t>
      </w:r>
      <w:r w:rsidRPr="009A2142">
        <w:rPr>
          <w:rFonts w:ascii="Times New Roman" w:eastAsia="Times New Roman" w:hAnsi="Times New Roman" w:cs="Times New Roman"/>
          <w:sz w:val="22"/>
          <w:szCs w:val="22"/>
          <w:lang w:val="lt-LT"/>
        </w:rPr>
        <w:t xml:space="preserve">. Z danych wynika, że występowanie proteinurii wszystkich stopni (w/g klasyfikacji US National Cancer Institute-Common Terminology Criteria for Adverse Events [NCI-CTCAE v.3]) może być zależne od dawki </w:t>
      </w:r>
      <w:r w:rsidR="00F35712" w:rsidRPr="009A2142">
        <w:rPr>
          <w:rFonts w:ascii="Times New Roman" w:eastAsia="Times New Roman" w:hAnsi="Times New Roman" w:cs="Times New Roman"/>
          <w:sz w:val="22"/>
          <w:szCs w:val="22"/>
          <w:lang w:val="lt-LT"/>
        </w:rPr>
        <w:t>bewacyzumabu</w:t>
      </w:r>
      <w:r w:rsidRPr="009A2142">
        <w:rPr>
          <w:rFonts w:ascii="Times New Roman" w:eastAsia="Times New Roman" w:hAnsi="Times New Roman" w:cs="Times New Roman"/>
          <w:sz w:val="22"/>
          <w:szCs w:val="22"/>
          <w:lang w:val="lt-LT"/>
        </w:rPr>
        <w:t>. Za</w:t>
      </w:r>
      <w:r w:rsidR="00C359D3">
        <w:rPr>
          <w:rFonts w:ascii="Times New Roman" w:eastAsia="Times New Roman" w:hAnsi="Times New Roman" w:cs="Times New Roman"/>
          <w:sz w:val="22"/>
          <w:szCs w:val="22"/>
          <w:lang w:val="lt-LT"/>
        </w:rPr>
        <w:t>leca się kontrolę białkomoczu z </w:t>
      </w:r>
      <w:r w:rsidRPr="009A2142">
        <w:rPr>
          <w:rFonts w:ascii="Times New Roman" w:eastAsia="Times New Roman" w:hAnsi="Times New Roman" w:cs="Times New Roman"/>
          <w:sz w:val="22"/>
          <w:szCs w:val="22"/>
          <w:lang w:val="lt-LT"/>
        </w:rPr>
        <w:t xml:space="preserve">użyciem testów paskowych przed rozpoczęciem i w trakcie terapii. </w:t>
      </w:r>
      <w:r w:rsidR="001144EB">
        <w:rPr>
          <w:rFonts w:ascii="Times New Roman" w:eastAsia="Times New Roman" w:hAnsi="Times New Roman" w:cs="Times New Roman"/>
          <w:sz w:val="22"/>
          <w:szCs w:val="22"/>
          <w:lang w:val="lt-LT"/>
        </w:rPr>
        <w:t>Białkomocz stopnia 4. (zespół nerczycowy) stwierdz</w:t>
      </w:r>
      <w:r w:rsidR="00695394">
        <w:rPr>
          <w:rFonts w:ascii="Times New Roman" w:eastAsia="Times New Roman" w:hAnsi="Times New Roman" w:cs="Times New Roman"/>
          <w:sz w:val="22"/>
          <w:szCs w:val="22"/>
          <w:lang w:val="lt-LT"/>
        </w:rPr>
        <w:t>o</w:t>
      </w:r>
      <w:r w:rsidR="001144EB">
        <w:rPr>
          <w:rFonts w:ascii="Times New Roman" w:eastAsia="Times New Roman" w:hAnsi="Times New Roman" w:cs="Times New Roman"/>
          <w:sz w:val="22"/>
          <w:szCs w:val="22"/>
          <w:lang w:val="lt-LT"/>
        </w:rPr>
        <w:t xml:space="preserve">no u 1,4% pacjentów leczonych bewacyzumabem. </w:t>
      </w:r>
      <w:r w:rsidRPr="009A2142">
        <w:rPr>
          <w:rFonts w:ascii="Times New Roman" w:eastAsia="Times New Roman" w:hAnsi="Times New Roman" w:cs="Times New Roman"/>
          <w:sz w:val="22"/>
          <w:szCs w:val="22"/>
          <w:lang w:val="lt-LT"/>
        </w:rPr>
        <w:t>Lek należy całkowicie odstawić u pacjentów, u których wystąpi białkomocz stopnia 4. (zespół nerczycowy) (NCI-CTCAE v.3).</w:t>
      </w:r>
    </w:p>
    <w:p w14:paraId="5915D6AE" w14:textId="77777777" w:rsidR="00071CFE" w:rsidRPr="00741122" w:rsidRDefault="00071CFE" w:rsidP="00A01D45">
      <w:pPr>
        <w:keepNext/>
        <w:rPr>
          <w:rFonts w:ascii="Times New Roman" w:eastAsia="Times New Roman" w:hAnsi="Times New Roman" w:cs="Times New Roman"/>
          <w:sz w:val="22"/>
          <w:szCs w:val="22"/>
          <w:lang w:val="lt-LT"/>
        </w:rPr>
      </w:pPr>
    </w:p>
    <w:p w14:paraId="35D9C427" w14:textId="77777777" w:rsidR="00071CFE" w:rsidRPr="00741122" w:rsidRDefault="00071CFE" w:rsidP="00FE1EE0">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Zakrzepica zatorowa tętnic (patrz punkt 4.8)</w:t>
      </w:r>
    </w:p>
    <w:p w14:paraId="7E46D811" w14:textId="77777777" w:rsidR="00AA776B" w:rsidRPr="00741122" w:rsidRDefault="00AA776B" w:rsidP="001B794B">
      <w:pPr>
        <w:rPr>
          <w:rFonts w:ascii="Times New Roman" w:eastAsia="Times New Roman" w:hAnsi="Times New Roman" w:cs="Times New Roman"/>
          <w:sz w:val="22"/>
          <w:szCs w:val="22"/>
          <w:lang w:val="lt-LT"/>
        </w:rPr>
      </w:pPr>
    </w:p>
    <w:p w14:paraId="7EDC0473"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badaniach klinicznych częstość występowania zakrzepów z zatorami w obrębie tętnic, w</w:t>
      </w:r>
      <w:r w:rsidR="00F57858">
        <w:rPr>
          <w:rFonts w:ascii="Times New Roman" w:eastAsia="Times New Roman" w:hAnsi="Times New Roman" w:cs="Times New Roman"/>
          <w:sz w:val="22"/>
          <w:szCs w:val="22"/>
          <w:lang w:val="lt-LT"/>
        </w:rPr>
        <w:t xml:space="preserve"> tym</w:t>
      </w:r>
      <w:r w:rsidRPr="00741122">
        <w:rPr>
          <w:rFonts w:ascii="Times New Roman" w:eastAsia="Times New Roman" w:hAnsi="Times New Roman" w:cs="Times New Roman"/>
          <w:sz w:val="22"/>
          <w:szCs w:val="22"/>
          <w:lang w:val="lt-LT"/>
        </w:rPr>
        <w:t xml:space="preserve"> incydenty naczyniowo-mózgowe (ang. Cerebrovascular Accidents - CVAs), przemijające napady niedokrwienne mózgu (ang. Transient Ischaemic Attacks - TIAs) i zawał mięśnia sercowego (ang. Myocardial Infarctions - MIs), była zwiększona u pacjentów leczonych </w:t>
      </w:r>
      <w:r w:rsidR="00F35712">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w skojarzeniu z</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chemioterapią w porównaniu </w:t>
      </w:r>
      <w:r w:rsidR="00F57858">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pacjent</w:t>
      </w:r>
      <w:r w:rsidR="00F57858">
        <w:rPr>
          <w:rFonts w:ascii="Times New Roman" w:eastAsia="Times New Roman" w:hAnsi="Times New Roman" w:cs="Times New Roman"/>
          <w:sz w:val="22"/>
          <w:szCs w:val="22"/>
          <w:lang w:val="lt-LT"/>
        </w:rPr>
        <w:t>ami</w:t>
      </w:r>
      <w:r w:rsidRPr="00741122">
        <w:rPr>
          <w:rFonts w:ascii="Times New Roman" w:eastAsia="Times New Roman" w:hAnsi="Times New Roman" w:cs="Times New Roman"/>
          <w:sz w:val="22"/>
          <w:szCs w:val="22"/>
          <w:lang w:val="lt-LT"/>
        </w:rPr>
        <w:t xml:space="preserve"> otrzymujący</w:t>
      </w:r>
      <w:r w:rsidR="00F57858">
        <w:rPr>
          <w:rFonts w:ascii="Times New Roman" w:eastAsia="Times New Roman" w:hAnsi="Times New Roman" w:cs="Times New Roman"/>
          <w:sz w:val="22"/>
          <w:szCs w:val="22"/>
          <w:lang w:val="lt-LT"/>
        </w:rPr>
        <w:t>mi</w:t>
      </w:r>
      <w:r w:rsidRPr="00741122">
        <w:rPr>
          <w:rFonts w:ascii="Times New Roman" w:eastAsia="Times New Roman" w:hAnsi="Times New Roman" w:cs="Times New Roman"/>
          <w:sz w:val="22"/>
          <w:szCs w:val="22"/>
          <w:lang w:val="lt-LT"/>
        </w:rPr>
        <w:t xml:space="preserve"> tylko chemioterapię.</w:t>
      </w:r>
    </w:p>
    <w:p w14:paraId="59A3AEC8" w14:textId="77777777" w:rsidR="00071CFE" w:rsidRPr="00741122" w:rsidRDefault="00071CFE" w:rsidP="001B794B">
      <w:pPr>
        <w:rPr>
          <w:rFonts w:ascii="Times New Roman" w:eastAsia="Times New Roman" w:hAnsi="Times New Roman" w:cs="Times New Roman"/>
          <w:sz w:val="22"/>
          <w:szCs w:val="22"/>
          <w:lang w:val="lt-LT"/>
        </w:rPr>
      </w:pPr>
    </w:p>
    <w:p w14:paraId="777503FF"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Występowanie tętniczej zakrzepicy zatorowej lub cukrzycy w wywiadzie</w:t>
      </w:r>
      <w:r w:rsidR="00F5785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lub wiek powyżej 65 lat u</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pacjentów przyjmujących </w:t>
      </w:r>
      <w:r w:rsidR="00F35712">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z chemioterapią, </w:t>
      </w:r>
      <w:r w:rsidR="00D23F80">
        <w:rPr>
          <w:rFonts w:ascii="Times New Roman" w:eastAsia="Times New Roman" w:hAnsi="Times New Roman" w:cs="Times New Roman"/>
          <w:sz w:val="22"/>
          <w:szCs w:val="22"/>
          <w:lang w:val="lt-LT"/>
        </w:rPr>
        <w:t>są</w:t>
      </w:r>
      <w:r w:rsidRPr="00741122">
        <w:rPr>
          <w:rFonts w:ascii="Times New Roman" w:eastAsia="Times New Roman" w:hAnsi="Times New Roman" w:cs="Times New Roman"/>
          <w:sz w:val="22"/>
          <w:szCs w:val="22"/>
          <w:lang w:val="lt-LT"/>
        </w:rPr>
        <w:t xml:space="preserve"> związane ze zwiększonym ryzykiem wystąpienia zakrzepów z zatorami w obrębie tętnic w trakcie terapii. Należy zatem zachować ostrożność podczas leczenia tych grup pacjentów</w:t>
      </w:r>
      <w:r w:rsidR="00F35712">
        <w:rPr>
          <w:rFonts w:ascii="Times New Roman" w:eastAsia="Times New Roman" w:hAnsi="Times New Roman" w:cs="Times New Roman"/>
          <w:sz w:val="22"/>
          <w:szCs w:val="22"/>
          <w:lang w:val="lt-LT"/>
        </w:rPr>
        <w:t xml:space="preserve"> produktem MVASI</w:t>
      </w:r>
      <w:r w:rsidRPr="00741122">
        <w:rPr>
          <w:rFonts w:ascii="Times New Roman" w:eastAsia="Times New Roman" w:hAnsi="Times New Roman" w:cs="Times New Roman"/>
          <w:sz w:val="22"/>
          <w:szCs w:val="22"/>
          <w:lang w:val="lt-LT"/>
        </w:rPr>
        <w:t>.</w:t>
      </w:r>
    </w:p>
    <w:p w14:paraId="5F274991" w14:textId="77777777" w:rsidR="00071CFE" w:rsidRPr="00741122" w:rsidRDefault="00071CFE" w:rsidP="001B794B">
      <w:pPr>
        <w:rPr>
          <w:rFonts w:ascii="Times New Roman" w:eastAsia="Times New Roman" w:hAnsi="Times New Roman" w:cs="Times New Roman"/>
          <w:sz w:val="22"/>
          <w:szCs w:val="22"/>
          <w:lang w:val="lt-LT"/>
        </w:rPr>
      </w:pPr>
    </w:p>
    <w:p w14:paraId="013E2A4E"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Leczenie należy całkowicie przerwać u pacjentów, u których wystąpi zakrzepica zatorowa tętnic.</w:t>
      </w:r>
    </w:p>
    <w:p w14:paraId="48E991A8" w14:textId="77777777" w:rsidR="00071CFE" w:rsidRPr="00741122" w:rsidRDefault="00071CFE" w:rsidP="001B794B">
      <w:pPr>
        <w:rPr>
          <w:rFonts w:ascii="Times New Roman" w:eastAsia="Times New Roman" w:hAnsi="Times New Roman" w:cs="Times New Roman"/>
          <w:sz w:val="22"/>
          <w:szCs w:val="22"/>
          <w:lang w:val="lt-LT"/>
        </w:rPr>
      </w:pPr>
    </w:p>
    <w:p w14:paraId="4385B106"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Zakrzepica zatorowa żył (patrz punkt 4.8)</w:t>
      </w:r>
    </w:p>
    <w:p w14:paraId="7AE5140F" w14:textId="77777777" w:rsidR="00071CFE" w:rsidRPr="00741122" w:rsidRDefault="00071CFE" w:rsidP="001B794B">
      <w:pPr>
        <w:rPr>
          <w:rFonts w:ascii="Times New Roman" w:eastAsia="Times New Roman" w:hAnsi="Times New Roman" w:cs="Times New Roman"/>
          <w:sz w:val="22"/>
          <w:szCs w:val="22"/>
          <w:lang w:val="lt-LT"/>
        </w:rPr>
      </w:pPr>
    </w:p>
    <w:p w14:paraId="413F7E5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pacjentów leczonych </w:t>
      </w:r>
      <w:r w:rsidR="00A64133">
        <w:rPr>
          <w:rFonts w:ascii="Times New Roman" w:eastAsia="Times New Roman" w:hAnsi="Times New Roman" w:cs="Times New Roman"/>
          <w:sz w:val="22"/>
          <w:szCs w:val="22"/>
          <w:lang w:val="lt-LT"/>
        </w:rPr>
        <w:t xml:space="preserve">bewacyzumabem </w:t>
      </w:r>
      <w:r w:rsidRPr="00741122">
        <w:rPr>
          <w:rFonts w:ascii="Times New Roman" w:eastAsia="Times New Roman" w:hAnsi="Times New Roman" w:cs="Times New Roman"/>
          <w:sz w:val="22"/>
          <w:szCs w:val="22"/>
          <w:lang w:val="lt-LT"/>
        </w:rPr>
        <w:t>może wystąpić zwiększone ryzyko żylnych zaburzeń zakrzepowo-zatorowych, w tym zatorowości płucnej.</w:t>
      </w:r>
    </w:p>
    <w:p w14:paraId="3BDE5886" w14:textId="77777777" w:rsidR="00A82848" w:rsidRDefault="00A82848" w:rsidP="001B794B">
      <w:pPr>
        <w:rPr>
          <w:rFonts w:ascii="Times New Roman" w:eastAsia="Times New Roman" w:hAnsi="Times New Roman" w:cs="Times New Roman"/>
          <w:sz w:val="22"/>
          <w:szCs w:val="22"/>
          <w:lang w:val="lt-LT"/>
        </w:rPr>
      </w:pPr>
    </w:p>
    <w:p w14:paraId="5BF6D7C2"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Pacjentki leczone </w:t>
      </w:r>
      <w:r w:rsidR="00A64133">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w skojarzeniu z paklitakselem i cisplatyną z powodu przetrwałego, nawrotowego lub przerzutowego raka szyjki macicy mogą być narażone na większe ryzyko wystąpienia zakrzepicy zatorowej żył.</w:t>
      </w:r>
    </w:p>
    <w:p w14:paraId="27C00778" w14:textId="77777777" w:rsidR="00071CFE" w:rsidRPr="00741122" w:rsidRDefault="00071CFE" w:rsidP="001B794B">
      <w:pPr>
        <w:rPr>
          <w:rFonts w:ascii="Times New Roman" w:eastAsia="Times New Roman" w:hAnsi="Times New Roman" w:cs="Times New Roman"/>
          <w:sz w:val="22"/>
          <w:szCs w:val="22"/>
          <w:lang w:val="lt-LT"/>
        </w:rPr>
      </w:pPr>
    </w:p>
    <w:p w14:paraId="0CEB3FD8"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U pacjentów z zagrażającymi życiu (stopień 4</w:t>
      </w:r>
      <w:r w:rsidR="00255BE0">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zaburzeniami zakrzepowo-zatorowymi, w tym zatorowością płucną (NCI-CTCAE v.3), należy przerwać stosowanie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Pacjentów z</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zaburzeniami zakrzepowo-zatorowymi stopnia 3</w:t>
      </w:r>
      <w:r w:rsidR="00255BE0">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lub niższego należy dokładnie kontrolować (NCI-CTCAE v.3).</w:t>
      </w:r>
    </w:p>
    <w:p w14:paraId="37FCEC41" w14:textId="77777777" w:rsidR="00071CFE" w:rsidRPr="00741122" w:rsidRDefault="00071CFE" w:rsidP="001B794B">
      <w:pPr>
        <w:rPr>
          <w:rFonts w:ascii="Times New Roman" w:eastAsia="Times New Roman" w:hAnsi="Times New Roman" w:cs="Times New Roman"/>
          <w:sz w:val="22"/>
          <w:szCs w:val="22"/>
          <w:lang w:val="lt-LT"/>
        </w:rPr>
      </w:pPr>
    </w:p>
    <w:p w14:paraId="7D004896"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Krwotoki</w:t>
      </w:r>
    </w:p>
    <w:p w14:paraId="0EED8D91" w14:textId="77777777" w:rsidR="00071CFE" w:rsidRPr="00741122" w:rsidRDefault="00071CFE" w:rsidP="001B794B">
      <w:pPr>
        <w:rPr>
          <w:rFonts w:ascii="Times New Roman" w:eastAsia="Times New Roman" w:hAnsi="Times New Roman" w:cs="Times New Roman"/>
          <w:sz w:val="22"/>
          <w:szCs w:val="22"/>
          <w:lang w:val="lt-LT"/>
        </w:rPr>
      </w:pPr>
    </w:p>
    <w:p w14:paraId="4A5CBCE1"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pacjentów przyjmujących </w:t>
      </w:r>
      <w:r w:rsidR="00F25E1E">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występuje zwiększone ryzyko wystąpienia krwotoków, w tym krwotoków zależnych od guza.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należy całkowicie odstawić u pacjentów, u których wystąpi krwawienie stopnia 3. lub 4. w trakcie terapii</w:t>
      </w:r>
      <w:r w:rsidR="00F25E1E">
        <w:rPr>
          <w:rFonts w:ascii="Times New Roman" w:eastAsia="Times New Roman" w:hAnsi="Times New Roman" w:cs="Times New Roman"/>
          <w:sz w:val="22"/>
          <w:szCs w:val="22"/>
          <w:lang w:val="lt-LT"/>
        </w:rPr>
        <w:t xml:space="preserve"> bewacyzumabem</w:t>
      </w:r>
      <w:r w:rsidRPr="00741122">
        <w:rPr>
          <w:rFonts w:ascii="Times New Roman" w:eastAsia="Times New Roman" w:hAnsi="Times New Roman" w:cs="Times New Roman"/>
          <w:sz w:val="22"/>
          <w:szCs w:val="22"/>
          <w:lang w:val="lt-LT"/>
        </w:rPr>
        <w:t xml:space="preserve"> (NCI-CTCAE v.3) (patrz punkt 4.8).</w:t>
      </w:r>
    </w:p>
    <w:p w14:paraId="62C6EF55" w14:textId="77777777" w:rsidR="00071CFE" w:rsidRPr="00741122" w:rsidRDefault="00071CFE" w:rsidP="001B794B">
      <w:pPr>
        <w:rPr>
          <w:rFonts w:ascii="Times New Roman" w:eastAsia="Times New Roman" w:hAnsi="Times New Roman" w:cs="Times New Roman"/>
          <w:sz w:val="22"/>
          <w:szCs w:val="22"/>
          <w:lang w:val="lt-LT"/>
        </w:rPr>
      </w:pPr>
    </w:p>
    <w:p w14:paraId="04D889CB" w14:textId="43792BCD"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Pacjenci z nieleczonymi przerzutami do </w:t>
      </w:r>
      <w:r w:rsidR="005C3758">
        <w:rPr>
          <w:rFonts w:ascii="Times New Roman" w:eastAsia="Times New Roman" w:hAnsi="Times New Roman" w:cs="Times New Roman"/>
          <w:sz w:val="22"/>
          <w:szCs w:val="22"/>
          <w:lang w:val="lt-LT"/>
        </w:rPr>
        <w:t>ośrodkowego układu nerwowego (</w:t>
      </w:r>
      <w:r w:rsidRPr="00741122">
        <w:rPr>
          <w:rFonts w:ascii="Times New Roman" w:eastAsia="Times New Roman" w:hAnsi="Times New Roman" w:cs="Times New Roman"/>
          <w:sz w:val="22"/>
          <w:szCs w:val="22"/>
          <w:lang w:val="lt-LT"/>
        </w:rPr>
        <w:t>OUN</w:t>
      </w:r>
      <w:r w:rsidR="005C375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byli rutynowo wyłączani z badań klinicznych </w:t>
      </w:r>
      <w:r w:rsidR="00F25E1E">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oparciu o badania obrazowe lub objawy kliniczne. Dlatego ryzyko krwawienia do OUN u takich pacjentów nie było ocenione w prospektywnych</w:t>
      </w:r>
      <w:r w:rsidR="006628B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randomizowanych badaniach klinicznych (patrz punkt 4.8). Pacjenci powinni być kontrolowani w kierunku objawów krwawienia do OUN i terapia pr</w:t>
      </w:r>
      <w:r w:rsidR="006628B6">
        <w:rPr>
          <w:rFonts w:ascii="Times New Roman" w:eastAsia="Times New Roman" w:hAnsi="Times New Roman" w:cs="Times New Roman"/>
          <w:sz w:val="22"/>
          <w:szCs w:val="22"/>
          <w:lang w:val="lt-LT"/>
        </w:rPr>
        <w:t>oduktem</w:t>
      </w:r>
      <w:r w:rsidRPr="00741122">
        <w:rPr>
          <w:rFonts w:ascii="Times New Roman" w:eastAsia="Times New Roman" w:hAnsi="Times New Roman" w:cs="Times New Roman"/>
          <w:sz w:val="22"/>
          <w:szCs w:val="22"/>
          <w:lang w:val="lt-LT"/>
        </w:rPr>
        <w:t xml:space="preserve">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powinna być przerwana w przypadku krwawienia wewnątrzczaszkowego.</w:t>
      </w:r>
    </w:p>
    <w:p w14:paraId="022AD22B" w14:textId="77777777" w:rsidR="00071CFE" w:rsidRPr="00741122" w:rsidRDefault="00071CFE" w:rsidP="001B794B">
      <w:pPr>
        <w:rPr>
          <w:rFonts w:ascii="Times New Roman" w:eastAsia="Times New Roman" w:hAnsi="Times New Roman" w:cs="Times New Roman"/>
          <w:sz w:val="22"/>
          <w:szCs w:val="22"/>
          <w:lang w:val="lt-LT"/>
        </w:rPr>
      </w:pPr>
    </w:p>
    <w:p w14:paraId="3FCD6F8C"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ma danych dotyczących profilu bezpieczeństwa </w:t>
      </w:r>
      <w:r w:rsidR="00F25E1E">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u pacjentów z wrodzoną skazą krwotoczną, nabytą koagulopatią lub u pacjentów otrzymujących pełne dawki leków przeciwzakrzepowych z powodu zakrzepicy zatorowej przed rozpoczęciem terapii </w:t>
      </w:r>
      <w:r w:rsidR="00F25E1E">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jako że pacjenci ci byli wyłączeni z badań klinicznych. Dlatego też należy zachować ostrożność przed</w:t>
      </w:r>
      <w:bookmarkStart w:id="7" w:name="page8"/>
      <w:bookmarkEnd w:id="7"/>
      <w:r w:rsidR="00047D2C"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rozpoczęciem leczenia w tej grupie pacjentów. Niemniej pacjenci, u których wystąpi zakrzepica żylna, nie mają zwiększonego ryzyka krwawień w stopniu 3</w:t>
      </w:r>
      <w:r w:rsidR="006628B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lub wyższym podczas jednoczesnego podawania w</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pełnej dawce warfaryny i </w:t>
      </w:r>
      <w:r w:rsidR="00F25E1E">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(NCI-CTCAE v.3).</w:t>
      </w:r>
    </w:p>
    <w:p w14:paraId="473D22FB" w14:textId="77777777" w:rsidR="00071CFE" w:rsidRPr="00741122" w:rsidRDefault="00071CFE" w:rsidP="001B794B">
      <w:pPr>
        <w:rPr>
          <w:rFonts w:ascii="Times New Roman" w:eastAsia="Times New Roman" w:hAnsi="Times New Roman" w:cs="Times New Roman"/>
          <w:sz w:val="22"/>
          <w:szCs w:val="22"/>
          <w:lang w:val="lt-LT"/>
        </w:rPr>
      </w:pPr>
    </w:p>
    <w:p w14:paraId="0F73CEDA" w14:textId="77777777" w:rsidR="00071CFE" w:rsidRPr="00741122" w:rsidRDefault="00071CFE" w:rsidP="007C0024">
      <w:pPr>
        <w:keepNext/>
        <w:keepLines/>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lastRenderedPageBreak/>
        <w:t>Krwotok płucny/krwioplucie</w:t>
      </w:r>
    </w:p>
    <w:p w14:paraId="68D3489A" w14:textId="77777777" w:rsidR="00071CFE" w:rsidRPr="00741122" w:rsidRDefault="00071CFE" w:rsidP="007C0024">
      <w:pPr>
        <w:keepNext/>
        <w:keepLines/>
        <w:rPr>
          <w:rFonts w:ascii="Times New Roman" w:eastAsia="Times New Roman" w:hAnsi="Times New Roman" w:cs="Times New Roman"/>
          <w:sz w:val="22"/>
          <w:szCs w:val="22"/>
          <w:lang w:val="lt-LT"/>
        </w:rPr>
      </w:pPr>
    </w:p>
    <w:p w14:paraId="0C9519C2" w14:textId="77777777" w:rsidR="00071CFE" w:rsidRPr="00741122" w:rsidRDefault="00071CFE" w:rsidP="007C0024">
      <w:pPr>
        <w:keepNext/>
        <w:keepLine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pacjentów z niedrobnokomórkowym rakiem płuca przyjmujących </w:t>
      </w:r>
      <w:r w:rsidR="00F25E1E">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istnieje ryzyko wystąpienia ciężkich, w niektórych przypadkach śmiertelnych, krwotoków płucnych/krwioplucia. Pacjenci z przebytymi ostatnio krwotoka</w:t>
      </w:r>
      <w:r w:rsidR="00047D2C" w:rsidRPr="00741122">
        <w:rPr>
          <w:rFonts w:ascii="Times New Roman" w:eastAsia="Times New Roman" w:hAnsi="Times New Roman" w:cs="Times New Roman"/>
          <w:sz w:val="22"/>
          <w:szCs w:val="22"/>
          <w:lang w:val="lt-LT"/>
        </w:rPr>
        <w:t>mi płucnymi/krwiopluciem (&gt;</w:t>
      </w:r>
      <w:r w:rsidR="006628B6">
        <w:rPr>
          <w:rFonts w:ascii="Times New Roman" w:eastAsia="Times New Roman" w:hAnsi="Times New Roman" w:cs="Times New Roman"/>
          <w:sz w:val="22"/>
          <w:szCs w:val="22"/>
          <w:lang w:val="lt-LT"/>
        </w:rPr>
        <w:t> </w:t>
      </w:r>
      <w:r w:rsidR="00047D2C" w:rsidRPr="00741122">
        <w:rPr>
          <w:rFonts w:ascii="Times New Roman" w:eastAsia="Times New Roman" w:hAnsi="Times New Roman" w:cs="Times New Roman"/>
          <w:sz w:val="22"/>
          <w:szCs w:val="22"/>
          <w:lang w:val="lt-LT"/>
        </w:rPr>
        <w:t>2,5 </w:t>
      </w:r>
      <w:r w:rsidRPr="00741122">
        <w:rPr>
          <w:rFonts w:ascii="Times New Roman" w:eastAsia="Times New Roman" w:hAnsi="Times New Roman" w:cs="Times New Roman"/>
          <w:sz w:val="22"/>
          <w:szCs w:val="22"/>
          <w:lang w:val="lt-LT"/>
        </w:rPr>
        <w:t xml:space="preserve">ml czerwonej krwi) nie powinni przyjmować </w:t>
      </w:r>
      <w:r w:rsidR="00F25E1E">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w:t>
      </w:r>
    </w:p>
    <w:p w14:paraId="4F09EAD6" w14:textId="77777777" w:rsidR="00071CFE" w:rsidRPr="00741122" w:rsidRDefault="00071CFE" w:rsidP="001B794B">
      <w:pPr>
        <w:rPr>
          <w:rFonts w:ascii="Times New Roman" w:eastAsia="Times New Roman" w:hAnsi="Times New Roman" w:cs="Times New Roman"/>
          <w:sz w:val="22"/>
          <w:szCs w:val="22"/>
          <w:lang w:val="lt-LT"/>
        </w:rPr>
      </w:pPr>
    </w:p>
    <w:p w14:paraId="4A82F8E5"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Zastoinowa niewydolność serca (ang. Congestive Heart Failure - CHF) (patrz punkt 4.8).</w:t>
      </w:r>
    </w:p>
    <w:p w14:paraId="1D934B46" w14:textId="77777777" w:rsidR="00AA776B" w:rsidRPr="00741122" w:rsidRDefault="00AA776B" w:rsidP="001B794B">
      <w:pPr>
        <w:rPr>
          <w:rFonts w:ascii="Times New Roman" w:eastAsia="Times New Roman" w:hAnsi="Times New Roman" w:cs="Times New Roman"/>
          <w:sz w:val="22"/>
          <w:szCs w:val="22"/>
          <w:u w:val="single"/>
          <w:lang w:val="lt-LT"/>
        </w:rPr>
      </w:pPr>
    </w:p>
    <w:p w14:paraId="36BB8D5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badaniach klinicznych obserwowano objawy wskazujące na zastoinową niewydolność serca. Zdarzenia tego typu obejmowały </w:t>
      </w:r>
      <w:r w:rsidR="006628B6">
        <w:rPr>
          <w:rFonts w:ascii="Times New Roman" w:eastAsia="Times New Roman" w:hAnsi="Times New Roman" w:cs="Times New Roman"/>
          <w:sz w:val="22"/>
          <w:szCs w:val="22"/>
          <w:lang w:val="lt-LT"/>
        </w:rPr>
        <w:t xml:space="preserve">przypadki </w:t>
      </w:r>
      <w:r w:rsidRPr="00741122">
        <w:rPr>
          <w:rFonts w:ascii="Times New Roman" w:eastAsia="Times New Roman" w:hAnsi="Times New Roman" w:cs="Times New Roman"/>
          <w:sz w:val="22"/>
          <w:szCs w:val="22"/>
          <w:lang w:val="lt-LT"/>
        </w:rPr>
        <w:t xml:space="preserve">od bezobjawowego zmniejszenia frakcji wyrzutowej komory lewej do objawowej zastoinowej niewydolności serca, wymagającej leczenia lub hospitalizacji. Należy zachować ostrożność podczas leczenia </w:t>
      </w:r>
      <w:r w:rsidR="00F25E1E">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pacjentów z klinicznie istotną chorobą sercowo-naczyniową, taką jak występująca wcześniej choroba wieńcowa lub zastoinowa niewydolność serca.</w:t>
      </w:r>
    </w:p>
    <w:p w14:paraId="542A9621" w14:textId="77777777" w:rsidR="00071CFE" w:rsidRPr="00741122" w:rsidRDefault="00071CFE" w:rsidP="001B794B">
      <w:pPr>
        <w:rPr>
          <w:rFonts w:ascii="Times New Roman" w:eastAsia="Times New Roman" w:hAnsi="Times New Roman" w:cs="Times New Roman"/>
          <w:sz w:val="22"/>
          <w:szCs w:val="22"/>
          <w:lang w:val="lt-LT"/>
        </w:rPr>
      </w:pPr>
    </w:p>
    <w:p w14:paraId="00CE4111"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Większość pacjentów, u których wystąpiła zastoinowa niewydolność serca, miała raka piersi z przerzutami i otrzymywała wcześniej antracykliny, została poddana wcześniej radioterapii lewej ściany klatki piersiowej lub były obecne inne czynniki ryzyka wystąpienia zastoinowej niewydolności serca.</w:t>
      </w:r>
    </w:p>
    <w:p w14:paraId="03A2CAD3" w14:textId="77777777" w:rsidR="00071CFE" w:rsidRPr="00741122" w:rsidRDefault="00071CFE" w:rsidP="001B794B">
      <w:pPr>
        <w:rPr>
          <w:rFonts w:ascii="Times New Roman" w:eastAsia="Times New Roman" w:hAnsi="Times New Roman" w:cs="Times New Roman"/>
          <w:sz w:val="22"/>
          <w:szCs w:val="22"/>
          <w:lang w:val="lt-LT"/>
        </w:rPr>
      </w:pPr>
    </w:p>
    <w:p w14:paraId="174BA320"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pacjentów w badaniu AVF3694g leczonych antracyklinami, którzy uprzednio nie otrzymywali antracyklin, nie obserwowano zwiększenia częstości występowania zastoinowej niewydolności serca dowolnego stopnia w grupie leczonej antracykliną z bewacyzumabem w porównaniu </w:t>
      </w:r>
      <w:r w:rsidR="006628B6">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grup</w:t>
      </w:r>
      <w:r w:rsidR="006628B6">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leczon</w:t>
      </w:r>
      <w:r w:rsidR="006628B6">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wyłącznie antracyklinami. Zastoinowa niewydolność serca stopnia co najmniej 3. występowała nieco częściej u pacjentów otrzymujących bewacyzumab w skojarzeniu z chemioterapią niż u pacjentów leczonych wyłącznie chemioterapią. Obserwacja ta jest spójna z danymi z innych badań z udziałem pacjentów z rozsianym rakiem piersi, którzy nie otrzymywali równocześnie antracyklin (NCI-CTCAE</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v.3) (patrz punkt 4.8).</w:t>
      </w:r>
    </w:p>
    <w:p w14:paraId="4BBDB083" w14:textId="77777777" w:rsidR="00071CFE" w:rsidRPr="00741122" w:rsidRDefault="00071CFE" w:rsidP="001B794B">
      <w:pPr>
        <w:rPr>
          <w:rFonts w:ascii="Times New Roman" w:eastAsia="Times New Roman" w:hAnsi="Times New Roman" w:cs="Times New Roman"/>
          <w:sz w:val="22"/>
          <w:szCs w:val="22"/>
          <w:lang w:val="lt-LT"/>
        </w:rPr>
      </w:pPr>
    </w:p>
    <w:p w14:paraId="472980C4"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Neutropenia i infekcje (patrz punkt 4.8)</w:t>
      </w:r>
    </w:p>
    <w:p w14:paraId="1E3DAFD4" w14:textId="77777777" w:rsidR="00AA776B" w:rsidRPr="00741122" w:rsidRDefault="00AA776B" w:rsidP="001B794B">
      <w:pPr>
        <w:rPr>
          <w:rFonts w:ascii="Times New Roman" w:eastAsia="Times New Roman" w:hAnsi="Times New Roman" w:cs="Times New Roman"/>
          <w:sz w:val="22"/>
          <w:szCs w:val="22"/>
          <w:u w:val="single"/>
          <w:lang w:val="lt-LT"/>
        </w:rPr>
      </w:pPr>
    </w:p>
    <w:p w14:paraId="3F8F1C93"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pacjentów otrzymujących niektóre rodzaje chemioterapii toksyczne dla szpiku jednocześnie z </w:t>
      </w:r>
      <w:r w:rsidR="00F25E1E">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obserwowano częstsze występowanie ciężkiej neutropenii, gorączki neutropenicznej (w tym również przypadków śmiertelnych) oraz infekcji z lub bez ciężkiej neutropenii w porównaniu </w:t>
      </w:r>
      <w:r w:rsidR="006628B6">
        <w:rPr>
          <w:rFonts w:ascii="Times New Roman" w:eastAsia="Times New Roman" w:hAnsi="Times New Roman" w:cs="Times New Roman"/>
          <w:sz w:val="22"/>
          <w:szCs w:val="22"/>
          <w:lang w:val="lt-LT"/>
        </w:rPr>
        <w:t>z</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pacjent</w:t>
      </w:r>
      <w:r w:rsidR="006628B6">
        <w:rPr>
          <w:rFonts w:ascii="Times New Roman" w:eastAsia="Times New Roman" w:hAnsi="Times New Roman" w:cs="Times New Roman"/>
          <w:sz w:val="22"/>
          <w:szCs w:val="22"/>
          <w:lang w:val="lt-LT"/>
        </w:rPr>
        <w:t>ami</w:t>
      </w:r>
      <w:r w:rsidRPr="00741122">
        <w:rPr>
          <w:rFonts w:ascii="Times New Roman" w:eastAsia="Times New Roman" w:hAnsi="Times New Roman" w:cs="Times New Roman"/>
          <w:sz w:val="22"/>
          <w:szCs w:val="22"/>
          <w:lang w:val="lt-LT"/>
        </w:rPr>
        <w:t xml:space="preserve"> otrzymujący</w:t>
      </w:r>
      <w:r w:rsidR="006628B6">
        <w:rPr>
          <w:rFonts w:ascii="Times New Roman" w:eastAsia="Times New Roman" w:hAnsi="Times New Roman" w:cs="Times New Roman"/>
          <w:sz w:val="22"/>
          <w:szCs w:val="22"/>
          <w:lang w:val="lt-LT"/>
        </w:rPr>
        <w:t>mi</w:t>
      </w:r>
      <w:r w:rsidRPr="00741122">
        <w:rPr>
          <w:rFonts w:ascii="Times New Roman" w:eastAsia="Times New Roman" w:hAnsi="Times New Roman" w:cs="Times New Roman"/>
          <w:sz w:val="22"/>
          <w:szCs w:val="22"/>
          <w:lang w:val="lt-LT"/>
        </w:rPr>
        <w:t xml:space="preserve"> tylko chemioterapię. Dotyczyło to przede wszystkim schematów zawierających pochodne platyny lub taksany</w:t>
      </w:r>
      <w:r w:rsidR="009876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stosowanych w leczeniu chorych na niedrobnokomórkowego raka płuca, raka piersi z przerzutami oraz schematu zawierającego paklitaksel i</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topotekan</w:t>
      </w:r>
      <w:r w:rsidR="009876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stosowanego u chorych na przetrwałego, nawrotowego lub przerzutowego raka szyjki macicy.</w:t>
      </w:r>
    </w:p>
    <w:p w14:paraId="704814F5" w14:textId="77777777" w:rsidR="00071CFE" w:rsidRPr="00741122" w:rsidRDefault="00071CFE" w:rsidP="001B794B">
      <w:pPr>
        <w:rPr>
          <w:rFonts w:ascii="Times New Roman" w:eastAsia="Times New Roman" w:hAnsi="Times New Roman" w:cs="Times New Roman"/>
          <w:sz w:val="22"/>
          <w:szCs w:val="22"/>
          <w:lang w:val="lt-LT"/>
        </w:rPr>
      </w:pPr>
    </w:p>
    <w:p w14:paraId="1858E7E1" w14:textId="67863A11"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Reakcje nadwrażliwości</w:t>
      </w:r>
      <w:r w:rsidR="00754B1C">
        <w:rPr>
          <w:rFonts w:ascii="Times New Roman" w:eastAsia="Times New Roman" w:hAnsi="Times New Roman" w:cs="Times New Roman"/>
          <w:sz w:val="22"/>
          <w:szCs w:val="22"/>
          <w:u w:val="single"/>
          <w:lang w:val="lt-LT"/>
        </w:rPr>
        <w:t xml:space="preserve"> (w tym wstrząs anafilaktyczny)</w:t>
      </w:r>
      <w:r w:rsidRPr="00741122">
        <w:rPr>
          <w:rFonts w:ascii="Times New Roman" w:eastAsia="Times New Roman" w:hAnsi="Times New Roman" w:cs="Times New Roman"/>
          <w:sz w:val="22"/>
          <w:szCs w:val="22"/>
          <w:u w:val="single"/>
          <w:lang w:val="lt-LT"/>
        </w:rPr>
        <w:t xml:space="preserve">/reakcje podczas </w:t>
      </w:r>
      <w:r w:rsidR="00193D6F">
        <w:rPr>
          <w:rFonts w:ascii="Times New Roman" w:eastAsia="Times New Roman" w:hAnsi="Times New Roman" w:cs="Times New Roman"/>
          <w:sz w:val="22"/>
          <w:szCs w:val="22"/>
          <w:u w:val="single"/>
          <w:lang w:val="lt-LT"/>
        </w:rPr>
        <w:t>infuzji</w:t>
      </w:r>
      <w:r w:rsidRPr="00741122">
        <w:rPr>
          <w:rFonts w:ascii="Times New Roman" w:eastAsia="Times New Roman" w:hAnsi="Times New Roman" w:cs="Times New Roman"/>
          <w:sz w:val="22"/>
          <w:szCs w:val="22"/>
          <w:u w:val="single"/>
          <w:lang w:val="lt-LT"/>
        </w:rPr>
        <w:t xml:space="preserve"> (patrz punkt 4.8)</w:t>
      </w:r>
    </w:p>
    <w:p w14:paraId="25C4535E" w14:textId="77777777" w:rsidR="00AA776B" w:rsidRPr="00741122" w:rsidRDefault="00AA776B" w:rsidP="001B794B">
      <w:pPr>
        <w:rPr>
          <w:rFonts w:ascii="Times New Roman" w:eastAsia="Times New Roman" w:hAnsi="Times New Roman" w:cs="Times New Roman"/>
          <w:sz w:val="22"/>
          <w:szCs w:val="22"/>
          <w:u w:val="single"/>
          <w:lang w:val="lt-LT"/>
        </w:rPr>
      </w:pPr>
    </w:p>
    <w:p w14:paraId="77BF1290" w14:textId="6EFD329F"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Istnieje ryzyko wystąpienia u pacjentów reakcji nadwrażliwości/reakcji podczas </w:t>
      </w:r>
      <w:r w:rsidR="00193D6F">
        <w:rPr>
          <w:rFonts w:ascii="Times New Roman" w:eastAsia="Times New Roman" w:hAnsi="Times New Roman" w:cs="Times New Roman"/>
          <w:sz w:val="22"/>
          <w:szCs w:val="22"/>
          <w:lang w:val="lt-LT"/>
        </w:rPr>
        <w:t>infuzji</w:t>
      </w:r>
      <w:r w:rsidR="00754B1C">
        <w:rPr>
          <w:rFonts w:ascii="Times New Roman" w:eastAsia="Times New Roman" w:hAnsi="Times New Roman" w:cs="Times New Roman"/>
          <w:sz w:val="22"/>
          <w:szCs w:val="22"/>
          <w:lang w:val="lt-LT"/>
        </w:rPr>
        <w:t xml:space="preserve"> (w tym wstrząsu anafilaktycznego)</w:t>
      </w:r>
      <w:r w:rsidRPr="00741122">
        <w:rPr>
          <w:rFonts w:ascii="Times New Roman" w:eastAsia="Times New Roman" w:hAnsi="Times New Roman" w:cs="Times New Roman"/>
          <w:sz w:val="22"/>
          <w:szCs w:val="22"/>
          <w:lang w:val="lt-LT"/>
        </w:rPr>
        <w:t>. Zaleca się uważne obserwowanie chorych podczas podania bewacyzumabu, tak jak w przypadku innych leczniczych humanizowanych przeciwciał monoklonalnych. Jeśli taka reakcja wystąpi należy przerwać podanie i włączyć odpowiednie terapie. Systematyczna premedykacja nie jest zalecana.</w:t>
      </w:r>
    </w:p>
    <w:p w14:paraId="78382136" w14:textId="77777777" w:rsidR="00071CFE" w:rsidRPr="00741122" w:rsidRDefault="00071CFE" w:rsidP="001B794B">
      <w:pPr>
        <w:rPr>
          <w:rFonts w:ascii="Times New Roman" w:eastAsia="Times New Roman" w:hAnsi="Times New Roman" w:cs="Times New Roman"/>
          <w:sz w:val="22"/>
          <w:szCs w:val="22"/>
          <w:lang w:val="lt-LT"/>
        </w:rPr>
      </w:pPr>
    </w:p>
    <w:p w14:paraId="1C5EFB0C"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Martwica kości szczęki lub żuchwy (patrz punkt 4.8)</w:t>
      </w:r>
    </w:p>
    <w:p w14:paraId="02D1BA87" w14:textId="77777777" w:rsidR="00AA776B" w:rsidRPr="00741122" w:rsidRDefault="00AA776B" w:rsidP="001B794B">
      <w:pPr>
        <w:rPr>
          <w:rFonts w:ascii="Times New Roman" w:eastAsia="Times New Roman" w:hAnsi="Times New Roman" w:cs="Times New Roman"/>
          <w:sz w:val="22"/>
          <w:szCs w:val="22"/>
          <w:u w:val="single"/>
          <w:lang w:val="lt-LT"/>
        </w:rPr>
      </w:pPr>
    </w:p>
    <w:p w14:paraId="42ED853D" w14:textId="77777777" w:rsidR="00E76F3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Wśród pacjentów z chorobą nowotworową leczonych </w:t>
      </w:r>
      <w:r w:rsidR="003F1B4E">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obserwowano przypadki martwicy kości szczęki lub żuchwy, większość z tych pacjentów była leczona równocześnie lub w</w:t>
      </w:r>
      <w:r w:rsidR="00C359D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przeszłości bisfosfonianami w postaci dożylnej. Stosowanie bisfosfonianów jest uznanym czynnikiem ryzyka wystąpienia martwicy kości szczęki lub żuchwy. Należy zachować ostrożność w przypadku równoczesnego lub sekwencyjnego s</w:t>
      </w:r>
      <w:r w:rsidR="00F56321" w:rsidRPr="00741122">
        <w:rPr>
          <w:rFonts w:ascii="Times New Roman" w:eastAsia="Times New Roman" w:hAnsi="Times New Roman" w:cs="Times New Roman"/>
          <w:sz w:val="22"/>
          <w:szCs w:val="22"/>
          <w:lang w:val="lt-LT"/>
        </w:rPr>
        <w:t xml:space="preserve">tosowania </w:t>
      </w:r>
      <w:r w:rsidR="003F1B4E">
        <w:rPr>
          <w:rFonts w:ascii="Times New Roman" w:eastAsia="Times New Roman" w:hAnsi="Times New Roman" w:cs="Times New Roman"/>
          <w:sz w:val="22"/>
          <w:szCs w:val="22"/>
          <w:lang w:val="lt-LT"/>
        </w:rPr>
        <w:t>bewacyzumabu</w:t>
      </w:r>
      <w:r w:rsidR="00F56321" w:rsidRPr="00741122">
        <w:rPr>
          <w:rFonts w:ascii="Times New Roman" w:eastAsia="Times New Roman" w:hAnsi="Times New Roman" w:cs="Times New Roman"/>
          <w:sz w:val="22"/>
          <w:szCs w:val="22"/>
          <w:lang w:val="lt-LT"/>
        </w:rPr>
        <w:t xml:space="preserve"> i bi</w:t>
      </w:r>
      <w:r w:rsidRPr="00741122">
        <w:rPr>
          <w:rFonts w:ascii="Times New Roman" w:eastAsia="Times New Roman" w:hAnsi="Times New Roman" w:cs="Times New Roman"/>
          <w:sz w:val="22"/>
          <w:szCs w:val="22"/>
          <w:lang w:val="lt-LT"/>
        </w:rPr>
        <w:t>s</w:t>
      </w:r>
      <w:r w:rsidR="00E76F32">
        <w:rPr>
          <w:rFonts w:ascii="Times New Roman" w:eastAsia="Times New Roman" w:hAnsi="Times New Roman" w:cs="Times New Roman"/>
          <w:sz w:val="22"/>
          <w:szCs w:val="22"/>
          <w:lang w:val="lt-LT"/>
        </w:rPr>
        <w:t>fosfonianów w postaci dożylnej.</w:t>
      </w:r>
    </w:p>
    <w:p w14:paraId="2D1D57D8" w14:textId="77777777" w:rsidR="00E76F32" w:rsidRDefault="00E76F32" w:rsidP="001B794B">
      <w:pPr>
        <w:rPr>
          <w:rFonts w:ascii="Times New Roman" w:eastAsia="Times New Roman" w:hAnsi="Times New Roman" w:cs="Times New Roman"/>
          <w:sz w:val="22"/>
          <w:szCs w:val="22"/>
          <w:lang w:val="lt-LT"/>
        </w:rPr>
      </w:pPr>
    </w:p>
    <w:p w14:paraId="59BFCC6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 xml:space="preserve">Inwazyjne procedury dentystyczne uznaje się za dodatkowy czynnik ryzyka. Przed rozpoczęciem stosowania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należy rozważyć badanie stomatologiczne i odpowiednie zabiegi</w:t>
      </w:r>
      <w:bookmarkStart w:id="8" w:name="page9"/>
      <w:bookmarkEnd w:id="8"/>
      <w:r w:rsidR="00F56321"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profilaktyczne. U pacjentów wcześniej leczonych lub w trakcie leczenia bisfosfonianami w postaci dożylnej należy, o ile to możliwe, unikać inwazyjnych zabiegów stomatologicznych.</w:t>
      </w:r>
    </w:p>
    <w:p w14:paraId="2E11DB45" w14:textId="77777777" w:rsidR="00071CFE" w:rsidRPr="00741122" w:rsidRDefault="00071CFE" w:rsidP="001B794B">
      <w:pPr>
        <w:rPr>
          <w:rFonts w:ascii="Times New Roman" w:eastAsia="Times New Roman" w:hAnsi="Times New Roman" w:cs="Times New Roman"/>
          <w:sz w:val="22"/>
          <w:szCs w:val="22"/>
          <w:lang w:val="lt-LT"/>
        </w:rPr>
      </w:pPr>
    </w:p>
    <w:p w14:paraId="7E15BAF5" w14:textId="77777777" w:rsidR="00DC355A" w:rsidRPr="00DC355A" w:rsidRDefault="00DC355A" w:rsidP="00DC355A">
      <w:pPr>
        <w:rPr>
          <w:rFonts w:ascii="Times New Roman" w:eastAsia="Times New Roman" w:hAnsi="Times New Roman" w:cs="Times New Roman"/>
          <w:sz w:val="22"/>
          <w:szCs w:val="22"/>
          <w:u w:val="single"/>
          <w:lang w:val="lt-LT"/>
        </w:rPr>
      </w:pPr>
      <w:r w:rsidRPr="00DC355A">
        <w:rPr>
          <w:rFonts w:ascii="Times New Roman" w:eastAsia="Times New Roman" w:hAnsi="Times New Roman" w:cs="Times New Roman"/>
          <w:sz w:val="22"/>
          <w:szCs w:val="22"/>
          <w:u w:val="single"/>
          <w:lang w:val="lt-LT"/>
        </w:rPr>
        <w:t>Tętniaki i rozwarstwieni</w:t>
      </w:r>
      <w:r w:rsidR="00ED527E">
        <w:rPr>
          <w:rFonts w:ascii="Times New Roman" w:eastAsia="Times New Roman" w:hAnsi="Times New Roman" w:cs="Times New Roman"/>
          <w:sz w:val="22"/>
          <w:szCs w:val="22"/>
          <w:u w:val="single"/>
          <w:lang w:val="lt-LT"/>
        </w:rPr>
        <w:t>a</w:t>
      </w:r>
      <w:r w:rsidRPr="00DC355A">
        <w:rPr>
          <w:rFonts w:ascii="Times New Roman" w:eastAsia="Times New Roman" w:hAnsi="Times New Roman" w:cs="Times New Roman"/>
          <w:sz w:val="22"/>
          <w:szCs w:val="22"/>
          <w:u w:val="single"/>
          <w:lang w:val="lt-LT"/>
        </w:rPr>
        <w:t xml:space="preserve"> tętnic (patrz punkt 4.8)</w:t>
      </w:r>
    </w:p>
    <w:p w14:paraId="22B2417E" w14:textId="77777777" w:rsidR="00DC355A" w:rsidRPr="00DC355A" w:rsidRDefault="00DC355A" w:rsidP="00DC355A">
      <w:pPr>
        <w:rPr>
          <w:rFonts w:ascii="Times New Roman" w:eastAsia="Times New Roman" w:hAnsi="Times New Roman" w:cs="Times New Roman"/>
          <w:sz w:val="22"/>
          <w:szCs w:val="22"/>
          <w:u w:val="single"/>
          <w:lang w:val="lt-LT"/>
        </w:rPr>
      </w:pPr>
    </w:p>
    <w:p w14:paraId="2B87353F" w14:textId="77777777" w:rsidR="00DC355A" w:rsidRPr="00023583" w:rsidRDefault="001B6E0A" w:rsidP="00DC355A">
      <w:pPr>
        <w:rPr>
          <w:rFonts w:ascii="Times New Roman" w:eastAsia="Times New Roman" w:hAnsi="Times New Roman" w:cs="Times New Roman"/>
          <w:sz w:val="22"/>
          <w:szCs w:val="22"/>
          <w:lang w:val="lt-LT"/>
        </w:rPr>
      </w:pPr>
      <w:r w:rsidRPr="00023583">
        <w:rPr>
          <w:rFonts w:ascii="Times New Roman" w:eastAsia="Times New Roman" w:hAnsi="Times New Roman" w:cs="Times New Roman"/>
          <w:sz w:val="22"/>
          <w:szCs w:val="22"/>
          <w:lang w:val="lt-LT"/>
        </w:rPr>
        <w:t>S</w:t>
      </w:r>
      <w:r w:rsidR="00DC355A" w:rsidRPr="00023583">
        <w:rPr>
          <w:rFonts w:ascii="Times New Roman" w:eastAsia="Times New Roman" w:hAnsi="Times New Roman" w:cs="Times New Roman"/>
          <w:sz w:val="22"/>
          <w:szCs w:val="22"/>
          <w:lang w:val="lt-LT"/>
        </w:rPr>
        <w:t>tosowanie inhibitorów szlaku VEGF u pacjentów z nadciśnieniem tętniczym lub bez może sprzyjać tworzeniu tętniaków i (lub) rozwarstwie</w:t>
      </w:r>
      <w:r w:rsidR="00ED527E" w:rsidRPr="00023583">
        <w:rPr>
          <w:rFonts w:ascii="Times New Roman" w:eastAsia="Times New Roman" w:hAnsi="Times New Roman" w:cs="Times New Roman"/>
          <w:sz w:val="22"/>
          <w:szCs w:val="22"/>
          <w:lang w:val="lt-LT"/>
        </w:rPr>
        <w:t>niu</w:t>
      </w:r>
      <w:r w:rsidR="00DC355A" w:rsidRPr="00023583">
        <w:rPr>
          <w:rFonts w:ascii="Times New Roman" w:eastAsia="Times New Roman" w:hAnsi="Times New Roman" w:cs="Times New Roman"/>
          <w:sz w:val="22"/>
          <w:szCs w:val="22"/>
          <w:lang w:val="lt-LT"/>
        </w:rPr>
        <w:t xml:space="preserve"> tętnic. Przed rozpoczęciem stosowania produktu MVASI należy dokładnie rozważyć to ryzyko u pacjentów z czynnikami ryzyka, takimi jak nadciśnienie tętnicze lub tętniak w wywiadzie.</w:t>
      </w:r>
    </w:p>
    <w:p w14:paraId="7D128DBF" w14:textId="77777777" w:rsidR="00DC355A" w:rsidRDefault="00DC355A" w:rsidP="00DC355A">
      <w:pPr>
        <w:rPr>
          <w:rFonts w:ascii="Times New Roman" w:eastAsia="Times New Roman" w:hAnsi="Times New Roman" w:cs="Times New Roman"/>
          <w:sz w:val="22"/>
          <w:szCs w:val="22"/>
          <w:u w:val="single"/>
          <w:lang w:val="lt-LT"/>
        </w:rPr>
      </w:pPr>
    </w:p>
    <w:p w14:paraId="4BD4CCC0"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Stosowanie do ciała szklistego gałki ocznej</w:t>
      </w:r>
    </w:p>
    <w:p w14:paraId="3DBFBF09" w14:textId="77777777" w:rsidR="00071CFE" w:rsidRPr="00741122" w:rsidRDefault="00071CFE" w:rsidP="001B794B">
      <w:pPr>
        <w:rPr>
          <w:rFonts w:ascii="Times New Roman" w:eastAsia="Times New Roman" w:hAnsi="Times New Roman" w:cs="Times New Roman"/>
          <w:sz w:val="22"/>
          <w:szCs w:val="22"/>
          <w:lang w:val="lt-LT"/>
        </w:rPr>
      </w:pPr>
    </w:p>
    <w:p w14:paraId="00109B95" w14:textId="77777777" w:rsidR="00071CFE" w:rsidRPr="00741122" w:rsidRDefault="00261A5A"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nie jest </w:t>
      </w:r>
      <w:r w:rsidR="00987678">
        <w:rPr>
          <w:rFonts w:ascii="Times New Roman" w:eastAsia="Times New Roman" w:hAnsi="Times New Roman" w:cs="Times New Roman"/>
          <w:sz w:val="22"/>
          <w:szCs w:val="22"/>
          <w:lang w:val="lt-LT"/>
        </w:rPr>
        <w:t>dostosowany</w:t>
      </w:r>
      <w:r w:rsidR="00071CFE" w:rsidRPr="00741122">
        <w:rPr>
          <w:rFonts w:ascii="Times New Roman" w:eastAsia="Times New Roman" w:hAnsi="Times New Roman" w:cs="Times New Roman"/>
          <w:sz w:val="22"/>
          <w:szCs w:val="22"/>
          <w:lang w:val="lt-LT"/>
        </w:rPr>
        <w:t xml:space="preserve"> do podawania do ciała szklistego gałki ocznej.</w:t>
      </w:r>
    </w:p>
    <w:p w14:paraId="182D5868" w14:textId="77777777" w:rsidR="00071CFE" w:rsidRPr="00741122" w:rsidRDefault="00071CFE" w:rsidP="001B794B">
      <w:pPr>
        <w:rPr>
          <w:rFonts w:ascii="Times New Roman" w:eastAsia="Times New Roman" w:hAnsi="Times New Roman" w:cs="Times New Roman"/>
          <w:sz w:val="22"/>
          <w:szCs w:val="22"/>
          <w:lang w:val="lt-LT"/>
        </w:rPr>
      </w:pPr>
    </w:p>
    <w:p w14:paraId="1EA546E1"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Zaburzenia oka</w:t>
      </w:r>
    </w:p>
    <w:p w14:paraId="459CF69B" w14:textId="77777777" w:rsidR="00AA776B" w:rsidRPr="00741122" w:rsidRDefault="00AA776B" w:rsidP="001B794B">
      <w:pPr>
        <w:rPr>
          <w:rFonts w:ascii="Times New Roman" w:eastAsia="Times New Roman" w:hAnsi="Times New Roman" w:cs="Times New Roman"/>
          <w:sz w:val="22"/>
          <w:szCs w:val="22"/>
          <w:u w:val="single"/>
          <w:lang w:val="lt-LT"/>
        </w:rPr>
      </w:pPr>
    </w:p>
    <w:p w14:paraId="31AD69E8"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Donoszono o pojedynczych przypadkach oraz seriach ciężkich </w:t>
      </w:r>
      <w:r w:rsidR="00193D6F">
        <w:rPr>
          <w:rFonts w:ascii="Times New Roman" w:eastAsia="Times New Roman" w:hAnsi="Times New Roman" w:cs="Times New Roman"/>
          <w:sz w:val="22"/>
          <w:szCs w:val="22"/>
          <w:lang w:val="lt-LT"/>
        </w:rPr>
        <w:t>reakcji</w:t>
      </w:r>
      <w:r w:rsidRPr="00741122">
        <w:rPr>
          <w:rFonts w:ascii="Times New Roman" w:eastAsia="Times New Roman" w:hAnsi="Times New Roman" w:cs="Times New Roman"/>
          <w:sz w:val="22"/>
          <w:szCs w:val="22"/>
          <w:lang w:val="lt-LT"/>
        </w:rPr>
        <w:t xml:space="preserve"> niepożądanych dotyczących oka, zgłaszanych po niezgodnym z rejestracją podaniu </w:t>
      </w:r>
      <w:r w:rsidR="003F1B4E">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do ciała szklistego gałki ocznej z fiolek przeznaczonych do zastosowania dożylnego u chorych na raka. Do tych działań niepożądanych należał</w:t>
      </w:r>
      <w:r w:rsidR="00987678">
        <w:rPr>
          <w:rFonts w:ascii="Times New Roman" w:eastAsia="Times New Roman" w:hAnsi="Times New Roman" w:cs="Times New Roman"/>
          <w:sz w:val="22"/>
          <w:szCs w:val="22"/>
          <w:lang w:val="lt-LT"/>
        </w:rPr>
        <w:t>y</w:t>
      </w:r>
      <w:r w:rsidRPr="00741122">
        <w:rPr>
          <w:rFonts w:ascii="Times New Roman" w:eastAsia="Times New Roman" w:hAnsi="Times New Roman" w:cs="Times New Roman"/>
          <w:sz w:val="22"/>
          <w:szCs w:val="22"/>
          <w:lang w:val="lt-LT"/>
        </w:rPr>
        <w:t>: zakaźne zapalenie struktur wewnętrznych oka, zapalenie wewnątrzgałkowe, takie jak jałowe wewnętrzne zapalenie oka, zapalenie błony naczyniowej oka, zapalenie ciała szklistego, odwarstwienie siatkówki, przedarcie warstwy barwnikowej siatkówki, wzrost ciśnienia śródgałkowego, krwawienie wewnątrzgałkowe, takie jak krwotok do ciała szklistego lub krwotok siatkówkowy, krwawienie spojówkowe. Niektóre z powyższych działań spowodowały utratę wzroku różnego stopnia, łącznie z trwałą ślepotą.</w:t>
      </w:r>
    </w:p>
    <w:p w14:paraId="64C4BBB3" w14:textId="77777777" w:rsidR="00071CFE" w:rsidRPr="00741122" w:rsidRDefault="00071CFE" w:rsidP="001B794B">
      <w:pPr>
        <w:rPr>
          <w:rFonts w:ascii="Times New Roman" w:eastAsia="Times New Roman" w:hAnsi="Times New Roman" w:cs="Times New Roman"/>
          <w:sz w:val="22"/>
          <w:szCs w:val="22"/>
          <w:lang w:val="lt-LT"/>
        </w:rPr>
      </w:pPr>
    </w:p>
    <w:p w14:paraId="6A61BABC" w14:textId="77777777" w:rsidR="00071CFE" w:rsidRPr="00741122" w:rsidRDefault="00071CFE" w:rsidP="001B794B">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Zaburzenia ogólnoustrojowe po zastosowaniu do ciała szklistego oka</w:t>
      </w:r>
    </w:p>
    <w:p w14:paraId="4245B00A" w14:textId="77777777" w:rsidR="00AA776B" w:rsidRPr="00741122" w:rsidRDefault="00AA776B" w:rsidP="001B794B">
      <w:pPr>
        <w:keepNext/>
        <w:rPr>
          <w:rFonts w:ascii="Times New Roman" w:eastAsia="Times New Roman" w:hAnsi="Times New Roman" w:cs="Times New Roman"/>
          <w:sz w:val="22"/>
          <w:szCs w:val="22"/>
          <w:u w:val="single"/>
          <w:lang w:val="lt-LT"/>
        </w:rPr>
      </w:pPr>
    </w:p>
    <w:p w14:paraId="067F3F23"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Terapia anty-VEGF (czynnik wzrostu śródbłonka naczyń) zastosowana do ciała szklistego gałki ocznej może powodować zmniejszenie stężenia krążącego VEGF. Po zastosowaniu inhibitorów VEGF we wstrzyknięciu do ciała szklistego gałki ocznej zgłaszano przypadki ogólnoustrojowych działań niepożądanych, w tym krwawienia niedotyczące gałki ocznej oraz epizody tętniczej zakrzepicy zatorowej.</w:t>
      </w:r>
    </w:p>
    <w:p w14:paraId="5AA5CA79" w14:textId="77777777" w:rsidR="00071CFE" w:rsidRPr="00741122" w:rsidRDefault="00071CFE" w:rsidP="001B794B">
      <w:pPr>
        <w:rPr>
          <w:rFonts w:ascii="Times New Roman" w:eastAsia="Times New Roman" w:hAnsi="Times New Roman" w:cs="Times New Roman"/>
          <w:sz w:val="22"/>
          <w:szCs w:val="22"/>
          <w:lang w:val="lt-LT"/>
        </w:rPr>
      </w:pPr>
    </w:p>
    <w:p w14:paraId="25557CF8" w14:textId="77777777" w:rsidR="00071CFE" w:rsidRPr="00741122" w:rsidRDefault="00071CFE" w:rsidP="001B794B">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Niewydolność jajników/płodność</w:t>
      </w:r>
    </w:p>
    <w:p w14:paraId="5BA7F6FB" w14:textId="77777777" w:rsidR="00AA776B" w:rsidRPr="00741122" w:rsidRDefault="00AA776B" w:rsidP="001B794B">
      <w:pPr>
        <w:keepNext/>
        <w:rPr>
          <w:rFonts w:ascii="Times New Roman" w:eastAsia="Times New Roman" w:hAnsi="Times New Roman" w:cs="Times New Roman"/>
          <w:sz w:val="22"/>
          <w:szCs w:val="22"/>
          <w:u w:val="single"/>
          <w:lang w:val="lt-LT"/>
        </w:rPr>
      </w:pPr>
    </w:p>
    <w:p w14:paraId="55BAE090" w14:textId="77777777" w:rsidR="00071CFE" w:rsidRPr="00741122" w:rsidRDefault="003F1B4E"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Bewacyzumab</w:t>
      </w:r>
      <w:r w:rsidR="00071CFE" w:rsidRPr="00741122">
        <w:rPr>
          <w:rFonts w:ascii="Times New Roman" w:eastAsia="Times New Roman" w:hAnsi="Times New Roman" w:cs="Times New Roman"/>
          <w:sz w:val="22"/>
          <w:szCs w:val="22"/>
          <w:lang w:val="lt-LT"/>
        </w:rPr>
        <w:t xml:space="preserve"> może upośledzać płodność kobiety (patrz punkty 4.6 i 4.8). Dlatego też przed zastosowaniem </w:t>
      </w:r>
      <w:r>
        <w:rPr>
          <w:rFonts w:ascii="Times New Roman" w:eastAsia="Times New Roman" w:hAnsi="Times New Roman" w:cs="Times New Roman"/>
          <w:sz w:val="22"/>
          <w:szCs w:val="22"/>
          <w:lang w:val="lt-LT"/>
        </w:rPr>
        <w:t>bewacyzumabu</w:t>
      </w:r>
      <w:r w:rsidR="00071CFE" w:rsidRPr="00741122">
        <w:rPr>
          <w:rFonts w:ascii="Times New Roman" w:eastAsia="Times New Roman" w:hAnsi="Times New Roman" w:cs="Times New Roman"/>
          <w:sz w:val="22"/>
          <w:szCs w:val="22"/>
          <w:lang w:val="lt-LT"/>
        </w:rPr>
        <w:t xml:space="preserve"> u kobiety w wieku rozrodczym należy przedyskutować z pacjentką sposoby zachowania płodności.</w:t>
      </w:r>
    </w:p>
    <w:p w14:paraId="3E0BED82" w14:textId="77777777" w:rsidR="00226B6B" w:rsidRDefault="00226B6B" w:rsidP="00226B6B">
      <w:pPr>
        <w:rPr>
          <w:rFonts w:ascii="Times New Roman" w:eastAsia="Times New Roman" w:hAnsi="Times New Roman" w:cs="Times New Roman"/>
          <w:sz w:val="22"/>
          <w:szCs w:val="22"/>
          <w:lang w:val="lt-LT"/>
        </w:rPr>
      </w:pPr>
    </w:p>
    <w:p w14:paraId="6AA378B4" w14:textId="77777777" w:rsidR="00226B6B" w:rsidRDefault="00226B6B" w:rsidP="00226B6B">
      <w:pPr>
        <w:rPr>
          <w:rFonts w:ascii="Times New Roman" w:eastAsia="Times New Roman" w:hAnsi="Times New Roman" w:cs="Times New Roman"/>
          <w:sz w:val="22"/>
          <w:szCs w:val="22"/>
          <w:u w:val="single"/>
          <w:lang w:val="lt-LT"/>
        </w:rPr>
      </w:pPr>
      <w:bookmarkStart w:id="9" w:name="_Hlk42628680"/>
      <w:r>
        <w:rPr>
          <w:rFonts w:ascii="Times New Roman" w:eastAsia="Times New Roman" w:hAnsi="Times New Roman" w:cs="Times New Roman"/>
          <w:sz w:val="22"/>
          <w:szCs w:val="22"/>
          <w:u w:val="single"/>
          <w:lang w:val="lt-LT"/>
        </w:rPr>
        <w:t>Zawartość sodu</w:t>
      </w:r>
    </w:p>
    <w:p w14:paraId="1C5A817C" w14:textId="77777777" w:rsidR="00226B6B" w:rsidRDefault="00226B6B" w:rsidP="00226B6B">
      <w:pPr>
        <w:rPr>
          <w:rFonts w:ascii="Times New Roman" w:eastAsia="Times New Roman" w:hAnsi="Times New Roman" w:cs="Times New Roman"/>
          <w:sz w:val="22"/>
          <w:szCs w:val="22"/>
          <w:lang w:val="lt-LT"/>
        </w:rPr>
      </w:pPr>
    </w:p>
    <w:p w14:paraId="572641B2" w14:textId="77777777" w:rsidR="00226B6B" w:rsidRDefault="00226B6B" w:rsidP="00226B6B">
      <w:pPr>
        <w:rPr>
          <w:rFonts w:ascii="Times New Roman" w:eastAsia="Times New Roman" w:hAnsi="Times New Roman" w:cs="Times New Roman"/>
          <w:i/>
          <w:sz w:val="22"/>
          <w:szCs w:val="22"/>
          <w:u w:val="single"/>
          <w:lang w:val="lt-LT"/>
        </w:rPr>
      </w:pPr>
      <w:r>
        <w:rPr>
          <w:rFonts w:ascii="Times New Roman" w:eastAsia="Times New Roman" w:hAnsi="Times New Roman" w:cs="Times New Roman"/>
          <w:i/>
          <w:sz w:val="22"/>
          <w:szCs w:val="22"/>
          <w:u w:val="single"/>
          <w:lang w:val="lt-LT"/>
        </w:rPr>
        <w:t>MVASI 25 mg/ml koncentrat do sporządzania roztworu do infuzji (4 ml)</w:t>
      </w:r>
    </w:p>
    <w:p w14:paraId="71B326B9" w14:textId="77777777" w:rsidR="00226B6B" w:rsidRDefault="00226B6B" w:rsidP="00226B6B">
      <w:pPr>
        <w:rPr>
          <w:rFonts w:ascii="Times New Roman" w:eastAsia="Times New Roman" w:hAnsi="Times New Roman" w:cs="Times New Roman"/>
          <w:sz w:val="22"/>
          <w:szCs w:val="22"/>
          <w:lang w:val="lt-LT"/>
        </w:rPr>
      </w:pPr>
    </w:p>
    <w:p w14:paraId="00E177FA" w14:textId="04E206A9" w:rsidR="00226B6B" w:rsidRDefault="00226B6B" w:rsidP="00226B6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Ten produkt zawiera </w:t>
      </w:r>
      <w:r w:rsidR="00F00F36">
        <w:rPr>
          <w:rFonts w:ascii="Times New Roman" w:eastAsia="Times New Roman" w:hAnsi="Times New Roman" w:cs="Times New Roman"/>
          <w:sz w:val="22"/>
          <w:szCs w:val="22"/>
          <w:lang w:val="lt-LT"/>
        </w:rPr>
        <w:t>5</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4</w:t>
      </w:r>
      <w:r>
        <w:rPr>
          <w:rFonts w:ascii="Times New Roman" w:eastAsia="Times New Roman" w:hAnsi="Times New Roman" w:cs="Times New Roman"/>
          <w:sz w:val="22"/>
          <w:szCs w:val="22"/>
          <w:lang w:val="lt-LT"/>
        </w:rPr>
        <w:t> mg sodu w 4 ml fiolce, co odpowiada 0,</w:t>
      </w:r>
      <w:r w:rsidR="00F00F36">
        <w:rPr>
          <w:rFonts w:ascii="Times New Roman" w:eastAsia="Times New Roman" w:hAnsi="Times New Roman" w:cs="Times New Roman"/>
          <w:sz w:val="22"/>
          <w:szCs w:val="22"/>
          <w:lang w:val="lt-LT"/>
        </w:rPr>
        <w:t>3</w:t>
      </w:r>
      <w:r>
        <w:rPr>
          <w:rFonts w:ascii="Times New Roman" w:eastAsia="Times New Roman" w:hAnsi="Times New Roman" w:cs="Times New Roman"/>
          <w:sz w:val="22"/>
          <w:szCs w:val="22"/>
          <w:lang w:val="lt-LT"/>
        </w:rPr>
        <w:t>% zalecanej przez WHO maksymalnej, dobowej dawki sodu wynoszącej 2 g u osób dorosłych.</w:t>
      </w:r>
    </w:p>
    <w:p w14:paraId="64C47388" w14:textId="77777777" w:rsidR="00226B6B" w:rsidRDefault="00226B6B" w:rsidP="00226B6B">
      <w:pPr>
        <w:rPr>
          <w:rFonts w:ascii="Times New Roman" w:eastAsia="Times New Roman" w:hAnsi="Times New Roman" w:cs="Times New Roman"/>
          <w:sz w:val="22"/>
          <w:szCs w:val="22"/>
          <w:lang w:val="lt-LT"/>
        </w:rPr>
      </w:pPr>
    </w:p>
    <w:p w14:paraId="5F910DB5" w14:textId="77777777" w:rsidR="00226B6B" w:rsidRDefault="00226B6B" w:rsidP="00226B6B">
      <w:pPr>
        <w:rPr>
          <w:rFonts w:ascii="Times New Roman" w:eastAsia="Times New Roman" w:hAnsi="Times New Roman" w:cs="Times New Roman"/>
          <w:i/>
          <w:sz w:val="22"/>
          <w:szCs w:val="22"/>
          <w:u w:val="single"/>
          <w:lang w:val="lt-LT"/>
        </w:rPr>
      </w:pPr>
      <w:r>
        <w:rPr>
          <w:rFonts w:ascii="Times New Roman" w:eastAsia="Times New Roman" w:hAnsi="Times New Roman" w:cs="Times New Roman"/>
          <w:i/>
          <w:sz w:val="22"/>
          <w:szCs w:val="22"/>
          <w:u w:val="single"/>
          <w:lang w:val="lt-LT"/>
        </w:rPr>
        <w:t>MVASI 25 mg/ml koncentrat do sporządzania roztworu do infuzji (16 ml)</w:t>
      </w:r>
    </w:p>
    <w:p w14:paraId="5AC7D43C" w14:textId="77777777" w:rsidR="00226B6B" w:rsidRDefault="00226B6B" w:rsidP="00226B6B">
      <w:pPr>
        <w:rPr>
          <w:rFonts w:ascii="Times New Roman" w:eastAsia="Times New Roman" w:hAnsi="Times New Roman" w:cs="Times New Roman"/>
          <w:sz w:val="22"/>
          <w:szCs w:val="22"/>
          <w:lang w:val="lt-LT"/>
        </w:rPr>
      </w:pPr>
    </w:p>
    <w:p w14:paraId="3F25E8D3" w14:textId="1EEE489A" w:rsidR="00226B6B" w:rsidRDefault="00226B6B" w:rsidP="00226B6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Ten produkt leczniczy zawiera </w:t>
      </w:r>
      <w:r w:rsidR="00F00F36">
        <w:rPr>
          <w:rFonts w:ascii="Times New Roman" w:eastAsia="Times New Roman" w:hAnsi="Times New Roman" w:cs="Times New Roman"/>
          <w:sz w:val="22"/>
          <w:szCs w:val="22"/>
          <w:lang w:val="lt-LT"/>
        </w:rPr>
        <w:t>21</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7</w:t>
      </w:r>
      <w:r>
        <w:rPr>
          <w:rFonts w:ascii="Times New Roman" w:eastAsia="Times New Roman" w:hAnsi="Times New Roman" w:cs="Times New Roman"/>
          <w:sz w:val="22"/>
          <w:szCs w:val="22"/>
          <w:lang w:val="lt-LT"/>
        </w:rPr>
        <w:t xml:space="preserve"> mg sodu w 16 ml fiolce, co odpowiada </w:t>
      </w:r>
      <w:r w:rsidR="00F00F36">
        <w:rPr>
          <w:rFonts w:ascii="Times New Roman" w:eastAsia="Times New Roman" w:hAnsi="Times New Roman" w:cs="Times New Roman"/>
          <w:sz w:val="22"/>
          <w:szCs w:val="22"/>
          <w:lang w:val="lt-LT"/>
        </w:rPr>
        <w:t>1</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1</w:t>
      </w:r>
      <w:r>
        <w:rPr>
          <w:rFonts w:ascii="Times New Roman" w:eastAsia="Times New Roman" w:hAnsi="Times New Roman" w:cs="Times New Roman"/>
          <w:sz w:val="22"/>
          <w:szCs w:val="22"/>
          <w:lang w:val="lt-LT"/>
        </w:rPr>
        <w:t>% zalecanej przez WHO maksymalnej, dobowej dawki sodu wynoszącej 2 g u osób dorosłych.</w:t>
      </w:r>
      <w:bookmarkEnd w:id="9"/>
    </w:p>
    <w:p w14:paraId="7D45C4EF" w14:textId="77777777" w:rsidR="00071CFE" w:rsidRPr="00741122" w:rsidRDefault="00071CFE" w:rsidP="001B794B">
      <w:pPr>
        <w:rPr>
          <w:rFonts w:ascii="Times New Roman" w:eastAsia="Times New Roman" w:hAnsi="Times New Roman" w:cs="Times New Roman"/>
          <w:sz w:val="22"/>
          <w:szCs w:val="22"/>
          <w:lang w:val="lt-LT"/>
        </w:rPr>
      </w:pPr>
    </w:p>
    <w:p w14:paraId="78A0EFBE" w14:textId="77777777" w:rsidR="00904D30" w:rsidRPr="00741122" w:rsidRDefault="00071CFE" w:rsidP="007C0024">
      <w:pPr>
        <w:keepNext/>
        <w:keepLine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lastRenderedPageBreak/>
        <w:t>4.5</w:t>
      </w:r>
      <w:r w:rsidR="00904D30"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Interakcje z innymi produktami leczni</w:t>
      </w:r>
      <w:r w:rsidR="00904D30" w:rsidRPr="00741122">
        <w:rPr>
          <w:rFonts w:ascii="Times New Roman" w:eastAsia="Times New Roman" w:hAnsi="Times New Roman" w:cs="Times New Roman"/>
          <w:b/>
          <w:sz w:val="22"/>
          <w:szCs w:val="22"/>
          <w:lang w:val="lt-LT"/>
        </w:rPr>
        <w:t>czymi i inne rodzaje interakcji</w:t>
      </w:r>
    </w:p>
    <w:p w14:paraId="511A5404" w14:textId="77777777" w:rsidR="00E069EA" w:rsidRPr="00741122" w:rsidRDefault="00E069EA" w:rsidP="007C0024">
      <w:pPr>
        <w:keepNext/>
        <w:keepLines/>
        <w:rPr>
          <w:rFonts w:ascii="Times New Roman" w:eastAsia="Times New Roman" w:hAnsi="Times New Roman" w:cs="Times New Roman"/>
          <w:b/>
          <w:sz w:val="22"/>
          <w:szCs w:val="22"/>
          <w:lang w:val="lt-LT"/>
        </w:rPr>
      </w:pPr>
    </w:p>
    <w:p w14:paraId="7A16115D" w14:textId="77777777" w:rsidR="00071CFE" w:rsidRPr="00741122" w:rsidRDefault="00071CFE" w:rsidP="007C0024">
      <w:pPr>
        <w:keepNext/>
        <w:keepLines/>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Wpływ leków przeciwnowotworowych na farmakokinetykę bewacyzumabu</w:t>
      </w:r>
    </w:p>
    <w:p w14:paraId="3BA51CEA" w14:textId="77777777" w:rsidR="00AA776B" w:rsidRPr="00741122" w:rsidRDefault="00AA776B" w:rsidP="007C0024">
      <w:pPr>
        <w:keepNext/>
        <w:keepLines/>
        <w:rPr>
          <w:rFonts w:ascii="Times New Roman" w:eastAsia="Times New Roman" w:hAnsi="Times New Roman" w:cs="Times New Roman"/>
          <w:sz w:val="22"/>
          <w:szCs w:val="22"/>
          <w:u w:val="single"/>
          <w:lang w:val="lt-LT"/>
        </w:rPr>
      </w:pPr>
    </w:p>
    <w:p w14:paraId="485307DC" w14:textId="77777777" w:rsidR="00071CFE" w:rsidRPr="00741122" w:rsidRDefault="00071CFE" w:rsidP="007C0024">
      <w:pPr>
        <w:keepNext/>
        <w:keepLine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Na podstawie analiz farmakokinetyki w badanej populacji nie zaobserwowano istotnego klinicznie wpływu podawanej jednocześnie chemioterapii na farmakokinetykę bewacyzumabu. Nie występowała ani</w:t>
      </w:r>
      <w:r w:rsidRPr="00741122">
        <w:rPr>
          <w:rFonts w:ascii="Times New Roman" w:eastAsia="Times New Roman" w:hAnsi="Times New Roman"/>
          <w:sz w:val="22"/>
          <w:lang w:val="lt-LT"/>
        </w:rPr>
        <w:t xml:space="preserve"> </w:t>
      </w:r>
      <w:r w:rsidRPr="00741122">
        <w:rPr>
          <w:rFonts w:ascii="Times New Roman" w:eastAsia="Times New Roman" w:hAnsi="Times New Roman" w:cs="Times New Roman"/>
          <w:sz w:val="22"/>
          <w:szCs w:val="22"/>
          <w:lang w:val="lt-LT"/>
        </w:rPr>
        <w:t xml:space="preserve">istotna statystycznie, ani znacząca klinicznie różnica w klirensie bewacyzumabu przyjmowanego w monoterapii w porównaniu </w:t>
      </w:r>
      <w:r w:rsidR="00367368">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pacjent</w:t>
      </w:r>
      <w:r w:rsidR="00367368">
        <w:rPr>
          <w:rFonts w:ascii="Times New Roman" w:eastAsia="Times New Roman" w:hAnsi="Times New Roman" w:cs="Times New Roman"/>
          <w:sz w:val="22"/>
          <w:szCs w:val="22"/>
          <w:lang w:val="lt-LT"/>
        </w:rPr>
        <w:t>ami</w:t>
      </w:r>
      <w:r w:rsidRPr="00741122">
        <w:rPr>
          <w:rFonts w:ascii="Times New Roman" w:eastAsia="Times New Roman" w:hAnsi="Times New Roman" w:cs="Times New Roman"/>
          <w:sz w:val="22"/>
          <w:szCs w:val="22"/>
          <w:lang w:val="lt-LT"/>
        </w:rPr>
        <w:t xml:space="preserve">, którzy przyjmowali </w:t>
      </w:r>
      <w:r w:rsidR="003F1B4E">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skojarzeniu</w:t>
      </w:r>
      <w:r w:rsidR="00F56321"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 interferonem alfa-2a, erlotynibem lub lekami stosowanymi w chemioterapii (IFL, 5-FU/LV, karboplatyna/paklitaksel, kapecytabina, doksorubicyna lub cisplatyna/gemcytabina).</w:t>
      </w:r>
    </w:p>
    <w:p w14:paraId="34616E5F" w14:textId="77777777" w:rsidR="00071CFE" w:rsidRPr="00741122" w:rsidRDefault="00071CFE" w:rsidP="001B794B">
      <w:pPr>
        <w:rPr>
          <w:rFonts w:ascii="Times New Roman" w:eastAsia="Times New Roman" w:hAnsi="Times New Roman" w:cs="Times New Roman"/>
          <w:sz w:val="22"/>
          <w:szCs w:val="22"/>
          <w:lang w:val="lt-LT"/>
        </w:rPr>
      </w:pPr>
    </w:p>
    <w:p w14:paraId="18D3F81F"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Wpływ bewacyzumabu na farmakokinetykę innych leków przeciwnowotworowych</w:t>
      </w:r>
    </w:p>
    <w:p w14:paraId="16E28D4A" w14:textId="77777777" w:rsidR="00AA776B" w:rsidRPr="00741122" w:rsidRDefault="00AA776B" w:rsidP="001B794B">
      <w:pPr>
        <w:rPr>
          <w:rFonts w:ascii="Times New Roman" w:eastAsia="Times New Roman" w:hAnsi="Times New Roman" w:cs="Times New Roman"/>
          <w:i/>
          <w:sz w:val="22"/>
          <w:szCs w:val="22"/>
          <w:lang w:val="lt-LT"/>
        </w:rPr>
      </w:pPr>
    </w:p>
    <w:p w14:paraId="0C530310"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zaobserwowano istotnego klinicznie wpływu bewacyzumabu na farmakokinetykę jednocześnie podawanego interferonu alfa-2a, erlotynibu (i jego aktywnego metabolitu OSI-420) lub chemioterapii z zastosowaniem irynotekanu (i jego aktywnego metabolitu SN38), kapecytabiny, oksaliplatyny (oznaczanych za pomocą pomiaru stężenia wolnej i całkowitej platyny) oraz cisplatyny. Nie jest możliwe wyciągnięcie wniosków na temat wpływu bewacyzumabu na właściwości farmakokinetyczne gemcytabiny.</w:t>
      </w:r>
    </w:p>
    <w:p w14:paraId="67A9329C" w14:textId="77777777" w:rsidR="00071CFE" w:rsidRPr="00741122" w:rsidRDefault="00071CFE" w:rsidP="001B794B">
      <w:pPr>
        <w:rPr>
          <w:rFonts w:ascii="Times New Roman" w:eastAsia="Times New Roman" w:hAnsi="Times New Roman" w:cs="Times New Roman"/>
          <w:sz w:val="22"/>
          <w:szCs w:val="22"/>
          <w:lang w:val="lt-LT"/>
        </w:rPr>
      </w:pPr>
    </w:p>
    <w:p w14:paraId="6107748B"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Skojarzenie bewacyzumabu z jabłczanem sunitynibu</w:t>
      </w:r>
    </w:p>
    <w:p w14:paraId="760EEB95" w14:textId="77777777" w:rsidR="007471AC" w:rsidRPr="00741122" w:rsidRDefault="007471AC" w:rsidP="001B794B">
      <w:pPr>
        <w:rPr>
          <w:rFonts w:ascii="Times New Roman" w:eastAsia="Times New Roman" w:hAnsi="Times New Roman" w:cs="Times New Roman"/>
          <w:sz w:val="22"/>
          <w:szCs w:val="22"/>
          <w:u w:val="single"/>
          <w:lang w:val="lt-LT"/>
        </w:rPr>
      </w:pPr>
    </w:p>
    <w:p w14:paraId="3570B35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dwóch badaniach klinicznych dotyczących przerzutowego raka nerkowokomórkowego, odnotowano przypadki mikroangiopatycznej niedokrwistości hemolitycznej (ang. microangiopathic haemolytic anaemia – MAHA) u 7 z 19 pacjentów lecz</w:t>
      </w:r>
      <w:r w:rsidR="0039630F" w:rsidRPr="00741122">
        <w:rPr>
          <w:rFonts w:ascii="Times New Roman" w:eastAsia="Times New Roman" w:hAnsi="Times New Roman" w:cs="Times New Roman"/>
          <w:sz w:val="22"/>
          <w:szCs w:val="22"/>
          <w:lang w:val="lt-LT"/>
        </w:rPr>
        <w:t>onych bewacyzumabem (10 </w:t>
      </w:r>
      <w:r w:rsidRPr="00741122">
        <w:rPr>
          <w:rFonts w:ascii="Times New Roman" w:eastAsia="Times New Roman" w:hAnsi="Times New Roman" w:cs="Times New Roman"/>
          <w:sz w:val="22"/>
          <w:szCs w:val="22"/>
          <w:lang w:val="lt-LT"/>
        </w:rPr>
        <w:t>mg/kg</w:t>
      </w:r>
      <w:r w:rsidR="0036736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co dwa tygodnie) w skojarze</w:t>
      </w:r>
      <w:r w:rsidR="0039630F" w:rsidRPr="00741122">
        <w:rPr>
          <w:rFonts w:ascii="Times New Roman" w:eastAsia="Times New Roman" w:hAnsi="Times New Roman" w:cs="Times New Roman"/>
          <w:sz w:val="22"/>
          <w:szCs w:val="22"/>
          <w:lang w:val="lt-LT"/>
        </w:rPr>
        <w:t>niu z jabłczanem sunitynibu (50 </w:t>
      </w:r>
      <w:r w:rsidRPr="00741122">
        <w:rPr>
          <w:rFonts w:ascii="Times New Roman" w:eastAsia="Times New Roman" w:hAnsi="Times New Roman" w:cs="Times New Roman"/>
          <w:sz w:val="22"/>
          <w:szCs w:val="22"/>
          <w:lang w:val="lt-LT"/>
        </w:rPr>
        <w:t>mg na dobę).</w:t>
      </w:r>
    </w:p>
    <w:p w14:paraId="3F9C95A0" w14:textId="77777777" w:rsidR="00071CFE" w:rsidRPr="00741122" w:rsidRDefault="00071CFE" w:rsidP="001B794B">
      <w:pPr>
        <w:rPr>
          <w:rFonts w:ascii="Times New Roman" w:eastAsia="Times New Roman" w:hAnsi="Times New Roman" w:cs="Times New Roman"/>
          <w:sz w:val="22"/>
          <w:szCs w:val="22"/>
          <w:lang w:val="lt-LT"/>
        </w:rPr>
      </w:pPr>
    </w:p>
    <w:p w14:paraId="7524FB7B"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MAHA jest chorobą hemolityczną, mogącą objawiać się fragmentacją erytrocytów, niedokrwistością i małopłytkowością. Ponadto u niektórych pacjentów z MAHA może występować nadciśnienie tętnicze (z przełomem nadciśnieniowym włącznie), zwiększone stężenie kreatyniny w surowicy krwi i objawy</w:t>
      </w:r>
      <w:bookmarkStart w:id="10" w:name="page10"/>
      <w:bookmarkEnd w:id="10"/>
      <w:r w:rsidR="0039630F"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neurologiczne. Wszystkie wymienione objawy były odwracalne, po zaprzestaniu przyjmowania bewacyzumabu i jabłczanu sunitynibu (patrz </w:t>
      </w:r>
      <w:r w:rsidRPr="00407BF0">
        <w:rPr>
          <w:rFonts w:ascii="Times New Roman" w:eastAsia="Times New Roman" w:hAnsi="Times New Roman" w:cs="Times New Roman"/>
          <w:i/>
          <w:sz w:val="22"/>
          <w:szCs w:val="22"/>
          <w:lang w:val="lt-LT"/>
        </w:rPr>
        <w:t>nadciśnienie, białkomocz, PRES</w:t>
      </w:r>
      <w:r w:rsidRPr="00741122">
        <w:rPr>
          <w:rFonts w:ascii="Times New Roman" w:eastAsia="Times New Roman" w:hAnsi="Times New Roman" w:cs="Times New Roman"/>
          <w:sz w:val="22"/>
          <w:szCs w:val="22"/>
          <w:lang w:val="lt-LT"/>
        </w:rPr>
        <w:t xml:space="preserve"> w punkcie 4.4).</w:t>
      </w:r>
    </w:p>
    <w:p w14:paraId="26D08E27" w14:textId="77777777" w:rsidR="00071CFE" w:rsidRPr="00741122" w:rsidRDefault="00071CFE" w:rsidP="001B794B">
      <w:pPr>
        <w:rPr>
          <w:rFonts w:ascii="Times New Roman" w:eastAsia="Times New Roman" w:hAnsi="Times New Roman" w:cs="Times New Roman"/>
          <w:sz w:val="22"/>
          <w:szCs w:val="22"/>
          <w:lang w:val="lt-LT"/>
        </w:rPr>
      </w:pPr>
    </w:p>
    <w:p w14:paraId="29EA3A5F" w14:textId="77777777" w:rsidR="00071CFE" w:rsidRPr="00741122" w:rsidRDefault="00071CFE" w:rsidP="00293835">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Skojarzenie ze schematami zawierającymi pochodne platyny lub taksany (patrz punkty 4.4 i 4.8)</w:t>
      </w:r>
    </w:p>
    <w:p w14:paraId="19CE1DF0" w14:textId="77777777" w:rsidR="007471AC" w:rsidRPr="00741122" w:rsidRDefault="007471AC" w:rsidP="00293835">
      <w:pPr>
        <w:keepNext/>
        <w:rPr>
          <w:rFonts w:ascii="Times New Roman" w:eastAsia="Times New Roman" w:hAnsi="Times New Roman" w:cs="Times New Roman"/>
          <w:sz w:val="22"/>
          <w:szCs w:val="22"/>
          <w:u w:val="single"/>
          <w:lang w:val="lt-LT"/>
        </w:rPr>
      </w:pPr>
    </w:p>
    <w:p w14:paraId="135F485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U chorych na niedrobnokomórkowego raka płuca lub raka piersi z przerzutami leczonych schematami zawierającymi pochodne platyny lub taksany obserwowano częstsze występowanie ciężkiej neutropenii, gorączki neutropenicznej oraz infekcji z lub bez ciężkiej neutropenii (w tym również przypadków śmiertelnych).</w:t>
      </w:r>
    </w:p>
    <w:p w14:paraId="49672EBC" w14:textId="77777777" w:rsidR="00071CFE" w:rsidRPr="00741122" w:rsidRDefault="00071CFE" w:rsidP="001B794B">
      <w:pPr>
        <w:rPr>
          <w:rFonts w:ascii="Times New Roman" w:eastAsia="Times New Roman" w:hAnsi="Times New Roman" w:cs="Times New Roman"/>
          <w:sz w:val="22"/>
          <w:szCs w:val="22"/>
          <w:lang w:val="lt-LT"/>
        </w:rPr>
      </w:pPr>
    </w:p>
    <w:p w14:paraId="1678C92D" w14:textId="77777777" w:rsidR="007471AC" w:rsidRPr="00741122" w:rsidRDefault="00071CFE" w:rsidP="001B794B">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Radioterapia</w:t>
      </w:r>
    </w:p>
    <w:p w14:paraId="32CA85E3" w14:textId="77777777" w:rsidR="00071CFE" w:rsidRPr="00741122" w:rsidRDefault="00071CFE" w:rsidP="001B794B">
      <w:pPr>
        <w:keepNext/>
        <w:rPr>
          <w:rFonts w:ascii="Times New Roman" w:eastAsia="Times New Roman" w:hAnsi="Times New Roman" w:cs="Times New Roman"/>
          <w:sz w:val="22"/>
          <w:szCs w:val="22"/>
          <w:lang w:val="lt-LT"/>
        </w:rPr>
      </w:pPr>
    </w:p>
    <w:p w14:paraId="1E7F145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ustalono bezpieczeństwa i skuteczności jednoczesnego stosowania radioterapii i </w:t>
      </w:r>
      <w:r w:rsidR="003F1B4E">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w:t>
      </w:r>
    </w:p>
    <w:p w14:paraId="0C3BC392" w14:textId="77777777" w:rsidR="00071CFE" w:rsidRPr="00741122" w:rsidRDefault="00071CFE" w:rsidP="001B794B">
      <w:pPr>
        <w:rPr>
          <w:rFonts w:ascii="Times New Roman" w:eastAsia="Times New Roman" w:hAnsi="Times New Roman" w:cs="Times New Roman"/>
          <w:sz w:val="22"/>
          <w:szCs w:val="22"/>
          <w:lang w:val="lt-LT"/>
        </w:rPr>
      </w:pPr>
    </w:p>
    <w:p w14:paraId="6BCA5E7A"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Przeciwciała monoklonalne przeciwko EGFR w skojarzeniu z bewacyzumabem i schematami chemioterapii</w:t>
      </w:r>
    </w:p>
    <w:p w14:paraId="4D974F21" w14:textId="77777777" w:rsidR="00071CFE" w:rsidRPr="00741122" w:rsidRDefault="00071CFE" w:rsidP="001B794B">
      <w:pPr>
        <w:rPr>
          <w:rFonts w:ascii="Times New Roman" w:eastAsia="Times New Roman" w:hAnsi="Times New Roman" w:cs="Times New Roman"/>
          <w:sz w:val="22"/>
          <w:szCs w:val="22"/>
          <w:lang w:val="lt-LT"/>
        </w:rPr>
      </w:pPr>
    </w:p>
    <w:p w14:paraId="40C3728A" w14:textId="1693B18E"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przeprowadzono badań dotyczących interakcji powyższych leków. Przeciwciała monoklonalne przeciwko EGFR nie powinny być stosowane w skojarzeniu ze schematami chemioterapii z bewacyzumabem w leczeniu raka okrężnicy lub odbytnicy z przerzutami. Wyniki randomizowanych badań fazy III, PACCE i CAIRO-2, wskazują, że stosowanie u chorych na raka okrężnicy lub odbytnicy z przerzutami przeciwciał monoklonalnych anty EGFR panitumumabu i cetuksymabu w skojarzeniu z bewacyzumabem i chemioterapią związane jest ze skróceniem </w:t>
      </w:r>
      <w:r w:rsidR="005C3758">
        <w:rPr>
          <w:rFonts w:ascii="Times New Roman" w:eastAsia="Times New Roman" w:hAnsi="Times New Roman" w:cs="Times New Roman"/>
          <w:sz w:val="22"/>
          <w:szCs w:val="22"/>
          <w:lang w:val="lt-LT"/>
        </w:rPr>
        <w:t>czasu przeżycia bez progresji choroby (</w:t>
      </w:r>
      <w:r w:rsidRPr="00741122">
        <w:rPr>
          <w:rFonts w:ascii="Times New Roman" w:eastAsia="Times New Roman" w:hAnsi="Times New Roman" w:cs="Times New Roman"/>
          <w:sz w:val="22"/>
          <w:szCs w:val="22"/>
          <w:lang w:val="lt-LT"/>
        </w:rPr>
        <w:t>PFS</w:t>
      </w:r>
      <w:r w:rsidR="005C375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i</w:t>
      </w:r>
      <w:r w:rsidR="009925E9">
        <w:rPr>
          <w:rFonts w:ascii="Times New Roman" w:eastAsia="Times New Roman" w:hAnsi="Times New Roman" w:cs="Times New Roman"/>
          <w:sz w:val="22"/>
          <w:szCs w:val="22"/>
          <w:lang w:val="lt-LT"/>
        </w:rPr>
        <w:t xml:space="preserve"> (lub)</w:t>
      </w:r>
      <w:r w:rsidRPr="00741122">
        <w:rPr>
          <w:rFonts w:ascii="Times New Roman" w:eastAsia="Times New Roman" w:hAnsi="Times New Roman" w:cs="Times New Roman"/>
          <w:sz w:val="22"/>
          <w:szCs w:val="22"/>
          <w:lang w:val="lt-LT"/>
        </w:rPr>
        <w:t xml:space="preserve"> </w:t>
      </w:r>
      <w:r w:rsidR="005C3758">
        <w:rPr>
          <w:rFonts w:ascii="Times New Roman" w:eastAsia="Times New Roman" w:hAnsi="Times New Roman" w:cs="Times New Roman"/>
          <w:sz w:val="22"/>
          <w:szCs w:val="22"/>
          <w:lang w:val="lt-LT"/>
        </w:rPr>
        <w:t>całkowitego czasu przeżycia (</w:t>
      </w:r>
      <w:r w:rsidRPr="00741122">
        <w:rPr>
          <w:rFonts w:ascii="Times New Roman" w:eastAsia="Times New Roman" w:hAnsi="Times New Roman" w:cs="Times New Roman"/>
          <w:sz w:val="22"/>
          <w:szCs w:val="22"/>
          <w:lang w:val="lt-LT"/>
        </w:rPr>
        <w:t>OS</w:t>
      </w:r>
      <w:r w:rsidR="005C375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oraz ze wzrostem toksyczności w porównaniu </w:t>
      </w:r>
      <w:r w:rsidR="009F0911">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bewacyzumab</w:t>
      </w:r>
      <w:r w:rsidR="009F0911">
        <w:rPr>
          <w:rFonts w:ascii="Times New Roman" w:eastAsia="Times New Roman" w:hAnsi="Times New Roman" w:cs="Times New Roman"/>
          <w:sz w:val="22"/>
          <w:szCs w:val="22"/>
          <w:lang w:val="lt-LT"/>
        </w:rPr>
        <w:t>em</w:t>
      </w:r>
      <w:r w:rsidRPr="00741122">
        <w:rPr>
          <w:rFonts w:ascii="Times New Roman" w:eastAsia="Times New Roman" w:hAnsi="Times New Roman" w:cs="Times New Roman"/>
          <w:sz w:val="22"/>
          <w:szCs w:val="22"/>
          <w:lang w:val="lt-LT"/>
        </w:rPr>
        <w:t xml:space="preserve"> z chemioterapią.</w:t>
      </w:r>
    </w:p>
    <w:p w14:paraId="250DF1E6" w14:textId="77777777" w:rsidR="00071CFE" w:rsidRPr="00741122" w:rsidRDefault="00071CFE" w:rsidP="001B794B">
      <w:pPr>
        <w:rPr>
          <w:rFonts w:ascii="Times New Roman" w:eastAsia="Times New Roman" w:hAnsi="Times New Roman" w:cs="Times New Roman"/>
          <w:sz w:val="22"/>
          <w:szCs w:val="22"/>
          <w:lang w:val="lt-LT"/>
        </w:rPr>
      </w:pPr>
    </w:p>
    <w:p w14:paraId="2305CF43" w14:textId="77777777" w:rsidR="00071CFE" w:rsidRPr="00741122" w:rsidRDefault="00071CFE" w:rsidP="005A497F">
      <w:pPr>
        <w:keepNext/>
        <w:keepLines/>
        <w:tabs>
          <w:tab w:val="left" w:pos="540"/>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4.6</w:t>
      </w:r>
      <w:r w:rsidRPr="00741122">
        <w:rPr>
          <w:rFonts w:ascii="Times New Roman" w:eastAsia="Times New Roman" w:hAnsi="Times New Roman" w:cs="Times New Roman"/>
          <w:sz w:val="22"/>
          <w:szCs w:val="22"/>
          <w:lang w:val="lt-LT"/>
        </w:rPr>
        <w:tab/>
      </w:r>
      <w:r w:rsidR="00D663AA" w:rsidRPr="00741122">
        <w:rPr>
          <w:rFonts w:ascii="Times New Roman" w:eastAsia="Times New Roman" w:hAnsi="Times New Roman" w:cs="Times New Roman"/>
          <w:b/>
          <w:sz w:val="22"/>
          <w:szCs w:val="22"/>
          <w:lang w:val="lt-LT"/>
        </w:rPr>
        <w:t>W</w:t>
      </w:r>
      <w:r w:rsidRPr="00741122">
        <w:rPr>
          <w:rFonts w:ascii="Times New Roman" w:eastAsia="Times New Roman" w:hAnsi="Times New Roman" w:cs="Times New Roman"/>
          <w:b/>
          <w:sz w:val="22"/>
          <w:szCs w:val="22"/>
          <w:lang w:val="lt-LT"/>
        </w:rPr>
        <w:t>pływ na płodność, ciążę i laktację</w:t>
      </w:r>
    </w:p>
    <w:p w14:paraId="30ECF47D" w14:textId="77777777" w:rsidR="00071CFE" w:rsidRPr="00741122" w:rsidRDefault="00071CFE" w:rsidP="005A497F">
      <w:pPr>
        <w:keepNext/>
        <w:keepLines/>
        <w:rPr>
          <w:rFonts w:ascii="Times New Roman" w:eastAsia="Times New Roman" w:hAnsi="Times New Roman" w:cs="Times New Roman"/>
          <w:sz w:val="22"/>
          <w:szCs w:val="22"/>
          <w:lang w:val="lt-LT"/>
        </w:rPr>
      </w:pPr>
    </w:p>
    <w:p w14:paraId="0D6C2D44" w14:textId="4B2E7934" w:rsidR="00071CFE" w:rsidRPr="00741122" w:rsidRDefault="00071CFE" w:rsidP="005A497F">
      <w:pPr>
        <w:keepNext/>
        <w:keepLines/>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Kobiety w wieku rozrodczym</w:t>
      </w:r>
      <w:r w:rsidR="005C3758">
        <w:rPr>
          <w:rFonts w:ascii="Times New Roman" w:eastAsia="Times New Roman" w:hAnsi="Times New Roman" w:cs="Times New Roman"/>
          <w:sz w:val="22"/>
          <w:szCs w:val="22"/>
          <w:u w:val="single"/>
          <w:lang w:val="lt-LT"/>
        </w:rPr>
        <w:t xml:space="preserve"> / antykoncepcja</w:t>
      </w:r>
    </w:p>
    <w:p w14:paraId="0A11329E" w14:textId="77777777" w:rsidR="00071CFE" w:rsidRPr="00741122" w:rsidRDefault="00071CFE" w:rsidP="001B794B">
      <w:pPr>
        <w:rPr>
          <w:rFonts w:ascii="Times New Roman" w:eastAsia="Times New Roman" w:hAnsi="Times New Roman" w:cs="Times New Roman"/>
          <w:sz w:val="22"/>
          <w:szCs w:val="22"/>
          <w:lang w:val="lt-LT"/>
        </w:rPr>
      </w:pPr>
    </w:p>
    <w:p w14:paraId="50CF919E"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Kobiety w wieku rozrodczym muszą w trakcie terapii stosować skuteczne metody antykoncepcyjne (także w okresie do 6 miesięcy po otrzymaniu ostatniej dawki leku).</w:t>
      </w:r>
    </w:p>
    <w:p w14:paraId="46123968" w14:textId="77777777" w:rsidR="00071CFE" w:rsidRPr="00741122" w:rsidRDefault="00071CFE" w:rsidP="001B794B">
      <w:pPr>
        <w:rPr>
          <w:rFonts w:ascii="Times New Roman" w:eastAsia="Times New Roman" w:hAnsi="Times New Roman" w:cs="Times New Roman"/>
          <w:sz w:val="22"/>
          <w:szCs w:val="22"/>
          <w:lang w:val="lt-LT"/>
        </w:rPr>
      </w:pPr>
    </w:p>
    <w:p w14:paraId="443130E9"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Ciąża</w:t>
      </w:r>
    </w:p>
    <w:p w14:paraId="2E2E243A" w14:textId="77777777" w:rsidR="00071CFE" w:rsidRPr="00741122" w:rsidRDefault="00071CFE" w:rsidP="001B794B">
      <w:pPr>
        <w:rPr>
          <w:rFonts w:ascii="Times New Roman" w:eastAsia="Times New Roman" w:hAnsi="Times New Roman" w:cs="Times New Roman"/>
          <w:sz w:val="22"/>
          <w:szCs w:val="22"/>
          <w:lang w:val="lt-LT"/>
        </w:rPr>
      </w:pPr>
    </w:p>
    <w:p w14:paraId="3B3086C8" w14:textId="77777777" w:rsidR="00071CFE" w:rsidRPr="00741122" w:rsidRDefault="00071CFE" w:rsidP="001B794B">
      <w:pPr>
        <w:rPr>
          <w:rFonts w:ascii="Times New Roman" w:eastAsia="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 xml:space="preserve">Nie ma danych z badań klinicznych dotyczących stosowania </w:t>
      </w:r>
      <w:r w:rsidR="00B07FB8">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u kobiet w ciąży. Badania na zwierzętach wykazały toksyczność reprodukcyjną, w</w:t>
      </w:r>
      <w:r w:rsidR="009F0911">
        <w:rPr>
          <w:rFonts w:ascii="Times New Roman" w:eastAsia="Times New Roman" w:hAnsi="Times New Roman" w:cs="Times New Roman"/>
          <w:sz w:val="22"/>
          <w:szCs w:val="22"/>
          <w:lang w:val="lt-LT"/>
        </w:rPr>
        <w:t xml:space="preserve"> tym</w:t>
      </w:r>
      <w:r w:rsidRPr="00741122">
        <w:rPr>
          <w:rFonts w:ascii="Times New Roman" w:eastAsia="Times New Roman" w:hAnsi="Times New Roman" w:cs="Times New Roman"/>
          <w:sz w:val="22"/>
          <w:szCs w:val="22"/>
          <w:lang w:val="lt-LT"/>
        </w:rPr>
        <w:t xml:space="preserve"> zniekształcenia (patrz punkt 5.3). Wiadomo, że immunoglobuliny klasy IgG przenikają przez łożysko i zakłada się, że </w:t>
      </w:r>
      <w:r w:rsidR="00B07FB8">
        <w:rPr>
          <w:rFonts w:ascii="Times New Roman" w:eastAsia="Times New Roman" w:hAnsi="Times New Roman" w:cs="Times New Roman"/>
          <w:sz w:val="22"/>
          <w:szCs w:val="22"/>
          <w:lang w:val="lt-LT"/>
        </w:rPr>
        <w:t>bewacyzumab</w:t>
      </w:r>
      <w:r w:rsidRPr="00741122">
        <w:rPr>
          <w:rFonts w:ascii="Times New Roman" w:eastAsia="Times New Roman" w:hAnsi="Times New Roman"/>
          <w:sz w:val="22"/>
          <w:lang w:val="lt-LT"/>
        </w:rPr>
        <w:t xml:space="preserve"> </w:t>
      </w:r>
      <w:r w:rsidRPr="00741122">
        <w:rPr>
          <w:rFonts w:ascii="Times New Roman" w:eastAsia="Times New Roman" w:hAnsi="Times New Roman" w:cs="Times New Roman"/>
          <w:sz w:val="22"/>
          <w:szCs w:val="22"/>
          <w:lang w:val="lt-LT"/>
        </w:rPr>
        <w:t xml:space="preserve">hamuje angiogenezę u płodu, dlatego jest prawdopodobne, że podawanie produktu podczas ciąży może spowodować poważne uszkodzenia u nienarodzonego dziecka. </w:t>
      </w:r>
      <w:r w:rsidRPr="00741122">
        <w:rPr>
          <w:rFonts w:ascii="Times New Roman" w:eastAsia="Times New Roman" w:hAnsi="Times New Roman" w:cs="Times New Roman"/>
          <w:color w:val="222222"/>
          <w:sz w:val="22"/>
          <w:szCs w:val="22"/>
          <w:lang w:val="lt-LT"/>
        </w:rPr>
        <w:t>Po</w:t>
      </w:r>
      <w:r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color w:val="222222"/>
          <w:sz w:val="22"/>
          <w:szCs w:val="22"/>
          <w:lang w:val="lt-LT"/>
        </w:rPr>
        <w:t xml:space="preserve">wprowadzeniu produktu do obrotu zgłaszano przypadki wad rozwojowych płodu u kobiet leczonych bewacyzumabem w monoterapii lub w skojarzeniu z chemioterapeutykami o znanym embriotoksycznym działaniu (patrz punkt 4.8). </w:t>
      </w:r>
      <w:r w:rsidRPr="00741122">
        <w:rPr>
          <w:rFonts w:ascii="Times New Roman" w:eastAsia="Times New Roman" w:hAnsi="Times New Roman" w:cs="Times New Roman"/>
          <w:color w:val="000000"/>
          <w:sz w:val="22"/>
          <w:szCs w:val="22"/>
          <w:lang w:val="lt-LT"/>
        </w:rPr>
        <w:t xml:space="preserve">Stosowanie produktu </w:t>
      </w:r>
      <w:r w:rsidR="00261A5A">
        <w:rPr>
          <w:rFonts w:ascii="Times New Roman" w:eastAsia="Times New Roman" w:hAnsi="Times New Roman" w:cs="Times New Roman"/>
          <w:color w:val="000000"/>
          <w:sz w:val="22"/>
          <w:szCs w:val="22"/>
          <w:lang w:val="lt-LT"/>
        </w:rPr>
        <w:t>MVASI</w:t>
      </w:r>
      <w:r w:rsidRPr="00741122">
        <w:rPr>
          <w:rFonts w:ascii="Times New Roman" w:eastAsia="Times New Roman" w:hAnsi="Times New Roman" w:cs="Times New Roman"/>
          <w:color w:val="000000"/>
          <w:sz w:val="22"/>
          <w:szCs w:val="22"/>
          <w:lang w:val="lt-LT"/>
        </w:rPr>
        <w:t xml:space="preserve"> jest przeciwwskazane w</w:t>
      </w:r>
      <w:r w:rsidRPr="00741122">
        <w:rPr>
          <w:rFonts w:ascii="Times New Roman" w:eastAsia="Times New Roman" w:hAnsi="Times New Roman" w:cs="Times New Roman"/>
          <w:color w:val="222222"/>
          <w:sz w:val="22"/>
          <w:szCs w:val="22"/>
          <w:lang w:val="lt-LT"/>
        </w:rPr>
        <w:t xml:space="preserve"> </w:t>
      </w:r>
      <w:r w:rsidRPr="00741122">
        <w:rPr>
          <w:rFonts w:ascii="Times New Roman" w:eastAsia="Times New Roman" w:hAnsi="Times New Roman" w:cs="Times New Roman"/>
          <w:color w:val="000000"/>
          <w:sz w:val="22"/>
          <w:szCs w:val="22"/>
          <w:lang w:val="lt-LT"/>
        </w:rPr>
        <w:t>ciąży (patrz punkt 4.3).</w:t>
      </w:r>
    </w:p>
    <w:p w14:paraId="4FAF8BF5" w14:textId="77777777" w:rsidR="00071CFE" w:rsidRPr="00741122" w:rsidRDefault="00071CFE" w:rsidP="001B794B">
      <w:pPr>
        <w:rPr>
          <w:rFonts w:ascii="Times New Roman" w:eastAsia="Times New Roman" w:hAnsi="Times New Roman" w:cs="Times New Roman"/>
          <w:sz w:val="22"/>
          <w:szCs w:val="22"/>
          <w:lang w:val="lt-LT"/>
        </w:rPr>
      </w:pPr>
    </w:p>
    <w:p w14:paraId="1C992606"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Karmienie piersią</w:t>
      </w:r>
    </w:p>
    <w:p w14:paraId="3A547CDC" w14:textId="77777777" w:rsidR="00071CFE" w:rsidRPr="00741122" w:rsidRDefault="00071CFE" w:rsidP="001B794B">
      <w:pPr>
        <w:rPr>
          <w:rFonts w:ascii="Times New Roman" w:eastAsia="Times New Roman" w:hAnsi="Times New Roman" w:cs="Times New Roman"/>
          <w:sz w:val="22"/>
          <w:szCs w:val="22"/>
          <w:lang w:val="lt-LT"/>
        </w:rPr>
      </w:pPr>
    </w:p>
    <w:p w14:paraId="5646E51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wiadomo czy bewacyzumab przenika do mleka kobiet karmiących. Ponieważ immunoglobuliny klasy IgG matki przenikają do mleka, bewacyzumab może zaburzyć wzrost i rozwój dziecka (patrz punkt 5.3). Dlatego też nie wolno karmić piersią w trakcie terapii bewacyzumabem i w okresie przynajmniej sześciu miesięcy od otrzymania ostatniej dawki </w:t>
      </w:r>
      <w:r w:rsidR="00B07FB8">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w:t>
      </w:r>
    </w:p>
    <w:p w14:paraId="78D006D6" w14:textId="77777777" w:rsidR="00071CFE" w:rsidRPr="00741122" w:rsidRDefault="00071CFE" w:rsidP="001B794B">
      <w:pPr>
        <w:rPr>
          <w:rFonts w:ascii="Times New Roman" w:eastAsia="Times New Roman" w:hAnsi="Times New Roman" w:cs="Times New Roman"/>
          <w:sz w:val="22"/>
          <w:szCs w:val="22"/>
          <w:lang w:val="lt-LT"/>
        </w:rPr>
      </w:pPr>
    </w:p>
    <w:p w14:paraId="5FA32B43"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Płodność</w:t>
      </w:r>
    </w:p>
    <w:p w14:paraId="11BF9C5C" w14:textId="77777777" w:rsidR="00071CFE" w:rsidRPr="00741122" w:rsidRDefault="00071CFE" w:rsidP="001B794B">
      <w:pPr>
        <w:rPr>
          <w:rFonts w:ascii="Times New Roman" w:eastAsia="Times New Roman" w:hAnsi="Times New Roman" w:cs="Times New Roman"/>
          <w:sz w:val="22"/>
          <w:szCs w:val="22"/>
          <w:lang w:val="lt-LT"/>
        </w:rPr>
      </w:pPr>
    </w:p>
    <w:p w14:paraId="7EDE21ED"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badaniach oceniających toksyczność dawki powtarzanej na modelach zwierzęcych wykazano, że bewacyzumab może mieć niekorzystny wpływ na płodność kobiet (patrz punkt 5.3). W ramach badania III fazy dotyczącego leczenia uzupełniającego chorych na raka jelita grubego przeprowadzono dodatkowe badanie obejmujące kobiety przed menopauzą. Wykazano w nim częstsze występowanie nowych przypadków niewydolności jajników w grupie kobiet leczonych bewacyzumabem w porównaniu z grupą kontrolną. Po zaprzestaniu leczenia bewacyzumabem czynność jajników powróciła u większości pacjentek. Długoterminowy wpływ leczenia bewacyzumabem na płodność nie jest znany.</w:t>
      </w:r>
    </w:p>
    <w:p w14:paraId="2AC87D41" w14:textId="77777777" w:rsidR="00071CFE" w:rsidRPr="00741122" w:rsidRDefault="00071CFE" w:rsidP="001B794B">
      <w:pPr>
        <w:rPr>
          <w:rFonts w:ascii="Times New Roman" w:eastAsia="Times New Roman" w:hAnsi="Times New Roman" w:cs="Times New Roman"/>
          <w:sz w:val="22"/>
          <w:szCs w:val="22"/>
          <w:lang w:val="lt-LT"/>
        </w:rPr>
      </w:pPr>
    </w:p>
    <w:p w14:paraId="6879FFB3" w14:textId="77777777" w:rsidR="00071CFE" w:rsidRPr="00741122" w:rsidRDefault="00071CFE" w:rsidP="001B794B">
      <w:pPr>
        <w:keepNext/>
        <w:tabs>
          <w:tab w:val="left" w:pos="541"/>
        </w:tabs>
        <w:ind w:left="567" w:hanging="567"/>
        <w:rPr>
          <w:rFonts w:ascii="Times New Roman" w:eastAsia="Times New Roman" w:hAnsi="Times New Roman" w:cs="Times New Roman"/>
          <w:b/>
          <w:sz w:val="22"/>
          <w:szCs w:val="22"/>
          <w:lang w:val="lt-LT"/>
        </w:rPr>
      </w:pPr>
      <w:bookmarkStart w:id="11" w:name="page11"/>
      <w:bookmarkEnd w:id="11"/>
      <w:r w:rsidRPr="00741122">
        <w:rPr>
          <w:rFonts w:ascii="Times New Roman" w:eastAsia="Times New Roman" w:hAnsi="Times New Roman" w:cs="Times New Roman"/>
          <w:b/>
          <w:sz w:val="22"/>
          <w:szCs w:val="22"/>
          <w:lang w:val="lt-LT"/>
        </w:rPr>
        <w:t>4.7</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Wpływ na zdolność prowadzenia pojazdów i obsługiwania maszyn</w:t>
      </w:r>
    </w:p>
    <w:p w14:paraId="2B53751B" w14:textId="77777777" w:rsidR="00071CFE" w:rsidRPr="00741122" w:rsidRDefault="00071CFE" w:rsidP="001B794B">
      <w:pPr>
        <w:keepNext/>
        <w:tabs>
          <w:tab w:val="left" w:pos="541"/>
        </w:tabs>
        <w:rPr>
          <w:rFonts w:ascii="Times New Roman" w:eastAsia="Times New Roman" w:hAnsi="Times New Roman" w:cs="Times New Roman"/>
          <w:sz w:val="22"/>
          <w:szCs w:val="22"/>
          <w:lang w:val="lt-LT"/>
        </w:rPr>
      </w:pPr>
    </w:p>
    <w:p w14:paraId="3BC0690C" w14:textId="77777777" w:rsidR="00071CFE" w:rsidRPr="00741122" w:rsidRDefault="00E01A36"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Bewacyzumab</w:t>
      </w:r>
      <w:r w:rsidR="00071CFE" w:rsidRPr="00741122">
        <w:rPr>
          <w:rFonts w:ascii="Times New Roman" w:eastAsia="Times New Roman" w:hAnsi="Times New Roman" w:cs="Times New Roman"/>
          <w:sz w:val="22"/>
          <w:szCs w:val="22"/>
          <w:lang w:val="lt-LT"/>
        </w:rPr>
        <w:t xml:space="preserve"> nie ma wpływu lub wywiera nieistotny wpływ na zdolność prowadzenia pojazdów i obsługiwania maszyn. Jednakże, u chorych przyjmujących </w:t>
      </w:r>
      <w:r>
        <w:rPr>
          <w:rFonts w:ascii="Times New Roman" w:eastAsia="Times New Roman" w:hAnsi="Times New Roman" w:cs="Times New Roman"/>
          <w:sz w:val="22"/>
          <w:szCs w:val="22"/>
          <w:lang w:val="lt-LT"/>
        </w:rPr>
        <w:t>bewacyzumab</w:t>
      </w:r>
      <w:r w:rsidR="00071CFE" w:rsidRPr="00741122">
        <w:rPr>
          <w:rFonts w:ascii="Times New Roman" w:eastAsia="Times New Roman" w:hAnsi="Times New Roman" w:cs="Times New Roman"/>
          <w:sz w:val="22"/>
          <w:szCs w:val="22"/>
          <w:lang w:val="lt-LT"/>
        </w:rPr>
        <w:t xml:space="preserve"> zgłaszano przypadki senności i omdlenia (patrz tabela 1, punkt 4.8). Pacjentom, u których występują objawy wpływające na widzenie, koncentrację lub zdolność do reakcji, nie zaleca się prowadzenia pojazdów i obsługiwania maszyn do czasu ustąpienia tych objawów.</w:t>
      </w:r>
    </w:p>
    <w:p w14:paraId="5F8ABBD6" w14:textId="77777777" w:rsidR="00071CFE" w:rsidRPr="00741122" w:rsidRDefault="00071CFE" w:rsidP="001B794B">
      <w:pPr>
        <w:rPr>
          <w:rFonts w:ascii="Times New Roman" w:eastAsia="Times New Roman" w:hAnsi="Times New Roman" w:cs="Times New Roman"/>
          <w:sz w:val="22"/>
          <w:szCs w:val="22"/>
          <w:lang w:val="lt-LT"/>
        </w:rPr>
      </w:pPr>
    </w:p>
    <w:p w14:paraId="6854EFB5" w14:textId="77777777" w:rsidR="00071CFE" w:rsidRPr="00741122" w:rsidRDefault="00071CFE" w:rsidP="0023471C">
      <w:pPr>
        <w:tabs>
          <w:tab w:val="left" w:pos="541"/>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4.8</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Działania niepożądane</w:t>
      </w:r>
    </w:p>
    <w:p w14:paraId="1D7CF355" w14:textId="77777777" w:rsidR="00071CFE" w:rsidRPr="00741122" w:rsidRDefault="00071CFE" w:rsidP="001B794B">
      <w:pPr>
        <w:rPr>
          <w:rFonts w:ascii="Times New Roman" w:eastAsia="Times New Roman" w:hAnsi="Times New Roman" w:cs="Times New Roman"/>
          <w:sz w:val="22"/>
          <w:szCs w:val="22"/>
          <w:lang w:val="lt-LT"/>
        </w:rPr>
      </w:pPr>
    </w:p>
    <w:p w14:paraId="5D8FD207"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Podsumowanie profilu bezpieczeństwa</w:t>
      </w:r>
    </w:p>
    <w:p w14:paraId="717941B0" w14:textId="77777777" w:rsidR="00071CFE" w:rsidRPr="00741122" w:rsidRDefault="00071CFE" w:rsidP="001B794B">
      <w:pPr>
        <w:rPr>
          <w:rFonts w:ascii="Times New Roman" w:eastAsia="Times New Roman" w:hAnsi="Times New Roman" w:cs="Times New Roman"/>
          <w:sz w:val="22"/>
          <w:szCs w:val="22"/>
          <w:lang w:val="lt-LT"/>
        </w:rPr>
      </w:pPr>
    </w:p>
    <w:p w14:paraId="53D9F366" w14:textId="2D7BC9AE"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Sumaryczny profil bezpieczeństwa </w:t>
      </w:r>
      <w:r w:rsidR="009F5377">
        <w:rPr>
          <w:rFonts w:ascii="Times New Roman" w:eastAsia="Times New Roman" w:hAnsi="Times New Roman" w:cs="Times New Roman"/>
          <w:sz w:val="22"/>
          <w:szCs w:val="22"/>
          <w:lang w:val="lt-LT"/>
        </w:rPr>
        <w:t>bewacyzumab</w:t>
      </w:r>
      <w:r w:rsidR="00CF14B2">
        <w:rPr>
          <w:rFonts w:ascii="Times New Roman" w:eastAsia="Times New Roman" w:hAnsi="Times New Roman" w:cs="Times New Roman"/>
          <w:sz w:val="22"/>
          <w:szCs w:val="22"/>
          <w:lang w:val="lt-LT"/>
        </w:rPr>
        <w:t>u</w:t>
      </w:r>
      <w:r w:rsidRPr="00741122">
        <w:rPr>
          <w:rFonts w:ascii="Times New Roman" w:eastAsia="Times New Roman" w:hAnsi="Times New Roman" w:cs="Times New Roman"/>
          <w:sz w:val="22"/>
          <w:szCs w:val="22"/>
          <w:lang w:val="lt-LT"/>
        </w:rPr>
        <w:t xml:space="preserve"> jest oparty na danych pochodzących od 5700 pacjentów z różnymi nowotworami, w większości otrzymujących </w:t>
      </w:r>
      <w:r w:rsidR="009F5377">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skojarzeniu z chemioterapią w ramach badań klinicznych.</w:t>
      </w:r>
    </w:p>
    <w:p w14:paraId="6B5B70A3" w14:textId="77777777" w:rsidR="00071CFE" w:rsidRPr="00741122" w:rsidRDefault="00071CFE" w:rsidP="001B794B">
      <w:pPr>
        <w:rPr>
          <w:rFonts w:ascii="Times New Roman" w:eastAsia="Times New Roman" w:hAnsi="Times New Roman" w:cs="Times New Roman"/>
          <w:sz w:val="22"/>
          <w:szCs w:val="22"/>
          <w:lang w:val="lt-LT"/>
        </w:rPr>
      </w:pPr>
    </w:p>
    <w:p w14:paraId="2DFCFC3A" w14:textId="77777777" w:rsidR="00071CFE" w:rsidRPr="00741122" w:rsidRDefault="00071CFE" w:rsidP="00831853">
      <w:pPr>
        <w:keepNext/>
        <w:keepLine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Do najcięższych działań niepożądanych należały:</w:t>
      </w:r>
    </w:p>
    <w:p w14:paraId="5D64FCD5" w14:textId="77777777" w:rsidR="00071CFE" w:rsidRPr="00741122" w:rsidRDefault="00071CFE" w:rsidP="00831853">
      <w:pPr>
        <w:keepNext/>
        <w:keepLines/>
        <w:rPr>
          <w:rFonts w:ascii="Times New Roman" w:eastAsia="Times New Roman" w:hAnsi="Times New Roman" w:cs="Times New Roman"/>
          <w:sz w:val="22"/>
          <w:szCs w:val="22"/>
          <w:lang w:val="lt-LT"/>
        </w:rPr>
      </w:pPr>
    </w:p>
    <w:p w14:paraId="06446753" w14:textId="77777777" w:rsidR="00071CFE" w:rsidRPr="00741122" w:rsidRDefault="00071CFE" w:rsidP="00831853">
      <w:pPr>
        <w:keepNext/>
        <w:keepLines/>
        <w:numPr>
          <w:ilvl w:val="0"/>
          <w:numId w:val="6"/>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Perforacje żołądkowo-jelitowe (patrz punkt 4.4).</w:t>
      </w:r>
    </w:p>
    <w:p w14:paraId="093C9CDE" w14:textId="77777777" w:rsidR="00071CFE" w:rsidRPr="00741122" w:rsidRDefault="00071CFE" w:rsidP="00831853">
      <w:pPr>
        <w:keepNext/>
        <w:keepLines/>
        <w:numPr>
          <w:ilvl w:val="0"/>
          <w:numId w:val="6"/>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Krwotoki, w tym krwotoki płucne/krwioplucie, częściej występujące u pacjentów z niedrobnokomórkowym rakiem płuca (patrz punkt 4.4).</w:t>
      </w:r>
    </w:p>
    <w:p w14:paraId="755AAF96" w14:textId="77777777" w:rsidR="00071CFE" w:rsidRPr="00741122" w:rsidRDefault="00071CFE" w:rsidP="001B794B">
      <w:pPr>
        <w:numPr>
          <w:ilvl w:val="0"/>
          <w:numId w:val="6"/>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Tętnicza zakrzepica zatorowa (patrz punkt 4.4).</w:t>
      </w:r>
    </w:p>
    <w:p w14:paraId="330EFD83" w14:textId="77777777" w:rsidR="00071CFE" w:rsidRPr="00741122" w:rsidRDefault="00071CFE" w:rsidP="001B794B">
      <w:pPr>
        <w:ind w:left="567" w:hanging="567"/>
        <w:rPr>
          <w:rFonts w:ascii="Times New Roman" w:eastAsia="Times New Roman" w:hAnsi="Times New Roman" w:cs="Times New Roman"/>
          <w:sz w:val="22"/>
          <w:szCs w:val="22"/>
          <w:lang w:val="lt-LT"/>
        </w:rPr>
      </w:pPr>
    </w:p>
    <w:p w14:paraId="61205358"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Do najczęściej obserwowanych działań niepożądanych we wszystkich badaniach klinicznych, u pacjentów otrzymujących </w:t>
      </w:r>
      <w:r w:rsidR="009F5377">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należały nadciśnienie, zmęczenie lub osłabienie, biegunka oraz ból brzucha.</w:t>
      </w:r>
    </w:p>
    <w:p w14:paraId="302A3F1F" w14:textId="77777777" w:rsidR="00071CFE" w:rsidRPr="00741122" w:rsidRDefault="00071CFE" w:rsidP="001B794B">
      <w:pPr>
        <w:rPr>
          <w:rFonts w:ascii="Times New Roman" w:eastAsia="Times New Roman" w:hAnsi="Times New Roman" w:cs="Times New Roman"/>
          <w:sz w:val="22"/>
          <w:szCs w:val="22"/>
          <w:lang w:val="lt-LT"/>
        </w:rPr>
      </w:pPr>
    </w:p>
    <w:p w14:paraId="5FC44E2B"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Z analizy danych dotyczących bezpieczeństwa wydaje się, że występowanie nadciśnienia i białkomoczu w trakcie terapii </w:t>
      </w:r>
      <w:r w:rsidR="009F5377">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prawdopodobnie zależy od dawki leku.</w:t>
      </w:r>
    </w:p>
    <w:p w14:paraId="08F7B386" w14:textId="77777777" w:rsidR="00071CFE" w:rsidRPr="00741122" w:rsidRDefault="00071CFE" w:rsidP="001B794B">
      <w:pPr>
        <w:rPr>
          <w:rFonts w:ascii="Times New Roman" w:eastAsia="Times New Roman" w:hAnsi="Times New Roman" w:cs="Times New Roman"/>
          <w:sz w:val="22"/>
          <w:szCs w:val="22"/>
          <w:lang w:val="lt-LT"/>
        </w:rPr>
      </w:pPr>
    </w:p>
    <w:p w14:paraId="21AEBE60"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Tabelaryczne zestawienie działań niepożądanych</w:t>
      </w:r>
    </w:p>
    <w:p w14:paraId="47CA202C" w14:textId="77777777" w:rsidR="007471AC" w:rsidRPr="00741122" w:rsidRDefault="007471AC" w:rsidP="001B794B">
      <w:pPr>
        <w:rPr>
          <w:rFonts w:ascii="Times New Roman" w:eastAsia="Times New Roman" w:hAnsi="Times New Roman" w:cs="Times New Roman"/>
          <w:sz w:val="22"/>
          <w:szCs w:val="22"/>
          <w:u w:val="single"/>
          <w:lang w:val="lt-LT"/>
        </w:rPr>
      </w:pPr>
    </w:p>
    <w:p w14:paraId="304113C6"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Działania niepożądane wymienione w tym punkcie zostały uporządkowane wg następujących kategorii częstości występowania: bardzo często (</w:t>
      </w:r>
      <w:r w:rsidR="0039630F" w:rsidRPr="00741122">
        <w:rPr>
          <w:rFonts w:ascii="Times New Roman" w:eastAsia="Times New Roman" w:hAnsi="Times New Roman" w:cs="Times New Roman"/>
          <w:sz w:val="22"/>
          <w:szCs w:val="22"/>
          <w:lang w:val="lt-LT"/>
        </w:rPr>
        <w:t>≥</w:t>
      </w:r>
      <w:r w:rsidR="003E2B44">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1/10); często (≥</w:t>
      </w:r>
      <w:r w:rsidR="003E2B44">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1/100 </w:t>
      </w:r>
      <w:r w:rsidR="007D1E67" w:rsidRPr="00741122">
        <w:rPr>
          <w:rFonts w:ascii="Times New Roman" w:eastAsia="Times New Roman" w:hAnsi="Times New Roman" w:cs="Times New Roman"/>
          <w:sz w:val="22"/>
          <w:szCs w:val="22"/>
          <w:lang w:val="lt-LT"/>
        </w:rPr>
        <w:t>do &lt;</w:t>
      </w:r>
      <w:r w:rsidR="003E2B44">
        <w:rPr>
          <w:rFonts w:ascii="Times New Roman" w:eastAsia="Times New Roman" w:hAnsi="Times New Roman" w:cs="Times New Roman"/>
          <w:sz w:val="22"/>
          <w:szCs w:val="22"/>
          <w:lang w:val="lt-LT"/>
        </w:rPr>
        <w:t> </w:t>
      </w:r>
      <w:r w:rsidR="007D1E67" w:rsidRPr="00741122">
        <w:rPr>
          <w:rFonts w:ascii="Times New Roman" w:eastAsia="Times New Roman" w:hAnsi="Times New Roman" w:cs="Times New Roman"/>
          <w:sz w:val="22"/>
          <w:szCs w:val="22"/>
          <w:lang w:val="lt-LT"/>
        </w:rPr>
        <w:t>1/10); niezbyt często (≥</w:t>
      </w:r>
      <w:r w:rsidR="003E2B44">
        <w:rPr>
          <w:rFonts w:ascii="Times New Roman" w:eastAsia="Times New Roman" w:hAnsi="Times New Roman" w:cs="Times New Roman"/>
          <w:sz w:val="22"/>
          <w:szCs w:val="22"/>
          <w:lang w:val="lt-LT"/>
        </w:rPr>
        <w:t> </w:t>
      </w:r>
      <w:r w:rsidR="007D1E67" w:rsidRPr="00741122">
        <w:rPr>
          <w:rFonts w:ascii="Times New Roman" w:eastAsia="Times New Roman" w:hAnsi="Times New Roman" w:cs="Times New Roman"/>
          <w:sz w:val="22"/>
          <w:szCs w:val="22"/>
          <w:lang w:val="lt-LT"/>
        </w:rPr>
        <w:t>1/1</w:t>
      </w:r>
      <w:r w:rsidR="008F262B" w:rsidRPr="00741122">
        <w:rPr>
          <w:rFonts w:ascii="Times New Roman" w:eastAsia="Times New Roman" w:hAnsi="Times New Roman" w:cs="Times New Roman"/>
          <w:sz w:val="22"/>
          <w:szCs w:val="22"/>
          <w:lang w:val="lt-LT"/>
        </w:rPr>
        <w:t>000 do &lt;</w:t>
      </w:r>
      <w:r w:rsidR="003E2B44">
        <w:rPr>
          <w:rFonts w:ascii="Times New Roman" w:eastAsia="Times New Roman" w:hAnsi="Times New Roman" w:cs="Times New Roman"/>
          <w:sz w:val="22"/>
          <w:szCs w:val="22"/>
          <w:lang w:val="lt-LT"/>
        </w:rPr>
        <w:t> </w:t>
      </w:r>
      <w:r w:rsidR="008F262B" w:rsidRPr="00741122">
        <w:rPr>
          <w:rFonts w:ascii="Times New Roman" w:eastAsia="Times New Roman" w:hAnsi="Times New Roman" w:cs="Times New Roman"/>
          <w:sz w:val="22"/>
          <w:szCs w:val="22"/>
          <w:lang w:val="lt-LT"/>
        </w:rPr>
        <w:t>1/100); rzadko (≥</w:t>
      </w:r>
      <w:r w:rsidR="003E2B44">
        <w:rPr>
          <w:rFonts w:ascii="Times New Roman" w:eastAsia="Times New Roman" w:hAnsi="Times New Roman" w:cs="Times New Roman"/>
          <w:sz w:val="22"/>
          <w:szCs w:val="22"/>
          <w:lang w:val="lt-LT"/>
        </w:rPr>
        <w:t> </w:t>
      </w:r>
      <w:r w:rsidR="008F262B" w:rsidRPr="00741122">
        <w:rPr>
          <w:rFonts w:ascii="Times New Roman" w:eastAsia="Times New Roman" w:hAnsi="Times New Roman" w:cs="Times New Roman"/>
          <w:sz w:val="22"/>
          <w:szCs w:val="22"/>
          <w:lang w:val="lt-LT"/>
        </w:rPr>
        <w:t>1/10</w:t>
      </w:r>
      <w:r w:rsidRPr="00741122">
        <w:rPr>
          <w:rFonts w:ascii="Times New Roman" w:eastAsia="Times New Roman" w:hAnsi="Times New Roman" w:cs="Times New Roman"/>
          <w:sz w:val="22"/>
          <w:szCs w:val="22"/>
          <w:lang w:val="lt-LT"/>
        </w:rPr>
        <w:t xml:space="preserve">000 do </w:t>
      </w:r>
      <w:r w:rsidR="007D1E67" w:rsidRPr="00741122">
        <w:rPr>
          <w:rFonts w:ascii="Times New Roman" w:eastAsia="Times New Roman" w:hAnsi="Times New Roman" w:cs="Times New Roman"/>
          <w:sz w:val="22"/>
          <w:szCs w:val="22"/>
          <w:lang w:val="lt-LT"/>
        </w:rPr>
        <w:t>&lt;</w:t>
      </w:r>
      <w:r w:rsidR="003E2B44">
        <w:rPr>
          <w:rFonts w:ascii="Times New Roman" w:eastAsia="Times New Roman" w:hAnsi="Times New Roman" w:cs="Times New Roman"/>
          <w:sz w:val="22"/>
          <w:szCs w:val="22"/>
          <w:lang w:val="lt-LT"/>
        </w:rPr>
        <w:t> </w:t>
      </w:r>
      <w:r w:rsidR="007D1E67" w:rsidRPr="00741122">
        <w:rPr>
          <w:rFonts w:ascii="Times New Roman" w:eastAsia="Times New Roman" w:hAnsi="Times New Roman" w:cs="Times New Roman"/>
          <w:sz w:val="22"/>
          <w:szCs w:val="22"/>
          <w:lang w:val="lt-LT"/>
        </w:rPr>
        <w:t>1/1000); bardzo rzadko (&lt;</w:t>
      </w:r>
      <w:r w:rsidR="003E2B44">
        <w:rPr>
          <w:rFonts w:ascii="Times New Roman" w:eastAsia="Times New Roman" w:hAnsi="Times New Roman" w:cs="Times New Roman"/>
          <w:sz w:val="22"/>
          <w:szCs w:val="22"/>
          <w:lang w:val="lt-LT"/>
        </w:rPr>
        <w:t> </w:t>
      </w:r>
      <w:r w:rsidR="007D1E67" w:rsidRPr="00741122">
        <w:rPr>
          <w:rFonts w:ascii="Times New Roman" w:eastAsia="Times New Roman" w:hAnsi="Times New Roman" w:cs="Times New Roman"/>
          <w:sz w:val="22"/>
          <w:szCs w:val="22"/>
          <w:lang w:val="lt-LT"/>
        </w:rPr>
        <w:t>1/10</w:t>
      </w:r>
      <w:r w:rsidRPr="00741122">
        <w:rPr>
          <w:rFonts w:ascii="Times New Roman" w:eastAsia="Times New Roman" w:hAnsi="Times New Roman" w:cs="Times New Roman"/>
          <w:sz w:val="22"/>
          <w:szCs w:val="22"/>
          <w:lang w:val="lt-LT"/>
        </w:rPr>
        <w:t>000); częstość nieznana (nie może być określona na podstawie dostępnych danych).</w:t>
      </w:r>
    </w:p>
    <w:p w14:paraId="4BA059F6" w14:textId="77777777" w:rsidR="00071CFE" w:rsidRPr="00741122" w:rsidRDefault="00071CFE" w:rsidP="001B794B">
      <w:pPr>
        <w:rPr>
          <w:rFonts w:ascii="Times New Roman" w:eastAsia="Times New Roman" w:hAnsi="Times New Roman" w:cs="Times New Roman"/>
          <w:sz w:val="22"/>
          <w:szCs w:val="22"/>
          <w:lang w:val="lt-LT"/>
        </w:rPr>
      </w:pPr>
    </w:p>
    <w:p w14:paraId="61A813B3" w14:textId="0A7DE4D5"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Tabelach 1 i 2 przedstawiono działania niepożądane związane ze stosowaniem produktu </w:t>
      </w:r>
      <w:r w:rsidR="009F5377">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skojarzeniu z różnymi rodzajami chemioterapii w licznych wskazaniach</w:t>
      </w:r>
      <w:r w:rsidR="004D54A4" w:rsidRPr="004D54A4">
        <w:rPr>
          <w:rFonts w:ascii="Times New Roman" w:eastAsia="Times New Roman" w:hAnsi="Times New Roman" w:cs="Times New Roman"/>
          <w:sz w:val="22"/>
          <w:szCs w:val="22"/>
          <w:lang w:val="lt-LT"/>
        </w:rPr>
        <w:t>, zgodnie z klasyfikacją układów i narządów MedDRA</w:t>
      </w:r>
      <w:r w:rsidRPr="00741122">
        <w:rPr>
          <w:rFonts w:ascii="Times New Roman" w:eastAsia="Times New Roman" w:hAnsi="Times New Roman" w:cs="Times New Roman"/>
          <w:sz w:val="22"/>
          <w:szCs w:val="22"/>
          <w:lang w:val="lt-LT"/>
        </w:rPr>
        <w:t>.</w:t>
      </w:r>
    </w:p>
    <w:p w14:paraId="080891FF" w14:textId="77777777" w:rsidR="00071CFE" w:rsidRPr="00741122" w:rsidRDefault="00071CFE" w:rsidP="001B794B">
      <w:pPr>
        <w:rPr>
          <w:rFonts w:ascii="Times New Roman" w:eastAsia="Times New Roman" w:hAnsi="Times New Roman" w:cs="Times New Roman"/>
          <w:sz w:val="22"/>
          <w:szCs w:val="22"/>
          <w:lang w:val="lt-LT"/>
        </w:rPr>
      </w:pPr>
    </w:p>
    <w:p w14:paraId="4BD5A08E"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Tabela 1 zawiera wszystkie działania niepożądane według częstości występowania, które zostały ocenione jako mające związek ze stosowaniem produktu </w:t>
      </w:r>
      <w:r w:rsidR="00437A8A">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na podstawie:</w:t>
      </w:r>
    </w:p>
    <w:p w14:paraId="5D7D34E9" w14:textId="77777777" w:rsidR="00071CFE" w:rsidRPr="00741122" w:rsidRDefault="00071CFE" w:rsidP="008326F1">
      <w:pPr>
        <w:numPr>
          <w:ilvl w:val="0"/>
          <w:numId w:val="81"/>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color w:val="000000"/>
          <w:sz w:val="22"/>
          <w:lang w:val="lt-LT" w:eastAsia="en-US"/>
        </w:rPr>
        <w:t>porównania</w:t>
      </w:r>
      <w:r w:rsidRPr="00741122">
        <w:rPr>
          <w:rFonts w:ascii="Times New Roman" w:eastAsia="Times New Roman" w:hAnsi="Times New Roman" w:cs="Times New Roman"/>
          <w:sz w:val="22"/>
          <w:szCs w:val="22"/>
          <w:lang w:val="lt-LT"/>
        </w:rPr>
        <w:t xml:space="preserve"> częstości działań niepożądanych pomiędzy ramionami badań klinicznych otrzymującymi bewacyzumab (z przynajmniej 10% różnicą w porównaniu </w:t>
      </w:r>
      <w:r w:rsidR="009F5DAB">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grup</w:t>
      </w:r>
      <w:r w:rsidR="009F5DAB">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kontroln</w:t>
      </w:r>
      <w:r w:rsidR="009F5DAB">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dla reakcji w stopniu nasilenia 1-5 wg skali NCI-CTCAE lub przynajmniej 2% różnicą w porównaniu </w:t>
      </w:r>
      <w:r w:rsidR="009F5DAB">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grup</w:t>
      </w:r>
      <w:r w:rsidR="009F5DAB">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kontroln</w:t>
      </w:r>
      <w:r w:rsidR="009F5DAB">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dla rekacji w stopniu nasilenia 3-5 wg skali NCI-CTCAE),</w:t>
      </w:r>
    </w:p>
    <w:p w14:paraId="2763B9DE" w14:textId="77777777" w:rsidR="00071CFE" w:rsidRPr="00741122" w:rsidRDefault="00071CFE" w:rsidP="008326F1">
      <w:pPr>
        <w:numPr>
          <w:ilvl w:val="0"/>
          <w:numId w:val="81"/>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badań dotyczących bezpieczeństwa stosowania produktu po wprowadzeniu do obrotu,</w:t>
      </w:r>
    </w:p>
    <w:p w14:paraId="37DE50B7" w14:textId="77777777" w:rsidR="00071CFE" w:rsidRPr="00741122" w:rsidRDefault="00071CFE" w:rsidP="008326F1">
      <w:pPr>
        <w:numPr>
          <w:ilvl w:val="0"/>
          <w:numId w:val="81"/>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spontanicznego zgłaszania działań niepożądanych,</w:t>
      </w:r>
    </w:p>
    <w:p w14:paraId="66CB58DD" w14:textId="77777777" w:rsidR="00071CFE" w:rsidRPr="00741122" w:rsidRDefault="00071CFE" w:rsidP="008326F1">
      <w:pPr>
        <w:numPr>
          <w:ilvl w:val="0"/>
          <w:numId w:val="81"/>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badań epidemiologicznych/nieinterwencyjnych lub obserwacyjnych,</w:t>
      </w:r>
    </w:p>
    <w:p w14:paraId="221D1511" w14:textId="77777777" w:rsidR="00071CFE" w:rsidRPr="00741122" w:rsidRDefault="00071CFE" w:rsidP="008326F1">
      <w:pPr>
        <w:numPr>
          <w:ilvl w:val="0"/>
          <w:numId w:val="81"/>
        </w:numPr>
        <w:autoSpaceDE w:val="0"/>
        <w:autoSpaceDN w:val="0"/>
        <w:adjustRightInd w:val="0"/>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lub na podstawie oceny zgłoszeń pojedynczych przypadków działań niepożądanych.</w:t>
      </w:r>
    </w:p>
    <w:p w14:paraId="50BDED8A" w14:textId="77777777" w:rsidR="00071CFE" w:rsidRPr="00741122" w:rsidRDefault="00071CFE" w:rsidP="001B794B">
      <w:pPr>
        <w:rPr>
          <w:rFonts w:ascii="Times New Roman" w:eastAsia="Times New Roman" w:hAnsi="Times New Roman" w:cs="Times New Roman"/>
          <w:sz w:val="22"/>
          <w:szCs w:val="22"/>
          <w:lang w:val="lt-LT"/>
        </w:rPr>
      </w:pPr>
    </w:p>
    <w:p w14:paraId="214EA219" w14:textId="7C0B92FE"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Tabela 2 zawiera częstość występowania ciężkich działań niepożądanych. Ciężkie działania niepożądane zostały określone jako obserwowane z przynajmniej 2% różnicą w porównaniu </w:t>
      </w:r>
      <w:r w:rsidR="009F5DAB">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grup</w:t>
      </w:r>
      <w:r w:rsidR="009F5DAB">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kontroln</w:t>
      </w:r>
      <w:r w:rsidR="009F5DAB">
        <w:rPr>
          <w:rFonts w:ascii="Times New Roman" w:eastAsia="Times New Roman" w:hAnsi="Times New Roman" w:cs="Times New Roman"/>
          <w:sz w:val="22"/>
          <w:szCs w:val="22"/>
          <w:lang w:val="lt-LT"/>
        </w:rPr>
        <w:t>ą</w:t>
      </w:r>
      <w:r w:rsidR="0021710C" w:rsidRPr="0021710C">
        <w:rPr>
          <w:rFonts w:ascii="Times New Roman" w:eastAsia="Times New Roman" w:hAnsi="Times New Roman" w:cs="Times New Roman"/>
          <w:sz w:val="22"/>
          <w:szCs w:val="22"/>
          <w:lang w:val="lt-LT"/>
        </w:rPr>
        <w:t xml:space="preserve"> w badaniach klinicznych</w:t>
      </w:r>
      <w:r w:rsidRPr="00741122">
        <w:rPr>
          <w:rFonts w:ascii="Times New Roman" w:eastAsia="Times New Roman" w:hAnsi="Times New Roman" w:cs="Times New Roman"/>
          <w:sz w:val="22"/>
          <w:szCs w:val="22"/>
          <w:lang w:val="lt-LT"/>
        </w:rPr>
        <w:t xml:space="preserve"> dla </w:t>
      </w:r>
      <w:r w:rsidR="00295C0C">
        <w:rPr>
          <w:rFonts w:ascii="Times New Roman" w:eastAsia="Times New Roman" w:hAnsi="Times New Roman" w:cs="Times New Roman"/>
          <w:sz w:val="22"/>
          <w:szCs w:val="22"/>
          <w:lang w:val="lt-LT"/>
        </w:rPr>
        <w:t>działań</w:t>
      </w:r>
      <w:r w:rsidRPr="00741122">
        <w:rPr>
          <w:rFonts w:ascii="Times New Roman" w:eastAsia="Times New Roman" w:hAnsi="Times New Roman" w:cs="Times New Roman"/>
          <w:sz w:val="22"/>
          <w:szCs w:val="22"/>
          <w:lang w:val="lt-LT"/>
        </w:rPr>
        <w:t xml:space="preserve"> w stopniu nasilenia 3-5 wg skali NCI-CTCAE. Tabela 2 zawiera również działania niepożądane, które zostały uznane przez podmiot odpowiedzialny za mające znaczenie kliniczne lub ciężkie.</w:t>
      </w:r>
    </w:p>
    <w:p w14:paraId="60AD6030" w14:textId="77777777" w:rsidR="00C92850" w:rsidRPr="00741122" w:rsidRDefault="00C92850" w:rsidP="001B794B">
      <w:pPr>
        <w:rPr>
          <w:rFonts w:ascii="Times New Roman" w:eastAsia="Times New Roman" w:hAnsi="Times New Roman" w:cs="Times New Roman"/>
          <w:sz w:val="22"/>
          <w:szCs w:val="22"/>
          <w:lang w:val="lt-LT"/>
        </w:rPr>
      </w:pPr>
    </w:p>
    <w:p w14:paraId="764FF9BC" w14:textId="77777777" w:rsidR="00071CFE" w:rsidRPr="00741122" w:rsidRDefault="00071CFE" w:rsidP="001B794B">
      <w:pPr>
        <w:rPr>
          <w:rFonts w:ascii="Times New Roman" w:eastAsia="Times New Roman" w:hAnsi="Times New Roman" w:cs="Times New Roman"/>
          <w:sz w:val="22"/>
          <w:szCs w:val="22"/>
          <w:lang w:val="lt-LT"/>
        </w:rPr>
      </w:pPr>
      <w:bookmarkStart w:id="12" w:name="page12"/>
      <w:bookmarkEnd w:id="12"/>
      <w:r w:rsidRPr="00741122">
        <w:rPr>
          <w:rFonts w:ascii="Times New Roman" w:eastAsia="Times New Roman" w:hAnsi="Times New Roman" w:cs="Times New Roman"/>
          <w:sz w:val="22"/>
          <w:szCs w:val="22"/>
          <w:lang w:val="lt-LT"/>
        </w:rPr>
        <w:t>W stosownych przypadkach w Tabelach 1 i 2 przedstawiono działania niepożądane obserwowane po wprowadzeniu produktu do obrotu. Szczegółowe informacje na temat działań niepożądanych obserwowanych po wprowadzeniu produktu do obrotu zawiera Tabela 3.</w:t>
      </w:r>
    </w:p>
    <w:p w14:paraId="752C9B81" w14:textId="77777777" w:rsidR="00071CFE" w:rsidRPr="00741122" w:rsidRDefault="00071CFE" w:rsidP="001B794B">
      <w:pPr>
        <w:rPr>
          <w:rFonts w:ascii="Times New Roman" w:eastAsia="Times New Roman" w:hAnsi="Times New Roman" w:cs="Times New Roman"/>
          <w:sz w:val="22"/>
          <w:szCs w:val="22"/>
          <w:lang w:val="lt-LT"/>
        </w:rPr>
      </w:pPr>
    </w:p>
    <w:p w14:paraId="4B568798" w14:textId="77777777" w:rsidR="00792CD3"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Działania niepożądane przedstawione poniżej w tabelach były dodawane do odpowiedniej kategorii częstości występowania według największej częstości występowania w dowolnym wskazaniu.</w:t>
      </w:r>
    </w:p>
    <w:p w14:paraId="519CA311" w14:textId="77777777" w:rsidR="00792CD3" w:rsidRDefault="00792CD3" w:rsidP="001B794B">
      <w:pPr>
        <w:rPr>
          <w:rFonts w:ascii="Times New Roman" w:eastAsia="Times New Roman" w:hAnsi="Times New Roman" w:cs="Times New Roman"/>
          <w:sz w:val="22"/>
          <w:szCs w:val="22"/>
          <w:lang w:val="lt-LT"/>
        </w:rPr>
      </w:pPr>
    </w:p>
    <w:p w14:paraId="01289CA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obrębie każdej kategorii częstości występowania działania niepożądane zostały wymienione według malejącego stopnia ciężkości.</w:t>
      </w:r>
    </w:p>
    <w:p w14:paraId="0E0E14C6" w14:textId="77777777" w:rsidR="00071CFE" w:rsidRPr="00741122" w:rsidRDefault="00071CFE" w:rsidP="001B794B">
      <w:pPr>
        <w:rPr>
          <w:rFonts w:ascii="Times New Roman" w:eastAsia="Times New Roman" w:hAnsi="Times New Roman" w:cs="Times New Roman"/>
          <w:sz w:val="22"/>
          <w:szCs w:val="22"/>
          <w:lang w:val="lt-LT"/>
        </w:rPr>
      </w:pPr>
    </w:p>
    <w:p w14:paraId="4D3FB790"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Niektóre działania niepożądane występują często podczas stosowania chemioterapii, jednakże </w:t>
      </w:r>
      <w:r w:rsidR="00437A8A">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może zaostrzać te reakcje, gdy jest stosowany w skojarzeniu z chemioterapią. Przykładem jest zespół erytrodyzestezji dłoniowo-podeszwowej obserwowany w czasie stosowania pegylowanej </w:t>
      </w:r>
      <w:r w:rsidRPr="00741122">
        <w:rPr>
          <w:rFonts w:ascii="Times New Roman" w:eastAsia="Times New Roman" w:hAnsi="Times New Roman" w:cs="Times New Roman"/>
          <w:sz w:val="22"/>
          <w:szCs w:val="22"/>
          <w:lang w:val="lt-LT"/>
        </w:rPr>
        <w:lastRenderedPageBreak/>
        <w:t>liposomalnej doksorubicyny lub kapecytabiny, obwodowa neuropatia czuciowa w czasie stosowania paklitakselu lub oksaliplatyny, zaburzenia dotyczące paznokci i łysienie w czasie stosowania paklitakselu lub zanokcica w czasie stosowania erlotynibu.</w:t>
      </w:r>
    </w:p>
    <w:p w14:paraId="2071E72B" w14:textId="77777777" w:rsidR="00071CFE" w:rsidRPr="00741122" w:rsidRDefault="00071CFE" w:rsidP="001B794B">
      <w:pPr>
        <w:rPr>
          <w:rFonts w:ascii="Times New Roman" w:eastAsia="Times New Roman" w:hAnsi="Times New Roman" w:cs="Times New Roman"/>
          <w:sz w:val="22"/>
          <w:szCs w:val="22"/>
          <w:lang w:val="lt-LT"/>
        </w:rPr>
      </w:pPr>
    </w:p>
    <w:p w14:paraId="4CBE224E" w14:textId="77777777" w:rsidR="00071CFE" w:rsidRPr="00741122" w:rsidRDefault="00111C48" w:rsidP="002B1650">
      <w:pPr>
        <w:keepNext/>
        <w:rPr>
          <w:rFonts w:ascii="Times New Roman" w:eastAsia="Times New Roman" w:hAnsi="Times New Roman" w:cs="Times New Roman"/>
          <w:b/>
          <w:sz w:val="22"/>
          <w:szCs w:val="22"/>
          <w:lang w:val="lt-LT"/>
        </w:rPr>
      </w:pPr>
      <w:bookmarkStart w:id="13" w:name="page13"/>
      <w:bookmarkEnd w:id="13"/>
      <w:r w:rsidRPr="00741122">
        <w:rPr>
          <w:rFonts w:ascii="Times New Roman" w:eastAsia="Times New Roman" w:hAnsi="Times New Roman" w:cs="Times New Roman"/>
          <w:b/>
          <w:sz w:val="22"/>
          <w:szCs w:val="22"/>
          <w:lang w:val="lt-LT"/>
        </w:rPr>
        <w:t>Tabela 1</w:t>
      </w:r>
      <w:r w:rsidR="009F5DAB">
        <w:rPr>
          <w:rFonts w:ascii="Times New Roman" w:eastAsia="Times New Roman" w:hAnsi="Times New Roman" w:cs="Times New Roman"/>
          <w:b/>
          <w:sz w:val="22"/>
          <w:szCs w:val="22"/>
          <w:lang w:val="lt-LT"/>
        </w:rPr>
        <w:t>.</w:t>
      </w:r>
      <w:r w:rsidR="00071CFE" w:rsidRPr="00741122">
        <w:rPr>
          <w:rFonts w:ascii="Times New Roman" w:eastAsia="Times New Roman" w:hAnsi="Times New Roman" w:cs="Times New Roman"/>
          <w:b/>
          <w:sz w:val="22"/>
          <w:szCs w:val="22"/>
          <w:lang w:val="lt-LT"/>
        </w:rPr>
        <w:t xml:space="preserve"> Działania niepożądane według częstości występowania</w:t>
      </w:r>
    </w:p>
    <w:p w14:paraId="3536E154" w14:textId="77777777" w:rsidR="00071CFE" w:rsidRPr="00B02E9F" w:rsidRDefault="00071CFE" w:rsidP="002B1650">
      <w:pPr>
        <w:keepNext/>
        <w:rPr>
          <w:rFonts w:ascii="Times New Roman" w:eastAsia="Times New Roman" w:hAnsi="Times New Roman"/>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572"/>
        <w:gridCol w:w="1526"/>
        <w:gridCol w:w="831"/>
        <w:gridCol w:w="1426"/>
        <w:gridCol w:w="1522"/>
        <w:gridCol w:w="1416"/>
      </w:tblGrid>
      <w:tr w:rsidR="00560390" w:rsidRPr="00741122" w14:paraId="1EE55EF6" w14:textId="77777777" w:rsidTr="00F533B1">
        <w:trPr>
          <w:tblHeader/>
        </w:trPr>
        <w:tc>
          <w:tcPr>
            <w:tcW w:w="681" w:type="pct"/>
          </w:tcPr>
          <w:p w14:paraId="156F28F0" w14:textId="77777777" w:rsidR="00560390" w:rsidRPr="00830765" w:rsidRDefault="00560390" w:rsidP="002B1650">
            <w:pPr>
              <w:pStyle w:val="Default"/>
              <w:keepNext/>
              <w:jc w:val="center"/>
              <w:rPr>
                <w:b/>
                <w:sz w:val="18"/>
                <w:szCs w:val="18"/>
                <w:lang w:val="lt-LT"/>
              </w:rPr>
            </w:pPr>
            <w:bookmarkStart w:id="14" w:name="page14"/>
            <w:bookmarkEnd w:id="14"/>
            <w:r w:rsidRPr="00830765">
              <w:rPr>
                <w:b/>
                <w:sz w:val="18"/>
                <w:szCs w:val="18"/>
                <w:lang w:val="lt-LT"/>
              </w:rPr>
              <w:t>Klasyfikacja układów</w:t>
            </w:r>
          </w:p>
          <w:p w14:paraId="6482355C" w14:textId="77777777" w:rsidR="00560390" w:rsidRPr="00830765" w:rsidRDefault="00560390" w:rsidP="002B1650">
            <w:pPr>
              <w:pStyle w:val="Default"/>
              <w:keepNext/>
              <w:jc w:val="center"/>
              <w:rPr>
                <w:b/>
                <w:sz w:val="18"/>
                <w:szCs w:val="18"/>
                <w:lang w:val="lt-LT"/>
              </w:rPr>
            </w:pPr>
            <w:r w:rsidRPr="00830765">
              <w:rPr>
                <w:b/>
                <w:sz w:val="18"/>
                <w:szCs w:val="18"/>
                <w:lang w:val="lt-LT"/>
              </w:rPr>
              <w:t>i narządów</w:t>
            </w:r>
          </w:p>
        </w:tc>
        <w:tc>
          <w:tcPr>
            <w:tcW w:w="836" w:type="pct"/>
          </w:tcPr>
          <w:p w14:paraId="7245F0C5" w14:textId="77777777" w:rsidR="00560390" w:rsidRPr="00830765" w:rsidRDefault="00560390" w:rsidP="002B1650">
            <w:pPr>
              <w:pStyle w:val="Default"/>
              <w:keepNext/>
              <w:jc w:val="center"/>
              <w:rPr>
                <w:b/>
                <w:sz w:val="18"/>
                <w:szCs w:val="18"/>
                <w:lang w:val="lt-LT"/>
              </w:rPr>
            </w:pPr>
            <w:r w:rsidRPr="00830765">
              <w:rPr>
                <w:b/>
                <w:sz w:val="18"/>
                <w:szCs w:val="18"/>
                <w:lang w:val="lt-LT"/>
              </w:rPr>
              <w:t>Bardzo często</w:t>
            </w:r>
          </w:p>
        </w:tc>
        <w:tc>
          <w:tcPr>
            <w:tcW w:w="812" w:type="pct"/>
          </w:tcPr>
          <w:p w14:paraId="0032BA6B" w14:textId="77777777" w:rsidR="00560390" w:rsidRPr="00830765" w:rsidRDefault="00560390" w:rsidP="002B1650">
            <w:pPr>
              <w:pStyle w:val="Default"/>
              <w:keepNext/>
              <w:jc w:val="center"/>
              <w:rPr>
                <w:b/>
                <w:sz w:val="18"/>
                <w:szCs w:val="18"/>
                <w:lang w:val="lt-LT"/>
              </w:rPr>
            </w:pPr>
            <w:r w:rsidRPr="00830765">
              <w:rPr>
                <w:b/>
                <w:sz w:val="18"/>
                <w:szCs w:val="18"/>
                <w:lang w:val="lt-LT"/>
              </w:rPr>
              <w:t>Często</w:t>
            </w:r>
          </w:p>
        </w:tc>
        <w:tc>
          <w:tcPr>
            <w:tcW w:w="449" w:type="pct"/>
          </w:tcPr>
          <w:p w14:paraId="3526504C" w14:textId="77777777" w:rsidR="00560390" w:rsidRPr="00830765" w:rsidRDefault="00560390" w:rsidP="002B1650">
            <w:pPr>
              <w:pStyle w:val="Default"/>
              <w:keepNext/>
              <w:jc w:val="center"/>
              <w:rPr>
                <w:b/>
                <w:sz w:val="18"/>
                <w:szCs w:val="18"/>
                <w:lang w:val="lt-LT"/>
              </w:rPr>
            </w:pPr>
            <w:r w:rsidRPr="00830765">
              <w:rPr>
                <w:b/>
                <w:sz w:val="18"/>
                <w:szCs w:val="18"/>
                <w:lang w:val="lt-LT"/>
              </w:rPr>
              <w:t>Niezbyt często</w:t>
            </w:r>
          </w:p>
        </w:tc>
        <w:tc>
          <w:tcPr>
            <w:tcW w:w="760" w:type="pct"/>
          </w:tcPr>
          <w:p w14:paraId="19E33AA5" w14:textId="77777777" w:rsidR="00560390" w:rsidRPr="00830765" w:rsidRDefault="00560390" w:rsidP="002B1650">
            <w:pPr>
              <w:pStyle w:val="Default"/>
              <w:keepNext/>
              <w:jc w:val="center"/>
              <w:rPr>
                <w:b/>
                <w:sz w:val="18"/>
                <w:szCs w:val="18"/>
                <w:lang w:val="lt-LT"/>
              </w:rPr>
            </w:pPr>
            <w:r w:rsidRPr="00830765">
              <w:rPr>
                <w:b/>
                <w:sz w:val="18"/>
                <w:szCs w:val="18"/>
                <w:lang w:val="lt-LT"/>
              </w:rPr>
              <w:t>Rzadko</w:t>
            </w:r>
          </w:p>
        </w:tc>
        <w:tc>
          <w:tcPr>
            <w:tcW w:w="810" w:type="pct"/>
          </w:tcPr>
          <w:p w14:paraId="3D4D954C" w14:textId="77777777" w:rsidR="00560390" w:rsidRPr="00830765" w:rsidRDefault="00560390" w:rsidP="002B1650">
            <w:pPr>
              <w:pStyle w:val="Default"/>
              <w:keepNext/>
              <w:jc w:val="center"/>
              <w:rPr>
                <w:b/>
                <w:sz w:val="18"/>
                <w:szCs w:val="18"/>
                <w:lang w:val="lt-LT"/>
              </w:rPr>
            </w:pPr>
            <w:r w:rsidRPr="00830765">
              <w:rPr>
                <w:b/>
                <w:sz w:val="18"/>
                <w:szCs w:val="18"/>
                <w:lang w:val="lt-LT"/>
              </w:rPr>
              <w:t>Bardzo rzadko</w:t>
            </w:r>
          </w:p>
        </w:tc>
        <w:tc>
          <w:tcPr>
            <w:tcW w:w="652" w:type="pct"/>
          </w:tcPr>
          <w:p w14:paraId="646557C7" w14:textId="77777777" w:rsidR="00560390" w:rsidRPr="00830765" w:rsidRDefault="00560390" w:rsidP="002B1650">
            <w:pPr>
              <w:pStyle w:val="Default"/>
              <w:keepNext/>
              <w:ind w:right="219"/>
              <w:jc w:val="center"/>
              <w:rPr>
                <w:b/>
                <w:sz w:val="18"/>
                <w:szCs w:val="18"/>
                <w:lang w:val="lt-LT"/>
              </w:rPr>
            </w:pPr>
            <w:r w:rsidRPr="00830765">
              <w:rPr>
                <w:b/>
                <w:sz w:val="18"/>
                <w:szCs w:val="18"/>
                <w:lang w:val="lt-LT"/>
              </w:rPr>
              <w:t>Częstość nieznana</w:t>
            </w:r>
          </w:p>
        </w:tc>
      </w:tr>
      <w:tr w:rsidR="00560390" w:rsidRPr="00741122" w14:paraId="4438F413" w14:textId="77777777" w:rsidTr="00F533B1">
        <w:tc>
          <w:tcPr>
            <w:tcW w:w="681" w:type="pct"/>
          </w:tcPr>
          <w:p w14:paraId="6078CBE5" w14:textId="77777777" w:rsidR="00560390" w:rsidRPr="00830765" w:rsidRDefault="00560390" w:rsidP="002B1650">
            <w:pPr>
              <w:pStyle w:val="Default"/>
              <w:keepNext/>
              <w:rPr>
                <w:sz w:val="18"/>
                <w:szCs w:val="18"/>
                <w:lang w:val="lt-LT"/>
              </w:rPr>
            </w:pPr>
            <w:r w:rsidRPr="00830765">
              <w:rPr>
                <w:sz w:val="18"/>
                <w:szCs w:val="18"/>
                <w:lang w:val="lt-LT"/>
              </w:rPr>
              <w:t xml:space="preserve">Zakażenia </w:t>
            </w:r>
          </w:p>
          <w:p w14:paraId="153309CE" w14:textId="77777777" w:rsidR="00560390" w:rsidRPr="00830765" w:rsidRDefault="00560390" w:rsidP="002B1650">
            <w:pPr>
              <w:keepNext/>
              <w:rPr>
                <w:rFonts w:ascii="Times New Roman" w:hAnsi="Times New Roman" w:cs="Times New Roman"/>
                <w:sz w:val="18"/>
                <w:szCs w:val="18"/>
                <w:lang w:val="lt-LT"/>
              </w:rPr>
            </w:pPr>
            <w:r w:rsidRPr="00830765">
              <w:rPr>
                <w:rFonts w:ascii="Times New Roman" w:hAnsi="Times New Roman" w:cs="Times New Roman"/>
                <w:sz w:val="18"/>
                <w:szCs w:val="18"/>
                <w:lang w:val="lt-LT"/>
              </w:rPr>
              <w:t xml:space="preserve">i zarażenia pasożytnicze </w:t>
            </w:r>
          </w:p>
        </w:tc>
        <w:tc>
          <w:tcPr>
            <w:tcW w:w="836" w:type="pct"/>
          </w:tcPr>
          <w:p w14:paraId="620BCFBE" w14:textId="77777777" w:rsidR="00560390" w:rsidRPr="00830765" w:rsidRDefault="00560390" w:rsidP="002B1650">
            <w:pPr>
              <w:keepNext/>
              <w:rPr>
                <w:rFonts w:ascii="Times New Roman" w:hAnsi="Times New Roman" w:cs="Times New Roman"/>
                <w:sz w:val="18"/>
                <w:szCs w:val="18"/>
                <w:lang w:val="lt-LT"/>
              </w:rPr>
            </w:pPr>
          </w:p>
        </w:tc>
        <w:tc>
          <w:tcPr>
            <w:tcW w:w="812" w:type="pct"/>
          </w:tcPr>
          <w:p w14:paraId="7A2D96CB" w14:textId="77777777" w:rsidR="00560390" w:rsidRPr="00830765" w:rsidRDefault="00560390" w:rsidP="002B1650">
            <w:pPr>
              <w:pStyle w:val="Default"/>
              <w:keepNext/>
              <w:rPr>
                <w:sz w:val="18"/>
                <w:szCs w:val="18"/>
                <w:lang w:val="lt-LT"/>
              </w:rPr>
            </w:pPr>
            <w:r w:rsidRPr="00830765">
              <w:rPr>
                <w:sz w:val="18"/>
                <w:szCs w:val="18"/>
                <w:lang w:val="lt-LT"/>
              </w:rPr>
              <w:t xml:space="preserve">Posocznica, </w:t>
            </w:r>
          </w:p>
          <w:p w14:paraId="41FEE3BB" w14:textId="77777777" w:rsidR="00560390" w:rsidRPr="00830765" w:rsidRDefault="00560390" w:rsidP="002B1650">
            <w:pPr>
              <w:pStyle w:val="Default"/>
              <w:keepNext/>
              <w:rPr>
                <w:sz w:val="18"/>
                <w:szCs w:val="18"/>
                <w:lang w:val="lt-LT"/>
              </w:rPr>
            </w:pPr>
            <w:r w:rsidRPr="00830765">
              <w:rPr>
                <w:sz w:val="18"/>
                <w:szCs w:val="18"/>
                <w:lang w:val="lt-LT"/>
              </w:rPr>
              <w:t>Ropień</w:t>
            </w:r>
            <w:r w:rsidRPr="00830765">
              <w:rPr>
                <w:sz w:val="18"/>
                <w:szCs w:val="18"/>
                <w:vertAlign w:val="superscript"/>
                <w:lang w:val="lt-LT"/>
              </w:rPr>
              <w:t>b,d</w:t>
            </w:r>
            <w:r w:rsidRPr="00830765">
              <w:rPr>
                <w:sz w:val="18"/>
                <w:szCs w:val="18"/>
                <w:lang w:val="lt-LT"/>
              </w:rPr>
              <w:t xml:space="preserve">, </w:t>
            </w:r>
          </w:p>
          <w:p w14:paraId="6A734BAE" w14:textId="77777777" w:rsidR="00560390" w:rsidRPr="00830765" w:rsidRDefault="00560390" w:rsidP="002B1650">
            <w:pPr>
              <w:pStyle w:val="Default"/>
              <w:keepNext/>
              <w:rPr>
                <w:sz w:val="18"/>
                <w:szCs w:val="18"/>
                <w:lang w:val="lt-LT"/>
              </w:rPr>
            </w:pPr>
            <w:r w:rsidRPr="00830765">
              <w:rPr>
                <w:sz w:val="18"/>
                <w:szCs w:val="18"/>
                <w:lang w:val="lt-LT"/>
              </w:rPr>
              <w:t xml:space="preserve">Zapalenie tkanki łącznej, </w:t>
            </w:r>
          </w:p>
          <w:p w14:paraId="642B4EBD" w14:textId="77777777" w:rsidR="00560390" w:rsidRPr="00830765" w:rsidRDefault="00560390" w:rsidP="002B1650">
            <w:pPr>
              <w:pStyle w:val="Default"/>
              <w:keepNext/>
              <w:rPr>
                <w:sz w:val="18"/>
                <w:szCs w:val="18"/>
                <w:lang w:val="lt-LT"/>
              </w:rPr>
            </w:pPr>
            <w:r w:rsidRPr="00830765">
              <w:rPr>
                <w:sz w:val="18"/>
                <w:szCs w:val="18"/>
                <w:lang w:val="lt-LT"/>
              </w:rPr>
              <w:t xml:space="preserve">Zakażenie, </w:t>
            </w:r>
          </w:p>
          <w:p w14:paraId="6C78A484" w14:textId="77777777" w:rsidR="00560390" w:rsidRPr="00830765" w:rsidRDefault="00560390" w:rsidP="002B1650">
            <w:pPr>
              <w:keepNext/>
              <w:rPr>
                <w:rFonts w:ascii="Times New Roman" w:hAnsi="Times New Roman" w:cs="Times New Roman"/>
                <w:sz w:val="18"/>
                <w:szCs w:val="18"/>
                <w:lang w:val="lt-LT"/>
              </w:rPr>
            </w:pPr>
            <w:r w:rsidRPr="00830765">
              <w:rPr>
                <w:rFonts w:ascii="Times New Roman" w:hAnsi="Times New Roman" w:cs="Times New Roman"/>
                <w:sz w:val="18"/>
                <w:szCs w:val="18"/>
                <w:lang w:val="lt-LT"/>
              </w:rPr>
              <w:t xml:space="preserve">Zakażenie dróg moczowych </w:t>
            </w:r>
          </w:p>
        </w:tc>
        <w:tc>
          <w:tcPr>
            <w:tcW w:w="449" w:type="pct"/>
          </w:tcPr>
          <w:p w14:paraId="6B4C3F75" w14:textId="77777777" w:rsidR="00560390" w:rsidRPr="00830765" w:rsidRDefault="00560390" w:rsidP="002B1650">
            <w:pPr>
              <w:keepNext/>
              <w:rPr>
                <w:rFonts w:ascii="Times New Roman" w:hAnsi="Times New Roman" w:cs="Times New Roman"/>
                <w:sz w:val="18"/>
                <w:szCs w:val="18"/>
                <w:lang w:val="lt-LT"/>
              </w:rPr>
            </w:pPr>
          </w:p>
        </w:tc>
        <w:tc>
          <w:tcPr>
            <w:tcW w:w="760" w:type="pct"/>
          </w:tcPr>
          <w:p w14:paraId="672B4DBC" w14:textId="77777777" w:rsidR="00560390" w:rsidRPr="00830765" w:rsidRDefault="00560390" w:rsidP="002B1650">
            <w:pPr>
              <w:pStyle w:val="Default"/>
              <w:keepNext/>
              <w:rPr>
                <w:sz w:val="18"/>
                <w:szCs w:val="18"/>
                <w:lang w:val="lt-LT"/>
              </w:rPr>
            </w:pPr>
            <w:r w:rsidRPr="00830765">
              <w:rPr>
                <w:sz w:val="18"/>
                <w:szCs w:val="18"/>
                <w:lang w:val="lt-LT"/>
              </w:rPr>
              <w:t>Martwicze zapalenie powięzi</w:t>
            </w:r>
            <w:r w:rsidRPr="00830765">
              <w:rPr>
                <w:sz w:val="18"/>
                <w:szCs w:val="18"/>
                <w:vertAlign w:val="superscript"/>
                <w:lang w:val="lt-LT"/>
              </w:rPr>
              <w:t>a</w:t>
            </w:r>
            <w:r w:rsidRPr="00830765">
              <w:rPr>
                <w:sz w:val="18"/>
                <w:szCs w:val="18"/>
                <w:lang w:val="lt-LT"/>
              </w:rPr>
              <w:t xml:space="preserve"> </w:t>
            </w:r>
          </w:p>
          <w:p w14:paraId="0352043C" w14:textId="77777777" w:rsidR="00560390" w:rsidRPr="00830765" w:rsidRDefault="00560390" w:rsidP="002B1650">
            <w:pPr>
              <w:keepNext/>
              <w:rPr>
                <w:rFonts w:ascii="Times New Roman" w:hAnsi="Times New Roman" w:cs="Times New Roman"/>
                <w:sz w:val="18"/>
                <w:szCs w:val="18"/>
                <w:lang w:val="lt-LT"/>
              </w:rPr>
            </w:pPr>
          </w:p>
        </w:tc>
        <w:tc>
          <w:tcPr>
            <w:tcW w:w="810" w:type="pct"/>
          </w:tcPr>
          <w:p w14:paraId="7C792A97" w14:textId="77777777" w:rsidR="00560390" w:rsidRPr="00830765" w:rsidRDefault="00560390" w:rsidP="002B1650">
            <w:pPr>
              <w:keepNext/>
              <w:rPr>
                <w:rFonts w:ascii="Times New Roman" w:hAnsi="Times New Roman" w:cs="Times New Roman"/>
                <w:sz w:val="18"/>
                <w:szCs w:val="18"/>
                <w:lang w:val="lt-LT"/>
              </w:rPr>
            </w:pPr>
          </w:p>
        </w:tc>
        <w:tc>
          <w:tcPr>
            <w:tcW w:w="652" w:type="pct"/>
          </w:tcPr>
          <w:p w14:paraId="4F63D6EC" w14:textId="77777777" w:rsidR="00560390" w:rsidRPr="00830765" w:rsidRDefault="00560390" w:rsidP="002B1650">
            <w:pPr>
              <w:keepNext/>
              <w:rPr>
                <w:rFonts w:ascii="Times New Roman" w:hAnsi="Times New Roman" w:cs="Times New Roman"/>
                <w:sz w:val="18"/>
                <w:szCs w:val="18"/>
                <w:lang w:val="lt-LT"/>
              </w:rPr>
            </w:pPr>
          </w:p>
        </w:tc>
      </w:tr>
      <w:tr w:rsidR="00560390" w:rsidRPr="00741122" w14:paraId="110D923E" w14:textId="77777777" w:rsidTr="00F533B1">
        <w:tc>
          <w:tcPr>
            <w:tcW w:w="681" w:type="pct"/>
          </w:tcPr>
          <w:p w14:paraId="57F85CA9" w14:textId="77777777" w:rsidR="00560390" w:rsidRPr="00830765" w:rsidRDefault="00560390" w:rsidP="00377244">
            <w:pPr>
              <w:pStyle w:val="Default"/>
              <w:rPr>
                <w:sz w:val="18"/>
                <w:szCs w:val="18"/>
                <w:lang w:val="lt-LT"/>
              </w:rPr>
            </w:pPr>
            <w:r w:rsidRPr="00830765">
              <w:rPr>
                <w:sz w:val="18"/>
                <w:szCs w:val="18"/>
                <w:lang w:val="lt-LT"/>
              </w:rPr>
              <w:t xml:space="preserve">Zaburzenia krwi i układu chłonnego </w:t>
            </w:r>
          </w:p>
        </w:tc>
        <w:tc>
          <w:tcPr>
            <w:tcW w:w="836" w:type="pct"/>
          </w:tcPr>
          <w:p w14:paraId="6E079E7A" w14:textId="77777777" w:rsidR="00560390" w:rsidRPr="00830765" w:rsidRDefault="00560390" w:rsidP="00377244">
            <w:pPr>
              <w:pStyle w:val="Default"/>
              <w:rPr>
                <w:sz w:val="18"/>
                <w:szCs w:val="18"/>
                <w:lang w:val="lt-LT"/>
              </w:rPr>
            </w:pPr>
            <w:r w:rsidRPr="00830765">
              <w:rPr>
                <w:sz w:val="18"/>
                <w:szCs w:val="18"/>
                <w:lang w:val="lt-LT"/>
              </w:rPr>
              <w:t xml:space="preserve">Gorączka neutropeniczna, </w:t>
            </w:r>
          </w:p>
          <w:p w14:paraId="35579B6B" w14:textId="77777777" w:rsidR="00560390" w:rsidRPr="00830765" w:rsidRDefault="00560390" w:rsidP="00377244">
            <w:pPr>
              <w:pStyle w:val="Default"/>
              <w:rPr>
                <w:sz w:val="18"/>
                <w:szCs w:val="18"/>
                <w:lang w:val="lt-LT"/>
              </w:rPr>
            </w:pPr>
            <w:r w:rsidRPr="00830765">
              <w:rPr>
                <w:sz w:val="18"/>
                <w:szCs w:val="18"/>
                <w:lang w:val="lt-LT"/>
              </w:rPr>
              <w:t xml:space="preserve">Leukopenia, </w:t>
            </w:r>
          </w:p>
          <w:p w14:paraId="7CF21D54" w14:textId="77777777" w:rsidR="00560390" w:rsidRPr="00830765" w:rsidRDefault="00560390" w:rsidP="00377244">
            <w:pPr>
              <w:pStyle w:val="Default"/>
              <w:rPr>
                <w:sz w:val="18"/>
                <w:szCs w:val="18"/>
                <w:lang w:val="lt-LT"/>
              </w:rPr>
            </w:pPr>
            <w:r w:rsidRPr="00830765">
              <w:rPr>
                <w:sz w:val="18"/>
                <w:szCs w:val="18"/>
                <w:lang w:val="lt-LT"/>
              </w:rPr>
              <w:t>Neutropenia</w:t>
            </w:r>
            <w:r w:rsidRPr="00830765">
              <w:rPr>
                <w:sz w:val="18"/>
                <w:szCs w:val="18"/>
                <w:vertAlign w:val="superscript"/>
                <w:lang w:val="lt-LT"/>
              </w:rPr>
              <w:t>b</w:t>
            </w:r>
            <w:r w:rsidRPr="00830765">
              <w:rPr>
                <w:sz w:val="18"/>
                <w:szCs w:val="18"/>
                <w:lang w:val="lt-LT"/>
              </w:rPr>
              <w:t xml:space="preserve">, </w:t>
            </w:r>
          </w:p>
          <w:p w14:paraId="6F5C07F7" w14:textId="77777777" w:rsidR="00560390" w:rsidRPr="00830765" w:rsidRDefault="00560390" w:rsidP="00377244">
            <w:pPr>
              <w:pStyle w:val="Default"/>
              <w:rPr>
                <w:sz w:val="18"/>
                <w:szCs w:val="18"/>
                <w:lang w:val="lt-LT"/>
              </w:rPr>
            </w:pPr>
            <w:r w:rsidRPr="00830765">
              <w:rPr>
                <w:sz w:val="18"/>
                <w:szCs w:val="18"/>
                <w:lang w:val="lt-LT"/>
              </w:rPr>
              <w:t xml:space="preserve">Małopłytkowość </w:t>
            </w:r>
          </w:p>
        </w:tc>
        <w:tc>
          <w:tcPr>
            <w:tcW w:w="812" w:type="pct"/>
          </w:tcPr>
          <w:p w14:paraId="38AA70AA" w14:textId="77777777" w:rsidR="00560390" w:rsidRPr="00830765" w:rsidRDefault="0027151D" w:rsidP="00377244">
            <w:pPr>
              <w:pStyle w:val="Default"/>
              <w:rPr>
                <w:sz w:val="18"/>
                <w:szCs w:val="18"/>
                <w:lang w:val="lt-LT"/>
              </w:rPr>
            </w:pPr>
            <w:r>
              <w:rPr>
                <w:sz w:val="18"/>
                <w:szCs w:val="18"/>
                <w:lang w:val="lt-LT"/>
              </w:rPr>
              <w:t>Niedokrwistość,</w:t>
            </w:r>
          </w:p>
          <w:p w14:paraId="7DB0ECD1" w14:textId="77777777" w:rsidR="00560390" w:rsidRPr="00830765" w:rsidRDefault="0027151D" w:rsidP="00377244">
            <w:pPr>
              <w:pStyle w:val="Default"/>
              <w:rPr>
                <w:sz w:val="18"/>
                <w:szCs w:val="18"/>
                <w:lang w:val="lt-LT"/>
              </w:rPr>
            </w:pPr>
            <w:r>
              <w:rPr>
                <w:sz w:val="18"/>
                <w:szCs w:val="18"/>
                <w:lang w:val="lt-LT"/>
              </w:rPr>
              <w:t>Limfopenia</w:t>
            </w:r>
          </w:p>
        </w:tc>
        <w:tc>
          <w:tcPr>
            <w:tcW w:w="449" w:type="pct"/>
          </w:tcPr>
          <w:p w14:paraId="0779FD93" w14:textId="77777777" w:rsidR="00560390" w:rsidRPr="00830765" w:rsidRDefault="00560390" w:rsidP="00377244">
            <w:pPr>
              <w:rPr>
                <w:rFonts w:ascii="Times New Roman" w:hAnsi="Times New Roman" w:cs="Times New Roman"/>
                <w:sz w:val="18"/>
                <w:szCs w:val="18"/>
                <w:lang w:val="lt-LT"/>
              </w:rPr>
            </w:pPr>
          </w:p>
        </w:tc>
        <w:tc>
          <w:tcPr>
            <w:tcW w:w="760" w:type="pct"/>
          </w:tcPr>
          <w:p w14:paraId="6E019663" w14:textId="77777777" w:rsidR="00560390" w:rsidRPr="00830765" w:rsidRDefault="00560390" w:rsidP="00377244">
            <w:pPr>
              <w:rPr>
                <w:rFonts w:ascii="Times New Roman" w:hAnsi="Times New Roman" w:cs="Times New Roman"/>
                <w:sz w:val="18"/>
                <w:szCs w:val="18"/>
                <w:lang w:val="lt-LT"/>
              </w:rPr>
            </w:pPr>
          </w:p>
        </w:tc>
        <w:tc>
          <w:tcPr>
            <w:tcW w:w="810" w:type="pct"/>
          </w:tcPr>
          <w:p w14:paraId="4DF357B0" w14:textId="77777777" w:rsidR="00560390" w:rsidRPr="00830765" w:rsidRDefault="00560390" w:rsidP="00377244">
            <w:pPr>
              <w:rPr>
                <w:rFonts w:ascii="Times New Roman" w:hAnsi="Times New Roman" w:cs="Times New Roman"/>
                <w:sz w:val="18"/>
                <w:szCs w:val="18"/>
                <w:lang w:val="lt-LT"/>
              </w:rPr>
            </w:pPr>
          </w:p>
        </w:tc>
        <w:tc>
          <w:tcPr>
            <w:tcW w:w="652" w:type="pct"/>
          </w:tcPr>
          <w:p w14:paraId="0B77E15E" w14:textId="77777777" w:rsidR="00560390" w:rsidRPr="00830765" w:rsidRDefault="00560390" w:rsidP="00377244">
            <w:pPr>
              <w:rPr>
                <w:rFonts w:ascii="Times New Roman" w:hAnsi="Times New Roman" w:cs="Times New Roman"/>
                <w:sz w:val="18"/>
                <w:szCs w:val="18"/>
                <w:lang w:val="lt-LT"/>
              </w:rPr>
            </w:pPr>
          </w:p>
        </w:tc>
      </w:tr>
      <w:tr w:rsidR="00560390" w:rsidRPr="00754B1C" w14:paraId="209CDE7E" w14:textId="77777777" w:rsidTr="00F533B1">
        <w:tc>
          <w:tcPr>
            <w:tcW w:w="681" w:type="pct"/>
          </w:tcPr>
          <w:p w14:paraId="50B005C0" w14:textId="77777777" w:rsidR="00560390" w:rsidRPr="00830765" w:rsidRDefault="00560390" w:rsidP="00B16328">
            <w:pPr>
              <w:pStyle w:val="Default"/>
              <w:rPr>
                <w:sz w:val="18"/>
                <w:szCs w:val="18"/>
                <w:lang w:val="lt-LT"/>
              </w:rPr>
            </w:pPr>
            <w:r w:rsidRPr="00830765">
              <w:rPr>
                <w:sz w:val="18"/>
                <w:szCs w:val="18"/>
                <w:lang w:val="lt-LT"/>
              </w:rPr>
              <w:t>Zabur</w:t>
            </w:r>
            <w:r w:rsidR="00B16328">
              <w:rPr>
                <w:sz w:val="18"/>
                <w:szCs w:val="18"/>
                <w:lang w:val="lt-LT"/>
              </w:rPr>
              <w:t>zenia układu immunologi-cznego</w:t>
            </w:r>
          </w:p>
        </w:tc>
        <w:tc>
          <w:tcPr>
            <w:tcW w:w="836" w:type="pct"/>
          </w:tcPr>
          <w:p w14:paraId="0BD97D8E" w14:textId="77777777" w:rsidR="00560390" w:rsidRPr="00830765" w:rsidRDefault="00560390" w:rsidP="00377244">
            <w:pPr>
              <w:rPr>
                <w:rFonts w:ascii="Times New Roman" w:hAnsi="Times New Roman" w:cs="Times New Roman"/>
                <w:sz w:val="18"/>
                <w:szCs w:val="18"/>
                <w:lang w:val="lt-LT"/>
              </w:rPr>
            </w:pPr>
          </w:p>
        </w:tc>
        <w:tc>
          <w:tcPr>
            <w:tcW w:w="812" w:type="pct"/>
          </w:tcPr>
          <w:p w14:paraId="31B26C28" w14:textId="77777777" w:rsidR="006351CF" w:rsidRDefault="006351CF" w:rsidP="00B16328">
            <w:pPr>
              <w:pStyle w:val="Default"/>
              <w:rPr>
                <w:sz w:val="18"/>
                <w:szCs w:val="18"/>
                <w:lang w:val="lt-LT"/>
              </w:rPr>
            </w:pPr>
            <w:r>
              <w:rPr>
                <w:sz w:val="18"/>
                <w:szCs w:val="18"/>
                <w:lang w:val="lt-LT"/>
              </w:rPr>
              <w:t>Nadwrażliwość,</w:t>
            </w:r>
          </w:p>
          <w:p w14:paraId="24EBFD85" w14:textId="77777777" w:rsidR="00560390" w:rsidRPr="00830765" w:rsidRDefault="00560390" w:rsidP="00B16328">
            <w:pPr>
              <w:pStyle w:val="Default"/>
              <w:rPr>
                <w:sz w:val="18"/>
                <w:szCs w:val="18"/>
                <w:lang w:val="lt-LT"/>
              </w:rPr>
            </w:pPr>
            <w:r w:rsidRPr="00830765">
              <w:rPr>
                <w:sz w:val="18"/>
                <w:szCs w:val="18"/>
                <w:lang w:val="lt-LT"/>
              </w:rPr>
              <w:t>reakcje poinfuzyjne</w:t>
            </w:r>
            <w:r w:rsidRPr="00830765">
              <w:rPr>
                <w:sz w:val="18"/>
                <w:szCs w:val="18"/>
                <w:vertAlign w:val="superscript"/>
                <w:lang w:val="lt-LT"/>
              </w:rPr>
              <w:t>a,b,d</w:t>
            </w:r>
          </w:p>
        </w:tc>
        <w:tc>
          <w:tcPr>
            <w:tcW w:w="449" w:type="pct"/>
          </w:tcPr>
          <w:p w14:paraId="0C6999A2" w14:textId="77777777" w:rsidR="00560390" w:rsidRPr="00830765" w:rsidRDefault="00560390" w:rsidP="00377244">
            <w:pPr>
              <w:rPr>
                <w:rFonts w:ascii="Times New Roman" w:hAnsi="Times New Roman" w:cs="Times New Roman"/>
                <w:sz w:val="18"/>
                <w:szCs w:val="18"/>
                <w:lang w:val="lt-LT"/>
              </w:rPr>
            </w:pPr>
          </w:p>
        </w:tc>
        <w:tc>
          <w:tcPr>
            <w:tcW w:w="760" w:type="pct"/>
          </w:tcPr>
          <w:p w14:paraId="4A3785D0" w14:textId="3C609847" w:rsidR="00560390" w:rsidRPr="00830765" w:rsidRDefault="00754B1C" w:rsidP="00377244">
            <w:pPr>
              <w:rPr>
                <w:rFonts w:ascii="Times New Roman" w:hAnsi="Times New Roman" w:cs="Times New Roman"/>
                <w:sz w:val="18"/>
                <w:szCs w:val="18"/>
                <w:lang w:val="lt-LT"/>
              </w:rPr>
            </w:pPr>
            <w:r>
              <w:rPr>
                <w:rFonts w:ascii="Times New Roman" w:hAnsi="Times New Roman" w:cs="Times New Roman"/>
                <w:sz w:val="18"/>
                <w:szCs w:val="18"/>
                <w:lang w:val="lt-LT"/>
              </w:rPr>
              <w:t>Wstrząs anafilaktyczny</w:t>
            </w:r>
          </w:p>
        </w:tc>
        <w:tc>
          <w:tcPr>
            <w:tcW w:w="810" w:type="pct"/>
          </w:tcPr>
          <w:p w14:paraId="4F154B9C" w14:textId="77777777" w:rsidR="00560390" w:rsidRPr="00830765" w:rsidRDefault="00560390" w:rsidP="00377244">
            <w:pPr>
              <w:rPr>
                <w:rFonts w:ascii="Times New Roman" w:hAnsi="Times New Roman" w:cs="Times New Roman"/>
                <w:sz w:val="18"/>
                <w:szCs w:val="18"/>
                <w:lang w:val="lt-LT"/>
              </w:rPr>
            </w:pPr>
          </w:p>
        </w:tc>
        <w:tc>
          <w:tcPr>
            <w:tcW w:w="652" w:type="pct"/>
          </w:tcPr>
          <w:p w14:paraId="7F0291B6" w14:textId="77777777" w:rsidR="00560390" w:rsidRPr="00830765" w:rsidRDefault="00560390" w:rsidP="00377244">
            <w:pPr>
              <w:rPr>
                <w:rFonts w:ascii="Times New Roman" w:hAnsi="Times New Roman" w:cs="Times New Roman"/>
                <w:sz w:val="18"/>
                <w:szCs w:val="18"/>
                <w:lang w:val="lt-LT"/>
              </w:rPr>
            </w:pPr>
          </w:p>
        </w:tc>
      </w:tr>
      <w:tr w:rsidR="00560390" w:rsidRPr="00741122" w14:paraId="6AB039CF" w14:textId="77777777" w:rsidTr="00F533B1">
        <w:tc>
          <w:tcPr>
            <w:tcW w:w="681" w:type="pct"/>
          </w:tcPr>
          <w:p w14:paraId="3D10467D" w14:textId="77777777" w:rsidR="00560390" w:rsidRPr="00830765" w:rsidRDefault="00560390" w:rsidP="00377244">
            <w:pPr>
              <w:pStyle w:val="Default"/>
              <w:rPr>
                <w:sz w:val="18"/>
                <w:szCs w:val="18"/>
                <w:lang w:val="lt-LT"/>
              </w:rPr>
            </w:pPr>
            <w:r w:rsidRPr="00830765">
              <w:rPr>
                <w:sz w:val="18"/>
                <w:szCs w:val="18"/>
                <w:lang w:val="lt-LT"/>
              </w:rPr>
              <w:t xml:space="preserve">Zaburzenia metabolizmu i odżywiania </w:t>
            </w:r>
          </w:p>
        </w:tc>
        <w:tc>
          <w:tcPr>
            <w:tcW w:w="836" w:type="pct"/>
          </w:tcPr>
          <w:p w14:paraId="346D0486" w14:textId="7453894A" w:rsidR="00560390" w:rsidRPr="00830765" w:rsidRDefault="00560390" w:rsidP="00377244">
            <w:pPr>
              <w:pStyle w:val="Default"/>
              <w:rPr>
                <w:sz w:val="18"/>
                <w:szCs w:val="18"/>
                <w:lang w:val="lt-LT"/>
              </w:rPr>
            </w:pPr>
            <w:r w:rsidRPr="00830765">
              <w:rPr>
                <w:sz w:val="18"/>
                <w:szCs w:val="18"/>
                <w:lang w:val="lt-LT"/>
              </w:rPr>
              <w:t>Anoreksja</w:t>
            </w:r>
            <w:r w:rsidR="005C3758">
              <w:rPr>
                <w:sz w:val="18"/>
                <w:szCs w:val="18"/>
                <w:lang w:val="lt-LT"/>
              </w:rPr>
              <w:t>,</w:t>
            </w:r>
            <w:r w:rsidRPr="00830765">
              <w:rPr>
                <w:sz w:val="18"/>
                <w:szCs w:val="18"/>
                <w:lang w:val="lt-LT"/>
              </w:rPr>
              <w:t xml:space="preserve"> </w:t>
            </w:r>
          </w:p>
          <w:p w14:paraId="55535DB9" w14:textId="02271799" w:rsidR="00560390" w:rsidRPr="00830765" w:rsidRDefault="00560390" w:rsidP="00377244">
            <w:pPr>
              <w:pStyle w:val="Default"/>
              <w:rPr>
                <w:sz w:val="18"/>
                <w:szCs w:val="18"/>
                <w:lang w:val="lt-LT"/>
              </w:rPr>
            </w:pPr>
            <w:r w:rsidRPr="00830765">
              <w:rPr>
                <w:sz w:val="18"/>
                <w:szCs w:val="18"/>
                <w:lang w:val="lt-LT"/>
              </w:rPr>
              <w:t>Hipomagnezemia</w:t>
            </w:r>
            <w:r w:rsidR="005C3758">
              <w:rPr>
                <w:sz w:val="18"/>
                <w:szCs w:val="18"/>
                <w:lang w:val="lt-LT"/>
              </w:rPr>
              <w:t>,</w:t>
            </w:r>
            <w:r w:rsidRPr="00830765">
              <w:rPr>
                <w:sz w:val="18"/>
                <w:szCs w:val="18"/>
                <w:lang w:val="lt-LT"/>
              </w:rPr>
              <w:t xml:space="preserve"> </w:t>
            </w:r>
          </w:p>
          <w:p w14:paraId="7A3F6243" w14:textId="77777777" w:rsidR="00560390" w:rsidRPr="00830765" w:rsidRDefault="00560390" w:rsidP="00377244">
            <w:pPr>
              <w:pStyle w:val="Default"/>
              <w:rPr>
                <w:sz w:val="18"/>
                <w:szCs w:val="18"/>
                <w:lang w:val="lt-LT"/>
              </w:rPr>
            </w:pPr>
            <w:r w:rsidRPr="00830765">
              <w:rPr>
                <w:sz w:val="18"/>
                <w:szCs w:val="18"/>
                <w:lang w:val="lt-LT"/>
              </w:rPr>
              <w:t xml:space="preserve">Hiponatremia </w:t>
            </w:r>
          </w:p>
        </w:tc>
        <w:tc>
          <w:tcPr>
            <w:tcW w:w="812" w:type="pct"/>
          </w:tcPr>
          <w:p w14:paraId="6CA99F4B" w14:textId="77777777" w:rsidR="00560390" w:rsidRPr="00830765" w:rsidRDefault="00560390" w:rsidP="00377244">
            <w:pPr>
              <w:pStyle w:val="Default"/>
              <w:rPr>
                <w:sz w:val="18"/>
                <w:szCs w:val="18"/>
                <w:lang w:val="lt-LT"/>
              </w:rPr>
            </w:pPr>
            <w:r w:rsidRPr="00830765">
              <w:rPr>
                <w:sz w:val="18"/>
                <w:szCs w:val="18"/>
                <w:lang w:val="lt-LT"/>
              </w:rPr>
              <w:t xml:space="preserve">Odwodnienie </w:t>
            </w:r>
          </w:p>
        </w:tc>
        <w:tc>
          <w:tcPr>
            <w:tcW w:w="449" w:type="pct"/>
          </w:tcPr>
          <w:p w14:paraId="4251034C" w14:textId="77777777" w:rsidR="00560390" w:rsidRPr="00830765" w:rsidRDefault="00560390" w:rsidP="00377244">
            <w:pPr>
              <w:rPr>
                <w:rFonts w:ascii="Times New Roman" w:hAnsi="Times New Roman" w:cs="Times New Roman"/>
                <w:sz w:val="18"/>
                <w:szCs w:val="18"/>
                <w:lang w:val="lt-LT"/>
              </w:rPr>
            </w:pPr>
          </w:p>
        </w:tc>
        <w:tc>
          <w:tcPr>
            <w:tcW w:w="760" w:type="pct"/>
          </w:tcPr>
          <w:p w14:paraId="38F8489C" w14:textId="77777777" w:rsidR="00560390" w:rsidRPr="00830765" w:rsidRDefault="00560390" w:rsidP="00377244">
            <w:pPr>
              <w:rPr>
                <w:rFonts w:ascii="Times New Roman" w:hAnsi="Times New Roman" w:cs="Times New Roman"/>
                <w:sz w:val="18"/>
                <w:szCs w:val="18"/>
                <w:lang w:val="lt-LT"/>
              </w:rPr>
            </w:pPr>
          </w:p>
        </w:tc>
        <w:tc>
          <w:tcPr>
            <w:tcW w:w="810" w:type="pct"/>
          </w:tcPr>
          <w:p w14:paraId="280665E2" w14:textId="77777777" w:rsidR="00560390" w:rsidRPr="00830765" w:rsidRDefault="00560390" w:rsidP="00377244">
            <w:pPr>
              <w:rPr>
                <w:rFonts w:ascii="Times New Roman" w:hAnsi="Times New Roman" w:cs="Times New Roman"/>
                <w:sz w:val="18"/>
                <w:szCs w:val="18"/>
                <w:lang w:val="lt-LT"/>
              </w:rPr>
            </w:pPr>
          </w:p>
        </w:tc>
        <w:tc>
          <w:tcPr>
            <w:tcW w:w="652" w:type="pct"/>
          </w:tcPr>
          <w:p w14:paraId="187F6772" w14:textId="77777777" w:rsidR="00560390" w:rsidRPr="00830765" w:rsidRDefault="00560390" w:rsidP="00377244">
            <w:pPr>
              <w:rPr>
                <w:rFonts w:ascii="Times New Roman" w:hAnsi="Times New Roman" w:cs="Times New Roman"/>
                <w:sz w:val="18"/>
                <w:szCs w:val="18"/>
                <w:lang w:val="lt-LT"/>
              </w:rPr>
            </w:pPr>
          </w:p>
        </w:tc>
      </w:tr>
      <w:tr w:rsidR="00560390" w:rsidRPr="00741122" w14:paraId="14F99CAC" w14:textId="77777777" w:rsidTr="00F533B1">
        <w:tc>
          <w:tcPr>
            <w:tcW w:w="681" w:type="pct"/>
          </w:tcPr>
          <w:p w14:paraId="05A69949" w14:textId="77777777" w:rsidR="00560390" w:rsidRPr="00830765" w:rsidRDefault="00560390" w:rsidP="00377244">
            <w:pPr>
              <w:pStyle w:val="Default"/>
              <w:rPr>
                <w:sz w:val="18"/>
                <w:szCs w:val="18"/>
                <w:lang w:val="lt-LT"/>
              </w:rPr>
            </w:pPr>
            <w:r w:rsidRPr="00830765">
              <w:rPr>
                <w:sz w:val="18"/>
                <w:szCs w:val="18"/>
                <w:lang w:val="lt-LT"/>
              </w:rPr>
              <w:t xml:space="preserve">Zaburzenia układu nerwowego </w:t>
            </w:r>
          </w:p>
        </w:tc>
        <w:tc>
          <w:tcPr>
            <w:tcW w:w="836" w:type="pct"/>
          </w:tcPr>
          <w:p w14:paraId="63534C40" w14:textId="77777777" w:rsidR="00560390" w:rsidRPr="00830765" w:rsidRDefault="00560390" w:rsidP="00377244">
            <w:pPr>
              <w:pStyle w:val="Default"/>
              <w:rPr>
                <w:sz w:val="18"/>
                <w:szCs w:val="18"/>
                <w:lang w:val="lt-LT"/>
              </w:rPr>
            </w:pPr>
            <w:r w:rsidRPr="00830765">
              <w:rPr>
                <w:sz w:val="18"/>
                <w:szCs w:val="18"/>
                <w:lang w:val="lt-LT"/>
              </w:rPr>
              <w:t>Obwodowa neuropatia czuciowa</w:t>
            </w:r>
            <w:r w:rsidRPr="00830765">
              <w:rPr>
                <w:sz w:val="18"/>
                <w:szCs w:val="18"/>
                <w:vertAlign w:val="superscript"/>
                <w:lang w:val="lt-LT"/>
              </w:rPr>
              <w:t>b</w:t>
            </w:r>
            <w:r w:rsidRPr="00830765">
              <w:rPr>
                <w:sz w:val="18"/>
                <w:szCs w:val="18"/>
                <w:lang w:val="lt-LT"/>
              </w:rPr>
              <w:t xml:space="preserve">, </w:t>
            </w:r>
          </w:p>
          <w:p w14:paraId="0DA11F13" w14:textId="77777777" w:rsidR="00DC706B" w:rsidRPr="00830765" w:rsidRDefault="00560390" w:rsidP="00377244">
            <w:pPr>
              <w:pStyle w:val="Default"/>
              <w:rPr>
                <w:sz w:val="18"/>
                <w:szCs w:val="18"/>
                <w:lang w:val="lt-LT"/>
              </w:rPr>
            </w:pPr>
            <w:r w:rsidRPr="00830765">
              <w:rPr>
                <w:sz w:val="18"/>
                <w:szCs w:val="18"/>
                <w:lang w:val="lt-LT"/>
              </w:rPr>
              <w:t xml:space="preserve">Dyzartria, </w:t>
            </w:r>
          </w:p>
          <w:p w14:paraId="7931DDFC" w14:textId="77777777" w:rsidR="00560390" w:rsidRPr="00830765" w:rsidRDefault="00560390" w:rsidP="00377244">
            <w:pPr>
              <w:pStyle w:val="Default"/>
              <w:rPr>
                <w:sz w:val="18"/>
                <w:szCs w:val="18"/>
                <w:lang w:val="lt-LT"/>
              </w:rPr>
            </w:pPr>
            <w:r w:rsidRPr="00830765">
              <w:rPr>
                <w:sz w:val="18"/>
                <w:szCs w:val="18"/>
                <w:lang w:val="lt-LT"/>
              </w:rPr>
              <w:t xml:space="preserve">Ból głowy, </w:t>
            </w:r>
          </w:p>
          <w:p w14:paraId="091E14B2" w14:textId="77777777" w:rsidR="00560390" w:rsidRPr="00830765" w:rsidRDefault="00560390" w:rsidP="00377244">
            <w:pPr>
              <w:pStyle w:val="Default"/>
              <w:rPr>
                <w:sz w:val="18"/>
                <w:szCs w:val="18"/>
                <w:lang w:val="lt-LT"/>
              </w:rPr>
            </w:pPr>
            <w:r w:rsidRPr="00830765">
              <w:rPr>
                <w:sz w:val="18"/>
                <w:szCs w:val="18"/>
                <w:lang w:val="lt-LT"/>
              </w:rPr>
              <w:t xml:space="preserve">Zaburzenie smaku </w:t>
            </w:r>
          </w:p>
        </w:tc>
        <w:tc>
          <w:tcPr>
            <w:tcW w:w="812" w:type="pct"/>
          </w:tcPr>
          <w:p w14:paraId="620CA5C9" w14:textId="77777777" w:rsidR="00560390" w:rsidRPr="00830765" w:rsidRDefault="00560390" w:rsidP="00377244">
            <w:pPr>
              <w:pStyle w:val="Default"/>
              <w:rPr>
                <w:sz w:val="18"/>
                <w:szCs w:val="18"/>
                <w:lang w:val="lt-LT"/>
              </w:rPr>
            </w:pPr>
            <w:r w:rsidRPr="00830765">
              <w:rPr>
                <w:sz w:val="18"/>
                <w:szCs w:val="18"/>
                <w:lang w:val="lt-LT"/>
              </w:rPr>
              <w:t xml:space="preserve">Udar mózgu, </w:t>
            </w:r>
          </w:p>
          <w:p w14:paraId="1A4107E8" w14:textId="77777777" w:rsidR="00B16328" w:rsidRDefault="00B16328" w:rsidP="00377244">
            <w:pPr>
              <w:pStyle w:val="Default"/>
              <w:rPr>
                <w:sz w:val="18"/>
                <w:szCs w:val="18"/>
                <w:lang w:val="lt-LT"/>
              </w:rPr>
            </w:pPr>
            <w:r>
              <w:rPr>
                <w:sz w:val="18"/>
                <w:szCs w:val="18"/>
                <w:lang w:val="lt-LT"/>
              </w:rPr>
              <w:t>Omdlenie,</w:t>
            </w:r>
          </w:p>
          <w:p w14:paraId="4BD91ABC" w14:textId="77777777" w:rsidR="00560390" w:rsidRPr="00830765" w:rsidRDefault="00560390" w:rsidP="00377244">
            <w:pPr>
              <w:pStyle w:val="Default"/>
              <w:rPr>
                <w:sz w:val="18"/>
                <w:szCs w:val="18"/>
                <w:lang w:val="lt-LT"/>
              </w:rPr>
            </w:pPr>
            <w:r w:rsidRPr="00830765">
              <w:rPr>
                <w:sz w:val="18"/>
                <w:szCs w:val="18"/>
                <w:lang w:val="lt-LT"/>
              </w:rPr>
              <w:t xml:space="preserve">Senność </w:t>
            </w:r>
          </w:p>
        </w:tc>
        <w:tc>
          <w:tcPr>
            <w:tcW w:w="449" w:type="pct"/>
          </w:tcPr>
          <w:p w14:paraId="62E374C3" w14:textId="77777777" w:rsidR="00560390" w:rsidRPr="00830765" w:rsidRDefault="00560390" w:rsidP="00377244">
            <w:pPr>
              <w:rPr>
                <w:rFonts w:ascii="Times New Roman" w:hAnsi="Times New Roman" w:cs="Times New Roman"/>
                <w:sz w:val="18"/>
                <w:szCs w:val="18"/>
                <w:lang w:val="lt-LT"/>
              </w:rPr>
            </w:pPr>
          </w:p>
        </w:tc>
        <w:tc>
          <w:tcPr>
            <w:tcW w:w="760" w:type="pct"/>
          </w:tcPr>
          <w:p w14:paraId="4B034E35" w14:textId="77777777" w:rsidR="00560390" w:rsidRPr="00830765" w:rsidRDefault="00560390" w:rsidP="00377244">
            <w:pPr>
              <w:pStyle w:val="Default"/>
              <w:rPr>
                <w:sz w:val="18"/>
                <w:szCs w:val="18"/>
                <w:lang w:val="lt-LT"/>
              </w:rPr>
            </w:pPr>
            <w:r w:rsidRPr="00830765">
              <w:rPr>
                <w:sz w:val="18"/>
                <w:szCs w:val="18"/>
                <w:lang w:val="lt-LT"/>
              </w:rPr>
              <w:t>Zespół tylnej odwracalnej encefalopatii</w:t>
            </w:r>
            <w:r w:rsidRPr="00830765">
              <w:rPr>
                <w:sz w:val="18"/>
                <w:szCs w:val="18"/>
                <w:vertAlign w:val="superscript"/>
                <w:lang w:val="lt-LT"/>
              </w:rPr>
              <w:t>a,b,d</w:t>
            </w:r>
            <w:r w:rsidRPr="00830765">
              <w:rPr>
                <w:sz w:val="18"/>
                <w:szCs w:val="18"/>
                <w:lang w:val="lt-LT"/>
              </w:rPr>
              <w:t xml:space="preserve"> </w:t>
            </w:r>
          </w:p>
        </w:tc>
        <w:tc>
          <w:tcPr>
            <w:tcW w:w="810" w:type="pct"/>
          </w:tcPr>
          <w:p w14:paraId="58DC1A46" w14:textId="77777777" w:rsidR="00560390" w:rsidRPr="00830765" w:rsidRDefault="00560390" w:rsidP="00377244">
            <w:pPr>
              <w:pStyle w:val="Default"/>
              <w:rPr>
                <w:sz w:val="18"/>
                <w:szCs w:val="18"/>
                <w:lang w:val="lt-LT"/>
              </w:rPr>
            </w:pPr>
            <w:r w:rsidRPr="00830765">
              <w:rPr>
                <w:sz w:val="18"/>
                <w:szCs w:val="18"/>
                <w:lang w:val="lt-LT"/>
              </w:rPr>
              <w:t>Encefalopatia nadciśnieniowa</w:t>
            </w:r>
            <w:r w:rsidRPr="00830765">
              <w:rPr>
                <w:sz w:val="18"/>
                <w:szCs w:val="18"/>
                <w:vertAlign w:val="superscript"/>
                <w:lang w:val="lt-LT"/>
              </w:rPr>
              <w:t>a</w:t>
            </w:r>
          </w:p>
        </w:tc>
        <w:tc>
          <w:tcPr>
            <w:tcW w:w="652" w:type="pct"/>
          </w:tcPr>
          <w:p w14:paraId="0EE8D32A" w14:textId="77777777" w:rsidR="00560390" w:rsidRPr="00830765" w:rsidRDefault="00560390" w:rsidP="00377244">
            <w:pPr>
              <w:rPr>
                <w:rFonts w:ascii="Times New Roman" w:hAnsi="Times New Roman" w:cs="Times New Roman"/>
                <w:sz w:val="18"/>
                <w:szCs w:val="18"/>
                <w:lang w:val="lt-LT"/>
              </w:rPr>
            </w:pPr>
          </w:p>
        </w:tc>
      </w:tr>
      <w:tr w:rsidR="00560390" w:rsidRPr="00741122" w14:paraId="21560220" w14:textId="77777777" w:rsidTr="00F533B1">
        <w:tc>
          <w:tcPr>
            <w:tcW w:w="681" w:type="pct"/>
          </w:tcPr>
          <w:p w14:paraId="46FC1E9E" w14:textId="77777777" w:rsidR="00560390" w:rsidRPr="00830765" w:rsidRDefault="00560390" w:rsidP="00377244">
            <w:pPr>
              <w:pStyle w:val="Default"/>
              <w:rPr>
                <w:sz w:val="18"/>
                <w:szCs w:val="18"/>
                <w:lang w:val="lt-LT"/>
              </w:rPr>
            </w:pPr>
            <w:r w:rsidRPr="00830765">
              <w:rPr>
                <w:sz w:val="18"/>
                <w:szCs w:val="18"/>
                <w:lang w:val="lt-LT"/>
              </w:rPr>
              <w:t xml:space="preserve">Zaburzenia oka </w:t>
            </w:r>
          </w:p>
        </w:tc>
        <w:tc>
          <w:tcPr>
            <w:tcW w:w="836" w:type="pct"/>
          </w:tcPr>
          <w:p w14:paraId="512F6CB6" w14:textId="77777777" w:rsidR="00560390" w:rsidRPr="00830765" w:rsidRDefault="00560390" w:rsidP="005D0D0A">
            <w:pPr>
              <w:pStyle w:val="Default"/>
              <w:rPr>
                <w:sz w:val="18"/>
                <w:szCs w:val="18"/>
                <w:lang w:val="lt-LT"/>
              </w:rPr>
            </w:pPr>
            <w:r w:rsidRPr="00830765">
              <w:rPr>
                <w:sz w:val="18"/>
                <w:szCs w:val="18"/>
                <w:lang w:val="lt-LT"/>
              </w:rPr>
              <w:t xml:space="preserve">Zaburzenie oka, Zwiększone łzawienie </w:t>
            </w:r>
          </w:p>
        </w:tc>
        <w:tc>
          <w:tcPr>
            <w:tcW w:w="812" w:type="pct"/>
          </w:tcPr>
          <w:p w14:paraId="236A6FBD" w14:textId="77777777" w:rsidR="00560390" w:rsidRPr="00830765" w:rsidRDefault="00560390" w:rsidP="00377244">
            <w:pPr>
              <w:rPr>
                <w:rFonts w:ascii="Times New Roman" w:hAnsi="Times New Roman" w:cs="Times New Roman"/>
                <w:sz w:val="18"/>
                <w:szCs w:val="18"/>
                <w:lang w:val="lt-LT"/>
              </w:rPr>
            </w:pPr>
          </w:p>
        </w:tc>
        <w:tc>
          <w:tcPr>
            <w:tcW w:w="449" w:type="pct"/>
          </w:tcPr>
          <w:p w14:paraId="454D7589" w14:textId="77777777" w:rsidR="00560390" w:rsidRPr="00830765" w:rsidRDefault="00560390" w:rsidP="00377244">
            <w:pPr>
              <w:rPr>
                <w:rFonts w:ascii="Times New Roman" w:hAnsi="Times New Roman" w:cs="Times New Roman"/>
                <w:sz w:val="18"/>
                <w:szCs w:val="18"/>
                <w:lang w:val="lt-LT"/>
              </w:rPr>
            </w:pPr>
          </w:p>
        </w:tc>
        <w:tc>
          <w:tcPr>
            <w:tcW w:w="760" w:type="pct"/>
          </w:tcPr>
          <w:p w14:paraId="47A2D45F" w14:textId="77777777" w:rsidR="00560390" w:rsidRPr="00830765" w:rsidRDefault="00560390" w:rsidP="00377244">
            <w:pPr>
              <w:rPr>
                <w:rFonts w:ascii="Times New Roman" w:hAnsi="Times New Roman" w:cs="Times New Roman"/>
                <w:sz w:val="18"/>
                <w:szCs w:val="18"/>
                <w:lang w:val="lt-LT"/>
              </w:rPr>
            </w:pPr>
          </w:p>
        </w:tc>
        <w:tc>
          <w:tcPr>
            <w:tcW w:w="810" w:type="pct"/>
          </w:tcPr>
          <w:p w14:paraId="4CBA24EA" w14:textId="77777777" w:rsidR="00560390" w:rsidRPr="00830765" w:rsidRDefault="00560390" w:rsidP="00377244">
            <w:pPr>
              <w:rPr>
                <w:rFonts w:ascii="Times New Roman" w:hAnsi="Times New Roman" w:cs="Times New Roman"/>
                <w:sz w:val="18"/>
                <w:szCs w:val="18"/>
                <w:lang w:val="lt-LT"/>
              </w:rPr>
            </w:pPr>
          </w:p>
        </w:tc>
        <w:tc>
          <w:tcPr>
            <w:tcW w:w="652" w:type="pct"/>
          </w:tcPr>
          <w:p w14:paraId="1C270E22" w14:textId="77777777" w:rsidR="00560390" w:rsidRPr="00830765" w:rsidRDefault="00560390" w:rsidP="00377244">
            <w:pPr>
              <w:rPr>
                <w:rFonts w:ascii="Times New Roman" w:hAnsi="Times New Roman" w:cs="Times New Roman"/>
                <w:sz w:val="18"/>
                <w:szCs w:val="18"/>
                <w:lang w:val="lt-LT"/>
              </w:rPr>
            </w:pPr>
          </w:p>
        </w:tc>
      </w:tr>
      <w:tr w:rsidR="00560390" w:rsidRPr="008C2A94" w14:paraId="6DFCFCDE" w14:textId="77777777" w:rsidTr="00F533B1">
        <w:tc>
          <w:tcPr>
            <w:tcW w:w="681" w:type="pct"/>
          </w:tcPr>
          <w:p w14:paraId="7B9C3BF2" w14:textId="77777777" w:rsidR="00560390" w:rsidRPr="00830765" w:rsidRDefault="00560390" w:rsidP="00377244">
            <w:pPr>
              <w:pStyle w:val="Default"/>
              <w:rPr>
                <w:sz w:val="18"/>
                <w:szCs w:val="18"/>
                <w:lang w:val="lt-LT"/>
              </w:rPr>
            </w:pPr>
            <w:r w:rsidRPr="00830765">
              <w:rPr>
                <w:sz w:val="18"/>
                <w:szCs w:val="18"/>
                <w:lang w:val="lt-LT"/>
              </w:rPr>
              <w:t xml:space="preserve">Zaburzenia serca </w:t>
            </w:r>
          </w:p>
          <w:p w14:paraId="33B4A734" w14:textId="77777777" w:rsidR="00560390" w:rsidRPr="00830765" w:rsidRDefault="00560390" w:rsidP="00377244">
            <w:pPr>
              <w:rPr>
                <w:rFonts w:ascii="Times New Roman" w:hAnsi="Times New Roman" w:cs="Times New Roman"/>
                <w:sz w:val="18"/>
                <w:szCs w:val="18"/>
                <w:lang w:val="lt-LT"/>
              </w:rPr>
            </w:pPr>
          </w:p>
        </w:tc>
        <w:tc>
          <w:tcPr>
            <w:tcW w:w="836" w:type="pct"/>
          </w:tcPr>
          <w:p w14:paraId="347F4C22" w14:textId="77777777" w:rsidR="00560390" w:rsidRPr="00830765" w:rsidRDefault="00560390" w:rsidP="00377244">
            <w:pPr>
              <w:rPr>
                <w:rFonts w:ascii="Times New Roman" w:hAnsi="Times New Roman" w:cs="Times New Roman"/>
                <w:sz w:val="18"/>
                <w:szCs w:val="18"/>
                <w:lang w:val="lt-LT"/>
              </w:rPr>
            </w:pPr>
          </w:p>
        </w:tc>
        <w:tc>
          <w:tcPr>
            <w:tcW w:w="812" w:type="pct"/>
          </w:tcPr>
          <w:p w14:paraId="129890D1" w14:textId="77777777" w:rsidR="00560390" w:rsidRPr="00830765" w:rsidRDefault="00560390" w:rsidP="00377244">
            <w:pPr>
              <w:pStyle w:val="Default"/>
              <w:rPr>
                <w:sz w:val="18"/>
                <w:szCs w:val="18"/>
                <w:lang w:val="lt-LT"/>
              </w:rPr>
            </w:pPr>
            <w:r w:rsidRPr="00830765">
              <w:rPr>
                <w:sz w:val="18"/>
                <w:szCs w:val="18"/>
                <w:lang w:val="lt-LT"/>
              </w:rPr>
              <w:t>Zastoinowa niewydolność serca</w:t>
            </w:r>
            <w:r w:rsidRPr="00830765">
              <w:rPr>
                <w:sz w:val="18"/>
                <w:szCs w:val="18"/>
                <w:vertAlign w:val="superscript"/>
                <w:lang w:val="lt-LT"/>
              </w:rPr>
              <w:t>b,d</w:t>
            </w:r>
            <w:r w:rsidR="0009249B">
              <w:rPr>
                <w:sz w:val="18"/>
                <w:szCs w:val="18"/>
                <w:lang w:val="lt-LT"/>
              </w:rPr>
              <w:t>,</w:t>
            </w:r>
          </w:p>
          <w:p w14:paraId="01F85AF3" w14:textId="77777777" w:rsidR="00560390" w:rsidRPr="00830765" w:rsidRDefault="00560390" w:rsidP="00377244">
            <w:pPr>
              <w:rPr>
                <w:rFonts w:ascii="Times New Roman" w:hAnsi="Times New Roman" w:cs="Times New Roman"/>
                <w:sz w:val="18"/>
                <w:szCs w:val="18"/>
                <w:lang w:val="lt-LT"/>
              </w:rPr>
            </w:pPr>
            <w:r w:rsidRPr="00830765">
              <w:rPr>
                <w:rFonts w:ascii="Times New Roman" w:hAnsi="Times New Roman" w:cs="Times New Roman"/>
                <w:sz w:val="18"/>
                <w:szCs w:val="18"/>
                <w:lang w:val="lt-LT"/>
              </w:rPr>
              <w:t xml:space="preserve">Częstoskurcz nadkomorowy </w:t>
            </w:r>
          </w:p>
        </w:tc>
        <w:tc>
          <w:tcPr>
            <w:tcW w:w="449" w:type="pct"/>
          </w:tcPr>
          <w:p w14:paraId="2FC5D885" w14:textId="77777777" w:rsidR="00560390" w:rsidRPr="00830765" w:rsidRDefault="00560390" w:rsidP="00377244">
            <w:pPr>
              <w:rPr>
                <w:rFonts w:ascii="Times New Roman" w:hAnsi="Times New Roman" w:cs="Times New Roman"/>
                <w:sz w:val="18"/>
                <w:szCs w:val="18"/>
                <w:lang w:val="lt-LT"/>
              </w:rPr>
            </w:pPr>
          </w:p>
        </w:tc>
        <w:tc>
          <w:tcPr>
            <w:tcW w:w="760" w:type="pct"/>
          </w:tcPr>
          <w:p w14:paraId="541041A8" w14:textId="77777777" w:rsidR="00560390" w:rsidRPr="00830765" w:rsidRDefault="00560390" w:rsidP="00377244">
            <w:pPr>
              <w:rPr>
                <w:rFonts w:ascii="Times New Roman" w:hAnsi="Times New Roman" w:cs="Times New Roman"/>
                <w:sz w:val="18"/>
                <w:szCs w:val="18"/>
                <w:lang w:val="lt-LT"/>
              </w:rPr>
            </w:pPr>
          </w:p>
        </w:tc>
        <w:tc>
          <w:tcPr>
            <w:tcW w:w="810" w:type="pct"/>
          </w:tcPr>
          <w:p w14:paraId="0EB3A49F" w14:textId="77777777" w:rsidR="00560390" w:rsidRPr="00830765" w:rsidRDefault="00560390" w:rsidP="00377244">
            <w:pPr>
              <w:rPr>
                <w:rFonts w:ascii="Times New Roman" w:hAnsi="Times New Roman" w:cs="Times New Roman"/>
                <w:sz w:val="18"/>
                <w:szCs w:val="18"/>
                <w:lang w:val="lt-LT"/>
              </w:rPr>
            </w:pPr>
          </w:p>
        </w:tc>
        <w:tc>
          <w:tcPr>
            <w:tcW w:w="652" w:type="pct"/>
          </w:tcPr>
          <w:p w14:paraId="1CBF3265" w14:textId="77777777" w:rsidR="00560390" w:rsidRPr="00830765" w:rsidRDefault="00560390" w:rsidP="00377244">
            <w:pPr>
              <w:rPr>
                <w:rFonts w:ascii="Times New Roman" w:hAnsi="Times New Roman" w:cs="Times New Roman"/>
                <w:sz w:val="18"/>
                <w:szCs w:val="18"/>
                <w:lang w:val="lt-LT"/>
              </w:rPr>
            </w:pPr>
          </w:p>
        </w:tc>
      </w:tr>
      <w:tr w:rsidR="004C7D78" w:rsidRPr="008C2A94" w14:paraId="37F07427" w14:textId="77777777" w:rsidTr="00F533B1">
        <w:tc>
          <w:tcPr>
            <w:tcW w:w="681" w:type="pct"/>
          </w:tcPr>
          <w:p w14:paraId="1D7DC8FC" w14:textId="77777777" w:rsidR="00560390" w:rsidRPr="00830765" w:rsidRDefault="00560390" w:rsidP="00377244">
            <w:pPr>
              <w:pStyle w:val="Default"/>
              <w:rPr>
                <w:sz w:val="18"/>
                <w:szCs w:val="18"/>
                <w:lang w:val="lt-LT"/>
              </w:rPr>
            </w:pPr>
            <w:r w:rsidRPr="00830765">
              <w:rPr>
                <w:sz w:val="18"/>
                <w:szCs w:val="18"/>
                <w:lang w:val="lt-LT"/>
              </w:rPr>
              <w:t xml:space="preserve">Zaburzenia naczyniowe </w:t>
            </w:r>
          </w:p>
        </w:tc>
        <w:tc>
          <w:tcPr>
            <w:tcW w:w="836" w:type="pct"/>
          </w:tcPr>
          <w:p w14:paraId="7D943A98" w14:textId="77777777" w:rsidR="00560390" w:rsidRPr="00830765" w:rsidRDefault="00560390" w:rsidP="00377244">
            <w:pPr>
              <w:pStyle w:val="Default"/>
              <w:rPr>
                <w:sz w:val="18"/>
                <w:szCs w:val="18"/>
                <w:lang w:val="lt-LT"/>
              </w:rPr>
            </w:pPr>
            <w:r w:rsidRPr="00830765">
              <w:rPr>
                <w:sz w:val="18"/>
                <w:szCs w:val="18"/>
                <w:lang w:val="lt-LT"/>
              </w:rPr>
              <w:t>Nadciśnienie</w:t>
            </w:r>
            <w:r w:rsidRPr="00830765">
              <w:rPr>
                <w:sz w:val="18"/>
                <w:szCs w:val="18"/>
                <w:vertAlign w:val="superscript"/>
                <w:lang w:val="lt-LT"/>
              </w:rPr>
              <w:t>b,d</w:t>
            </w:r>
            <w:r w:rsidR="0009249B">
              <w:rPr>
                <w:sz w:val="18"/>
                <w:szCs w:val="18"/>
                <w:lang w:val="lt-LT"/>
              </w:rPr>
              <w:t>,</w:t>
            </w:r>
          </w:p>
          <w:p w14:paraId="3A98CB43" w14:textId="77777777" w:rsidR="00560390" w:rsidRPr="00830765" w:rsidRDefault="00560390" w:rsidP="00377244">
            <w:pPr>
              <w:pStyle w:val="Default"/>
              <w:rPr>
                <w:sz w:val="18"/>
                <w:szCs w:val="18"/>
                <w:lang w:val="lt-LT"/>
              </w:rPr>
            </w:pPr>
            <w:r w:rsidRPr="00830765">
              <w:rPr>
                <w:sz w:val="18"/>
                <w:szCs w:val="18"/>
                <w:lang w:val="lt-LT"/>
              </w:rPr>
              <w:t>Zakrzepica zatorowa (żylna)</w:t>
            </w:r>
            <w:r w:rsidRPr="00830765">
              <w:rPr>
                <w:sz w:val="18"/>
                <w:szCs w:val="18"/>
                <w:vertAlign w:val="superscript"/>
                <w:lang w:val="lt-LT"/>
              </w:rPr>
              <w:t>b,d</w:t>
            </w:r>
            <w:r w:rsidRPr="00830765">
              <w:rPr>
                <w:sz w:val="18"/>
                <w:szCs w:val="18"/>
                <w:lang w:val="lt-LT"/>
              </w:rPr>
              <w:t xml:space="preserve"> </w:t>
            </w:r>
          </w:p>
        </w:tc>
        <w:tc>
          <w:tcPr>
            <w:tcW w:w="812" w:type="pct"/>
          </w:tcPr>
          <w:p w14:paraId="12BA8E80" w14:textId="77777777" w:rsidR="00560390" w:rsidRPr="00830765" w:rsidRDefault="00560390" w:rsidP="00377244">
            <w:pPr>
              <w:pStyle w:val="Default"/>
              <w:rPr>
                <w:sz w:val="18"/>
                <w:szCs w:val="18"/>
                <w:lang w:val="lt-LT"/>
              </w:rPr>
            </w:pPr>
            <w:r w:rsidRPr="00830765">
              <w:rPr>
                <w:sz w:val="18"/>
                <w:szCs w:val="18"/>
                <w:lang w:val="lt-LT"/>
              </w:rPr>
              <w:t>Zakrzepica zatorowa (tętnicza)</w:t>
            </w:r>
            <w:r w:rsidRPr="00830765">
              <w:rPr>
                <w:sz w:val="18"/>
                <w:szCs w:val="18"/>
                <w:vertAlign w:val="superscript"/>
                <w:lang w:val="lt-LT"/>
              </w:rPr>
              <w:t>b,d</w:t>
            </w:r>
            <w:r w:rsidR="0009249B">
              <w:rPr>
                <w:sz w:val="18"/>
                <w:szCs w:val="18"/>
                <w:lang w:val="lt-LT"/>
              </w:rPr>
              <w:t>,</w:t>
            </w:r>
          </w:p>
          <w:p w14:paraId="19F99114" w14:textId="77777777" w:rsidR="00560390" w:rsidRPr="00830765" w:rsidRDefault="00560390" w:rsidP="00377244">
            <w:pPr>
              <w:pStyle w:val="Default"/>
              <w:rPr>
                <w:sz w:val="18"/>
                <w:szCs w:val="18"/>
                <w:lang w:val="lt-LT"/>
              </w:rPr>
            </w:pPr>
            <w:r w:rsidRPr="00830765">
              <w:rPr>
                <w:sz w:val="18"/>
                <w:szCs w:val="18"/>
                <w:lang w:val="lt-LT"/>
              </w:rPr>
              <w:t>Krwotok</w:t>
            </w:r>
            <w:r w:rsidRPr="00830765">
              <w:rPr>
                <w:sz w:val="18"/>
                <w:szCs w:val="18"/>
                <w:vertAlign w:val="superscript"/>
                <w:lang w:val="lt-LT"/>
              </w:rPr>
              <w:t>b,d</w:t>
            </w:r>
            <w:r w:rsidR="0009249B">
              <w:rPr>
                <w:sz w:val="18"/>
                <w:szCs w:val="18"/>
                <w:lang w:val="lt-LT"/>
              </w:rPr>
              <w:t>,</w:t>
            </w:r>
          </w:p>
          <w:p w14:paraId="163F782C" w14:textId="77777777" w:rsidR="00560390" w:rsidRPr="00830765" w:rsidRDefault="00560390" w:rsidP="00377244">
            <w:pPr>
              <w:pStyle w:val="Default"/>
              <w:rPr>
                <w:sz w:val="18"/>
                <w:szCs w:val="18"/>
                <w:lang w:val="lt-LT"/>
              </w:rPr>
            </w:pPr>
            <w:r w:rsidRPr="00830765">
              <w:rPr>
                <w:sz w:val="18"/>
                <w:szCs w:val="18"/>
                <w:lang w:val="lt-LT"/>
              </w:rPr>
              <w:t xml:space="preserve">Zakrzepica żył głębokich </w:t>
            </w:r>
          </w:p>
        </w:tc>
        <w:tc>
          <w:tcPr>
            <w:tcW w:w="449" w:type="pct"/>
          </w:tcPr>
          <w:p w14:paraId="1BF1E38A" w14:textId="77777777" w:rsidR="00560390" w:rsidRPr="00830765" w:rsidRDefault="00560390" w:rsidP="00377244">
            <w:pPr>
              <w:rPr>
                <w:rFonts w:ascii="Times New Roman" w:hAnsi="Times New Roman" w:cs="Times New Roman"/>
                <w:sz w:val="18"/>
                <w:szCs w:val="18"/>
                <w:lang w:val="lt-LT"/>
              </w:rPr>
            </w:pPr>
          </w:p>
        </w:tc>
        <w:tc>
          <w:tcPr>
            <w:tcW w:w="760" w:type="pct"/>
          </w:tcPr>
          <w:p w14:paraId="29B2D769" w14:textId="77777777" w:rsidR="00560390" w:rsidRPr="00830765" w:rsidRDefault="00560390" w:rsidP="00377244">
            <w:pPr>
              <w:rPr>
                <w:rFonts w:ascii="Times New Roman" w:hAnsi="Times New Roman" w:cs="Times New Roman"/>
                <w:sz w:val="18"/>
                <w:szCs w:val="18"/>
                <w:lang w:val="lt-LT"/>
              </w:rPr>
            </w:pPr>
          </w:p>
        </w:tc>
        <w:tc>
          <w:tcPr>
            <w:tcW w:w="810" w:type="pct"/>
          </w:tcPr>
          <w:p w14:paraId="4CFEAC6A" w14:textId="77777777" w:rsidR="00560390" w:rsidRPr="00830765" w:rsidRDefault="00560390" w:rsidP="00377244">
            <w:pPr>
              <w:rPr>
                <w:rFonts w:ascii="Times New Roman" w:hAnsi="Times New Roman" w:cs="Times New Roman"/>
                <w:sz w:val="18"/>
                <w:szCs w:val="18"/>
                <w:lang w:val="lt-LT"/>
              </w:rPr>
            </w:pPr>
          </w:p>
        </w:tc>
        <w:tc>
          <w:tcPr>
            <w:tcW w:w="652" w:type="pct"/>
          </w:tcPr>
          <w:p w14:paraId="61292D1B" w14:textId="77777777" w:rsidR="00560390" w:rsidRPr="00830765" w:rsidRDefault="00560390" w:rsidP="00377244">
            <w:pPr>
              <w:pStyle w:val="Default"/>
              <w:rPr>
                <w:sz w:val="18"/>
                <w:szCs w:val="18"/>
                <w:lang w:val="lt-LT"/>
              </w:rPr>
            </w:pPr>
            <w:r w:rsidRPr="00830765">
              <w:rPr>
                <w:sz w:val="18"/>
                <w:szCs w:val="18"/>
                <w:lang w:val="lt-LT"/>
              </w:rPr>
              <w:t>Mikroangiopatia zakrzepowa nerek</w:t>
            </w:r>
            <w:r w:rsidRPr="00830765">
              <w:rPr>
                <w:sz w:val="18"/>
                <w:szCs w:val="18"/>
                <w:vertAlign w:val="superscript"/>
                <w:lang w:val="lt-LT"/>
              </w:rPr>
              <w:t>a,b</w:t>
            </w:r>
            <w:r w:rsidR="0038156C" w:rsidRPr="00023583">
              <w:rPr>
                <w:sz w:val="18"/>
                <w:szCs w:val="18"/>
                <w:lang w:val="lt-LT"/>
              </w:rPr>
              <w:t>,</w:t>
            </w:r>
            <w:r w:rsidRPr="0038156C">
              <w:rPr>
                <w:sz w:val="18"/>
                <w:szCs w:val="18"/>
                <w:lang w:val="lt-LT"/>
              </w:rPr>
              <w:t xml:space="preserve"> </w:t>
            </w:r>
          </w:p>
          <w:p w14:paraId="03B45368" w14:textId="77777777" w:rsidR="00560390" w:rsidRPr="00830765" w:rsidRDefault="00B477D9" w:rsidP="00FF158E">
            <w:pPr>
              <w:pStyle w:val="Default"/>
              <w:rPr>
                <w:sz w:val="18"/>
                <w:szCs w:val="18"/>
                <w:lang w:val="lt-LT"/>
              </w:rPr>
            </w:pPr>
            <w:r w:rsidRPr="00FF158E">
              <w:rPr>
                <w:sz w:val="18"/>
                <w:szCs w:val="18"/>
                <w:lang w:val="lt-LT"/>
              </w:rPr>
              <w:t>Tętniaki i rozwarstwieni</w:t>
            </w:r>
            <w:r w:rsidR="00ED527E">
              <w:rPr>
                <w:sz w:val="18"/>
                <w:szCs w:val="18"/>
                <w:lang w:val="lt-LT"/>
              </w:rPr>
              <w:t>a</w:t>
            </w:r>
            <w:r w:rsidRPr="00FF158E">
              <w:rPr>
                <w:sz w:val="18"/>
                <w:szCs w:val="18"/>
                <w:lang w:val="lt-LT"/>
              </w:rPr>
              <w:t xml:space="preserve"> tętnic</w:t>
            </w:r>
          </w:p>
        </w:tc>
      </w:tr>
      <w:tr w:rsidR="004C7D78" w:rsidRPr="008C2A94" w14:paraId="184EE449" w14:textId="77777777" w:rsidTr="00F533B1">
        <w:tc>
          <w:tcPr>
            <w:tcW w:w="681" w:type="pct"/>
          </w:tcPr>
          <w:p w14:paraId="1EA4DEED" w14:textId="77777777" w:rsidR="00560390" w:rsidRPr="00830765" w:rsidRDefault="00560390" w:rsidP="00377244">
            <w:pPr>
              <w:pStyle w:val="Default"/>
              <w:rPr>
                <w:sz w:val="18"/>
                <w:szCs w:val="18"/>
                <w:lang w:val="lt-LT"/>
              </w:rPr>
            </w:pPr>
            <w:r w:rsidRPr="00830765">
              <w:rPr>
                <w:sz w:val="18"/>
                <w:szCs w:val="18"/>
                <w:lang w:val="lt-LT"/>
              </w:rPr>
              <w:t xml:space="preserve">Zaburzenia układu oddechowego, klatki piersiowej i śródpiersia </w:t>
            </w:r>
          </w:p>
        </w:tc>
        <w:tc>
          <w:tcPr>
            <w:tcW w:w="836" w:type="pct"/>
          </w:tcPr>
          <w:p w14:paraId="3608ED02" w14:textId="77777777" w:rsidR="00560390" w:rsidRPr="00830765" w:rsidRDefault="00560390" w:rsidP="00377244">
            <w:pPr>
              <w:pStyle w:val="Default"/>
              <w:rPr>
                <w:sz w:val="18"/>
                <w:szCs w:val="18"/>
                <w:lang w:val="lt-LT"/>
              </w:rPr>
            </w:pPr>
            <w:r w:rsidRPr="00830765">
              <w:rPr>
                <w:sz w:val="18"/>
                <w:szCs w:val="18"/>
                <w:lang w:val="lt-LT"/>
              </w:rPr>
              <w:t xml:space="preserve">Duszność, </w:t>
            </w:r>
          </w:p>
          <w:p w14:paraId="0F794770" w14:textId="77777777" w:rsidR="00560390" w:rsidRPr="00830765" w:rsidRDefault="00560390" w:rsidP="00377244">
            <w:pPr>
              <w:pStyle w:val="Default"/>
              <w:rPr>
                <w:sz w:val="18"/>
                <w:szCs w:val="18"/>
                <w:lang w:val="lt-LT"/>
              </w:rPr>
            </w:pPr>
            <w:r w:rsidRPr="00830765">
              <w:rPr>
                <w:sz w:val="18"/>
                <w:szCs w:val="18"/>
                <w:lang w:val="lt-LT"/>
              </w:rPr>
              <w:t>Nieżyt nosa</w:t>
            </w:r>
            <w:r w:rsidR="00B44CD4">
              <w:rPr>
                <w:sz w:val="18"/>
                <w:szCs w:val="18"/>
                <w:lang w:val="lt-LT"/>
              </w:rPr>
              <w:t>,</w:t>
            </w:r>
            <w:r w:rsidRPr="00830765">
              <w:rPr>
                <w:sz w:val="18"/>
                <w:szCs w:val="18"/>
                <w:lang w:val="lt-LT"/>
              </w:rPr>
              <w:t xml:space="preserve"> </w:t>
            </w:r>
          </w:p>
          <w:p w14:paraId="3AB641C5" w14:textId="77777777" w:rsidR="00560390" w:rsidRPr="00830765" w:rsidRDefault="00560390" w:rsidP="00377244">
            <w:pPr>
              <w:pStyle w:val="Default"/>
              <w:rPr>
                <w:sz w:val="18"/>
                <w:szCs w:val="18"/>
                <w:lang w:val="lt-LT"/>
              </w:rPr>
            </w:pPr>
            <w:r w:rsidRPr="00830765">
              <w:rPr>
                <w:sz w:val="18"/>
                <w:szCs w:val="18"/>
                <w:lang w:val="lt-LT"/>
              </w:rPr>
              <w:t>Krwawienie z nosa</w:t>
            </w:r>
            <w:r w:rsidR="00B44CD4">
              <w:rPr>
                <w:sz w:val="18"/>
                <w:szCs w:val="18"/>
                <w:lang w:val="lt-LT"/>
              </w:rPr>
              <w:t>,</w:t>
            </w:r>
            <w:r w:rsidRPr="00830765">
              <w:rPr>
                <w:sz w:val="18"/>
                <w:szCs w:val="18"/>
                <w:lang w:val="lt-LT"/>
              </w:rPr>
              <w:t xml:space="preserve"> </w:t>
            </w:r>
          </w:p>
          <w:p w14:paraId="7D05F13D" w14:textId="77777777" w:rsidR="00560390" w:rsidRPr="00830765" w:rsidRDefault="00560390" w:rsidP="00377244">
            <w:pPr>
              <w:pStyle w:val="Default"/>
              <w:rPr>
                <w:sz w:val="18"/>
                <w:szCs w:val="18"/>
                <w:lang w:val="lt-LT"/>
              </w:rPr>
            </w:pPr>
            <w:r w:rsidRPr="00830765">
              <w:rPr>
                <w:sz w:val="18"/>
                <w:szCs w:val="18"/>
                <w:lang w:val="lt-LT"/>
              </w:rPr>
              <w:t xml:space="preserve">Kaszel </w:t>
            </w:r>
          </w:p>
        </w:tc>
        <w:tc>
          <w:tcPr>
            <w:tcW w:w="812" w:type="pct"/>
          </w:tcPr>
          <w:p w14:paraId="6804A6B8" w14:textId="77777777" w:rsidR="00560390" w:rsidRPr="00830765" w:rsidRDefault="00560390" w:rsidP="00377244">
            <w:pPr>
              <w:pStyle w:val="Default"/>
              <w:rPr>
                <w:sz w:val="18"/>
                <w:szCs w:val="18"/>
                <w:lang w:val="lt-LT"/>
              </w:rPr>
            </w:pPr>
            <w:r w:rsidRPr="00830765">
              <w:rPr>
                <w:sz w:val="18"/>
                <w:szCs w:val="18"/>
                <w:lang w:val="lt-LT"/>
              </w:rPr>
              <w:t>Krwotok płucny/ Krwioplucie</w:t>
            </w:r>
            <w:r w:rsidRPr="00830765">
              <w:rPr>
                <w:sz w:val="18"/>
                <w:szCs w:val="18"/>
                <w:vertAlign w:val="superscript"/>
                <w:lang w:val="lt-LT"/>
              </w:rPr>
              <w:t>b,d</w:t>
            </w:r>
            <w:r w:rsidRPr="00830765">
              <w:rPr>
                <w:sz w:val="18"/>
                <w:szCs w:val="18"/>
                <w:lang w:val="lt-LT"/>
              </w:rPr>
              <w:t xml:space="preserve">, </w:t>
            </w:r>
          </w:p>
          <w:p w14:paraId="157CE0E6" w14:textId="77777777" w:rsidR="00560390" w:rsidRPr="00830765" w:rsidRDefault="00560390" w:rsidP="00377244">
            <w:pPr>
              <w:pStyle w:val="Default"/>
              <w:rPr>
                <w:sz w:val="18"/>
                <w:szCs w:val="18"/>
                <w:lang w:val="lt-LT"/>
              </w:rPr>
            </w:pPr>
            <w:r w:rsidRPr="00830765">
              <w:rPr>
                <w:sz w:val="18"/>
                <w:szCs w:val="18"/>
                <w:lang w:val="lt-LT"/>
              </w:rPr>
              <w:t xml:space="preserve">Zatorowość płucna, </w:t>
            </w:r>
          </w:p>
          <w:p w14:paraId="72CC9B49" w14:textId="77777777" w:rsidR="00560390" w:rsidRPr="00830765" w:rsidRDefault="00560390" w:rsidP="00377244">
            <w:pPr>
              <w:pStyle w:val="Default"/>
              <w:rPr>
                <w:sz w:val="18"/>
                <w:szCs w:val="18"/>
                <w:lang w:val="lt-LT"/>
              </w:rPr>
            </w:pPr>
            <w:r w:rsidRPr="00830765">
              <w:rPr>
                <w:sz w:val="18"/>
                <w:szCs w:val="18"/>
                <w:lang w:val="lt-LT"/>
              </w:rPr>
              <w:t xml:space="preserve">Niedotlenienie, </w:t>
            </w:r>
          </w:p>
          <w:p w14:paraId="2E6E4784" w14:textId="77777777" w:rsidR="00560390" w:rsidRPr="00830765" w:rsidRDefault="006E2FCA" w:rsidP="006E2FCA">
            <w:pPr>
              <w:pStyle w:val="Default"/>
              <w:rPr>
                <w:sz w:val="18"/>
                <w:szCs w:val="18"/>
                <w:lang w:val="lt-LT"/>
              </w:rPr>
            </w:pPr>
            <w:r>
              <w:rPr>
                <w:sz w:val="18"/>
                <w:szCs w:val="18"/>
                <w:lang w:val="lt-LT"/>
              </w:rPr>
              <w:t>Dysfonia</w:t>
            </w:r>
            <w:r w:rsidR="00560390" w:rsidRPr="00830765">
              <w:rPr>
                <w:sz w:val="18"/>
                <w:szCs w:val="18"/>
                <w:vertAlign w:val="superscript"/>
                <w:lang w:val="lt-LT"/>
              </w:rPr>
              <w:t>a</w:t>
            </w:r>
            <w:r w:rsidR="00560390" w:rsidRPr="00830765">
              <w:rPr>
                <w:sz w:val="18"/>
                <w:szCs w:val="18"/>
                <w:lang w:val="lt-LT"/>
              </w:rPr>
              <w:t xml:space="preserve"> </w:t>
            </w:r>
          </w:p>
        </w:tc>
        <w:tc>
          <w:tcPr>
            <w:tcW w:w="449" w:type="pct"/>
          </w:tcPr>
          <w:p w14:paraId="57BA6081" w14:textId="77777777" w:rsidR="00560390" w:rsidRPr="00830765" w:rsidRDefault="00560390" w:rsidP="00377244">
            <w:pPr>
              <w:rPr>
                <w:rFonts w:ascii="Times New Roman" w:hAnsi="Times New Roman" w:cs="Times New Roman"/>
                <w:sz w:val="18"/>
                <w:szCs w:val="18"/>
                <w:lang w:val="lt-LT"/>
              </w:rPr>
            </w:pPr>
          </w:p>
        </w:tc>
        <w:tc>
          <w:tcPr>
            <w:tcW w:w="760" w:type="pct"/>
          </w:tcPr>
          <w:p w14:paraId="24150EA1" w14:textId="77777777" w:rsidR="00560390" w:rsidRPr="00830765" w:rsidRDefault="00560390" w:rsidP="00377244">
            <w:pPr>
              <w:rPr>
                <w:rFonts w:ascii="Times New Roman" w:hAnsi="Times New Roman" w:cs="Times New Roman"/>
                <w:sz w:val="18"/>
                <w:szCs w:val="18"/>
                <w:lang w:val="lt-LT"/>
              </w:rPr>
            </w:pPr>
          </w:p>
        </w:tc>
        <w:tc>
          <w:tcPr>
            <w:tcW w:w="810" w:type="pct"/>
          </w:tcPr>
          <w:p w14:paraId="56DF0131" w14:textId="77777777" w:rsidR="00560390" w:rsidRPr="00830765" w:rsidRDefault="00560390" w:rsidP="00377244">
            <w:pPr>
              <w:rPr>
                <w:rFonts w:ascii="Times New Roman" w:hAnsi="Times New Roman" w:cs="Times New Roman"/>
                <w:sz w:val="18"/>
                <w:szCs w:val="18"/>
                <w:lang w:val="lt-LT"/>
              </w:rPr>
            </w:pPr>
          </w:p>
        </w:tc>
        <w:tc>
          <w:tcPr>
            <w:tcW w:w="652" w:type="pct"/>
          </w:tcPr>
          <w:p w14:paraId="443D9250" w14:textId="77777777" w:rsidR="0009249B" w:rsidRDefault="00560390" w:rsidP="005D0D0A">
            <w:pPr>
              <w:pStyle w:val="Default"/>
              <w:rPr>
                <w:sz w:val="18"/>
                <w:szCs w:val="18"/>
                <w:lang w:val="lt-LT"/>
              </w:rPr>
            </w:pPr>
            <w:r w:rsidRPr="00830765">
              <w:rPr>
                <w:sz w:val="18"/>
                <w:szCs w:val="18"/>
                <w:lang w:val="lt-LT"/>
              </w:rPr>
              <w:t>Nadciśnienie płucne</w:t>
            </w:r>
            <w:r w:rsidRPr="00830765">
              <w:rPr>
                <w:sz w:val="18"/>
                <w:szCs w:val="18"/>
                <w:vertAlign w:val="superscript"/>
                <w:lang w:val="lt-LT"/>
              </w:rPr>
              <w:t>a</w:t>
            </w:r>
            <w:r w:rsidR="0009249B">
              <w:rPr>
                <w:sz w:val="18"/>
                <w:szCs w:val="18"/>
                <w:lang w:val="lt-LT"/>
              </w:rPr>
              <w:t>,</w:t>
            </w:r>
          </w:p>
          <w:p w14:paraId="0922D4EB" w14:textId="77777777" w:rsidR="00560390" w:rsidRPr="00830765" w:rsidRDefault="00560390" w:rsidP="005D0D0A">
            <w:pPr>
              <w:pStyle w:val="Default"/>
              <w:rPr>
                <w:sz w:val="18"/>
                <w:szCs w:val="18"/>
                <w:lang w:val="lt-LT"/>
              </w:rPr>
            </w:pPr>
            <w:r w:rsidRPr="00830765">
              <w:rPr>
                <w:sz w:val="18"/>
                <w:szCs w:val="18"/>
                <w:lang w:val="lt-LT"/>
              </w:rPr>
              <w:t>Perforacja przegrody nosowej</w:t>
            </w:r>
            <w:r w:rsidRPr="00830765">
              <w:rPr>
                <w:sz w:val="18"/>
                <w:szCs w:val="18"/>
                <w:vertAlign w:val="superscript"/>
                <w:lang w:val="lt-LT"/>
              </w:rPr>
              <w:t>a</w:t>
            </w:r>
            <w:r w:rsidRPr="00830765">
              <w:rPr>
                <w:sz w:val="18"/>
                <w:szCs w:val="18"/>
                <w:lang w:val="lt-LT"/>
              </w:rPr>
              <w:t xml:space="preserve"> </w:t>
            </w:r>
          </w:p>
        </w:tc>
      </w:tr>
      <w:tr w:rsidR="004C7D78" w:rsidRPr="00741122" w14:paraId="79F5E8E9" w14:textId="77777777" w:rsidTr="00F533B1">
        <w:tc>
          <w:tcPr>
            <w:tcW w:w="681" w:type="pct"/>
          </w:tcPr>
          <w:p w14:paraId="25987EBE" w14:textId="77777777" w:rsidR="00560390" w:rsidRPr="00830765" w:rsidRDefault="00560390" w:rsidP="006046D7">
            <w:pPr>
              <w:pStyle w:val="Default"/>
              <w:keepNext/>
              <w:keepLines/>
              <w:rPr>
                <w:sz w:val="18"/>
                <w:szCs w:val="18"/>
                <w:lang w:val="lt-LT"/>
              </w:rPr>
            </w:pPr>
            <w:r w:rsidRPr="00830765">
              <w:rPr>
                <w:sz w:val="18"/>
                <w:szCs w:val="18"/>
                <w:lang w:val="lt-LT"/>
              </w:rPr>
              <w:lastRenderedPageBreak/>
              <w:t xml:space="preserve">Zaburzenia żołądka i jelit </w:t>
            </w:r>
          </w:p>
        </w:tc>
        <w:tc>
          <w:tcPr>
            <w:tcW w:w="836" w:type="pct"/>
          </w:tcPr>
          <w:p w14:paraId="6642F7AB" w14:textId="77777777" w:rsidR="00560390" w:rsidRPr="00830765" w:rsidRDefault="00560390" w:rsidP="006046D7">
            <w:pPr>
              <w:pStyle w:val="Default"/>
              <w:keepNext/>
              <w:keepLines/>
              <w:rPr>
                <w:sz w:val="18"/>
                <w:szCs w:val="18"/>
                <w:lang w:val="lt-LT"/>
              </w:rPr>
            </w:pPr>
            <w:r w:rsidRPr="00830765">
              <w:rPr>
                <w:sz w:val="18"/>
                <w:szCs w:val="18"/>
                <w:lang w:val="lt-LT"/>
              </w:rPr>
              <w:t xml:space="preserve">Krwotok z odbytnicy, Zapalenie błony śluzowej jamy ustnej, </w:t>
            </w:r>
          </w:p>
          <w:p w14:paraId="32244140" w14:textId="77777777" w:rsidR="00560390" w:rsidRPr="00830765" w:rsidRDefault="00560390" w:rsidP="006046D7">
            <w:pPr>
              <w:pStyle w:val="Default"/>
              <w:keepNext/>
              <w:keepLines/>
              <w:rPr>
                <w:sz w:val="18"/>
                <w:szCs w:val="18"/>
                <w:lang w:val="lt-LT"/>
              </w:rPr>
            </w:pPr>
            <w:r w:rsidRPr="00830765">
              <w:rPr>
                <w:sz w:val="18"/>
                <w:szCs w:val="18"/>
                <w:lang w:val="lt-LT"/>
              </w:rPr>
              <w:t xml:space="preserve">Zaparcia, </w:t>
            </w:r>
          </w:p>
          <w:p w14:paraId="33E7FDD5" w14:textId="77777777" w:rsidR="00560390" w:rsidRPr="00830765" w:rsidRDefault="00560390" w:rsidP="006046D7">
            <w:pPr>
              <w:pStyle w:val="Default"/>
              <w:keepNext/>
              <w:keepLines/>
              <w:rPr>
                <w:sz w:val="18"/>
                <w:szCs w:val="18"/>
                <w:lang w:val="lt-LT"/>
              </w:rPr>
            </w:pPr>
            <w:r w:rsidRPr="00830765">
              <w:rPr>
                <w:sz w:val="18"/>
                <w:szCs w:val="18"/>
                <w:lang w:val="lt-LT"/>
              </w:rPr>
              <w:t xml:space="preserve">Biegunka, </w:t>
            </w:r>
          </w:p>
          <w:p w14:paraId="66019617" w14:textId="77777777" w:rsidR="00560390" w:rsidRPr="00830765" w:rsidRDefault="00560390" w:rsidP="006046D7">
            <w:pPr>
              <w:pStyle w:val="Default"/>
              <w:keepNext/>
              <w:keepLines/>
              <w:rPr>
                <w:sz w:val="18"/>
                <w:szCs w:val="18"/>
                <w:lang w:val="lt-LT"/>
              </w:rPr>
            </w:pPr>
            <w:r w:rsidRPr="00830765">
              <w:rPr>
                <w:sz w:val="18"/>
                <w:szCs w:val="18"/>
                <w:lang w:val="lt-LT"/>
              </w:rPr>
              <w:t xml:space="preserve">Nudności, </w:t>
            </w:r>
          </w:p>
          <w:p w14:paraId="65E7D5A8" w14:textId="77777777" w:rsidR="007375CE" w:rsidRDefault="007375CE" w:rsidP="006046D7">
            <w:pPr>
              <w:pStyle w:val="Default"/>
              <w:keepNext/>
              <w:keepLines/>
              <w:rPr>
                <w:sz w:val="18"/>
                <w:szCs w:val="18"/>
                <w:lang w:val="lt-LT"/>
              </w:rPr>
            </w:pPr>
            <w:r>
              <w:rPr>
                <w:sz w:val="18"/>
                <w:szCs w:val="18"/>
                <w:lang w:val="lt-LT"/>
              </w:rPr>
              <w:t>Wymioty,</w:t>
            </w:r>
          </w:p>
          <w:p w14:paraId="09FC7E0D" w14:textId="77777777" w:rsidR="00560390" w:rsidRPr="00830765" w:rsidRDefault="00560390" w:rsidP="006046D7">
            <w:pPr>
              <w:pStyle w:val="Default"/>
              <w:keepNext/>
              <w:keepLines/>
              <w:rPr>
                <w:sz w:val="18"/>
                <w:szCs w:val="18"/>
                <w:lang w:val="lt-LT"/>
              </w:rPr>
            </w:pPr>
            <w:r w:rsidRPr="00830765">
              <w:rPr>
                <w:sz w:val="18"/>
                <w:szCs w:val="18"/>
                <w:lang w:val="lt-LT"/>
              </w:rPr>
              <w:t xml:space="preserve">Ból brzucha </w:t>
            </w:r>
          </w:p>
        </w:tc>
        <w:tc>
          <w:tcPr>
            <w:tcW w:w="812" w:type="pct"/>
          </w:tcPr>
          <w:p w14:paraId="367C8167" w14:textId="77777777" w:rsidR="00560390" w:rsidRPr="00830765" w:rsidRDefault="00560390" w:rsidP="006046D7">
            <w:pPr>
              <w:pStyle w:val="Default"/>
              <w:keepNext/>
              <w:keepLines/>
              <w:rPr>
                <w:sz w:val="18"/>
                <w:szCs w:val="18"/>
                <w:lang w:val="lt-LT"/>
              </w:rPr>
            </w:pPr>
            <w:r w:rsidRPr="00830765">
              <w:rPr>
                <w:sz w:val="18"/>
                <w:szCs w:val="18"/>
                <w:lang w:val="lt-LT"/>
              </w:rPr>
              <w:t>Perforacje żołądkowo-jelitowe</w:t>
            </w:r>
            <w:r w:rsidRPr="00830765">
              <w:rPr>
                <w:sz w:val="18"/>
                <w:szCs w:val="18"/>
                <w:vertAlign w:val="superscript"/>
                <w:lang w:val="lt-LT"/>
              </w:rPr>
              <w:t>b,d</w:t>
            </w:r>
            <w:r w:rsidRPr="00830765">
              <w:rPr>
                <w:sz w:val="18"/>
                <w:szCs w:val="18"/>
                <w:lang w:val="lt-LT"/>
              </w:rPr>
              <w:t xml:space="preserve">, </w:t>
            </w:r>
          </w:p>
          <w:p w14:paraId="617D2D99" w14:textId="77777777" w:rsidR="00560390" w:rsidRPr="00830765" w:rsidRDefault="00560390" w:rsidP="006046D7">
            <w:pPr>
              <w:pStyle w:val="Default"/>
              <w:keepNext/>
              <w:keepLines/>
              <w:rPr>
                <w:sz w:val="18"/>
                <w:szCs w:val="18"/>
                <w:lang w:val="lt-LT"/>
              </w:rPr>
            </w:pPr>
            <w:r w:rsidRPr="00830765">
              <w:rPr>
                <w:sz w:val="18"/>
                <w:szCs w:val="18"/>
                <w:lang w:val="lt-LT"/>
              </w:rPr>
              <w:t xml:space="preserve">Perforacja jelita, </w:t>
            </w:r>
          </w:p>
          <w:p w14:paraId="1A4B36FA" w14:textId="77777777" w:rsidR="00560390" w:rsidRPr="00830765" w:rsidRDefault="00560390" w:rsidP="006046D7">
            <w:pPr>
              <w:pStyle w:val="Default"/>
              <w:keepNext/>
              <w:keepLines/>
              <w:rPr>
                <w:sz w:val="18"/>
                <w:szCs w:val="18"/>
                <w:lang w:val="lt-LT"/>
              </w:rPr>
            </w:pPr>
            <w:r w:rsidRPr="00830765">
              <w:rPr>
                <w:sz w:val="18"/>
                <w:szCs w:val="18"/>
                <w:lang w:val="lt-LT"/>
              </w:rPr>
              <w:t xml:space="preserve">Niedrożność jelita, </w:t>
            </w:r>
          </w:p>
          <w:p w14:paraId="5288D9FA" w14:textId="77777777" w:rsidR="00560390" w:rsidRPr="00830765" w:rsidRDefault="00560390" w:rsidP="006046D7">
            <w:pPr>
              <w:pStyle w:val="Default"/>
              <w:keepNext/>
              <w:keepLines/>
              <w:rPr>
                <w:sz w:val="18"/>
                <w:szCs w:val="18"/>
                <w:lang w:val="lt-LT"/>
              </w:rPr>
            </w:pPr>
            <w:r w:rsidRPr="00830765">
              <w:rPr>
                <w:sz w:val="18"/>
                <w:szCs w:val="18"/>
                <w:lang w:val="lt-LT"/>
              </w:rPr>
              <w:t xml:space="preserve">Niedrożność jelit, </w:t>
            </w:r>
          </w:p>
          <w:p w14:paraId="671F3EC2" w14:textId="77777777" w:rsidR="00560390" w:rsidRPr="00830765" w:rsidRDefault="00560390" w:rsidP="006046D7">
            <w:pPr>
              <w:pStyle w:val="Default"/>
              <w:keepNext/>
              <w:keepLines/>
              <w:rPr>
                <w:sz w:val="18"/>
                <w:szCs w:val="18"/>
                <w:lang w:val="lt-LT"/>
              </w:rPr>
            </w:pPr>
            <w:r w:rsidRPr="00830765">
              <w:rPr>
                <w:sz w:val="18"/>
                <w:szCs w:val="18"/>
                <w:lang w:val="lt-LT"/>
              </w:rPr>
              <w:t>Przetoki odbytniczo-pochwowe</w:t>
            </w:r>
            <w:r w:rsidRPr="00830765">
              <w:rPr>
                <w:sz w:val="18"/>
                <w:szCs w:val="18"/>
                <w:vertAlign w:val="superscript"/>
                <w:lang w:val="lt-LT"/>
              </w:rPr>
              <w:t>d,e</w:t>
            </w:r>
            <w:r w:rsidRPr="00830765">
              <w:rPr>
                <w:sz w:val="18"/>
                <w:szCs w:val="18"/>
                <w:lang w:val="lt-LT"/>
              </w:rPr>
              <w:t xml:space="preserve">, </w:t>
            </w:r>
          </w:p>
          <w:p w14:paraId="34B78ABE" w14:textId="77777777" w:rsidR="00560390" w:rsidRPr="00830765" w:rsidRDefault="00560390" w:rsidP="006046D7">
            <w:pPr>
              <w:pStyle w:val="Default"/>
              <w:keepNext/>
              <w:keepLines/>
              <w:rPr>
                <w:sz w:val="18"/>
                <w:szCs w:val="18"/>
                <w:lang w:val="lt-LT"/>
              </w:rPr>
            </w:pPr>
            <w:r w:rsidRPr="00830765">
              <w:rPr>
                <w:sz w:val="18"/>
                <w:szCs w:val="18"/>
                <w:lang w:val="lt-LT"/>
              </w:rPr>
              <w:t xml:space="preserve">Zaburzenia żołądkowo-jelitowe, </w:t>
            </w:r>
          </w:p>
          <w:p w14:paraId="005274F1" w14:textId="77777777" w:rsidR="00560390" w:rsidRPr="00830765" w:rsidRDefault="00560390" w:rsidP="006046D7">
            <w:pPr>
              <w:pStyle w:val="Default"/>
              <w:keepNext/>
              <w:keepLines/>
              <w:rPr>
                <w:sz w:val="18"/>
                <w:szCs w:val="18"/>
                <w:lang w:val="lt-LT"/>
              </w:rPr>
            </w:pPr>
            <w:r w:rsidRPr="00830765">
              <w:rPr>
                <w:sz w:val="18"/>
                <w:szCs w:val="18"/>
                <w:lang w:val="lt-LT"/>
              </w:rPr>
              <w:t xml:space="preserve">Ból odbytu </w:t>
            </w:r>
          </w:p>
        </w:tc>
        <w:tc>
          <w:tcPr>
            <w:tcW w:w="449" w:type="pct"/>
          </w:tcPr>
          <w:p w14:paraId="765CF3D3" w14:textId="77777777" w:rsidR="00560390" w:rsidRPr="00830765" w:rsidRDefault="00560390" w:rsidP="006046D7">
            <w:pPr>
              <w:keepNext/>
              <w:keepLines/>
              <w:rPr>
                <w:rFonts w:ascii="Times New Roman" w:hAnsi="Times New Roman" w:cs="Times New Roman"/>
                <w:sz w:val="18"/>
                <w:szCs w:val="18"/>
                <w:lang w:val="lt-LT"/>
              </w:rPr>
            </w:pPr>
          </w:p>
        </w:tc>
        <w:tc>
          <w:tcPr>
            <w:tcW w:w="760" w:type="pct"/>
          </w:tcPr>
          <w:p w14:paraId="6702E149" w14:textId="77777777" w:rsidR="00560390" w:rsidRPr="00830765" w:rsidRDefault="00560390" w:rsidP="006046D7">
            <w:pPr>
              <w:keepNext/>
              <w:keepLines/>
              <w:rPr>
                <w:rFonts w:ascii="Times New Roman" w:hAnsi="Times New Roman" w:cs="Times New Roman"/>
                <w:sz w:val="18"/>
                <w:szCs w:val="18"/>
                <w:lang w:val="lt-LT"/>
              </w:rPr>
            </w:pPr>
          </w:p>
        </w:tc>
        <w:tc>
          <w:tcPr>
            <w:tcW w:w="810" w:type="pct"/>
          </w:tcPr>
          <w:p w14:paraId="74898A81" w14:textId="77777777" w:rsidR="00560390" w:rsidRPr="00830765" w:rsidRDefault="00560390" w:rsidP="006046D7">
            <w:pPr>
              <w:keepNext/>
              <w:keepLines/>
              <w:rPr>
                <w:rFonts w:ascii="Times New Roman" w:hAnsi="Times New Roman" w:cs="Times New Roman"/>
                <w:sz w:val="18"/>
                <w:szCs w:val="18"/>
                <w:lang w:val="lt-LT"/>
              </w:rPr>
            </w:pPr>
          </w:p>
        </w:tc>
        <w:tc>
          <w:tcPr>
            <w:tcW w:w="652" w:type="pct"/>
          </w:tcPr>
          <w:p w14:paraId="5B9360A9" w14:textId="77777777" w:rsidR="00560390" w:rsidRPr="00830765" w:rsidRDefault="00560390" w:rsidP="006046D7">
            <w:pPr>
              <w:pStyle w:val="Default"/>
              <w:keepNext/>
              <w:keepLines/>
              <w:rPr>
                <w:sz w:val="18"/>
                <w:szCs w:val="18"/>
                <w:lang w:val="lt-LT"/>
              </w:rPr>
            </w:pPr>
            <w:r w:rsidRPr="00830765">
              <w:rPr>
                <w:sz w:val="18"/>
                <w:szCs w:val="18"/>
                <w:lang w:val="lt-LT"/>
              </w:rPr>
              <w:t>Owrzodzenie żołądka i jelit</w:t>
            </w:r>
            <w:r w:rsidRPr="00830765">
              <w:rPr>
                <w:sz w:val="18"/>
                <w:szCs w:val="18"/>
                <w:vertAlign w:val="superscript"/>
                <w:lang w:val="lt-LT"/>
              </w:rPr>
              <w:t>a</w:t>
            </w:r>
            <w:r w:rsidRPr="00830765">
              <w:rPr>
                <w:sz w:val="18"/>
                <w:szCs w:val="18"/>
                <w:lang w:val="lt-LT"/>
              </w:rPr>
              <w:t xml:space="preserve"> </w:t>
            </w:r>
          </w:p>
          <w:p w14:paraId="3FF01F84" w14:textId="77777777" w:rsidR="00560390" w:rsidRPr="00830765" w:rsidRDefault="00560390" w:rsidP="006046D7">
            <w:pPr>
              <w:keepNext/>
              <w:keepLines/>
              <w:rPr>
                <w:rFonts w:ascii="Times New Roman" w:hAnsi="Times New Roman" w:cs="Times New Roman"/>
                <w:sz w:val="18"/>
                <w:szCs w:val="18"/>
                <w:lang w:val="lt-LT"/>
              </w:rPr>
            </w:pPr>
          </w:p>
        </w:tc>
      </w:tr>
      <w:tr w:rsidR="005D0D0A" w:rsidRPr="00741122" w14:paraId="74CA877F" w14:textId="77777777" w:rsidTr="00F533B1">
        <w:tc>
          <w:tcPr>
            <w:tcW w:w="681" w:type="pct"/>
          </w:tcPr>
          <w:p w14:paraId="69F52A4E" w14:textId="77777777" w:rsidR="00560390" w:rsidRPr="00830765" w:rsidRDefault="00560390" w:rsidP="002B1650">
            <w:pPr>
              <w:pStyle w:val="Default"/>
              <w:keepNext/>
              <w:rPr>
                <w:sz w:val="18"/>
                <w:szCs w:val="18"/>
                <w:lang w:val="lt-LT"/>
              </w:rPr>
            </w:pPr>
            <w:r w:rsidRPr="00830765">
              <w:rPr>
                <w:sz w:val="18"/>
                <w:szCs w:val="18"/>
                <w:lang w:val="lt-LT"/>
              </w:rPr>
              <w:t>Zaburz</w:t>
            </w:r>
            <w:r w:rsidR="007375CE">
              <w:rPr>
                <w:sz w:val="18"/>
                <w:szCs w:val="18"/>
                <w:lang w:val="lt-LT"/>
              </w:rPr>
              <w:t>enia wątroby i dróg żółciowych</w:t>
            </w:r>
          </w:p>
        </w:tc>
        <w:tc>
          <w:tcPr>
            <w:tcW w:w="836" w:type="pct"/>
          </w:tcPr>
          <w:p w14:paraId="7D64CF52" w14:textId="77777777" w:rsidR="00560390" w:rsidRPr="00830765" w:rsidRDefault="00560390" w:rsidP="00377244">
            <w:pPr>
              <w:pStyle w:val="Default"/>
              <w:rPr>
                <w:sz w:val="18"/>
                <w:szCs w:val="18"/>
                <w:lang w:val="lt-LT"/>
              </w:rPr>
            </w:pPr>
          </w:p>
        </w:tc>
        <w:tc>
          <w:tcPr>
            <w:tcW w:w="812" w:type="pct"/>
          </w:tcPr>
          <w:p w14:paraId="1F726697" w14:textId="77777777" w:rsidR="00560390" w:rsidRPr="00830765" w:rsidRDefault="00560390" w:rsidP="00377244">
            <w:pPr>
              <w:pStyle w:val="Default"/>
              <w:rPr>
                <w:sz w:val="18"/>
                <w:szCs w:val="18"/>
                <w:lang w:val="lt-LT"/>
              </w:rPr>
            </w:pPr>
          </w:p>
        </w:tc>
        <w:tc>
          <w:tcPr>
            <w:tcW w:w="449" w:type="pct"/>
          </w:tcPr>
          <w:p w14:paraId="02D6749E" w14:textId="77777777" w:rsidR="00560390" w:rsidRPr="00830765" w:rsidRDefault="00560390" w:rsidP="00377244">
            <w:pPr>
              <w:rPr>
                <w:rFonts w:ascii="Times New Roman" w:hAnsi="Times New Roman" w:cs="Times New Roman"/>
                <w:sz w:val="18"/>
                <w:szCs w:val="18"/>
                <w:lang w:val="lt-LT"/>
              </w:rPr>
            </w:pPr>
          </w:p>
        </w:tc>
        <w:tc>
          <w:tcPr>
            <w:tcW w:w="760" w:type="pct"/>
          </w:tcPr>
          <w:p w14:paraId="784488FE" w14:textId="77777777" w:rsidR="00560390" w:rsidRPr="00830765" w:rsidRDefault="00560390" w:rsidP="00377244">
            <w:pPr>
              <w:rPr>
                <w:rFonts w:ascii="Times New Roman" w:hAnsi="Times New Roman" w:cs="Times New Roman"/>
                <w:sz w:val="18"/>
                <w:szCs w:val="18"/>
                <w:lang w:val="lt-LT"/>
              </w:rPr>
            </w:pPr>
          </w:p>
        </w:tc>
        <w:tc>
          <w:tcPr>
            <w:tcW w:w="810" w:type="pct"/>
          </w:tcPr>
          <w:p w14:paraId="78486FEF" w14:textId="77777777" w:rsidR="00560390" w:rsidRPr="00830765" w:rsidRDefault="00560390" w:rsidP="00377244">
            <w:pPr>
              <w:rPr>
                <w:rFonts w:ascii="Times New Roman" w:hAnsi="Times New Roman" w:cs="Times New Roman"/>
                <w:sz w:val="18"/>
                <w:szCs w:val="18"/>
                <w:lang w:val="lt-LT"/>
              </w:rPr>
            </w:pPr>
          </w:p>
        </w:tc>
        <w:tc>
          <w:tcPr>
            <w:tcW w:w="652" w:type="pct"/>
          </w:tcPr>
          <w:p w14:paraId="0DFB17BE" w14:textId="77777777" w:rsidR="00560390" w:rsidRPr="00830765" w:rsidRDefault="00560390" w:rsidP="00377244">
            <w:pPr>
              <w:pStyle w:val="Default"/>
              <w:rPr>
                <w:sz w:val="18"/>
                <w:szCs w:val="18"/>
                <w:lang w:val="lt-LT"/>
              </w:rPr>
            </w:pPr>
            <w:r w:rsidRPr="00830765">
              <w:rPr>
                <w:sz w:val="18"/>
                <w:szCs w:val="18"/>
                <w:lang w:val="lt-LT"/>
              </w:rPr>
              <w:t>Perforacja pęcherzyka żółciowego</w:t>
            </w:r>
            <w:r w:rsidRPr="00830765">
              <w:rPr>
                <w:sz w:val="18"/>
                <w:szCs w:val="18"/>
                <w:vertAlign w:val="superscript"/>
                <w:lang w:val="lt-LT"/>
              </w:rPr>
              <w:t>a,b</w:t>
            </w:r>
          </w:p>
        </w:tc>
      </w:tr>
      <w:tr w:rsidR="004C7D78" w:rsidRPr="00741122" w14:paraId="31F0C816" w14:textId="77777777" w:rsidTr="00F533B1">
        <w:tc>
          <w:tcPr>
            <w:tcW w:w="681" w:type="pct"/>
          </w:tcPr>
          <w:p w14:paraId="18BD0B2D" w14:textId="77777777" w:rsidR="00560390" w:rsidRPr="00830765" w:rsidRDefault="00560390" w:rsidP="00377244">
            <w:pPr>
              <w:pStyle w:val="Default"/>
              <w:rPr>
                <w:sz w:val="18"/>
                <w:szCs w:val="18"/>
                <w:lang w:val="lt-LT"/>
              </w:rPr>
            </w:pPr>
            <w:r w:rsidRPr="00830765">
              <w:rPr>
                <w:sz w:val="18"/>
                <w:szCs w:val="18"/>
                <w:lang w:val="lt-LT"/>
              </w:rPr>
              <w:t xml:space="preserve">Zaburzenia skóry i tkanki podskórnej </w:t>
            </w:r>
          </w:p>
        </w:tc>
        <w:tc>
          <w:tcPr>
            <w:tcW w:w="836" w:type="pct"/>
          </w:tcPr>
          <w:p w14:paraId="27627087" w14:textId="77777777" w:rsidR="00560390" w:rsidRPr="00830765" w:rsidRDefault="00560390" w:rsidP="00377244">
            <w:pPr>
              <w:pStyle w:val="Default"/>
              <w:rPr>
                <w:sz w:val="18"/>
                <w:szCs w:val="18"/>
                <w:lang w:val="lt-LT"/>
              </w:rPr>
            </w:pPr>
            <w:r w:rsidRPr="00830765">
              <w:rPr>
                <w:sz w:val="18"/>
                <w:szCs w:val="18"/>
                <w:lang w:val="lt-LT"/>
              </w:rPr>
              <w:t>Komplikacje w gojeniu ran</w:t>
            </w:r>
            <w:r w:rsidRPr="00830765">
              <w:rPr>
                <w:sz w:val="18"/>
                <w:szCs w:val="18"/>
                <w:vertAlign w:val="superscript"/>
                <w:lang w:val="lt-LT"/>
              </w:rPr>
              <w:t>b,d</w:t>
            </w:r>
            <w:r w:rsidRPr="00830765">
              <w:rPr>
                <w:sz w:val="18"/>
                <w:szCs w:val="18"/>
                <w:lang w:val="lt-LT"/>
              </w:rPr>
              <w:t xml:space="preserve">, </w:t>
            </w:r>
          </w:p>
          <w:p w14:paraId="0683A0D8" w14:textId="77777777" w:rsidR="00560390" w:rsidRPr="00830765" w:rsidRDefault="00560390" w:rsidP="00377244">
            <w:pPr>
              <w:pStyle w:val="Default"/>
              <w:rPr>
                <w:sz w:val="18"/>
                <w:szCs w:val="18"/>
                <w:lang w:val="lt-LT"/>
              </w:rPr>
            </w:pPr>
            <w:r w:rsidRPr="00830765">
              <w:rPr>
                <w:sz w:val="18"/>
                <w:szCs w:val="18"/>
                <w:lang w:val="lt-LT"/>
              </w:rPr>
              <w:t xml:space="preserve">Zapalenie skóry złuszczające, </w:t>
            </w:r>
          </w:p>
          <w:p w14:paraId="02BE41FC" w14:textId="77777777" w:rsidR="00560390" w:rsidRPr="00830765" w:rsidRDefault="00560390" w:rsidP="00377244">
            <w:pPr>
              <w:pStyle w:val="Default"/>
              <w:rPr>
                <w:sz w:val="18"/>
                <w:szCs w:val="18"/>
                <w:lang w:val="lt-LT"/>
              </w:rPr>
            </w:pPr>
            <w:r w:rsidRPr="00830765">
              <w:rPr>
                <w:sz w:val="18"/>
                <w:szCs w:val="18"/>
                <w:lang w:val="lt-LT"/>
              </w:rPr>
              <w:t xml:space="preserve">Sucha skóra, </w:t>
            </w:r>
          </w:p>
          <w:p w14:paraId="57F606E9" w14:textId="77777777" w:rsidR="00560390" w:rsidRPr="00830765" w:rsidRDefault="00560390" w:rsidP="00377244">
            <w:pPr>
              <w:pStyle w:val="Default"/>
              <w:rPr>
                <w:sz w:val="18"/>
                <w:szCs w:val="18"/>
                <w:lang w:val="lt-LT"/>
              </w:rPr>
            </w:pPr>
            <w:r w:rsidRPr="00830765">
              <w:rPr>
                <w:sz w:val="18"/>
                <w:szCs w:val="18"/>
                <w:lang w:val="lt-LT"/>
              </w:rPr>
              <w:t xml:space="preserve">Przebarwienie skóry </w:t>
            </w:r>
          </w:p>
        </w:tc>
        <w:tc>
          <w:tcPr>
            <w:tcW w:w="812" w:type="pct"/>
          </w:tcPr>
          <w:p w14:paraId="1473F27D" w14:textId="77777777" w:rsidR="00560390" w:rsidRPr="00830765" w:rsidRDefault="00560390" w:rsidP="00377244">
            <w:pPr>
              <w:pStyle w:val="Default"/>
              <w:rPr>
                <w:sz w:val="18"/>
                <w:szCs w:val="18"/>
                <w:lang w:val="lt-LT"/>
              </w:rPr>
            </w:pPr>
            <w:r w:rsidRPr="00830765">
              <w:rPr>
                <w:sz w:val="18"/>
                <w:szCs w:val="18"/>
                <w:lang w:val="lt-LT"/>
              </w:rPr>
              <w:t xml:space="preserve">Zespół erytrodyzestezji dłoniowo-podeszwowej </w:t>
            </w:r>
          </w:p>
        </w:tc>
        <w:tc>
          <w:tcPr>
            <w:tcW w:w="449" w:type="pct"/>
          </w:tcPr>
          <w:p w14:paraId="3F2A67B9" w14:textId="77777777" w:rsidR="00560390" w:rsidRPr="00830765" w:rsidRDefault="00560390" w:rsidP="00377244">
            <w:pPr>
              <w:rPr>
                <w:rFonts w:ascii="Times New Roman" w:hAnsi="Times New Roman" w:cs="Times New Roman"/>
                <w:sz w:val="18"/>
                <w:szCs w:val="18"/>
                <w:lang w:val="lt-LT"/>
              </w:rPr>
            </w:pPr>
          </w:p>
        </w:tc>
        <w:tc>
          <w:tcPr>
            <w:tcW w:w="760" w:type="pct"/>
          </w:tcPr>
          <w:p w14:paraId="58D9F487" w14:textId="77777777" w:rsidR="00560390" w:rsidRPr="00830765" w:rsidRDefault="00560390" w:rsidP="00377244">
            <w:pPr>
              <w:rPr>
                <w:rFonts w:ascii="Times New Roman" w:hAnsi="Times New Roman" w:cs="Times New Roman"/>
                <w:sz w:val="18"/>
                <w:szCs w:val="18"/>
                <w:lang w:val="lt-LT"/>
              </w:rPr>
            </w:pPr>
          </w:p>
        </w:tc>
        <w:tc>
          <w:tcPr>
            <w:tcW w:w="810" w:type="pct"/>
          </w:tcPr>
          <w:p w14:paraId="3C86D475" w14:textId="77777777" w:rsidR="00560390" w:rsidRPr="00830765" w:rsidRDefault="00560390" w:rsidP="00377244">
            <w:pPr>
              <w:rPr>
                <w:rFonts w:ascii="Times New Roman" w:hAnsi="Times New Roman" w:cs="Times New Roman"/>
                <w:sz w:val="18"/>
                <w:szCs w:val="18"/>
                <w:lang w:val="lt-LT"/>
              </w:rPr>
            </w:pPr>
          </w:p>
        </w:tc>
        <w:tc>
          <w:tcPr>
            <w:tcW w:w="652" w:type="pct"/>
          </w:tcPr>
          <w:p w14:paraId="1B91582F" w14:textId="77777777" w:rsidR="00560390" w:rsidRPr="00830765" w:rsidRDefault="00560390" w:rsidP="00377244">
            <w:pPr>
              <w:rPr>
                <w:rFonts w:ascii="Times New Roman" w:hAnsi="Times New Roman" w:cs="Times New Roman"/>
                <w:sz w:val="18"/>
                <w:szCs w:val="18"/>
                <w:lang w:val="lt-LT"/>
              </w:rPr>
            </w:pPr>
          </w:p>
        </w:tc>
      </w:tr>
      <w:tr w:rsidR="004C7D78" w:rsidRPr="008C2A94" w14:paraId="720546A6" w14:textId="77777777" w:rsidTr="00F533B1">
        <w:tc>
          <w:tcPr>
            <w:tcW w:w="681" w:type="pct"/>
          </w:tcPr>
          <w:p w14:paraId="7D38B2A1" w14:textId="77777777" w:rsidR="00560390" w:rsidRPr="00830765" w:rsidRDefault="00560390" w:rsidP="00377244">
            <w:pPr>
              <w:pStyle w:val="Default"/>
              <w:rPr>
                <w:sz w:val="18"/>
                <w:szCs w:val="18"/>
                <w:lang w:val="lt-LT"/>
              </w:rPr>
            </w:pPr>
            <w:r w:rsidRPr="00830765">
              <w:rPr>
                <w:sz w:val="18"/>
                <w:szCs w:val="18"/>
                <w:lang w:val="lt-LT"/>
              </w:rPr>
              <w:t xml:space="preserve">Zaburzenia mięśniowo-szkieletowe i tkanki łącznej </w:t>
            </w:r>
          </w:p>
        </w:tc>
        <w:tc>
          <w:tcPr>
            <w:tcW w:w="836" w:type="pct"/>
          </w:tcPr>
          <w:p w14:paraId="0329C500" w14:textId="77777777" w:rsidR="00560390" w:rsidRPr="00830765" w:rsidRDefault="00560390" w:rsidP="00377244">
            <w:pPr>
              <w:pStyle w:val="Default"/>
              <w:rPr>
                <w:sz w:val="18"/>
                <w:szCs w:val="18"/>
                <w:lang w:val="lt-LT"/>
              </w:rPr>
            </w:pPr>
            <w:r w:rsidRPr="00830765">
              <w:rPr>
                <w:sz w:val="18"/>
                <w:szCs w:val="18"/>
                <w:lang w:val="lt-LT"/>
              </w:rPr>
              <w:t xml:space="preserve">Bóle stawów </w:t>
            </w:r>
          </w:p>
          <w:p w14:paraId="747743E0" w14:textId="77777777" w:rsidR="00560390" w:rsidRPr="00830765" w:rsidRDefault="00560390" w:rsidP="00377244">
            <w:pPr>
              <w:pStyle w:val="Default"/>
              <w:rPr>
                <w:sz w:val="18"/>
                <w:szCs w:val="18"/>
                <w:lang w:val="lt-LT"/>
              </w:rPr>
            </w:pPr>
            <w:r w:rsidRPr="00830765">
              <w:rPr>
                <w:sz w:val="18"/>
                <w:szCs w:val="18"/>
                <w:lang w:val="lt-LT"/>
              </w:rPr>
              <w:t xml:space="preserve">Ból mięśni </w:t>
            </w:r>
          </w:p>
        </w:tc>
        <w:tc>
          <w:tcPr>
            <w:tcW w:w="812" w:type="pct"/>
          </w:tcPr>
          <w:p w14:paraId="1E73CF08" w14:textId="77777777" w:rsidR="00560390" w:rsidRPr="00830765" w:rsidRDefault="00560390" w:rsidP="00377244">
            <w:pPr>
              <w:pStyle w:val="Default"/>
              <w:rPr>
                <w:sz w:val="18"/>
                <w:szCs w:val="18"/>
                <w:lang w:val="lt-LT"/>
              </w:rPr>
            </w:pPr>
            <w:r w:rsidRPr="00830765">
              <w:rPr>
                <w:sz w:val="18"/>
                <w:szCs w:val="18"/>
                <w:lang w:val="lt-LT"/>
              </w:rPr>
              <w:t>Przetoka</w:t>
            </w:r>
            <w:r w:rsidRPr="00830765">
              <w:rPr>
                <w:sz w:val="18"/>
                <w:szCs w:val="18"/>
                <w:vertAlign w:val="superscript"/>
                <w:lang w:val="lt-LT"/>
              </w:rPr>
              <w:t>b,d</w:t>
            </w:r>
            <w:r w:rsidRPr="00830765">
              <w:rPr>
                <w:sz w:val="18"/>
                <w:szCs w:val="18"/>
                <w:lang w:val="lt-LT"/>
              </w:rPr>
              <w:t xml:space="preserve">, </w:t>
            </w:r>
          </w:p>
          <w:p w14:paraId="5BDA2A9D" w14:textId="77777777" w:rsidR="00560390" w:rsidRPr="00830765" w:rsidRDefault="00560390" w:rsidP="00377244">
            <w:pPr>
              <w:pStyle w:val="Default"/>
              <w:rPr>
                <w:sz w:val="18"/>
                <w:szCs w:val="18"/>
                <w:lang w:val="lt-LT"/>
              </w:rPr>
            </w:pPr>
            <w:r w:rsidRPr="00830765">
              <w:rPr>
                <w:sz w:val="18"/>
                <w:szCs w:val="18"/>
                <w:lang w:val="lt-LT"/>
              </w:rPr>
              <w:t xml:space="preserve">Osłabienie mięśni, </w:t>
            </w:r>
          </w:p>
          <w:p w14:paraId="5BA1B887" w14:textId="77777777" w:rsidR="00560390" w:rsidRPr="00830765" w:rsidRDefault="00560390" w:rsidP="00377244">
            <w:pPr>
              <w:pStyle w:val="Default"/>
              <w:rPr>
                <w:sz w:val="18"/>
                <w:szCs w:val="18"/>
                <w:lang w:val="lt-LT"/>
              </w:rPr>
            </w:pPr>
            <w:r w:rsidRPr="00830765">
              <w:rPr>
                <w:sz w:val="18"/>
                <w:szCs w:val="18"/>
                <w:lang w:val="lt-LT"/>
              </w:rPr>
              <w:t xml:space="preserve">Ból pleców </w:t>
            </w:r>
          </w:p>
        </w:tc>
        <w:tc>
          <w:tcPr>
            <w:tcW w:w="449" w:type="pct"/>
          </w:tcPr>
          <w:p w14:paraId="6630F7AB" w14:textId="77777777" w:rsidR="00560390" w:rsidRPr="00830765" w:rsidRDefault="00560390" w:rsidP="00377244">
            <w:pPr>
              <w:rPr>
                <w:rFonts w:ascii="Times New Roman" w:hAnsi="Times New Roman" w:cs="Times New Roman"/>
                <w:sz w:val="18"/>
                <w:szCs w:val="18"/>
                <w:lang w:val="lt-LT"/>
              </w:rPr>
            </w:pPr>
          </w:p>
        </w:tc>
        <w:tc>
          <w:tcPr>
            <w:tcW w:w="760" w:type="pct"/>
          </w:tcPr>
          <w:p w14:paraId="7F9A5926" w14:textId="77777777" w:rsidR="00560390" w:rsidRPr="00830765" w:rsidRDefault="00560390" w:rsidP="00377244">
            <w:pPr>
              <w:rPr>
                <w:rFonts w:ascii="Times New Roman" w:hAnsi="Times New Roman" w:cs="Times New Roman"/>
                <w:sz w:val="18"/>
                <w:szCs w:val="18"/>
                <w:lang w:val="lt-LT"/>
              </w:rPr>
            </w:pPr>
          </w:p>
        </w:tc>
        <w:tc>
          <w:tcPr>
            <w:tcW w:w="810" w:type="pct"/>
          </w:tcPr>
          <w:p w14:paraId="5F5AF493" w14:textId="77777777" w:rsidR="00560390" w:rsidRPr="00830765" w:rsidRDefault="00560390" w:rsidP="00377244">
            <w:pPr>
              <w:rPr>
                <w:rFonts w:ascii="Times New Roman" w:hAnsi="Times New Roman" w:cs="Times New Roman"/>
                <w:sz w:val="18"/>
                <w:szCs w:val="18"/>
                <w:lang w:val="lt-LT"/>
              </w:rPr>
            </w:pPr>
          </w:p>
        </w:tc>
        <w:tc>
          <w:tcPr>
            <w:tcW w:w="652" w:type="pct"/>
          </w:tcPr>
          <w:p w14:paraId="3F65894A" w14:textId="77777777" w:rsidR="00560390" w:rsidRPr="00830765" w:rsidRDefault="00560390" w:rsidP="00377244">
            <w:pPr>
              <w:pStyle w:val="Default"/>
              <w:rPr>
                <w:sz w:val="18"/>
                <w:szCs w:val="18"/>
                <w:lang w:val="lt-LT"/>
              </w:rPr>
            </w:pPr>
            <w:r w:rsidRPr="00830765">
              <w:rPr>
                <w:sz w:val="18"/>
                <w:szCs w:val="18"/>
                <w:lang w:val="lt-LT"/>
              </w:rPr>
              <w:t>Martwica kości szczęki</w:t>
            </w:r>
            <w:r w:rsidRPr="00830765">
              <w:rPr>
                <w:sz w:val="18"/>
                <w:szCs w:val="18"/>
                <w:vertAlign w:val="superscript"/>
                <w:lang w:val="lt-LT"/>
              </w:rPr>
              <w:t>a,b</w:t>
            </w:r>
            <w:r w:rsidR="007375CE">
              <w:rPr>
                <w:sz w:val="18"/>
                <w:szCs w:val="18"/>
                <w:lang w:val="lt-LT"/>
              </w:rPr>
              <w:t>,</w:t>
            </w:r>
          </w:p>
          <w:p w14:paraId="3550A636" w14:textId="77777777" w:rsidR="00560390" w:rsidRPr="00830765" w:rsidRDefault="00560390" w:rsidP="00377244">
            <w:pPr>
              <w:rPr>
                <w:rFonts w:ascii="Times New Roman" w:hAnsi="Times New Roman" w:cs="Times New Roman"/>
                <w:sz w:val="18"/>
                <w:szCs w:val="18"/>
                <w:lang w:val="lt-LT"/>
              </w:rPr>
            </w:pPr>
            <w:r w:rsidRPr="00830765">
              <w:rPr>
                <w:rFonts w:ascii="Times New Roman" w:hAnsi="Times New Roman" w:cs="Times New Roman"/>
                <w:sz w:val="18"/>
                <w:szCs w:val="18"/>
                <w:lang w:val="lt-LT"/>
              </w:rPr>
              <w:t>Martwica kości innych niż szczęki lub żuchwy</w:t>
            </w:r>
            <w:r w:rsidRPr="00830765">
              <w:rPr>
                <w:rFonts w:ascii="Times New Roman" w:hAnsi="Times New Roman" w:cs="Times New Roman"/>
                <w:sz w:val="18"/>
                <w:szCs w:val="18"/>
                <w:vertAlign w:val="superscript"/>
                <w:lang w:val="lt-LT"/>
              </w:rPr>
              <w:t>a,f</w:t>
            </w:r>
            <w:r w:rsidRPr="00830765">
              <w:rPr>
                <w:rFonts w:ascii="Times New Roman" w:hAnsi="Times New Roman" w:cs="Times New Roman"/>
                <w:sz w:val="18"/>
                <w:szCs w:val="18"/>
                <w:lang w:val="lt-LT"/>
              </w:rPr>
              <w:t xml:space="preserve"> </w:t>
            </w:r>
          </w:p>
        </w:tc>
      </w:tr>
      <w:tr w:rsidR="005D0D0A" w:rsidRPr="00741122" w14:paraId="648F120E" w14:textId="77777777" w:rsidTr="00F533B1">
        <w:tc>
          <w:tcPr>
            <w:tcW w:w="681" w:type="pct"/>
          </w:tcPr>
          <w:p w14:paraId="4F7430C3" w14:textId="77777777" w:rsidR="00560390" w:rsidRPr="00830765" w:rsidRDefault="00560390" w:rsidP="00377244">
            <w:pPr>
              <w:pStyle w:val="Default"/>
              <w:rPr>
                <w:sz w:val="18"/>
                <w:szCs w:val="18"/>
                <w:lang w:val="lt-LT"/>
              </w:rPr>
            </w:pPr>
            <w:r w:rsidRPr="00830765">
              <w:rPr>
                <w:sz w:val="18"/>
                <w:szCs w:val="18"/>
                <w:lang w:val="lt-LT"/>
              </w:rPr>
              <w:t xml:space="preserve">Zaburzenia nerek i dróg moczowych </w:t>
            </w:r>
          </w:p>
        </w:tc>
        <w:tc>
          <w:tcPr>
            <w:tcW w:w="836" w:type="pct"/>
          </w:tcPr>
          <w:p w14:paraId="377F7664" w14:textId="77777777" w:rsidR="00560390" w:rsidRPr="00830765" w:rsidRDefault="00560390" w:rsidP="00377244">
            <w:pPr>
              <w:pStyle w:val="Default"/>
              <w:rPr>
                <w:sz w:val="18"/>
                <w:szCs w:val="18"/>
                <w:lang w:val="lt-LT"/>
              </w:rPr>
            </w:pPr>
            <w:r w:rsidRPr="00830765">
              <w:rPr>
                <w:sz w:val="18"/>
                <w:szCs w:val="18"/>
                <w:lang w:val="lt-LT"/>
              </w:rPr>
              <w:t>Białkomocz</w:t>
            </w:r>
            <w:r w:rsidRPr="00830765">
              <w:rPr>
                <w:sz w:val="18"/>
                <w:szCs w:val="18"/>
                <w:vertAlign w:val="superscript"/>
                <w:lang w:val="lt-LT"/>
              </w:rPr>
              <w:t>b,d</w:t>
            </w:r>
            <w:r w:rsidRPr="00830765">
              <w:rPr>
                <w:sz w:val="18"/>
                <w:szCs w:val="18"/>
                <w:lang w:val="lt-LT"/>
              </w:rPr>
              <w:t xml:space="preserve"> </w:t>
            </w:r>
          </w:p>
        </w:tc>
        <w:tc>
          <w:tcPr>
            <w:tcW w:w="812" w:type="pct"/>
          </w:tcPr>
          <w:p w14:paraId="2FEDB418" w14:textId="77777777" w:rsidR="00560390" w:rsidRPr="00830765" w:rsidRDefault="00560390" w:rsidP="00377244">
            <w:pPr>
              <w:pStyle w:val="Default"/>
              <w:rPr>
                <w:sz w:val="18"/>
                <w:szCs w:val="18"/>
                <w:lang w:val="lt-LT"/>
              </w:rPr>
            </w:pPr>
          </w:p>
        </w:tc>
        <w:tc>
          <w:tcPr>
            <w:tcW w:w="449" w:type="pct"/>
          </w:tcPr>
          <w:p w14:paraId="4D22C76C" w14:textId="77777777" w:rsidR="00560390" w:rsidRPr="00830765" w:rsidRDefault="00560390" w:rsidP="00377244">
            <w:pPr>
              <w:rPr>
                <w:rFonts w:ascii="Times New Roman" w:hAnsi="Times New Roman" w:cs="Times New Roman"/>
                <w:sz w:val="18"/>
                <w:szCs w:val="18"/>
                <w:lang w:val="lt-LT"/>
              </w:rPr>
            </w:pPr>
          </w:p>
        </w:tc>
        <w:tc>
          <w:tcPr>
            <w:tcW w:w="760" w:type="pct"/>
          </w:tcPr>
          <w:p w14:paraId="4A4957BF" w14:textId="77777777" w:rsidR="00560390" w:rsidRPr="00830765" w:rsidRDefault="00560390" w:rsidP="00377244">
            <w:pPr>
              <w:rPr>
                <w:rFonts w:ascii="Times New Roman" w:hAnsi="Times New Roman" w:cs="Times New Roman"/>
                <w:sz w:val="18"/>
                <w:szCs w:val="18"/>
                <w:lang w:val="lt-LT"/>
              </w:rPr>
            </w:pPr>
          </w:p>
        </w:tc>
        <w:tc>
          <w:tcPr>
            <w:tcW w:w="810" w:type="pct"/>
          </w:tcPr>
          <w:p w14:paraId="7AB8083C" w14:textId="77777777" w:rsidR="00560390" w:rsidRPr="00830765" w:rsidRDefault="00560390" w:rsidP="00377244">
            <w:pPr>
              <w:rPr>
                <w:rFonts w:ascii="Times New Roman" w:hAnsi="Times New Roman" w:cs="Times New Roman"/>
                <w:sz w:val="18"/>
                <w:szCs w:val="18"/>
                <w:lang w:val="lt-LT"/>
              </w:rPr>
            </w:pPr>
          </w:p>
        </w:tc>
        <w:tc>
          <w:tcPr>
            <w:tcW w:w="652" w:type="pct"/>
          </w:tcPr>
          <w:p w14:paraId="0120DB70" w14:textId="77777777" w:rsidR="00560390" w:rsidRPr="00830765" w:rsidRDefault="00560390" w:rsidP="00377244">
            <w:pPr>
              <w:rPr>
                <w:rFonts w:ascii="Times New Roman" w:hAnsi="Times New Roman" w:cs="Times New Roman"/>
                <w:sz w:val="18"/>
                <w:szCs w:val="18"/>
                <w:lang w:val="lt-LT"/>
              </w:rPr>
            </w:pPr>
          </w:p>
        </w:tc>
      </w:tr>
      <w:tr w:rsidR="005D0D0A" w:rsidRPr="00741122" w14:paraId="141610C4" w14:textId="77777777" w:rsidTr="00F533B1">
        <w:tc>
          <w:tcPr>
            <w:tcW w:w="681" w:type="pct"/>
          </w:tcPr>
          <w:p w14:paraId="5FB49008" w14:textId="77777777" w:rsidR="00560390" w:rsidRPr="00830765" w:rsidRDefault="00560390" w:rsidP="00377244">
            <w:pPr>
              <w:pStyle w:val="Default"/>
              <w:rPr>
                <w:sz w:val="18"/>
                <w:szCs w:val="18"/>
                <w:lang w:val="lt-LT"/>
              </w:rPr>
            </w:pPr>
            <w:r w:rsidRPr="00830765">
              <w:rPr>
                <w:sz w:val="18"/>
                <w:szCs w:val="18"/>
                <w:lang w:val="lt-LT"/>
              </w:rPr>
              <w:t xml:space="preserve">Zaburzenia układu rozrodczego i piersi </w:t>
            </w:r>
          </w:p>
        </w:tc>
        <w:tc>
          <w:tcPr>
            <w:tcW w:w="836" w:type="pct"/>
          </w:tcPr>
          <w:p w14:paraId="2D066C42" w14:textId="77777777" w:rsidR="00560390" w:rsidRPr="00830765" w:rsidRDefault="00560390" w:rsidP="00377244">
            <w:pPr>
              <w:pStyle w:val="Default"/>
              <w:rPr>
                <w:sz w:val="18"/>
                <w:szCs w:val="18"/>
                <w:lang w:val="lt-LT"/>
              </w:rPr>
            </w:pPr>
            <w:r w:rsidRPr="00830765">
              <w:rPr>
                <w:sz w:val="18"/>
                <w:szCs w:val="18"/>
                <w:lang w:val="lt-LT"/>
              </w:rPr>
              <w:t>Niewydolność jajników</w:t>
            </w:r>
            <w:r w:rsidRPr="00830765">
              <w:rPr>
                <w:sz w:val="18"/>
                <w:szCs w:val="18"/>
                <w:vertAlign w:val="superscript"/>
                <w:lang w:val="lt-LT"/>
              </w:rPr>
              <w:t>b,c,d</w:t>
            </w:r>
            <w:r w:rsidRPr="00830765">
              <w:rPr>
                <w:sz w:val="18"/>
                <w:szCs w:val="18"/>
                <w:lang w:val="lt-LT"/>
              </w:rPr>
              <w:t xml:space="preserve"> </w:t>
            </w:r>
          </w:p>
        </w:tc>
        <w:tc>
          <w:tcPr>
            <w:tcW w:w="812" w:type="pct"/>
          </w:tcPr>
          <w:p w14:paraId="6A73E249" w14:textId="77777777" w:rsidR="00560390" w:rsidRPr="00830765" w:rsidRDefault="00560390" w:rsidP="00377244">
            <w:pPr>
              <w:pStyle w:val="Default"/>
              <w:rPr>
                <w:sz w:val="18"/>
                <w:szCs w:val="18"/>
                <w:lang w:val="lt-LT"/>
              </w:rPr>
            </w:pPr>
            <w:r w:rsidRPr="00830765">
              <w:rPr>
                <w:sz w:val="18"/>
                <w:szCs w:val="18"/>
                <w:lang w:val="lt-LT"/>
              </w:rPr>
              <w:t xml:space="preserve">Ból miednicy </w:t>
            </w:r>
          </w:p>
        </w:tc>
        <w:tc>
          <w:tcPr>
            <w:tcW w:w="449" w:type="pct"/>
          </w:tcPr>
          <w:p w14:paraId="7ABD0134" w14:textId="77777777" w:rsidR="00560390" w:rsidRPr="00830765" w:rsidRDefault="00560390" w:rsidP="00377244">
            <w:pPr>
              <w:rPr>
                <w:rFonts w:ascii="Times New Roman" w:hAnsi="Times New Roman" w:cs="Times New Roman"/>
                <w:sz w:val="18"/>
                <w:szCs w:val="18"/>
                <w:lang w:val="lt-LT"/>
              </w:rPr>
            </w:pPr>
          </w:p>
        </w:tc>
        <w:tc>
          <w:tcPr>
            <w:tcW w:w="760" w:type="pct"/>
          </w:tcPr>
          <w:p w14:paraId="3FE41D4E" w14:textId="77777777" w:rsidR="00560390" w:rsidRPr="00830765" w:rsidRDefault="00560390" w:rsidP="00377244">
            <w:pPr>
              <w:rPr>
                <w:rFonts w:ascii="Times New Roman" w:hAnsi="Times New Roman" w:cs="Times New Roman"/>
                <w:sz w:val="18"/>
                <w:szCs w:val="18"/>
                <w:lang w:val="lt-LT"/>
              </w:rPr>
            </w:pPr>
          </w:p>
        </w:tc>
        <w:tc>
          <w:tcPr>
            <w:tcW w:w="810" w:type="pct"/>
          </w:tcPr>
          <w:p w14:paraId="2D450517" w14:textId="77777777" w:rsidR="00560390" w:rsidRPr="00830765" w:rsidRDefault="00560390" w:rsidP="00377244">
            <w:pPr>
              <w:rPr>
                <w:rFonts w:ascii="Times New Roman" w:hAnsi="Times New Roman" w:cs="Times New Roman"/>
                <w:sz w:val="18"/>
                <w:szCs w:val="18"/>
                <w:lang w:val="lt-LT"/>
              </w:rPr>
            </w:pPr>
          </w:p>
        </w:tc>
        <w:tc>
          <w:tcPr>
            <w:tcW w:w="652" w:type="pct"/>
          </w:tcPr>
          <w:p w14:paraId="4BE10F55" w14:textId="77777777" w:rsidR="00560390" w:rsidRPr="00830765" w:rsidRDefault="00560390" w:rsidP="00377244">
            <w:pPr>
              <w:rPr>
                <w:rFonts w:ascii="Times New Roman" w:hAnsi="Times New Roman" w:cs="Times New Roman"/>
                <w:sz w:val="18"/>
                <w:szCs w:val="18"/>
                <w:lang w:val="lt-LT"/>
              </w:rPr>
            </w:pPr>
          </w:p>
        </w:tc>
      </w:tr>
      <w:tr w:rsidR="005D0D0A" w:rsidRPr="00741122" w14:paraId="432E8224" w14:textId="77777777" w:rsidTr="00F533B1">
        <w:tc>
          <w:tcPr>
            <w:tcW w:w="681" w:type="pct"/>
          </w:tcPr>
          <w:p w14:paraId="2D8DDD5C" w14:textId="77777777" w:rsidR="00560390" w:rsidRPr="00830765" w:rsidRDefault="00560390" w:rsidP="00377244">
            <w:pPr>
              <w:pStyle w:val="Default"/>
              <w:rPr>
                <w:sz w:val="18"/>
                <w:szCs w:val="18"/>
                <w:lang w:val="lt-LT"/>
              </w:rPr>
            </w:pPr>
            <w:r w:rsidRPr="00830765">
              <w:rPr>
                <w:sz w:val="18"/>
                <w:szCs w:val="18"/>
                <w:lang w:val="lt-LT"/>
              </w:rPr>
              <w:t>Wady wrodzone,</w:t>
            </w:r>
            <w:r w:rsidR="001F6BA3">
              <w:rPr>
                <w:sz w:val="18"/>
                <w:szCs w:val="18"/>
                <w:lang w:val="lt-LT"/>
              </w:rPr>
              <w:t xml:space="preserve"> choroby rodzinne i genetyczne</w:t>
            </w:r>
          </w:p>
        </w:tc>
        <w:tc>
          <w:tcPr>
            <w:tcW w:w="836" w:type="pct"/>
          </w:tcPr>
          <w:p w14:paraId="3671E811" w14:textId="77777777" w:rsidR="00560390" w:rsidRPr="00830765" w:rsidRDefault="00560390" w:rsidP="00377244">
            <w:pPr>
              <w:pStyle w:val="Default"/>
              <w:rPr>
                <w:sz w:val="18"/>
                <w:szCs w:val="18"/>
                <w:lang w:val="lt-LT"/>
              </w:rPr>
            </w:pPr>
          </w:p>
        </w:tc>
        <w:tc>
          <w:tcPr>
            <w:tcW w:w="812" w:type="pct"/>
          </w:tcPr>
          <w:p w14:paraId="4AE09F41" w14:textId="77777777" w:rsidR="00560390" w:rsidRPr="00830765" w:rsidRDefault="00560390" w:rsidP="00377244">
            <w:pPr>
              <w:pStyle w:val="Default"/>
              <w:rPr>
                <w:sz w:val="18"/>
                <w:szCs w:val="18"/>
                <w:lang w:val="lt-LT"/>
              </w:rPr>
            </w:pPr>
          </w:p>
        </w:tc>
        <w:tc>
          <w:tcPr>
            <w:tcW w:w="449" w:type="pct"/>
          </w:tcPr>
          <w:p w14:paraId="264A5A9B" w14:textId="77777777" w:rsidR="00560390" w:rsidRPr="00830765" w:rsidRDefault="00560390" w:rsidP="00377244">
            <w:pPr>
              <w:rPr>
                <w:rFonts w:ascii="Times New Roman" w:hAnsi="Times New Roman" w:cs="Times New Roman"/>
                <w:sz w:val="18"/>
                <w:szCs w:val="18"/>
                <w:lang w:val="lt-LT"/>
              </w:rPr>
            </w:pPr>
          </w:p>
        </w:tc>
        <w:tc>
          <w:tcPr>
            <w:tcW w:w="760" w:type="pct"/>
          </w:tcPr>
          <w:p w14:paraId="0D82A58F" w14:textId="77777777" w:rsidR="00560390" w:rsidRPr="00830765" w:rsidRDefault="00560390" w:rsidP="00377244">
            <w:pPr>
              <w:rPr>
                <w:rFonts w:ascii="Times New Roman" w:hAnsi="Times New Roman" w:cs="Times New Roman"/>
                <w:sz w:val="18"/>
                <w:szCs w:val="18"/>
                <w:lang w:val="lt-LT"/>
              </w:rPr>
            </w:pPr>
          </w:p>
        </w:tc>
        <w:tc>
          <w:tcPr>
            <w:tcW w:w="810" w:type="pct"/>
          </w:tcPr>
          <w:p w14:paraId="681609BB" w14:textId="77777777" w:rsidR="00560390" w:rsidRPr="00830765" w:rsidRDefault="00560390" w:rsidP="00377244">
            <w:pPr>
              <w:rPr>
                <w:rFonts w:ascii="Times New Roman" w:hAnsi="Times New Roman" w:cs="Times New Roman"/>
                <w:sz w:val="18"/>
                <w:szCs w:val="18"/>
                <w:lang w:val="lt-LT"/>
              </w:rPr>
            </w:pPr>
          </w:p>
        </w:tc>
        <w:tc>
          <w:tcPr>
            <w:tcW w:w="652" w:type="pct"/>
          </w:tcPr>
          <w:p w14:paraId="30804046" w14:textId="77777777" w:rsidR="00560390" w:rsidRPr="00830765" w:rsidRDefault="00560390" w:rsidP="001F6BA3">
            <w:pPr>
              <w:pStyle w:val="Default"/>
              <w:rPr>
                <w:sz w:val="18"/>
                <w:szCs w:val="18"/>
                <w:lang w:val="lt-LT"/>
              </w:rPr>
            </w:pPr>
            <w:r w:rsidRPr="00830765">
              <w:rPr>
                <w:sz w:val="18"/>
                <w:szCs w:val="18"/>
                <w:lang w:val="lt-LT"/>
              </w:rPr>
              <w:t>Wady rozwojowe płodu</w:t>
            </w:r>
            <w:r w:rsidRPr="00830765">
              <w:rPr>
                <w:sz w:val="18"/>
                <w:szCs w:val="18"/>
                <w:vertAlign w:val="superscript"/>
                <w:lang w:val="lt-LT"/>
              </w:rPr>
              <w:t>a,b</w:t>
            </w:r>
          </w:p>
        </w:tc>
      </w:tr>
      <w:tr w:rsidR="005D0D0A" w:rsidRPr="00741122" w14:paraId="760D586F" w14:textId="77777777" w:rsidTr="00F533B1">
        <w:tc>
          <w:tcPr>
            <w:tcW w:w="681" w:type="pct"/>
          </w:tcPr>
          <w:p w14:paraId="6A436835" w14:textId="77777777" w:rsidR="00560390" w:rsidRPr="00830765" w:rsidRDefault="00560390" w:rsidP="00377244">
            <w:pPr>
              <w:pStyle w:val="Default"/>
              <w:rPr>
                <w:sz w:val="18"/>
                <w:szCs w:val="18"/>
                <w:lang w:val="lt-LT"/>
              </w:rPr>
            </w:pPr>
            <w:r w:rsidRPr="00830765">
              <w:rPr>
                <w:sz w:val="18"/>
                <w:szCs w:val="18"/>
                <w:lang w:val="lt-LT"/>
              </w:rPr>
              <w:t xml:space="preserve">Zaburzenia ogólne i stany w miejscu podania </w:t>
            </w:r>
          </w:p>
        </w:tc>
        <w:tc>
          <w:tcPr>
            <w:tcW w:w="836" w:type="pct"/>
          </w:tcPr>
          <w:p w14:paraId="37019DE2" w14:textId="77777777" w:rsidR="00560390" w:rsidRPr="00830765" w:rsidRDefault="00560390" w:rsidP="00377244">
            <w:pPr>
              <w:pStyle w:val="Default"/>
              <w:rPr>
                <w:sz w:val="18"/>
                <w:szCs w:val="18"/>
                <w:lang w:val="lt-LT"/>
              </w:rPr>
            </w:pPr>
            <w:r w:rsidRPr="00830765">
              <w:rPr>
                <w:sz w:val="18"/>
                <w:szCs w:val="18"/>
                <w:lang w:val="lt-LT"/>
              </w:rPr>
              <w:t xml:space="preserve">Osłabienie, </w:t>
            </w:r>
          </w:p>
          <w:p w14:paraId="5412BEC4" w14:textId="77777777" w:rsidR="00560390" w:rsidRPr="00830765" w:rsidRDefault="00560390" w:rsidP="00377244">
            <w:pPr>
              <w:pStyle w:val="Default"/>
              <w:rPr>
                <w:sz w:val="18"/>
                <w:szCs w:val="18"/>
                <w:lang w:val="lt-LT"/>
              </w:rPr>
            </w:pPr>
            <w:r w:rsidRPr="00830765">
              <w:rPr>
                <w:sz w:val="18"/>
                <w:szCs w:val="18"/>
                <w:lang w:val="lt-LT"/>
              </w:rPr>
              <w:t xml:space="preserve">Zmęczenie </w:t>
            </w:r>
          </w:p>
          <w:p w14:paraId="6E2D52F8" w14:textId="77777777" w:rsidR="00560390" w:rsidRPr="00830765" w:rsidRDefault="00560390" w:rsidP="00377244">
            <w:pPr>
              <w:pStyle w:val="Default"/>
              <w:rPr>
                <w:sz w:val="18"/>
                <w:szCs w:val="18"/>
                <w:lang w:val="lt-LT"/>
              </w:rPr>
            </w:pPr>
            <w:r w:rsidRPr="00830765">
              <w:rPr>
                <w:sz w:val="18"/>
                <w:szCs w:val="18"/>
                <w:lang w:val="lt-LT"/>
              </w:rPr>
              <w:t xml:space="preserve">Gorączka, </w:t>
            </w:r>
          </w:p>
          <w:p w14:paraId="5BD4F844" w14:textId="77777777" w:rsidR="00560390" w:rsidRPr="00830765" w:rsidRDefault="00560390" w:rsidP="00377244">
            <w:pPr>
              <w:pStyle w:val="Default"/>
              <w:rPr>
                <w:sz w:val="18"/>
                <w:szCs w:val="18"/>
                <w:lang w:val="lt-LT"/>
              </w:rPr>
            </w:pPr>
            <w:r w:rsidRPr="00830765">
              <w:rPr>
                <w:sz w:val="18"/>
                <w:szCs w:val="18"/>
                <w:lang w:val="lt-LT"/>
              </w:rPr>
              <w:t xml:space="preserve">Ból, </w:t>
            </w:r>
          </w:p>
          <w:p w14:paraId="1445326E" w14:textId="77777777" w:rsidR="00560390" w:rsidRPr="00830765" w:rsidRDefault="00560390" w:rsidP="00377244">
            <w:pPr>
              <w:pStyle w:val="Default"/>
              <w:rPr>
                <w:sz w:val="18"/>
                <w:szCs w:val="18"/>
                <w:lang w:val="lt-LT"/>
              </w:rPr>
            </w:pPr>
            <w:r w:rsidRPr="00830765">
              <w:rPr>
                <w:sz w:val="18"/>
                <w:szCs w:val="18"/>
                <w:lang w:val="lt-LT"/>
              </w:rPr>
              <w:t xml:space="preserve">Zapalenie błon śluzowych </w:t>
            </w:r>
          </w:p>
        </w:tc>
        <w:tc>
          <w:tcPr>
            <w:tcW w:w="812" w:type="pct"/>
          </w:tcPr>
          <w:p w14:paraId="3DAC64C0" w14:textId="77777777" w:rsidR="00560390" w:rsidRPr="00830765" w:rsidRDefault="00560390" w:rsidP="00377244">
            <w:pPr>
              <w:pStyle w:val="Default"/>
              <w:rPr>
                <w:sz w:val="18"/>
                <w:szCs w:val="18"/>
                <w:lang w:val="lt-LT"/>
              </w:rPr>
            </w:pPr>
            <w:r w:rsidRPr="00830765">
              <w:rPr>
                <w:sz w:val="18"/>
                <w:szCs w:val="18"/>
                <w:lang w:val="lt-LT"/>
              </w:rPr>
              <w:t xml:space="preserve">Ospałość </w:t>
            </w:r>
          </w:p>
        </w:tc>
        <w:tc>
          <w:tcPr>
            <w:tcW w:w="449" w:type="pct"/>
          </w:tcPr>
          <w:p w14:paraId="19A1FBD5" w14:textId="77777777" w:rsidR="00560390" w:rsidRPr="00830765" w:rsidRDefault="00560390" w:rsidP="00377244">
            <w:pPr>
              <w:rPr>
                <w:rFonts w:ascii="Times New Roman" w:hAnsi="Times New Roman" w:cs="Times New Roman"/>
                <w:sz w:val="18"/>
                <w:szCs w:val="18"/>
                <w:lang w:val="lt-LT"/>
              </w:rPr>
            </w:pPr>
          </w:p>
        </w:tc>
        <w:tc>
          <w:tcPr>
            <w:tcW w:w="760" w:type="pct"/>
          </w:tcPr>
          <w:p w14:paraId="7646EB4C" w14:textId="77777777" w:rsidR="00560390" w:rsidRPr="00830765" w:rsidRDefault="00560390" w:rsidP="00377244">
            <w:pPr>
              <w:rPr>
                <w:rFonts w:ascii="Times New Roman" w:hAnsi="Times New Roman" w:cs="Times New Roman"/>
                <w:sz w:val="18"/>
                <w:szCs w:val="18"/>
                <w:lang w:val="lt-LT"/>
              </w:rPr>
            </w:pPr>
          </w:p>
        </w:tc>
        <w:tc>
          <w:tcPr>
            <w:tcW w:w="810" w:type="pct"/>
          </w:tcPr>
          <w:p w14:paraId="19BDC968" w14:textId="77777777" w:rsidR="00560390" w:rsidRPr="00830765" w:rsidRDefault="00560390" w:rsidP="00377244">
            <w:pPr>
              <w:rPr>
                <w:rFonts w:ascii="Times New Roman" w:hAnsi="Times New Roman" w:cs="Times New Roman"/>
                <w:sz w:val="18"/>
                <w:szCs w:val="18"/>
                <w:lang w:val="lt-LT"/>
              </w:rPr>
            </w:pPr>
          </w:p>
        </w:tc>
        <w:tc>
          <w:tcPr>
            <w:tcW w:w="652" w:type="pct"/>
          </w:tcPr>
          <w:p w14:paraId="20E46BEE" w14:textId="77777777" w:rsidR="00560390" w:rsidRPr="00830765" w:rsidRDefault="00560390" w:rsidP="00377244">
            <w:pPr>
              <w:rPr>
                <w:rFonts w:ascii="Times New Roman" w:hAnsi="Times New Roman" w:cs="Times New Roman"/>
                <w:sz w:val="18"/>
                <w:szCs w:val="18"/>
                <w:lang w:val="lt-LT"/>
              </w:rPr>
            </w:pPr>
          </w:p>
        </w:tc>
      </w:tr>
      <w:tr w:rsidR="005D0D0A" w:rsidRPr="00741122" w14:paraId="47E6C9F8" w14:textId="77777777" w:rsidTr="00F533B1">
        <w:tc>
          <w:tcPr>
            <w:tcW w:w="681" w:type="pct"/>
          </w:tcPr>
          <w:p w14:paraId="79068565" w14:textId="77777777" w:rsidR="00560390" w:rsidRPr="00830765" w:rsidRDefault="00560390" w:rsidP="00377244">
            <w:pPr>
              <w:pStyle w:val="Default"/>
              <w:rPr>
                <w:sz w:val="18"/>
                <w:szCs w:val="18"/>
                <w:lang w:val="lt-LT"/>
              </w:rPr>
            </w:pPr>
            <w:r w:rsidRPr="00830765">
              <w:rPr>
                <w:sz w:val="18"/>
                <w:szCs w:val="18"/>
                <w:lang w:val="lt-LT"/>
              </w:rPr>
              <w:t xml:space="preserve">Badania diagnostyczne </w:t>
            </w:r>
          </w:p>
        </w:tc>
        <w:tc>
          <w:tcPr>
            <w:tcW w:w="836" w:type="pct"/>
          </w:tcPr>
          <w:p w14:paraId="0A386343" w14:textId="77777777" w:rsidR="00560390" w:rsidRPr="00830765" w:rsidRDefault="00560390" w:rsidP="00377244">
            <w:pPr>
              <w:pStyle w:val="Default"/>
              <w:rPr>
                <w:sz w:val="18"/>
                <w:szCs w:val="18"/>
                <w:lang w:val="lt-LT"/>
              </w:rPr>
            </w:pPr>
            <w:r w:rsidRPr="00830765">
              <w:rPr>
                <w:sz w:val="18"/>
                <w:szCs w:val="18"/>
                <w:lang w:val="lt-LT"/>
              </w:rPr>
              <w:t xml:space="preserve">Zmniejszenie masy ciała </w:t>
            </w:r>
          </w:p>
        </w:tc>
        <w:tc>
          <w:tcPr>
            <w:tcW w:w="812" w:type="pct"/>
          </w:tcPr>
          <w:p w14:paraId="3044C6A6" w14:textId="77777777" w:rsidR="00560390" w:rsidRPr="00830765" w:rsidRDefault="00560390" w:rsidP="00377244">
            <w:pPr>
              <w:pStyle w:val="Default"/>
              <w:rPr>
                <w:sz w:val="18"/>
                <w:szCs w:val="18"/>
                <w:lang w:val="lt-LT"/>
              </w:rPr>
            </w:pPr>
          </w:p>
        </w:tc>
        <w:tc>
          <w:tcPr>
            <w:tcW w:w="449" w:type="pct"/>
          </w:tcPr>
          <w:p w14:paraId="5985A8D1" w14:textId="77777777" w:rsidR="00560390" w:rsidRPr="00830765" w:rsidRDefault="00560390" w:rsidP="00377244">
            <w:pPr>
              <w:rPr>
                <w:rFonts w:ascii="Times New Roman" w:hAnsi="Times New Roman" w:cs="Times New Roman"/>
                <w:sz w:val="18"/>
                <w:szCs w:val="18"/>
                <w:lang w:val="lt-LT"/>
              </w:rPr>
            </w:pPr>
          </w:p>
        </w:tc>
        <w:tc>
          <w:tcPr>
            <w:tcW w:w="760" w:type="pct"/>
          </w:tcPr>
          <w:p w14:paraId="77AA43F2" w14:textId="77777777" w:rsidR="00560390" w:rsidRPr="00830765" w:rsidRDefault="00560390" w:rsidP="00377244">
            <w:pPr>
              <w:rPr>
                <w:rFonts w:ascii="Times New Roman" w:hAnsi="Times New Roman" w:cs="Times New Roman"/>
                <w:sz w:val="18"/>
                <w:szCs w:val="18"/>
                <w:lang w:val="lt-LT"/>
              </w:rPr>
            </w:pPr>
          </w:p>
        </w:tc>
        <w:tc>
          <w:tcPr>
            <w:tcW w:w="810" w:type="pct"/>
          </w:tcPr>
          <w:p w14:paraId="59FD9BF0" w14:textId="77777777" w:rsidR="00560390" w:rsidRPr="00830765" w:rsidRDefault="00560390" w:rsidP="00377244">
            <w:pPr>
              <w:rPr>
                <w:rFonts w:ascii="Times New Roman" w:hAnsi="Times New Roman" w:cs="Times New Roman"/>
                <w:sz w:val="18"/>
                <w:szCs w:val="18"/>
                <w:lang w:val="lt-LT"/>
              </w:rPr>
            </w:pPr>
          </w:p>
        </w:tc>
        <w:tc>
          <w:tcPr>
            <w:tcW w:w="652" w:type="pct"/>
          </w:tcPr>
          <w:p w14:paraId="71543E4B" w14:textId="77777777" w:rsidR="00560390" w:rsidRPr="00830765" w:rsidRDefault="00560390" w:rsidP="00377244">
            <w:pPr>
              <w:rPr>
                <w:rFonts w:ascii="Times New Roman" w:hAnsi="Times New Roman" w:cs="Times New Roman"/>
                <w:sz w:val="18"/>
                <w:szCs w:val="18"/>
                <w:lang w:val="lt-LT"/>
              </w:rPr>
            </w:pPr>
          </w:p>
        </w:tc>
      </w:tr>
    </w:tbl>
    <w:p w14:paraId="7BDEF958" w14:textId="77777777" w:rsidR="00071CFE" w:rsidRPr="00741122" w:rsidRDefault="00071CFE" w:rsidP="001B794B">
      <w:pPr>
        <w:rPr>
          <w:rFonts w:ascii="Times New Roman" w:eastAsia="Times New Roman" w:hAnsi="Times New Roman" w:cs="Times New Roman"/>
          <w:szCs w:val="18"/>
          <w:lang w:val="lt-LT"/>
        </w:rPr>
      </w:pPr>
    </w:p>
    <w:p w14:paraId="3410A566" w14:textId="77777777" w:rsidR="00071CFE" w:rsidRPr="00741122" w:rsidRDefault="00071CFE" w:rsidP="001B794B">
      <w:pPr>
        <w:rPr>
          <w:rFonts w:ascii="Times New Roman" w:eastAsia="Times New Roman" w:hAnsi="Times New Roman" w:cs="Times New Roman"/>
          <w:szCs w:val="18"/>
          <w:lang w:val="lt-LT"/>
        </w:rPr>
      </w:pPr>
      <w:r w:rsidRPr="00741122">
        <w:rPr>
          <w:rFonts w:ascii="Times New Roman" w:eastAsia="Times New Roman" w:hAnsi="Times New Roman" w:cs="Times New Roman"/>
          <w:szCs w:val="18"/>
          <w:lang w:val="lt-LT"/>
        </w:rPr>
        <w:t>Jeżeli działania niepożądane były obserwowane w badaniach klinicznych we wszystkich stopniach nasilenia oraz w stopniu nasilenia 3-5, przedstawiono działania niepożądane o największej częstości występowania u pacjentów. Dane nie są skorygowane o różnicę w czasie trwania leczenia.</w:t>
      </w:r>
    </w:p>
    <w:p w14:paraId="7DA5FA6A" w14:textId="77777777" w:rsidR="00071CFE" w:rsidRPr="00741122" w:rsidRDefault="00071CFE" w:rsidP="001B794B">
      <w:pPr>
        <w:rPr>
          <w:rFonts w:ascii="Times New Roman" w:eastAsia="Times New Roman" w:hAnsi="Times New Roman" w:cs="Times New Roman"/>
          <w:szCs w:val="18"/>
          <w:lang w:val="lt-LT"/>
        </w:rPr>
      </w:pPr>
    </w:p>
    <w:p w14:paraId="6384B5D5" w14:textId="00F4D1FC" w:rsidR="00785268" w:rsidRPr="00741122" w:rsidRDefault="00071CFE" w:rsidP="001B794B">
      <w:pPr>
        <w:ind w:left="567" w:hanging="567"/>
        <w:rPr>
          <w:rFonts w:ascii="Times New Roman" w:eastAsia="Times New Roman" w:hAnsi="Times New Roman" w:cs="Times New Roman"/>
          <w:szCs w:val="18"/>
          <w:lang w:val="lt-LT"/>
        </w:rPr>
      </w:pPr>
      <w:r w:rsidRPr="00741122">
        <w:rPr>
          <w:rFonts w:ascii="Times New Roman" w:eastAsia="Times New Roman" w:hAnsi="Times New Roman" w:cs="Times New Roman"/>
          <w:szCs w:val="18"/>
          <w:vertAlign w:val="superscript"/>
          <w:lang w:val="lt-LT"/>
        </w:rPr>
        <w:t>a</w:t>
      </w:r>
      <w:r w:rsidR="00785268" w:rsidRPr="00741122">
        <w:rPr>
          <w:rFonts w:ascii="Times New Roman" w:eastAsia="Times New Roman" w:hAnsi="Times New Roman" w:cs="Times New Roman"/>
          <w:lang w:val="lt-LT" w:eastAsia="en-GB"/>
        </w:rPr>
        <w:tab/>
      </w:r>
      <w:r w:rsidRPr="00741122">
        <w:rPr>
          <w:rFonts w:ascii="Times New Roman" w:eastAsia="Times New Roman" w:hAnsi="Times New Roman" w:cs="Times New Roman"/>
          <w:lang w:val="lt-LT" w:eastAsia="en-GB"/>
        </w:rPr>
        <w:t>Więcej</w:t>
      </w:r>
      <w:r w:rsidRPr="00741122">
        <w:rPr>
          <w:rFonts w:ascii="Times New Roman" w:eastAsia="Times New Roman" w:hAnsi="Times New Roman" w:cs="Times New Roman"/>
          <w:szCs w:val="18"/>
          <w:lang w:val="lt-LT"/>
        </w:rPr>
        <w:t xml:space="preserve"> informacji można znaleźć w Tabeli 3 „</w:t>
      </w:r>
      <w:r w:rsidR="00A104BE">
        <w:rPr>
          <w:rFonts w:ascii="Times New Roman" w:eastAsia="Times New Roman" w:hAnsi="Times New Roman" w:cs="Times New Roman"/>
          <w:szCs w:val="18"/>
          <w:lang w:val="lt-LT"/>
        </w:rPr>
        <w:t>Działania</w:t>
      </w:r>
      <w:r w:rsidRPr="00741122">
        <w:rPr>
          <w:rFonts w:ascii="Times New Roman" w:eastAsia="Times New Roman" w:hAnsi="Times New Roman" w:cs="Times New Roman"/>
          <w:szCs w:val="18"/>
          <w:lang w:val="lt-LT"/>
        </w:rPr>
        <w:t xml:space="preserve"> niepożądane obserwowane po wp</w:t>
      </w:r>
      <w:r w:rsidR="00785268" w:rsidRPr="00741122">
        <w:rPr>
          <w:rFonts w:ascii="Times New Roman" w:eastAsia="Times New Roman" w:hAnsi="Times New Roman" w:cs="Times New Roman"/>
          <w:szCs w:val="18"/>
          <w:lang w:val="lt-LT"/>
        </w:rPr>
        <w:t>rowadzeniu produktu do obrotu”.</w:t>
      </w:r>
    </w:p>
    <w:p w14:paraId="754099FF" w14:textId="77777777" w:rsidR="00071CFE" w:rsidRPr="00741122" w:rsidRDefault="00071CFE" w:rsidP="001B794B">
      <w:pPr>
        <w:ind w:left="567" w:hanging="567"/>
        <w:rPr>
          <w:rFonts w:ascii="Times New Roman" w:eastAsia="Times New Roman" w:hAnsi="Times New Roman" w:cs="Times New Roman"/>
          <w:lang w:val="lt-LT" w:eastAsia="en-GB"/>
        </w:rPr>
      </w:pPr>
      <w:r w:rsidRPr="00741122">
        <w:rPr>
          <w:rFonts w:ascii="Times New Roman" w:eastAsia="Times New Roman" w:hAnsi="Times New Roman" w:cs="Times New Roman"/>
          <w:szCs w:val="18"/>
          <w:vertAlign w:val="superscript"/>
          <w:lang w:val="lt-LT"/>
        </w:rPr>
        <w:t>b</w:t>
      </w:r>
      <w:r w:rsidR="00785268" w:rsidRPr="00741122">
        <w:rPr>
          <w:rFonts w:ascii="Times New Roman" w:eastAsia="Times New Roman" w:hAnsi="Times New Roman" w:cs="Times New Roman"/>
          <w:lang w:val="lt-LT" w:eastAsia="en-GB"/>
        </w:rPr>
        <w:tab/>
      </w:r>
      <w:r w:rsidRPr="00741122">
        <w:rPr>
          <w:rFonts w:ascii="Times New Roman" w:eastAsia="Times New Roman" w:hAnsi="Times New Roman" w:cs="Times New Roman"/>
          <w:lang w:val="lt-LT" w:eastAsia="en-GB"/>
        </w:rPr>
        <w:t xml:space="preserve">Pojęcia medyczne przedstawiają zbiorcze działania niepożądane a nie pojedyncze jednostki chorobowe lub terminy medyczne słownika MedDRA </w:t>
      </w:r>
      <w:r w:rsidR="002308A5" w:rsidRPr="00741122">
        <w:rPr>
          <w:rFonts w:ascii="Times New Roman" w:eastAsia="Times New Roman" w:hAnsi="Times New Roman" w:cs="Times New Roman"/>
          <w:lang w:val="lt-LT" w:eastAsia="en-GB"/>
        </w:rPr>
        <w:t>(ang. Medical Dictionary for Regulatory Activities)</w:t>
      </w:r>
      <w:r w:rsidR="002308A5">
        <w:rPr>
          <w:rFonts w:ascii="Times New Roman" w:eastAsia="Times New Roman" w:hAnsi="Times New Roman" w:cs="Times New Roman"/>
          <w:lang w:val="lt-LT" w:eastAsia="en-GB"/>
        </w:rPr>
        <w:t xml:space="preserve"> </w:t>
      </w:r>
      <w:r w:rsidRPr="00741122">
        <w:rPr>
          <w:rFonts w:ascii="Times New Roman" w:eastAsia="Times New Roman" w:hAnsi="Times New Roman" w:cs="Times New Roman"/>
          <w:lang w:val="lt-LT" w:eastAsia="en-GB"/>
        </w:rPr>
        <w:t xml:space="preserve">stosowane przed i po dopuszczenia produktu do obrotu. Pojęcia te mogą być związane z takim samym podłożem patofizjologicznym (np. działania niepożądane o charakterze zakrzepowo-zatorowym, wliczając w to </w:t>
      </w:r>
      <w:r w:rsidRPr="00741122">
        <w:rPr>
          <w:rFonts w:ascii="Times New Roman" w:eastAsia="Times New Roman" w:hAnsi="Times New Roman" w:cs="Times New Roman"/>
          <w:lang w:val="lt-LT" w:eastAsia="en-GB"/>
        </w:rPr>
        <w:lastRenderedPageBreak/>
        <w:t>incydenty w obrębie naczyń mózgowych, zawał mięśnia sercowego, przemijające napady niedokrwienne mózgu i inne zdarzenia zakrzepowo-zatorowe).</w:t>
      </w:r>
    </w:p>
    <w:p w14:paraId="4A60C1E0" w14:textId="77777777" w:rsidR="00071CFE" w:rsidRPr="00741122" w:rsidRDefault="00071CFE" w:rsidP="001B794B">
      <w:pPr>
        <w:ind w:left="567" w:hanging="567"/>
        <w:rPr>
          <w:rFonts w:ascii="Times New Roman" w:eastAsia="Times New Roman" w:hAnsi="Times New Roman" w:cs="Times New Roman"/>
          <w:szCs w:val="18"/>
          <w:lang w:val="lt-LT"/>
        </w:rPr>
      </w:pPr>
      <w:r w:rsidRPr="00741122">
        <w:rPr>
          <w:rFonts w:ascii="Times New Roman" w:eastAsia="Times New Roman" w:hAnsi="Times New Roman" w:cs="Times New Roman"/>
          <w:szCs w:val="18"/>
          <w:vertAlign w:val="superscript"/>
          <w:lang w:val="lt-LT"/>
        </w:rPr>
        <w:t>c</w:t>
      </w:r>
      <w:r w:rsidR="00785268" w:rsidRPr="00741122">
        <w:rPr>
          <w:rFonts w:ascii="Times New Roman" w:eastAsia="Times New Roman" w:hAnsi="Times New Roman" w:cs="Times New Roman"/>
          <w:lang w:val="lt-LT" w:eastAsia="en-GB"/>
        </w:rPr>
        <w:tab/>
      </w:r>
      <w:r w:rsidRPr="00741122">
        <w:rPr>
          <w:rFonts w:ascii="Times New Roman" w:eastAsia="Times New Roman" w:hAnsi="Times New Roman" w:cs="Times New Roman"/>
          <w:szCs w:val="18"/>
          <w:lang w:val="lt-LT"/>
        </w:rPr>
        <w:t>Na podstawie dodatkowego badania obejmującego 295 uczestniczek badania NSABP C-08.</w:t>
      </w:r>
    </w:p>
    <w:p w14:paraId="7CFA7A20" w14:textId="77777777" w:rsidR="00785268" w:rsidRPr="00741122" w:rsidRDefault="00071CFE" w:rsidP="001B794B">
      <w:pPr>
        <w:ind w:left="567" w:hanging="567"/>
        <w:rPr>
          <w:rFonts w:ascii="Times New Roman" w:eastAsia="Times New Roman" w:hAnsi="Times New Roman" w:cs="Times New Roman"/>
          <w:szCs w:val="18"/>
          <w:lang w:val="lt-LT"/>
        </w:rPr>
      </w:pPr>
      <w:r w:rsidRPr="00741122">
        <w:rPr>
          <w:rFonts w:ascii="Times New Roman" w:eastAsia="Times New Roman" w:hAnsi="Times New Roman" w:cs="Times New Roman"/>
          <w:szCs w:val="18"/>
          <w:vertAlign w:val="superscript"/>
          <w:lang w:val="lt-LT"/>
        </w:rPr>
        <w:t>d</w:t>
      </w:r>
      <w:r w:rsidR="00785268" w:rsidRPr="00741122">
        <w:rPr>
          <w:rFonts w:ascii="Times New Roman" w:eastAsia="Times New Roman" w:hAnsi="Times New Roman" w:cs="Times New Roman"/>
          <w:lang w:val="lt-LT" w:eastAsia="en-GB"/>
        </w:rPr>
        <w:tab/>
      </w:r>
      <w:r w:rsidRPr="00741122">
        <w:rPr>
          <w:rFonts w:ascii="Times New Roman" w:eastAsia="Times New Roman" w:hAnsi="Times New Roman" w:cs="Times New Roman"/>
          <w:szCs w:val="18"/>
          <w:lang w:val="lt-LT"/>
        </w:rPr>
        <w:t>Więcej informacji można znaleźć poniżej w części „</w:t>
      </w:r>
      <w:r w:rsidR="00437A8A">
        <w:rPr>
          <w:rFonts w:ascii="Times New Roman" w:eastAsia="Times New Roman" w:hAnsi="Times New Roman" w:cs="Times New Roman"/>
          <w:szCs w:val="18"/>
          <w:lang w:val="lt-LT"/>
        </w:rPr>
        <w:t>Opis</w:t>
      </w:r>
      <w:r w:rsidRPr="00741122">
        <w:rPr>
          <w:rFonts w:ascii="Times New Roman" w:eastAsia="Times New Roman" w:hAnsi="Times New Roman" w:cs="Times New Roman"/>
          <w:szCs w:val="18"/>
          <w:lang w:val="lt-LT"/>
        </w:rPr>
        <w:t xml:space="preserve"> wybranych działań niepożądanych”. </w:t>
      </w:r>
    </w:p>
    <w:p w14:paraId="302C0FF8" w14:textId="77777777" w:rsidR="00071CFE" w:rsidRPr="00741122" w:rsidRDefault="00071CFE" w:rsidP="001B794B">
      <w:pPr>
        <w:ind w:left="567" w:hanging="567"/>
        <w:rPr>
          <w:rFonts w:ascii="Times New Roman" w:eastAsia="Times New Roman" w:hAnsi="Times New Roman" w:cs="Times New Roman"/>
          <w:szCs w:val="18"/>
          <w:lang w:val="lt-LT"/>
        </w:rPr>
      </w:pPr>
      <w:r w:rsidRPr="00741122">
        <w:rPr>
          <w:rFonts w:ascii="Times New Roman" w:eastAsia="Times New Roman" w:hAnsi="Times New Roman" w:cs="Times New Roman"/>
          <w:szCs w:val="18"/>
          <w:vertAlign w:val="superscript"/>
          <w:lang w:val="lt-LT"/>
        </w:rPr>
        <w:t>e</w:t>
      </w:r>
      <w:r w:rsidR="00785268" w:rsidRPr="00741122">
        <w:rPr>
          <w:rFonts w:ascii="Times New Roman" w:eastAsia="Times New Roman" w:hAnsi="Times New Roman" w:cs="Times New Roman"/>
          <w:lang w:val="lt-LT" w:eastAsia="en-GB"/>
        </w:rPr>
        <w:tab/>
      </w:r>
      <w:r w:rsidRPr="00741122">
        <w:rPr>
          <w:rFonts w:ascii="Times New Roman" w:eastAsia="Times New Roman" w:hAnsi="Times New Roman" w:cs="Times New Roman"/>
          <w:szCs w:val="18"/>
          <w:lang w:val="lt-LT"/>
        </w:rPr>
        <w:t>Przetoki odbytniczo-pochwowe należą do najczęstszych przetok w kategorii przetok pomiędzy pochwą a przewodem pokarmowym.</w:t>
      </w:r>
    </w:p>
    <w:p w14:paraId="256D57C4" w14:textId="77777777" w:rsidR="00071CFE" w:rsidRPr="00741122" w:rsidRDefault="00071CFE" w:rsidP="001B794B">
      <w:pPr>
        <w:ind w:left="567" w:hanging="567"/>
        <w:rPr>
          <w:rFonts w:ascii="Times New Roman" w:eastAsia="Times New Roman" w:hAnsi="Times New Roman" w:cs="Times New Roman"/>
          <w:szCs w:val="18"/>
          <w:lang w:val="lt-LT"/>
        </w:rPr>
      </w:pPr>
      <w:r w:rsidRPr="00741122">
        <w:rPr>
          <w:rFonts w:ascii="Times New Roman" w:eastAsia="Times New Roman" w:hAnsi="Times New Roman" w:cs="Times New Roman"/>
          <w:szCs w:val="18"/>
          <w:vertAlign w:val="superscript"/>
          <w:lang w:val="lt-LT"/>
        </w:rPr>
        <w:t>f</w:t>
      </w:r>
      <w:r w:rsidR="00785268" w:rsidRPr="00741122">
        <w:rPr>
          <w:rFonts w:ascii="Times New Roman" w:eastAsia="Times New Roman" w:hAnsi="Times New Roman" w:cs="Times New Roman"/>
          <w:lang w:val="lt-LT" w:eastAsia="en-GB"/>
        </w:rPr>
        <w:tab/>
      </w:r>
      <w:r w:rsidRPr="00741122">
        <w:rPr>
          <w:rFonts w:ascii="Times New Roman" w:eastAsia="Times New Roman" w:hAnsi="Times New Roman" w:cs="Times New Roman"/>
          <w:szCs w:val="18"/>
          <w:lang w:val="lt-LT"/>
        </w:rPr>
        <w:t>Obserwowana wyłącznie u dzieci i młodzieży.</w:t>
      </w:r>
    </w:p>
    <w:p w14:paraId="6ECCB64B" w14:textId="77777777" w:rsidR="00D663AA" w:rsidRPr="00741122" w:rsidRDefault="00D663AA" w:rsidP="001B794B">
      <w:pPr>
        <w:rPr>
          <w:rFonts w:ascii="Times New Roman" w:eastAsia="Times New Roman" w:hAnsi="Times New Roman"/>
          <w:sz w:val="22"/>
          <w:lang w:val="lt-LT"/>
        </w:rPr>
      </w:pPr>
    </w:p>
    <w:p w14:paraId="3E7A4F03" w14:textId="77777777" w:rsidR="00071CFE" w:rsidRPr="00741122" w:rsidRDefault="00111C48" w:rsidP="002B1650">
      <w:pPr>
        <w:keepNext/>
        <w:rPr>
          <w:rFonts w:ascii="Times New Roman" w:eastAsia="Times New Roman" w:hAnsi="Times New Roman"/>
          <w:b/>
          <w:sz w:val="22"/>
          <w:lang w:val="lt-LT"/>
        </w:rPr>
      </w:pPr>
      <w:bookmarkStart w:id="15" w:name="page15"/>
      <w:bookmarkEnd w:id="15"/>
      <w:r w:rsidRPr="00741122">
        <w:rPr>
          <w:rFonts w:ascii="Times New Roman" w:eastAsia="Times New Roman" w:hAnsi="Times New Roman"/>
          <w:b/>
          <w:sz w:val="22"/>
          <w:lang w:val="lt-LT"/>
        </w:rPr>
        <w:t>Tabela 2</w:t>
      </w:r>
      <w:r w:rsidR="002E3434">
        <w:rPr>
          <w:rFonts w:ascii="Times New Roman" w:eastAsia="Times New Roman" w:hAnsi="Times New Roman"/>
          <w:b/>
          <w:sz w:val="22"/>
          <w:lang w:val="lt-LT"/>
        </w:rPr>
        <w:t>.</w:t>
      </w:r>
      <w:r w:rsidR="00071CFE" w:rsidRPr="00741122">
        <w:rPr>
          <w:rFonts w:ascii="Times New Roman" w:eastAsia="Times New Roman" w:hAnsi="Times New Roman"/>
          <w:b/>
          <w:sz w:val="22"/>
          <w:lang w:val="lt-LT"/>
        </w:rPr>
        <w:t xml:space="preserve"> Ciężkie działania niepożądane według częstości występowania</w:t>
      </w:r>
    </w:p>
    <w:p w14:paraId="7535F1FD" w14:textId="77777777" w:rsidR="00071CFE" w:rsidRPr="00741122" w:rsidRDefault="00071CFE" w:rsidP="002B1650">
      <w:pPr>
        <w:keepNext/>
        <w:rPr>
          <w:rFonts w:ascii="Times New Roman" w:eastAsia="Times New Roman" w:hAnsi="Times New Roman"/>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426"/>
        <w:gridCol w:w="1391"/>
        <w:gridCol w:w="1207"/>
        <w:gridCol w:w="1276"/>
        <w:gridCol w:w="1245"/>
        <w:gridCol w:w="1417"/>
      </w:tblGrid>
      <w:tr w:rsidR="003141EC" w:rsidRPr="00E10C99" w14:paraId="5B790B76" w14:textId="77777777" w:rsidTr="00F533B1">
        <w:trPr>
          <w:tblHeader/>
        </w:trPr>
        <w:tc>
          <w:tcPr>
            <w:tcW w:w="809" w:type="pct"/>
          </w:tcPr>
          <w:p w14:paraId="31917730" w14:textId="77777777" w:rsidR="00F64258" w:rsidRPr="009B24C7" w:rsidRDefault="00F64258" w:rsidP="002B1650">
            <w:pPr>
              <w:pStyle w:val="Default"/>
              <w:keepNext/>
              <w:jc w:val="center"/>
              <w:rPr>
                <w:b/>
                <w:sz w:val="18"/>
                <w:szCs w:val="18"/>
                <w:lang w:val="lt-LT"/>
              </w:rPr>
            </w:pPr>
            <w:bookmarkStart w:id="16" w:name="page16"/>
            <w:bookmarkEnd w:id="16"/>
            <w:r w:rsidRPr="009B24C7">
              <w:rPr>
                <w:b/>
                <w:sz w:val="18"/>
                <w:szCs w:val="18"/>
                <w:lang w:val="lt-LT"/>
              </w:rPr>
              <w:t>Klasyfikacja układów</w:t>
            </w:r>
          </w:p>
          <w:p w14:paraId="34964514" w14:textId="77777777" w:rsidR="00F64258" w:rsidRPr="009B24C7" w:rsidRDefault="00F64258" w:rsidP="002B1650">
            <w:pPr>
              <w:pStyle w:val="Default"/>
              <w:keepNext/>
              <w:jc w:val="center"/>
              <w:rPr>
                <w:b/>
                <w:sz w:val="18"/>
                <w:szCs w:val="18"/>
                <w:lang w:val="lt-LT"/>
              </w:rPr>
            </w:pPr>
            <w:r w:rsidRPr="009B24C7">
              <w:rPr>
                <w:b/>
                <w:sz w:val="18"/>
                <w:szCs w:val="18"/>
                <w:lang w:val="lt-LT"/>
              </w:rPr>
              <w:t>i narządów</w:t>
            </w:r>
          </w:p>
        </w:tc>
        <w:tc>
          <w:tcPr>
            <w:tcW w:w="756" w:type="pct"/>
          </w:tcPr>
          <w:p w14:paraId="03E4E58A" w14:textId="77777777" w:rsidR="00F64258" w:rsidRPr="009B24C7" w:rsidRDefault="00F64258" w:rsidP="002B1650">
            <w:pPr>
              <w:pStyle w:val="Default"/>
              <w:keepNext/>
              <w:jc w:val="center"/>
              <w:rPr>
                <w:b/>
                <w:sz w:val="18"/>
                <w:szCs w:val="18"/>
                <w:lang w:val="lt-LT"/>
              </w:rPr>
            </w:pPr>
            <w:r w:rsidRPr="009B24C7">
              <w:rPr>
                <w:b/>
                <w:sz w:val="18"/>
                <w:szCs w:val="18"/>
                <w:lang w:val="lt-LT"/>
              </w:rPr>
              <w:t>Bardzo często</w:t>
            </w:r>
          </w:p>
        </w:tc>
        <w:tc>
          <w:tcPr>
            <w:tcW w:w="756" w:type="pct"/>
          </w:tcPr>
          <w:p w14:paraId="7F46875E" w14:textId="77777777" w:rsidR="00F64258" w:rsidRPr="009B24C7" w:rsidRDefault="00F64258" w:rsidP="002B1650">
            <w:pPr>
              <w:pStyle w:val="Default"/>
              <w:keepNext/>
              <w:jc w:val="center"/>
              <w:rPr>
                <w:b/>
                <w:sz w:val="18"/>
                <w:szCs w:val="18"/>
                <w:lang w:val="lt-LT"/>
              </w:rPr>
            </w:pPr>
            <w:r w:rsidRPr="009B24C7">
              <w:rPr>
                <w:b/>
                <w:sz w:val="18"/>
                <w:szCs w:val="18"/>
                <w:lang w:val="lt-LT"/>
              </w:rPr>
              <w:t>Często</w:t>
            </w:r>
          </w:p>
        </w:tc>
        <w:tc>
          <w:tcPr>
            <w:tcW w:w="687" w:type="pct"/>
          </w:tcPr>
          <w:p w14:paraId="4FC40FBE" w14:textId="77777777" w:rsidR="00F64258" w:rsidRPr="009B24C7" w:rsidRDefault="00F64258" w:rsidP="002B1650">
            <w:pPr>
              <w:pStyle w:val="Default"/>
              <w:keepNext/>
              <w:jc w:val="center"/>
              <w:rPr>
                <w:b/>
                <w:sz w:val="18"/>
                <w:szCs w:val="18"/>
                <w:lang w:val="lt-LT"/>
              </w:rPr>
            </w:pPr>
            <w:r w:rsidRPr="009B24C7">
              <w:rPr>
                <w:b/>
                <w:sz w:val="18"/>
                <w:szCs w:val="18"/>
                <w:lang w:val="lt-LT"/>
              </w:rPr>
              <w:t>Niezbyt często</w:t>
            </w:r>
          </w:p>
        </w:tc>
        <w:tc>
          <w:tcPr>
            <w:tcW w:w="550" w:type="pct"/>
          </w:tcPr>
          <w:p w14:paraId="2F9CC9C3" w14:textId="77777777" w:rsidR="00F64258" w:rsidRPr="009B24C7" w:rsidRDefault="00F64258" w:rsidP="002B1650">
            <w:pPr>
              <w:pStyle w:val="Default"/>
              <w:keepNext/>
              <w:jc w:val="center"/>
              <w:rPr>
                <w:b/>
                <w:sz w:val="18"/>
                <w:szCs w:val="18"/>
                <w:lang w:val="lt-LT"/>
              </w:rPr>
            </w:pPr>
            <w:r w:rsidRPr="009B24C7">
              <w:rPr>
                <w:b/>
                <w:sz w:val="18"/>
                <w:szCs w:val="18"/>
                <w:lang w:val="lt-LT"/>
              </w:rPr>
              <w:t>Rzadko</w:t>
            </w:r>
          </w:p>
        </w:tc>
        <w:tc>
          <w:tcPr>
            <w:tcW w:w="687" w:type="pct"/>
          </w:tcPr>
          <w:p w14:paraId="2CF4FA3C" w14:textId="77777777" w:rsidR="00F64258" w:rsidRPr="009B24C7" w:rsidRDefault="00F64258" w:rsidP="002B1650">
            <w:pPr>
              <w:pStyle w:val="Default"/>
              <w:keepNext/>
              <w:jc w:val="center"/>
              <w:rPr>
                <w:b/>
                <w:sz w:val="18"/>
                <w:szCs w:val="18"/>
                <w:lang w:val="lt-LT"/>
              </w:rPr>
            </w:pPr>
            <w:r w:rsidRPr="009B24C7">
              <w:rPr>
                <w:b/>
                <w:sz w:val="18"/>
                <w:szCs w:val="18"/>
                <w:lang w:val="lt-LT"/>
              </w:rPr>
              <w:t>Bardzo rzadko</w:t>
            </w:r>
          </w:p>
        </w:tc>
        <w:tc>
          <w:tcPr>
            <w:tcW w:w="756" w:type="pct"/>
          </w:tcPr>
          <w:p w14:paraId="4D3092B5" w14:textId="77777777" w:rsidR="00F64258" w:rsidRPr="009B24C7" w:rsidRDefault="00F64258" w:rsidP="002B1650">
            <w:pPr>
              <w:pStyle w:val="Default"/>
              <w:keepNext/>
              <w:jc w:val="center"/>
              <w:rPr>
                <w:b/>
                <w:sz w:val="18"/>
                <w:szCs w:val="18"/>
                <w:lang w:val="lt-LT"/>
              </w:rPr>
            </w:pPr>
            <w:r w:rsidRPr="009B24C7">
              <w:rPr>
                <w:b/>
                <w:sz w:val="18"/>
                <w:szCs w:val="18"/>
                <w:lang w:val="lt-LT"/>
              </w:rPr>
              <w:t>Częstość nieznana</w:t>
            </w:r>
          </w:p>
        </w:tc>
      </w:tr>
      <w:tr w:rsidR="003141EC" w:rsidRPr="00E10C99" w14:paraId="15656578" w14:textId="77777777" w:rsidTr="00F533B1">
        <w:tc>
          <w:tcPr>
            <w:tcW w:w="809" w:type="pct"/>
          </w:tcPr>
          <w:p w14:paraId="4DB98250" w14:textId="77777777" w:rsidR="00F64258" w:rsidRPr="00E10C99" w:rsidRDefault="00F64258" w:rsidP="00377244">
            <w:pPr>
              <w:pStyle w:val="Default"/>
              <w:rPr>
                <w:sz w:val="18"/>
                <w:szCs w:val="18"/>
                <w:lang w:val="lt-LT"/>
              </w:rPr>
            </w:pPr>
            <w:r w:rsidRPr="00E10C99">
              <w:rPr>
                <w:sz w:val="18"/>
                <w:szCs w:val="18"/>
                <w:lang w:val="lt-LT"/>
              </w:rPr>
              <w:t xml:space="preserve">Zakażenia </w:t>
            </w:r>
          </w:p>
          <w:p w14:paraId="60C905BC" w14:textId="77777777" w:rsidR="00F64258" w:rsidRPr="00E10C99" w:rsidRDefault="00F64258" w:rsidP="00377244">
            <w:pPr>
              <w:rPr>
                <w:rFonts w:ascii="Times New Roman" w:hAnsi="Times New Roman" w:cs="Times New Roman"/>
                <w:sz w:val="18"/>
                <w:szCs w:val="18"/>
                <w:lang w:val="lt-LT"/>
              </w:rPr>
            </w:pPr>
            <w:r w:rsidRPr="00E10C99">
              <w:rPr>
                <w:rFonts w:ascii="Times New Roman" w:hAnsi="Times New Roman" w:cs="Times New Roman"/>
                <w:sz w:val="18"/>
                <w:szCs w:val="18"/>
                <w:lang w:val="lt-LT"/>
              </w:rPr>
              <w:t xml:space="preserve">i zarażenia pasożytnicze </w:t>
            </w:r>
          </w:p>
        </w:tc>
        <w:tc>
          <w:tcPr>
            <w:tcW w:w="756" w:type="pct"/>
          </w:tcPr>
          <w:p w14:paraId="1AEDF2DD" w14:textId="77777777" w:rsidR="00F64258" w:rsidRPr="00E10C99" w:rsidRDefault="00F64258" w:rsidP="00377244">
            <w:pPr>
              <w:rPr>
                <w:rFonts w:ascii="Times New Roman" w:hAnsi="Times New Roman" w:cs="Times New Roman"/>
                <w:sz w:val="18"/>
                <w:szCs w:val="18"/>
                <w:lang w:val="lt-LT"/>
              </w:rPr>
            </w:pPr>
          </w:p>
        </w:tc>
        <w:tc>
          <w:tcPr>
            <w:tcW w:w="756" w:type="pct"/>
          </w:tcPr>
          <w:p w14:paraId="358ABB89" w14:textId="77777777" w:rsidR="00F64258" w:rsidRPr="00E10C99" w:rsidRDefault="00F64258" w:rsidP="00377244">
            <w:pPr>
              <w:pStyle w:val="Default"/>
              <w:rPr>
                <w:sz w:val="18"/>
                <w:szCs w:val="18"/>
                <w:lang w:val="lt-LT"/>
              </w:rPr>
            </w:pPr>
            <w:r w:rsidRPr="00E10C99">
              <w:rPr>
                <w:sz w:val="18"/>
                <w:szCs w:val="18"/>
                <w:lang w:val="lt-LT"/>
              </w:rPr>
              <w:t xml:space="preserve">Posocznica, </w:t>
            </w:r>
          </w:p>
          <w:p w14:paraId="264959E7" w14:textId="77777777" w:rsidR="00F64258" w:rsidRPr="00E10C99" w:rsidRDefault="00F64258" w:rsidP="00377244">
            <w:pPr>
              <w:pStyle w:val="Default"/>
              <w:rPr>
                <w:sz w:val="18"/>
                <w:szCs w:val="18"/>
                <w:lang w:val="lt-LT"/>
              </w:rPr>
            </w:pPr>
            <w:r w:rsidRPr="00E10C99">
              <w:rPr>
                <w:sz w:val="18"/>
                <w:szCs w:val="18"/>
                <w:lang w:val="lt-LT"/>
              </w:rPr>
              <w:t xml:space="preserve">Zapalenie tkanki łącznej, </w:t>
            </w:r>
          </w:p>
          <w:p w14:paraId="670AB24E" w14:textId="77777777" w:rsidR="00F64258" w:rsidRPr="00E10C99" w:rsidRDefault="00F64258" w:rsidP="00377244">
            <w:pPr>
              <w:pStyle w:val="Default"/>
              <w:rPr>
                <w:sz w:val="18"/>
                <w:szCs w:val="18"/>
                <w:lang w:val="lt-LT"/>
              </w:rPr>
            </w:pPr>
            <w:r w:rsidRPr="00E10C99">
              <w:rPr>
                <w:sz w:val="18"/>
                <w:szCs w:val="18"/>
                <w:lang w:val="lt-LT"/>
              </w:rPr>
              <w:t>Ropień</w:t>
            </w:r>
            <w:r w:rsidRPr="00E10C99">
              <w:rPr>
                <w:sz w:val="18"/>
                <w:szCs w:val="18"/>
                <w:vertAlign w:val="superscript"/>
                <w:lang w:val="lt-LT"/>
              </w:rPr>
              <w:t>a,b</w:t>
            </w:r>
            <w:r w:rsidRPr="00E10C99">
              <w:rPr>
                <w:sz w:val="18"/>
                <w:szCs w:val="18"/>
                <w:lang w:val="lt-LT"/>
              </w:rPr>
              <w:t xml:space="preserve">, </w:t>
            </w:r>
          </w:p>
          <w:p w14:paraId="20674DCD" w14:textId="77777777" w:rsidR="00F64258" w:rsidRPr="00E10C99" w:rsidRDefault="00F64258" w:rsidP="00377244">
            <w:pPr>
              <w:pStyle w:val="Default"/>
              <w:rPr>
                <w:sz w:val="18"/>
                <w:szCs w:val="18"/>
                <w:lang w:val="lt-LT"/>
              </w:rPr>
            </w:pPr>
            <w:r w:rsidRPr="00E10C99">
              <w:rPr>
                <w:sz w:val="18"/>
                <w:szCs w:val="18"/>
                <w:lang w:val="lt-LT"/>
              </w:rPr>
              <w:t xml:space="preserve">Zakażenie, </w:t>
            </w:r>
          </w:p>
          <w:p w14:paraId="362087CA" w14:textId="77777777" w:rsidR="00F64258" w:rsidRPr="00E10C99" w:rsidRDefault="00F64258" w:rsidP="00377244">
            <w:pPr>
              <w:rPr>
                <w:rFonts w:ascii="Times New Roman" w:hAnsi="Times New Roman" w:cs="Times New Roman"/>
                <w:sz w:val="18"/>
                <w:szCs w:val="18"/>
                <w:lang w:val="lt-LT"/>
              </w:rPr>
            </w:pPr>
            <w:r w:rsidRPr="00E10C99">
              <w:rPr>
                <w:rFonts w:ascii="Times New Roman" w:hAnsi="Times New Roman" w:cs="Times New Roman"/>
                <w:sz w:val="18"/>
                <w:szCs w:val="18"/>
                <w:lang w:val="lt-LT"/>
              </w:rPr>
              <w:t xml:space="preserve">Zakażenie dróg moczowych </w:t>
            </w:r>
          </w:p>
        </w:tc>
        <w:tc>
          <w:tcPr>
            <w:tcW w:w="687" w:type="pct"/>
          </w:tcPr>
          <w:p w14:paraId="190633D1" w14:textId="77777777" w:rsidR="00F64258" w:rsidRPr="00E10C99" w:rsidRDefault="00F64258" w:rsidP="00377244">
            <w:pPr>
              <w:rPr>
                <w:rFonts w:ascii="Times New Roman" w:hAnsi="Times New Roman" w:cs="Times New Roman"/>
                <w:sz w:val="18"/>
                <w:szCs w:val="18"/>
                <w:lang w:val="lt-LT"/>
              </w:rPr>
            </w:pPr>
          </w:p>
        </w:tc>
        <w:tc>
          <w:tcPr>
            <w:tcW w:w="550" w:type="pct"/>
          </w:tcPr>
          <w:p w14:paraId="1DFE8DD4" w14:textId="77777777" w:rsidR="00F64258" w:rsidRPr="00E10C99" w:rsidRDefault="00F64258" w:rsidP="00377244">
            <w:pPr>
              <w:rPr>
                <w:rFonts w:ascii="Times New Roman" w:hAnsi="Times New Roman" w:cs="Times New Roman"/>
                <w:sz w:val="18"/>
                <w:szCs w:val="18"/>
                <w:lang w:val="lt-LT"/>
              </w:rPr>
            </w:pPr>
          </w:p>
        </w:tc>
        <w:tc>
          <w:tcPr>
            <w:tcW w:w="687" w:type="pct"/>
          </w:tcPr>
          <w:p w14:paraId="4993BAA2" w14:textId="77777777" w:rsidR="00F64258" w:rsidRPr="00E10C99" w:rsidRDefault="00F64258" w:rsidP="00377244">
            <w:pPr>
              <w:rPr>
                <w:rFonts w:ascii="Times New Roman" w:hAnsi="Times New Roman" w:cs="Times New Roman"/>
                <w:sz w:val="18"/>
                <w:szCs w:val="18"/>
                <w:lang w:val="lt-LT"/>
              </w:rPr>
            </w:pPr>
          </w:p>
        </w:tc>
        <w:tc>
          <w:tcPr>
            <w:tcW w:w="756" w:type="pct"/>
          </w:tcPr>
          <w:p w14:paraId="436BB0AB" w14:textId="77777777" w:rsidR="00F64258" w:rsidRPr="00E10C99" w:rsidRDefault="00F64258" w:rsidP="00E43B19">
            <w:pPr>
              <w:pStyle w:val="Default"/>
              <w:rPr>
                <w:sz w:val="18"/>
                <w:szCs w:val="18"/>
                <w:lang w:val="lt-LT"/>
              </w:rPr>
            </w:pPr>
            <w:r w:rsidRPr="00E10C99">
              <w:rPr>
                <w:sz w:val="18"/>
                <w:szCs w:val="18"/>
                <w:lang w:val="lt-LT"/>
              </w:rPr>
              <w:t>Martwicze zapalenie powięzi</w:t>
            </w:r>
            <w:r w:rsidRPr="00E10C99">
              <w:rPr>
                <w:sz w:val="18"/>
                <w:szCs w:val="18"/>
                <w:vertAlign w:val="superscript"/>
                <w:lang w:val="lt-LT"/>
              </w:rPr>
              <w:t>c</w:t>
            </w:r>
          </w:p>
        </w:tc>
      </w:tr>
      <w:tr w:rsidR="003141EC" w:rsidRPr="00E10C99" w14:paraId="29AD5D58" w14:textId="77777777" w:rsidTr="00F533B1">
        <w:tc>
          <w:tcPr>
            <w:tcW w:w="809" w:type="pct"/>
          </w:tcPr>
          <w:p w14:paraId="6DF25BCC" w14:textId="77777777" w:rsidR="00F64258" w:rsidRPr="00E10C99" w:rsidRDefault="00F64258" w:rsidP="00377244">
            <w:pPr>
              <w:pStyle w:val="Default"/>
              <w:rPr>
                <w:sz w:val="18"/>
                <w:szCs w:val="18"/>
                <w:lang w:val="lt-LT"/>
              </w:rPr>
            </w:pPr>
            <w:r w:rsidRPr="00E10C99">
              <w:rPr>
                <w:sz w:val="18"/>
                <w:szCs w:val="18"/>
                <w:lang w:val="lt-LT"/>
              </w:rPr>
              <w:t xml:space="preserve">Zaburzenia krwi i układu chłonnego </w:t>
            </w:r>
          </w:p>
        </w:tc>
        <w:tc>
          <w:tcPr>
            <w:tcW w:w="756" w:type="pct"/>
          </w:tcPr>
          <w:p w14:paraId="05B88B96" w14:textId="77777777" w:rsidR="00F64258" w:rsidRPr="00E10C99" w:rsidRDefault="00F64258" w:rsidP="00377244">
            <w:pPr>
              <w:pStyle w:val="Default"/>
              <w:rPr>
                <w:sz w:val="18"/>
                <w:szCs w:val="18"/>
                <w:lang w:val="lt-LT"/>
              </w:rPr>
            </w:pPr>
            <w:r w:rsidRPr="00E10C99">
              <w:rPr>
                <w:sz w:val="18"/>
                <w:szCs w:val="18"/>
                <w:lang w:val="lt-LT"/>
              </w:rPr>
              <w:t xml:space="preserve">Gorączka neutropeniczna, </w:t>
            </w:r>
          </w:p>
          <w:p w14:paraId="13CFB151" w14:textId="77777777" w:rsidR="00F64258" w:rsidRPr="00E10C99" w:rsidRDefault="00F64258" w:rsidP="00377244">
            <w:pPr>
              <w:pStyle w:val="Default"/>
              <w:rPr>
                <w:sz w:val="18"/>
                <w:szCs w:val="18"/>
                <w:lang w:val="lt-LT"/>
              </w:rPr>
            </w:pPr>
            <w:r w:rsidRPr="00E10C99">
              <w:rPr>
                <w:sz w:val="18"/>
                <w:szCs w:val="18"/>
                <w:lang w:val="lt-LT"/>
              </w:rPr>
              <w:t xml:space="preserve">Leukopenia, </w:t>
            </w:r>
          </w:p>
          <w:p w14:paraId="21D23044" w14:textId="77777777" w:rsidR="00F64258" w:rsidRPr="00E10C99" w:rsidRDefault="00F64258" w:rsidP="00377244">
            <w:pPr>
              <w:pStyle w:val="Default"/>
              <w:rPr>
                <w:sz w:val="18"/>
                <w:szCs w:val="18"/>
                <w:lang w:val="lt-LT"/>
              </w:rPr>
            </w:pPr>
            <w:r w:rsidRPr="00E10C99">
              <w:rPr>
                <w:sz w:val="18"/>
                <w:szCs w:val="18"/>
                <w:lang w:val="lt-LT"/>
              </w:rPr>
              <w:t>Neutropenia</w:t>
            </w:r>
            <w:r w:rsidRPr="00E10C99">
              <w:rPr>
                <w:sz w:val="18"/>
                <w:szCs w:val="18"/>
                <w:vertAlign w:val="superscript"/>
                <w:lang w:val="lt-LT"/>
              </w:rPr>
              <w:t>a</w:t>
            </w:r>
            <w:r w:rsidRPr="00E10C99">
              <w:rPr>
                <w:sz w:val="18"/>
                <w:szCs w:val="18"/>
                <w:lang w:val="lt-LT"/>
              </w:rPr>
              <w:t xml:space="preserve">, </w:t>
            </w:r>
          </w:p>
          <w:p w14:paraId="17927141" w14:textId="77777777" w:rsidR="00F64258" w:rsidRPr="00E10C99" w:rsidRDefault="00F64258" w:rsidP="00377244">
            <w:pPr>
              <w:pStyle w:val="Default"/>
              <w:rPr>
                <w:sz w:val="18"/>
                <w:szCs w:val="18"/>
                <w:lang w:val="lt-LT"/>
              </w:rPr>
            </w:pPr>
            <w:r w:rsidRPr="00E10C99">
              <w:rPr>
                <w:sz w:val="18"/>
                <w:szCs w:val="18"/>
                <w:lang w:val="lt-LT"/>
              </w:rPr>
              <w:t xml:space="preserve">Małopłytkowość </w:t>
            </w:r>
          </w:p>
        </w:tc>
        <w:tc>
          <w:tcPr>
            <w:tcW w:w="756" w:type="pct"/>
          </w:tcPr>
          <w:p w14:paraId="680F8834" w14:textId="77777777" w:rsidR="00F64258" w:rsidRPr="00E10C99" w:rsidRDefault="00F64258" w:rsidP="00377244">
            <w:pPr>
              <w:pStyle w:val="Default"/>
              <w:rPr>
                <w:sz w:val="18"/>
                <w:szCs w:val="18"/>
                <w:lang w:val="lt-LT"/>
              </w:rPr>
            </w:pPr>
            <w:r w:rsidRPr="00E10C99">
              <w:rPr>
                <w:sz w:val="18"/>
                <w:szCs w:val="18"/>
                <w:lang w:val="lt-LT"/>
              </w:rPr>
              <w:t xml:space="preserve">Niedokrwistość, </w:t>
            </w:r>
          </w:p>
          <w:p w14:paraId="36E91892" w14:textId="77777777" w:rsidR="00F64258" w:rsidRPr="00E10C99" w:rsidRDefault="00F64258" w:rsidP="00377244">
            <w:pPr>
              <w:pStyle w:val="Default"/>
              <w:rPr>
                <w:sz w:val="18"/>
                <w:szCs w:val="18"/>
                <w:lang w:val="lt-LT"/>
              </w:rPr>
            </w:pPr>
            <w:r w:rsidRPr="00E10C99">
              <w:rPr>
                <w:sz w:val="18"/>
                <w:szCs w:val="18"/>
                <w:lang w:val="lt-LT"/>
              </w:rPr>
              <w:t xml:space="preserve">Limfopenia </w:t>
            </w:r>
          </w:p>
        </w:tc>
        <w:tc>
          <w:tcPr>
            <w:tcW w:w="687" w:type="pct"/>
          </w:tcPr>
          <w:p w14:paraId="27605F2C" w14:textId="77777777" w:rsidR="00F64258" w:rsidRPr="00E10C99" w:rsidRDefault="00F64258" w:rsidP="00377244">
            <w:pPr>
              <w:rPr>
                <w:rFonts w:ascii="Times New Roman" w:hAnsi="Times New Roman" w:cs="Times New Roman"/>
                <w:sz w:val="18"/>
                <w:szCs w:val="18"/>
                <w:lang w:val="lt-LT"/>
              </w:rPr>
            </w:pPr>
          </w:p>
        </w:tc>
        <w:tc>
          <w:tcPr>
            <w:tcW w:w="550" w:type="pct"/>
          </w:tcPr>
          <w:p w14:paraId="372FF56C" w14:textId="77777777" w:rsidR="00F64258" w:rsidRPr="00E10C99" w:rsidRDefault="00F64258" w:rsidP="00377244">
            <w:pPr>
              <w:rPr>
                <w:rFonts w:ascii="Times New Roman" w:hAnsi="Times New Roman" w:cs="Times New Roman"/>
                <w:sz w:val="18"/>
                <w:szCs w:val="18"/>
                <w:lang w:val="lt-LT"/>
              </w:rPr>
            </w:pPr>
          </w:p>
        </w:tc>
        <w:tc>
          <w:tcPr>
            <w:tcW w:w="687" w:type="pct"/>
          </w:tcPr>
          <w:p w14:paraId="45E7134A" w14:textId="77777777" w:rsidR="00F64258" w:rsidRPr="00E10C99" w:rsidRDefault="00F64258" w:rsidP="00377244">
            <w:pPr>
              <w:rPr>
                <w:rFonts w:ascii="Times New Roman" w:hAnsi="Times New Roman" w:cs="Times New Roman"/>
                <w:sz w:val="18"/>
                <w:szCs w:val="18"/>
                <w:lang w:val="lt-LT"/>
              </w:rPr>
            </w:pPr>
          </w:p>
        </w:tc>
        <w:tc>
          <w:tcPr>
            <w:tcW w:w="756" w:type="pct"/>
          </w:tcPr>
          <w:p w14:paraId="4CDBDCAB" w14:textId="77777777" w:rsidR="00F64258" w:rsidRPr="00E10C99" w:rsidRDefault="00F64258" w:rsidP="00377244">
            <w:pPr>
              <w:rPr>
                <w:rFonts w:ascii="Times New Roman" w:hAnsi="Times New Roman" w:cs="Times New Roman"/>
                <w:sz w:val="18"/>
                <w:szCs w:val="18"/>
                <w:lang w:val="lt-LT"/>
              </w:rPr>
            </w:pPr>
          </w:p>
        </w:tc>
      </w:tr>
      <w:tr w:rsidR="003141EC" w:rsidRPr="00754B1C" w14:paraId="4DB6BF33" w14:textId="77777777" w:rsidTr="00F533B1">
        <w:tc>
          <w:tcPr>
            <w:tcW w:w="809" w:type="pct"/>
          </w:tcPr>
          <w:p w14:paraId="7AE2CEE9" w14:textId="77777777" w:rsidR="00F64258" w:rsidRPr="00E10C99" w:rsidRDefault="00F64258" w:rsidP="00557DD6">
            <w:pPr>
              <w:pStyle w:val="Default"/>
              <w:rPr>
                <w:sz w:val="18"/>
                <w:szCs w:val="18"/>
                <w:lang w:val="lt-LT"/>
              </w:rPr>
            </w:pPr>
            <w:r w:rsidRPr="00E10C99">
              <w:rPr>
                <w:sz w:val="18"/>
                <w:szCs w:val="18"/>
                <w:lang w:val="lt-LT"/>
              </w:rPr>
              <w:t>Zabur</w:t>
            </w:r>
            <w:r w:rsidR="00557DD6" w:rsidRPr="00E10C99">
              <w:rPr>
                <w:sz w:val="18"/>
                <w:szCs w:val="18"/>
                <w:lang w:val="lt-LT"/>
              </w:rPr>
              <w:t>zenia układu immunologicznego</w:t>
            </w:r>
          </w:p>
        </w:tc>
        <w:tc>
          <w:tcPr>
            <w:tcW w:w="756" w:type="pct"/>
          </w:tcPr>
          <w:p w14:paraId="6A28A798" w14:textId="77777777" w:rsidR="00F64258" w:rsidRPr="00E10C99" w:rsidRDefault="00F64258" w:rsidP="00377244">
            <w:pPr>
              <w:rPr>
                <w:rFonts w:ascii="Times New Roman" w:hAnsi="Times New Roman" w:cs="Times New Roman"/>
                <w:sz w:val="18"/>
                <w:szCs w:val="18"/>
                <w:lang w:val="lt-LT"/>
              </w:rPr>
            </w:pPr>
          </w:p>
        </w:tc>
        <w:tc>
          <w:tcPr>
            <w:tcW w:w="756" w:type="pct"/>
          </w:tcPr>
          <w:p w14:paraId="34B2623D" w14:textId="23A93EBA" w:rsidR="00F64258" w:rsidRPr="00E10C99" w:rsidRDefault="00754B1C" w:rsidP="00134D54">
            <w:pPr>
              <w:pStyle w:val="Default"/>
              <w:rPr>
                <w:sz w:val="18"/>
                <w:szCs w:val="18"/>
                <w:lang w:val="lt-LT"/>
              </w:rPr>
            </w:pPr>
            <w:r w:rsidRPr="00E10C99">
              <w:rPr>
                <w:sz w:val="18"/>
                <w:szCs w:val="18"/>
                <w:lang w:val="lt-LT"/>
              </w:rPr>
              <w:t>Nadwrażliwość, reakcje poinfuzyjne</w:t>
            </w:r>
            <w:r w:rsidRPr="00754B1C">
              <w:rPr>
                <w:sz w:val="18"/>
                <w:szCs w:val="18"/>
                <w:vertAlign w:val="superscript"/>
                <w:lang w:val="lt-LT"/>
              </w:rPr>
              <w:t>a,b,c</w:t>
            </w:r>
          </w:p>
        </w:tc>
        <w:tc>
          <w:tcPr>
            <w:tcW w:w="687" w:type="pct"/>
          </w:tcPr>
          <w:p w14:paraId="3A6F86D7" w14:textId="77777777" w:rsidR="00F64258" w:rsidRPr="00E10C99" w:rsidRDefault="00F64258" w:rsidP="00377244">
            <w:pPr>
              <w:rPr>
                <w:rFonts w:ascii="Times New Roman" w:hAnsi="Times New Roman" w:cs="Times New Roman"/>
                <w:sz w:val="18"/>
                <w:szCs w:val="18"/>
                <w:lang w:val="lt-LT"/>
              </w:rPr>
            </w:pPr>
          </w:p>
        </w:tc>
        <w:tc>
          <w:tcPr>
            <w:tcW w:w="550" w:type="pct"/>
          </w:tcPr>
          <w:p w14:paraId="6394C749" w14:textId="0154EC09" w:rsidR="00F64258" w:rsidRPr="00E10C99" w:rsidRDefault="00754B1C" w:rsidP="00134D54">
            <w:pPr>
              <w:pStyle w:val="Default"/>
              <w:rPr>
                <w:sz w:val="18"/>
                <w:szCs w:val="18"/>
                <w:lang w:val="lt-LT"/>
              </w:rPr>
            </w:pPr>
            <w:r>
              <w:rPr>
                <w:sz w:val="18"/>
                <w:szCs w:val="18"/>
                <w:lang w:val="lt-LT"/>
              </w:rPr>
              <w:t>Wstrząs anafilaktyczny</w:t>
            </w:r>
          </w:p>
        </w:tc>
        <w:tc>
          <w:tcPr>
            <w:tcW w:w="687" w:type="pct"/>
          </w:tcPr>
          <w:p w14:paraId="5DAE2BE9" w14:textId="77777777" w:rsidR="00F64258" w:rsidRPr="00E10C99" w:rsidRDefault="00F64258" w:rsidP="00377244">
            <w:pPr>
              <w:rPr>
                <w:rFonts w:ascii="Times New Roman" w:hAnsi="Times New Roman" w:cs="Times New Roman"/>
                <w:sz w:val="18"/>
                <w:szCs w:val="18"/>
                <w:lang w:val="lt-LT"/>
              </w:rPr>
            </w:pPr>
          </w:p>
        </w:tc>
        <w:tc>
          <w:tcPr>
            <w:tcW w:w="756" w:type="pct"/>
          </w:tcPr>
          <w:p w14:paraId="7DD7752A" w14:textId="21197439" w:rsidR="00F64258" w:rsidRPr="00E10C99" w:rsidRDefault="00F64258" w:rsidP="00FC2575">
            <w:pPr>
              <w:pStyle w:val="Default"/>
              <w:rPr>
                <w:sz w:val="18"/>
                <w:szCs w:val="18"/>
                <w:lang w:val="lt-LT"/>
              </w:rPr>
            </w:pPr>
          </w:p>
        </w:tc>
      </w:tr>
      <w:tr w:rsidR="003141EC" w:rsidRPr="00E10C99" w14:paraId="6D43260C" w14:textId="77777777" w:rsidTr="00F533B1">
        <w:tc>
          <w:tcPr>
            <w:tcW w:w="809" w:type="pct"/>
          </w:tcPr>
          <w:p w14:paraId="76D1D394" w14:textId="77777777" w:rsidR="00F64258" w:rsidRPr="00E10C99" w:rsidRDefault="00F64258" w:rsidP="00557DD6">
            <w:pPr>
              <w:pStyle w:val="Default"/>
              <w:rPr>
                <w:sz w:val="18"/>
                <w:szCs w:val="18"/>
                <w:lang w:val="lt-LT"/>
              </w:rPr>
            </w:pPr>
            <w:r w:rsidRPr="00E10C99">
              <w:rPr>
                <w:sz w:val="18"/>
                <w:szCs w:val="18"/>
                <w:lang w:val="lt-LT"/>
              </w:rPr>
              <w:t>Zabur</w:t>
            </w:r>
            <w:r w:rsidR="00557DD6" w:rsidRPr="00E10C99">
              <w:rPr>
                <w:sz w:val="18"/>
                <w:szCs w:val="18"/>
                <w:lang w:val="lt-LT"/>
              </w:rPr>
              <w:t>zenia metabolizmu i odżywiania</w:t>
            </w:r>
          </w:p>
        </w:tc>
        <w:tc>
          <w:tcPr>
            <w:tcW w:w="756" w:type="pct"/>
          </w:tcPr>
          <w:p w14:paraId="6AAEBC9D" w14:textId="77777777" w:rsidR="00F64258" w:rsidRPr="00E10C99" w:rsidRDefault="00F64258" w:rsidP="00377244">
            <w:pPr>
              <w:rPr>
                <w:rFonts w:ascii="Times New Roman" w:hAnsi="Times New Roman" w:cs="Times New Roman"/>
                <w:sz w:val="18"/>
                <w:szCs w:val="18"/>
                <w:lang w:val="lt-LT"/>
              </w:rPr>
            </w:pPr>
          </w:p>
        </w:tc>
        <w:tc>
          <w:tcPr>
            <w:tcW w:w="756" w:type="pct"/>
          </w:tcPr>
          <w:p w14:paraId="4C86C9F2" w14:textId="77777777" w:rsidR="00F64258" w:rsidRPr="00E10C99" w:rsidRDefault="00F64258" w:rsidP="00377244">
            <w:pPr>
              <w:pStyle w:val="Default"/>
              <w:rPr>
                <w:sz w:val="18"/>
                <w:szCs w:val="18"/>
                <w:lang w:val="lt-LT"/>
              </w:rPr>
            </w:pPr>
            <w:r w:rsidRPr="00E10C99">
              <w:rPr>
                <w:sz w:val="18"/>
                <w:szCs w:val="18"/>
                <w:lang w:val="lt-LT"/>
              </w:rPr>
              <w:t>Odwodnienie</w:t>
            </w:r>
            <w:r w:rsidR="00B44CD4">
              <w:rPr>
                <w:sz w:val="18"/>
                <w:szCs w:val="18"/>
                <w:lang w:val="lt-LT"/>
              </w:rPr>
              <w:t>,</w:t>
            </w:r>
            <w:r w:rsidRPr="00E10C99">
              <w:rPr>
                <w:sz w:val="18"/>
                <w:szCs w:val="18"/>
                <w:lang w:val="lt-LT"/>
              </w:rPr>
              <w:t xml:space="preserve"> </w:t>
            </w:r>
          </w:p>
          <w:p w14:paraId="69FE2CDE" w14:textId="77777777" w:rsidR="00F64258" w:rsidRPr="00E10C99" w:rsidRDefault="00F64258" w:rsidP="00377244">
            <w:pPr>
              <w:rPr>
                <w:rFonts w:ascii="Times New Roman" w:hAnsi="Times New Roman" w:cs="Times New Roman"/>
                <w:sz w:val="18"/>
                <w:szCs w:val="18"/>
                <w:lang w:val="lt-LT"/>
              </w:rPr>
            </w:pPr>
            <w:r w:rsidRPr="00E10C99">
              <w:rPr>
                <w:rFonts w:ascii="Times New Roman" w:hAnsi="Times New Roman" w:cs="Times New Roman"/>
                <w:sz w:val="18"/>
                <w:szCs w:val="18"/>
                <w:lang w:val="lt-LT"/>
              </w:rPr>
              <w:t xml:space="preserve">Hiponatremia </w:t>
            </w:r>
          </w:p>
        </w:tc>
        <w:tc>
          <w:tcPr>
            <w:tcW w:w="687" w:type="pct"/>
          </w:tcPr>
          <w:p w14:paraId="570C2653" w14:textId="77777777" w:rsidR="00F64258" w:rsidRPr="00E10C99" w:rsidRDefault="00F64258" w:rsidP="00377244">
            <w:pPr>
              <w:rPr>
                <w:rFonts w:ascii="Times New Roman" w:hAnsi="Times New Roman" w:cs="Times New Roman"/>
                <w:sz w:val="18"/>
                <w:szCs w:val="18"/>
                <w:lang w:val="lt-LT"/>
              </w:rPr>
            </w:pPr>
          </w:p>
        </w:tc>
        <w:tc>
          <w:tcPr>
            <w:tcW w:w="550" w:type="pct"/>
          </w:tcPr>
          <w:p w14:paraId="08272AA7" w14:textId="77777777" w:rsidR="00F64258" w:rsidRPr="00E10C99" w:rsidRDefault="00F64258" w:rsidP="00377244">
            <w:pPr>
              <w:rPr>
                <w:rFonts w:ascii="Times New Roman" w:hAnsi="Times New Roman" w:cs="Times New Roman"/>
                <w:sz w:val="18"/>
                <w:szCs w:val="18"/>
                <w:lang w:val="lt-LT"/>
              </w:rPr>
            </w:pPr>
          </w:p>
        </w:tc>
        <w:tc>
          <w:tcPr>
            <w:tcW w:w="687" w:type="pct"/>
          </w:tcPr>
          <w:p w14:paraId="619BFCBE" w14:textId="77777777" w:rsidR="00F64258" w:rsidRPr="00E10C99" w:rsidRDefault="00F64258" w:rsidP="00377244">
            <w:pPr>
              <w:rPr>
                <w:rFonts w:ascii="Times New Roman" w:hAnsi="Times New Roman" w:cs="Times New Roman"/>
                <w:sz w:val="18"/>
                <w:szCs w:val="18"/>
                <w:lang w:val="lt-LT"/>
              </w:rPr>
            </w:pPr>
          </w:p>
        </w:tc>
        <w:tc>
          <w:tcPr>
            <w:tcW w:w="756" w:type="pct"/>
          </w:tcPr>
          <w:p w14:paraId="383BE814" w14:textId="77777777" w:rsidR="00F64258" w:rsidRPr="00E10C99" w:rsidRDefault="00F64258" w:rsidP="00377244">
            <w:pPr>
              <w:rPr>
                <w:rFonts w:ascii="Times New Roman" w:hAnsi="Times New Roman" w:cs="Times New Roman"/>
                <w:sz w:val="18"/>
                <w:szCs w:val="18"/>
                <w:lang w:val="lt-LT"/>
              </w:rPr>
            </w:pPr>
          </w:p>
        </w:tc>
      </w:tr>
      <w:tr w:rsidR="003141EC" w:rsidRPr="00E10C99" w14:paraId="3E4B92D4" w14:textId="77777777" w:rsidTr="00F533B1">
        <w:tc>
          <w:tcPr>
            <w:tcW w:w="809" w:type="pct"/>
          </w:tcPr>
          <w:p w14:paraId="441791F2" w14:textId="77777777" w:rsidR="00F64258" w:rsidRPr="00E10C99" w:rsidRDefault="00F64258" w:rsidP="00377244">
            <w:pPr>
              <w:pStyle w:val="Default"/>
              <w:rPr>
                <w:sz w:val="18"/>
                <w:szCs w:val="18"/>
                <w:lang w:val="lt-LT"/>
              </w:rPr>
            </w:pPr>
            <w:r w:rsidRPr="00E10C99">
              <w:rPr>
                <w:sz w:val="18"/>
                <w:szCs w:val="18"/>
                <w:lang w:val="lt-LT"/>
              </w:rPr>
              <w:t xml:space="preserve">Zaburzenia układu nerwowego </w:t>
            </w:r>
          </w:p>
        </w:tc>
        <w:tc>
          <w:tcPr>
            <w:tcW w:w="756" w:type="pct"/>
          </w:tcPr>
          <w:p w14:paraId="5746C6DB" w14:textId="77777777" w:rsidR="00F64258" w:rsidRPr="00E10C99" w:rsidRDefault="00F64258" w:rsidP="00377244">
            <w:pPr>
              <w:pStyle w:val="Default"/>
              <w:rPr>
                <w:sz w:val="18"/>
                <w:szCs w:val="18"/>
                <w:lang w:val="lt-LT"/>
              </w:rPr>
            </w:pPr>
            <w:r w:rsidRPr="00E10C99">
              <w:rPr>
                <w:sz w:val="18"/>
                <w:szCs w:val="18"/>
                <w:lang w:val="lt-LT"/>
              </w:rPr>
              <w:t>Obwodowa neuropatia czuciowa</w:t>
            </w:r>
            <w:r w:rsidRPr="00E10C99">
              <w:rPr>
                <w:sz w:val="18"/>
                <w:szCs w:val="18"/>
                <w:vertAlign w:val="superscript"/>
                <w:lang w:val="lt-LT"/>
              </w:rPr>
              <w:t>a</w:t>
            </w:r>
            <w:r w:rsidRPr="00E10C99">
              <w:rPr>
                <w:sz w:val="18"/>
                <w:szCs w:val="18"/>
                <w:lang w:val="lt-LT"/>
              </w:rPr>
              <w:t xml:space="preserve"> </w:t>
            </w:r>
          </w:p>
        </w:tc>
        <w:tc>
          <w:tcPr>
            <w:tcW w:w="756" w:type="pct"/>
          </w:tcPr>
          <w:p w14:paraId="5147A682" w14:textId="77777777" w:rsidR="00F64258" w:rsidRPr="00E10C99" w:rsidRDefault="00F64258" w:rsidP="00377244">
            <w:pPr>
              <w:pStyle w:val="Default"/>
              <w:rPr>
                <w:sz w:val="18"/>
                <w:szCs w:val="18"/>
                <w:lang w:val="lt-LT"/>
              </w:rPr>
            </w:pPr>
            <w:r w:rsidRPr="00E10C99">
              <w:rPr>
                <w:sz w:val="18"/>
                <w:szCs w:val="18"/>
                <w:lang w:val="lt-LT"/>
              </w:rPr>
              <w:t xml:space="preserve">Udar mózgu, </w:t>
            </w:r>
          </w:p>
          <w:p w14:paraId="44CBB918" w14:textId="77777777" w:rsidR="00F64258" w:rsidRPr="00E10C99" w:rsidRDefault="00F64258" w:rsidP="00377244">
            <w:pPr>
              <w:pStyle w:val="Default"/>
              <w:rPr>
                <w:sz w:val="18"/>
                <w:szCs w:val="18"/>
                <w:lang w:val="lt-LT"/>
              </w:rPr>
            </w:pPr>
            <w:r w:rsidRPr="00E10C99">
              <w:rPr>
                <w:sz w:val="18"/>
                <w:szCs w:val="18"/>
                <w:lang w:val="lt-LT"/>
              </w:rPr>
              <w:t xml:space="preserve">Omdlenie, </w:t>
            </w:r>
          </w:p>
          <w:p w14:paraId="5688AED3" w14:textId="77777777" w:rsidR="00F64258" w:rsidRPr="00E10C99" w:rsidRDefault="00F64258" w:rsidP="00377244">
            <w:pPr>
              <w:pStyle w:val="Default"/>
              <w:rPr>
                <w:sz w:val="18"/>
                <w:szCs w:val="18"/>
                <w:lang w:val="lt-LT"/>
              </w:rPr>
            </w:pPr>
            <w:r w:rsidRPr="00E10C99">
              <w:rPr>
                <w:sz w:val="18"/>
                <w:szCs w:val="18"/>
                <w:lang w:val="lt-LT"/>
              </w:rPr>
              <w:t xml:space="preserve">Senność, </w:t>
            </w:r>
          </w:p>
          <w:p w14:paraId="54A7BE13" w14:textId="77777777" w:rsidR="00F64258" w:rsidRPr="00E10C99" w:rsidRDefault="00F64258" w:rsidP="00377244">
            <w:pPr>
              <w:pStyle w:val="Default"/>
              <w:rPr>
                <w:sz w:val="18"/>
                <w:szCs w:val="18"/>
                <w:lang w:val="lt-LT"/>
              </w:rPr>
            </w:pPr>
            <w:r w:rsidRPr="00E10C99">
              <w:rPr>
                <w:sz w:val="18"/>
                <w:szCs w:val="18"/>
                <w:lang w:val="lt-LT"/>
              </w:rPr>
              <w:t xml:space="preserve">Ból głowy </w:t>
            </w:r>
          </w:p>
        </w:tc>
        <w:tc>
          <w:tcPr>
            <w:tcW w:w="687" w:type="pct"/>
          </w:tcPr>
          <w:p w14:paraId="4233CE8C" w14:textId="77777777" w:rsidR="00F64258" w:rsidRPr="00E10C99" w:rsidRDefault="00F64258" w:rsidP="00377244">
            <w:pPr>
              <w:rPr>
                <w:rFonts w:ascii="Times New Roman" w:hAnsi="Times New Roman" w:cs="Times New Roman"/>
                <w:sz w:val="18"/>
                <w:szCs w:val="18"/>
                <w:lang w:val="lt-LT"/>
              </w:rPr>
            </w:pPr>
          </w:p>
        </w:tc>
        <w:tc>
          <w:tcPr>
            <w:tcW w:w="550" w:type="pct"/>
          </w:tcPr>
          <w:p w14:paraId="58879D0F" w14:textId="77777777" w:rsidR="00F64258" w:rsidRPr="00E10C99" w:rsidRDefault="00F64258" w:rsidP="00377244">
            <w:pPr>
              <w:rPr>
                <w:rFonts w:ascii="Times New Roman" w:hAnsi="Times New Roman" w:cs="Times New Roman"/>
                <w:sz w:val="18"/>
                <w:szCs w:val="18"/>
                <w:lang w:val="lt-LT"/>
              </w:rPr>
            </w:pPr>
          </w:p>
        </w:tc>
        <w:tc>
          <w:tcPr>
            <w:tcW w:w="687" w:type="pct"/>
          </w:tcPr>
          <w:p w14:paraId="65A13E3C" w14:textId="77777777" w:rsidR="00F64258" w:rsidRPr="00E10C99" w:rsidRDefault="00F64258" w:rsidP="00377244">
            <w:pPr>
              <w:rPr>
                <w:rFonts w:ascii="Times New Roman" w:hAnsi="Times New Roman" w:cs="Times New Roman"/>
                <w:sz w:val="18"/>
                <w:szCs w:val="18"/>
                <w:lang w:val="lt-LT"/>
              </w:rPr>
            </w:pPr>
          </w:p>
        </w:tc>
        <w:tc>
          <w:tcPr>
            <w:tcW w:w="756" w:type="pct"/>
          </w:tcPr>
          <w:p w14:paraId="75DD7250" w14:textId="77777777" w:rsidR="00F64258" w:rsidRPr="00E10C99" w:rsidRDefault="00F64258" w:rsidP="00377244">
            <w:pPr>
              <w:pStyle w:val="Default"/>
              <w:rPr>
                <w:sz w:val="18"/>
                <w:szCs w:val="18"/>
                <w:lang w:val="lt-LT"/>
              </w:rPr>
            </w:pPr>
            <w:r w:rsidRPr="00E10C99">
              <w:rPr>
                <w:sz w:val="18"/>
                <w:szCs w:val="18"/>
                <w:lang w:val="lt-LT"/>
              </w:rPr>
              <w:t>Zespół tylnej odwracalnej encefalopatii</w:t>
            </w:r>
            <w:r w:rsidRPr="00E10C99">
              <w:rPr>
                <w:sz w:val="18"/>
                <w:szCs w:val="18"/>
                <w:vertAlign w:val="superscript"/>
                <w:lang w:val="lt-LT"/>
              </w:rPr>
              <w:t>a,b,c</w:t>
            </w:r>
            <w:r w:rsidRPr="00E10C99">
              <w:rPr>
                <w:sz w:val="18"/>
                <w:szCs w:val="18"/>
                <w:lang w:val="lt-LT"/>
              </w:rPr>
              <w:t xml:space="preserve">, </w:t>
            </w:r>
          </w:p>
          <w:p w14:paraId="4B776431" w14:textId="77777777" w:rsidR="00F64258" w:rsidRPr="00E10C99" w:rsidRDefault="00F64258" w:rsidP="00377244">
            <w:pPr>
              <w:rPr>
                <w:rFonts w:ascii="Times New Roman" w:hAnsi="Times New Roman" w:cs="Times New Roman"/>
                <w:sz w:val="18"/>
                <w:szCs w:val="18"/>
                <w:lang w:val="lt-LT"/>
              </w:rPr>
            </w:pPr>
            <w:r w:rsidRPr="00E10C99">
              <w:rPr>
                <w:rFonts w:ascii="Times New Roman" w:hAnsi="Times New Roman" w:cs="Times New Roman"/>
                <w:sz w:val="18"/>
                <w:szCs w:val="18"/>
                <w:lang w:val="lt-LT"/>
              </w:rPr>
              <w:t>Encefalopatia nadciśnieniowa</w:t>
            </w:r>
            <w:r w:rsidRPr="00E10C99">
              <w:rPr>
                <w:rFonts w:ascii="Times New Roman" w:hAnsi="Times New Roman" w:cs="Times New Roman"/>
                <w:sz w:val="18"/>
                <w:szCs w:val="18"/>
                <w:vertAlign w:val="superscript"/>
                <w:lang w:val="lt-LT"/>
              </w:rPr>
              <w:t>c</w:t>
            </w:r>
            <w:r w:rsidRPr="00E10C99">
              <w:rPr>
                <w:rFonts w:ascii="Times New Roman" w:hAnsi="Times New Roman" w:cs="Times New Roman"/>
                <w:sz w:val="18"/>
                <w:szCs w:val="18"/>
                <w:lang w:val="lt-LT"/>
              </w:rPr>
              <w:t xml:space="preserve"> </w:t>
            </w:r>
          </w:p>
        </w:tc>
      </w:tr>
      <w:tr w:rsidR="003141EC" w:rsidRPr="008C2A94" w14:paraId="0F954995" w14:textId="77777777" w:rsidTr="00F533B1">
        <w:tc>
          <w:tcPr>
            <w:tcW w:w="809" w:type="pct"/>
          </w:tcPr>
          <w:p w14:paraId="744C9F7C" w14:textId="77777777" w:rsidR="00F64258" w:rsidRPr="00E10C99" w:rsidRDefault="00557DD6" w:rsidP="00557DD6">
            <w:pPr>
              <w:pStyle w:val="Default"/>
              <w:rPr>
                <w:sz w:val="18"/>
                <w:szCs w:val="18"/>
                <w:lang w:val="lt-LT"/>
              </w:rPr>
            </w:pPr>
            <w:r w:rsidRPr="00E10C99">
              <w:rPr>
                <w:sz w:val="18"/>
                <w:szCs w:val="18"/>
                <w:lang w:val="lt-LT"/>
              </w:rPr>
              <w:t>Zaburzenia serca</w:t>
            </w:r>
          </w:p>
        </w:tc>
        <w:tc>
          <w:tcPr>
            <w:tcW w:w="756" w:type="pct"/>
          </w:tcPr>
          <w:p w14:paraId="3A8F5B66" w14:textId="77777777" w:rsidR="00F64258" w:rsidRPr="00E10C99" w:rsidRDefault="00F64258" w:rsidP="00377244">
            <w:pPr>
              <w:rPr>
                <w:rFonts w:ascii="Times New Roman" w:hAnsi="Times New Roman" w:cs="Times New Roman"/>
                <w:sz w:val="18"/>
                <w:szCs w:val="18"/>
                <w:lang w:val="lt-LT"/>
              </w:rPr>
            </w:pPr>
          </w:p>
        </w:tc>
        <w:tc>
          <w:tcPr>
            <w:tcW w:w="756" w:type="pct"/>
          </w:tcPr>
          <w:p w14:paraId="28B21B91" w14:textId="77777777" w:rsidR="00F64258" w:rsidRPr="00E10C99" w:rsidRDefault="00F64258" w:rsidP="00377244">
            <w:pPr>
              <w:pStyle w:val="Default"/>
              <w:rPr>
                <w:sz w:val="18"/>
                <w:szCs w:val="18"/>
                <w:lang w:val="lt-LT"/>
              </w:rPr>
            </w:pPr>
            <w:r w:rsidRPr="00E10C99">
              <w:rPr>
                <w:sz w:val="18"/>
                <w:szCs w:val="18"/>
                <w:lang w:val="lt-LT"/>
              </w:rPr>
              <w:t>Zastoinowa niewydolność serca</w:t>
            </w:r>
            <w:r w:rsidRPr="00E10C99">
              <w:rPr>
                <w:sz w:val="18"/>
                <w:szCs w:val="18"/>
                <w:vertAlign w:val="superscript"/>
                <w:lang w:val="lt-LT"/>
              </w:rPr>
              <w:t>a,b</w:t>
            </w:r>
            <w:r w:rsidRPr="00E10C99">
              <w:rPr>
                <w:sz w:val="18"/>
                <w:szCs w:val="18"/>
                <w:lang w:val="lt-LT"/>
              </w:rPr>
              <w:t xml:space="preserve">, </w:t>
            </w:r>
          </w:p>
          <w:p w14:paraId="53D85667" w14:textId="77777777" w:rsidR="00F64258" w:rsidRPr="00E10C99" w:rsidRDefault="00F64258" w:rsidP="00377244">
            <w:pPr>
              <w:rPr>
                <w:rFonts w:ascii="Times New Roman" w:hAnsi="Times New Roman" w:cs="Times New Roman"/>
                <w:sz w:val="18"/>
                <w:szCs w:val="18"/>
                <w:lang w:val="lt-LT"/>
              </w:rPr>
            </w:pPr>
            <w:r w:rsidRPr="00E10C99">
              <w:rPr>
                <w:rFonts w:ascii="Times New Roman" w:hAnsi="Times New Roman" w:cs="Times New Roman"/>
                <w:sz w:val="18"/>
                <w:szCs w:val="18"/>
                <w:lang w:val="lt-LT"/>
              </w:rPr>
              <w:t xml:space="preserve">Tachykardia nadkomorowa </w:t>
            </w:r>
          </w:p>
        </w:tc>
        <w:tc>
          <w:tcPr>
            <w:tcW w:w="687" w:type="pct"/>
          </w:tcPr>
          <w:p w14:paraId="2D778742" w14:textId="77777777" w:rsidR="00F64258" w:rsidRPr="00E10C99" w:rsidRDefault="00F64258" w:rsidP="00377244">
            <w:pPr>
              <w:rPr>
                <w:rFonts w:ascii="Times New Roman" w:hAnsi="Times New Roman" w:cs="Times New Roman"/>
                <w:sz w:val="18"/>
                <w:szCs w:val="18"/>
                <w:lang w:val="lt-LT"/>
              </w:rPr>
            </w:pPr>
          </w:p>
        </w:tc>
        <w:tc>
          <w:tcPr>
            <w:tcW w:w="550" w:type="pct"/>
          </w:tcPr>
          <w:p w14:paraId="5D8CC0A6" w14:textId="77777777" w:rsidR="00F64258" w:rsidRPr="00E10C99" w:rsidRDefault="00F64258" w:rsidP="00377244">
            <w:pPr>
              <w:rPr>
                <w:rFonts w:ascii="Times New Roman" w:hAnsi="Times New Roman" w:cs="Times New Roman"/>
                <w:sz w:val="18"/>
                <w:szCs w:val="18"/>
                <w:lang w:val="lt-LT"/>
              </w:rPr>
            </w:pPr>
          </w:p>
        </w:tc>
        <w:tc>
          <w:tcPr>
            <w:tcW w:w="687" w:type="pct"/>
          </w:tcPr>
          <w:p w14:paraId="7BC779B1" w14:textId="77777777" w:rsidR="00F64258" w:rsidRPr="00E10C99" w:rsidRDefault="00F64258" w:rsidP="00377244">
            <w:pPr>
              <w:rPr>
                <w:rFonts w:ascii="Times New Roman" w:hAnsi="Times New Roman" w:cs="Times New Roman"/>
                <w:sz w:val="18"/>
                <w:szCs w:val="18"/>
                <w:lang w:val="lt-LT"/>
              </w:rPr>
            </w:pPr>
          </w:p>
        </w:tc>
        <w:tc>
          <w:tcPr>
            <w:tcW w:w="756" w:type="pct"/>
          </w:tcPr>
          <w:p w14:paraId="2E946FE4" w14:textId="77777777" w:rsidR="00F64258" w:rsidRPr="00E10C99" w:rsidRDefault="00F64258" w:rsidP="00377244">
            <w:pPr>
              <w:rPr>
                <w:rFonts w:ascii="Times New Roman" w:hAnsi="Times New Roman" w:cs="Times New Roman"/>
                <w:sz w:val="18"/>
                <w:szCs w:val="18"/>
                <w:lang w:val="lt-LT"/>
              </w:rPr>
            </w:pPr>
          </w:p>
        </w:tc>
      </w:tr>
      <w:tr w:rsidR="003141EC" w:rsidRPr="008C2A94" w14:paraId="35003958" w14:textId="77777777" w:rsidTr="00F533B1">
        <w:tc>
          <w:tcPr>
            <w:tcW w:w="809" w:type="pct"/>
          </w:tcPr>
          <w:p w14:paraId="6D34A51B" w14:textId="77777777" w:rsidR="00F64258" w:rsidRPr="00E10C99" w:rsidRDefault="00F64258" w:rsidP="00377244">
            <w:pPr>
              <w:pStyle w:val="Default"/>
              <w:rPr>
                <w:sz w:val="18"/>
                <w:szCs w:val="18"/>
                <w:lang w:val="lt-LT"/>
              </w:rPr>
            </w:pPr>
            <w:r w:rsidRPr="00E10C99">
              <w:rPr>
                <w:sz w:val="18"/>
                <w:szCs w:val="18"/>
                <w:lang w:val="lt-LT"/>
              </w:rPr>
              <w:t xml:space="preserve">Zaburzenia naczyniowe </w:t>
            </w:r>
          </w:p>
        </w:tc>
        <w:tc>
          <w:tcPr>
            <w:tcW w:w="756" w:type="pct"/>
          </w:tcPr>
          <w:p w14:paraId="17AEDDB2" w14:textId="77777777" w:rsidR="00F64258" w:rsidRPr="00E10C99" w:rsidRDefault="00F64258" w:rsidP="00377244">
            <w:pPr>
              <w:pStyle w:val="Default"/>
              <w:rPr>
                <w:sz w:val="18"/>
                <w:szCs w:val="18"/>
                <w:lang w:val="lt-LT"/>
              </w:rPr>
            </w:pPr>
            <w:r w:rsidRPr="00E10C99">
              <w:rPr>
                <w:sz w:val="18"/>
                <w:szCs w:val="18"/>
                <w:lang w:val="lt-LT"/>
              </w:rPr>
              <w:t>Nadciśnienie</w:t>
            </w:r>
            <w:r w:rsidRPr="00E10C99">
              <w:rPr>
                <w:sz w:val="18"/>
                <w:szCs w:val="18"/>
                <w:vertAlign w:val="superscript"/>
                <w:lang w:val="lt-LT"/>
              </w:rPr>
              <w:t>a,b</w:t>
            </w:r>
            <w:r w:rsidRPr="00E10C99">
              <w:rPr>
                <w:sz w:val="18"/>
                <w:szCs w:val="18"/>
                <w:lang w:val="lt-LT"/>
              </w:rPr>
              <w:t xml:space="preserve"> </w:t>
            </w:r>
          </w:p>
        </w:tc>
        <w:tc>
          <w:tcPr>
            <w:tcW w:w="756" w:type="pct"/>
          </w:tcPr>
          <w:p w14:paraId="2A7BA3E5" w14:textId="77777777" w:rsidR="00F64258" w:rsidRPr="00E10C99" w:rsidRDefault="00F64258" w:rsidP="00377244">
            <w:pPr>
              <w:pStyle w:val="Default"/>
              <w:rPr>
                <w:sz w:val="18"/>
                <w:szCs w:val="18"/>
                <w:lang w:val="lt-LT"/>
              </w:rPr>
            </w:pPr>
            <w:r w:rsidRPr="00E10C99">
              <w:rPr>
                <w:sz w:val="18"/>
                <w:szCs w:val="18"/>
                <w:lang w:val="lt-LT"/>
              </w:rPr>
              <w:t>Zakrzepica zatorowa (tętnicza)</w:t>
            </w:r>
            <w:r w:rsidRPr="00E10C99">
              <w:rPr>
                <w:sz w:val="18"/>
                <w:szCs w:val="18"/>
                <w:vertAlign w:val="superscript"/>
                <w:lang w:val="lt-LT"/>
              </w:rPr>
              <w:t>a,b</w:t>
            </w:r>
            <w:r w:rsidRPr="00E10C99">
              <w:rPr>
                <w:sz w:val="18"/>
                <w:szCs w:val="18"/>
                <w:lang w:val="lt-LT"/>
              </w:rPr>
              <w:t xml:space="preserve">, </w:t>
            </w:r>
          </w:p>
          <w:p w14:paraId="644B64CD" w14:textId="77777777" w:rsidR="00F64258" w:rsidRPr="00E10C99" w:rsidRDefault="00F64258" w:rsidP="00377244">
            <w:pPr>
              <w:pStyle w:val="Default"/>
              <w:rPr>
                <w:sz w:val="18"/>
                <w:szCs w:val="18"/>
                <w:lang w:val="lt-LT"/>
              </w:rPr>
            </w:pPr>
            <w:r w:rsidRPr="00E10C99">
              <w:rPr>
                <w:sz w:val="18"/>
                <w:szCs w:val="18"/>
                <w:lang w:val="lt-LT"/>
              </w:rPr>
              <w:t>Krwotok</w:t>
            </w:r>
            <w:r w:rsidRPr="00E10C99">
              <w:rPr>
                <w:sz w:val="18"/>
                <w:szCs w:val="18"/>
                <w:vertAlign w:val="superscript"/>
                <w:lang w:val="lt-LT"/>
              </w:rPr>
              <w:t>a,b</w:t>
            </w:r>
            <w:r w:rsidRPr="00E10C99">
              <w:rPr>
                <w:sz w:val="18"/>
                <w:szCs w:val="18"/>
                <w:lang w:val="lt-LT"/>
              </w:rPr>
              <w:t xml:space="preserve">, </w:t>
            </w:r>
          </w:p>
          <w:p w14:paraId="3B66F9CB" w14:textId="77777777" w:rsidR="00F64258" w:rsidRPr="00E10C99" w:rsidRDefault="00F64258" w:rsidP="00377244">
            <w:pPr>
              <w:pStyle w:val="Default"/>
              <w:rPr>
                <w:sz w:val="18"/>
                <w:szCs w:val="18"/>
                <w:lang w:val="lt-LT"/>
              </w:rPr>
            </w:pPr>
            <w:r w:rsidRPr="00E10C99">
              <w:rPr>
                <w:sz w:val="18"/>
                <w:szCs w:val="18"/>
                <w:lang w:val="lt-LT"/>
              </w:rPr>
              <w:t>Zakrzepica zatorowa (żylna)</w:t>
            </w:r>
            <w:r w:rsidRPr="00E10C99">
              <w:rPr>
                <w:sz w:val="18"/>
                <w:szCs w:val="18"/>
                <w:vertAlign w:val="superscript"/>
                <w:lang w:val="lt-LT"/>
              </w:rPr>
              <w:t>a,b</w:t>
            </w:r>
            <w:r w:rsidRPr="00E10C99">
              <w:rPr>
                <w:sz w:val="18"/>
                <w:szCs w:val="18"/>
                <w:lang w:val="lt-LT"/>
              </w:rPr>
              <w:t xml:space="preserve">, </w:t>
            </w:r>
          </w:p>
          <w:p w14:paraId="7889BB1B" w14:textId="77777777" w:rsidR="00F64258" w:rsidRPr="00E10C99" w:rsidRDefault="00F64258" w:rsidP="00377244">
            <w:pPr>
              <w:pStyle w:val="Default"/>
              <w:rPr>
                <w:sz w:val="18"/>
                <w:szCs w:val="18"/>
                <w:lang w:val="lt-LT"/>
              </w:rPr>
            </w:pPr>
            <w:r w:rsidRPr="00E10C99">
              <w:rPr>
                <w:sz w:val="18"/>
                <w:szCs w:val="18"/>
                <w:lang w:val="lt-LT"/>
              </w:rPr>
              <w:t xml:space="preserve">Zakrzepica żył głębokich </w:t>
            </w:r>
          </w:p>
        </w:tc>
        <w:tc>
          <w:tcPr>
            <w:tcW w:w="687" w:type="pct"/>
          </w:tcPr>
          <w:p w14:paraId="56DBFD42" w14:textId="77777777" w:rsidR="00F64258" w:rsidRPr="00E10C99" w:rsidRDefault="00F64258" w:rsidP="00377244">
            <w:pPr>
              <w:rPr>
                <w:rFonts w:ascii="Times New Roman" w:hAnsi="Times New Roman" w:cs="Times New Roman"/>
                <w:sz w:val="18"/>
                <w:szCs w:val="18"/>
                <w:lang w:val="lt-LT"/>
              </w:rPr>
            </w:pPr>
          </w:p>
        </w:tc>
        <w:tc>
          <w:tcPr>
            <w:tcW w:w="550" w:type="pct"/>
          </w:tcPr>
          <w:p w14:paraId="508FAFF5" w14:textId="77777777" w:rsidR="00F64258" w:rsidRPr="00E10C99" w:rsidRDefault="00F64258" w:rsidP="00377244">
            <w:pPr>
              <w:rPr>
                <w:rFonts w:ascii="Times New Roman" w:hAnsi="Times New Roman" w:cs="Times New Roman"/>
                <w:sz w:val="18"/>
                <w:szCs w:val="18"/>
                <w:lang w:val="lt-LT"/>
              </w:rPr>
            </w:pPr>
          </w:p>
        </w:tc>
        <w:tc>
          <w:tcPr>
            <w:tcW w:w="687" w:type="pct"/>
          </w:tcPr>
          <w:p w14:paraId="335E21D2" w14:textId="77777777" w:rsidR="00F64258" w:rsidRPr="00E10C99" w:rsidRDefault="00F64258" w:rsidP="00377244">
            <w:pPr>
              <w:rPr>
                <w:rFonts w:ascii="Times New Roman" w:hAnsi="Times New Roman" w:cs="Times New Roman"/>
                <w:sz w:val="18"/>
                <w:szCs w:val="18"/>
                <w:lang w:val="lt-LT"/>
              </w:rPr>
            </w:pPr>
          </w:p>
        </w:tc>
        <w:tc>
          <w:tcPr>
            <w:tcW w:w="756" w:type="pct"/>
          </w:tcPr>
          <w:p w14:paraId="3D444AA2" w14:textId="77777777" w:rsidR="00F64258" w:rsidRPr="00E10C99" w:rsidRDefault="00F64258" w:rsidP="00377244">
            <w:pPr>
              <w:pStyle w:val="Default"/>
              <w:rPr>
                <w:sz w:val="18"/>
                <w:szCs w:val="18"/>
                <w:lang w:val="lt-LT"/>
              </w:rPr>
            </w:pPr>
            <w:r w:rsidRPr="00E10C99">
              <w:rPr>
                <w:sz w:val="18"/>
                <w:szCs w:val="18"/>
                <w:lang w:val="lt-LT"/>
              </w:rPr>
              <w:t>Mikroangiopatia zakrzepowa nerek</w:t>
            </w:r>
            <w:r w:rsidRPr="00E10C99">
              <w:rPr>
                <w:sz w:val="18"/>
                <w:szCs w:val="18"/>
                <w:vertAlign w:val="superscript"/>
                <w:lang w:val="lt-LT"/>
              </w:rPr>
              <w:t>b,c</w:t>
            </w:r>
            <w:r w:rsidR="0038156C" w:rsidRPr="00023583">
              <w:rPr>
                <w:sz w:val="18"/>
                <w:szCs w:val="18"/>
                <w:lang w:val="lt-LT"/>
              </w:rPr>
              <w:t>,</w:t>
            </w:r>
            <w:r w:rsidRPr="00E10C99">
              <w:rPr>
                <w:sz w:val="18"/>
                <w:szCs w:val="18"/>
                <w:lang w:val="lt-LT"/>
              </w:rPr>
              <w:t xml:space="preserve"> </w:t>
            </w:r>
          </w:p>
          <w:p w14:paraId="7FEFFE6B" w14:textId="77777777" w:rsidR="00F64258" w:rsidRPr="00E10C99" w:rsidRDefault="00B477D9" w:rsidP="00FF158E">
            <w:pPr>
              <w:pStyle w:val="Default"/>
              <w:rPr>
                <w:sz w:val="18"/>
                <w:szCs w:val="18"/>
                <w:lang w:val="lt-LT"/>
              </w:rPr>
            </w:pPr>
            <w:r w:rsidRPr="00FF158E">
              <w:rPr>
                <w:sz w:val="18"/>
                <w:szCs w:val="18"/>
                <w:lang w:val="lt-LT"/>
              </w:rPr>
              <w:t>Tętniaki i rozwarstwieni</w:t>
            </w:r>
            <w:r w:rsidR="001B6E0A">
              <w:rPr>
                <w:sz w:val="18"/>
                <w:szCs w:val="18"/>
                <w:lang w:val="lt-LT"/>
              </w:rPr>
              <w:t>a</w:t>
            </w:r>
            <w:r w:rsidRPr="00FF158E">
              <w:rPr>
                <w:sz w:val="18"/>
                <w:szCs w:val="18"/>
                <w:lang w:val="lt-LT"/>
              </w:rPr>
              <w:t xml:space="preserve"> tętnic</w:t>
            </w:r>
          </w:p>
        </w:tc>
      </w:tr>
      <w:tr w:rsidR="003141EC" w:rsidRPr="008C2A94" w14:paraId="62084C6C" w14:textId="77777777" w:rsidTr="00F533B1">
        <w:tc>
          <w:tcPr>
            <w:tcW w:w="809" w:type="pct"/>
          </w:tcPr>
          <w:p w14:paraId="64A4C327" w14:textId="77777777" w:rsidR="00F64258" w:rsidRPr="00E10C99" w:rsidRDefault="00F64258" w:rsidP="00377244">
            <w:pPr>
              <w:pStyle w:val="Default"/>
              <w:rPr>
                <w:sz w:val="18"/>
                <w:szCs w:val="18"/>
                <w:lang w:val="lt-LT"/>
              </w:rPr>
            </w:pPr>
            <w:r w:rsidRPr="00E10C99">
              <w:rPr>
                <w:sz w:val="18"/>
                <w:szCs w:val="18"/>
                <w:lang w:val="lt-LT"/>
              </w:rPr>
              <w:t>Zaburzenia układu oddechowego, k</w:t>
            </w:r>
            <w:r w:rsidR="00557DD6" w:rsidRPr="00E10C99">
              <w:rPr>
                <w:sz w:val="18"/>
                <w:szCs w:val="18"/>
                <w:lang w:val="lt-LT"/>
              </w:rPr>
              <w:t>latki piersiowej i śródpiersia</w:t>
            </w:r>
          </w:p>
        </w:tc>
        <w:tc>
          <w:tcPr>
            <w:tcW w:w="756" w:type="pct"/>
          </w:tcPr>
          <w:p w14:paraId="1FDF955F" w14:textId="77777777" w:rsidR="00F64258" w:rsidRPr="00E10C99" w:rsidRDefault="00F64258" w:rsidP="00377244">
            <w:pPr>
              <w:pStyle w:val="Default"/>
              <w:rPr>
                <w:sz w:val="18"/>
                <w:szCs w:val="18"/>
                <w:lang w:val="lt-LT"/>
              </w:rPr>
            </w:pPr>
          </w:p>
        </w:tc>
        <w:tc>
          <w:tcPr>
            <w:tcW w:w="756" w:type="pct"/>
          </w:tcPr>
          <w:p w14:paraId="5F722E0F" w14:textId="77777777" w:rsidR="00F64258" w:rsidRPr="00E10C99" w:rsidRDefault="00F64258" w:rsidP="00377244">
            <w:pPr>
              <w:pStyle w:val="Default"/>
              <w:rPr>
                <w:sz w:val="18"/>
                <w:szCs w:val="18"/>
                <w:lang w:val="lt-LT"/>
              </w:rPr>
            </w:pPr>
            <w:r w:rsidRPr="00E10C99">
              <w:rPr>
                <w:sz w:val="18"/>
                <w:szCs w:val="18"/>
                <w:lang w:val="lt-LT"/>
              </w:rPr>
              <w:t>Krwotok płucny/ Krwioplucie</w:t>
            </w:r>
            <w:r w:rsidRPr="00E10C99">
              <w:rPr>
                <w:sz w:val="18"/>
                <w:szCs w:val="18"/>
                <w:vertAlign w:val="superscript"/>
                <w:lang w:val="lt-LT"/>
              </w:rPr>
              <w:t>a,b</w:t>
            </w:r>
            <w:r w:rsidRPr="00E10C99">
              <w:rPr>
                <w:sz w:val="18"/>
                <w:szCs w:val="18"/>
                <w:lang w:val="lt-LT"/>
              </w:rPr>
              <w:t xml:space="preserve">, </w:t>
            </w:r>
          </w:p>
          <w:p w14:paraId="3A5DD967" w14:textId="77777777" w:rsidR="0010237A" w:rsidRDefault="0010237A" w:rsidP="00377244">
            <w:pPr>
              <w:pStyle w:val="Default"/>
              <w:rPr>
                <w:sz w:val="18"/>
                <w:szCs w:val="18"/>
                <w:lang w:val="lt-LT"/>
              </w:rPr>
            </w:pPr>
            <w:r>
              <w:rPr>
                <w:sz w:val="18"/>
                <w:szCs w:val="18"/>
                <w:lang w:val="lt-LT"/>
              </w:rPr>
              <w:t>Zatorowość płucna,</w:t>
            </w:r>
          </w:p>
          <w:p w14:paraId="3D6A2A19" w14:textId="77777777" w:rsidR="0010237A" w:rsidRDefault="0010237A" w:rsidP="00377244">
            <w:pPr>
              <w:pStyle w:val="Default"/>
              <w:rPr>
                <w:sz w:val="18"/>
                <w:szCs w:val="18"/>
                <w:lang w:val="lt-LT"/>
              </w:rPr>
            </w:pPr>
            <w:r>
              <w:rPr>
                <w:sz w:val="18"/>
                <w:szCs w:val="18"/>
                <w:lang w:val="lt-LT"/>
              </w:rPr>
              <w:t>Krwawienie z nosa,</w:t>
            </w:r>
          </w:p>
          <w:p w14:paraId="2CDDC737" w14:textId="77777777" w:rsidR="00F64258" w:rsidRPr="00E10C99" w:rsidRDefault="00F64258" w:rsidP="00377244">
            <w:pPr>
              <w:pStyle w:val="Default"/>
              <w:rPr>
                <w:sz w:val="18"/>
                <w:szCs w:val="18"/>
                <w:lang w:val="lt-LT"/>
              </w:rPr>
            </w:pPr>
            <w:r w:rsidRPr="00E10C99">
              <w:rPr>
                <w:sz w:val="18"/>
                <w:szCs w:val="18"/>
                <w:lang w:val="lt-LT"/>
              </w:rPr>
              <w:t xml:space="preserve">Duszność, </w:t>
            </w:r>
          </w:p>
          <w:p w14:paraId="5330636B" w14:textId="77777777" w:rsidR="00F64258" w:rsidRPr="00E10C99" w:rsidRDefault="00F64258" w:rsidP="009C0D48">
            <w:pPr>
              <w:pStyle w:val="Default"/>
              <w:rPr>
                <w:sz w:val="18"/>
                <w:szCs w:val="18"/>
                <w:lang w:val="lt-LT"/>
              </w:rPr>
            </w:pPr>
            <w:r w:rsidRPr="00E10C99">
              <w:rPr>
                <w:sz w:val="18"/>
                <w:szCs w:val="18"/>
                <w:lang w:val="lt-LT"/>
              </w:rPr>
              <w:t xml:space="preserve">Niedotlenienie </w:t>
            </w:r>
          </w:p>
        </w:tc>
        <w:tc>
          <w:tcPr>
            <w:tcW w:w="687" w:type="pct"/>
          </w:tcPr>
          <w:p w14:paraId="0262E2EE" w14:textId="77777777" w:rsidR="00F64258" w:rsidRPr="00E10C99" w:rsidRDefault="00F64258" w:rsidP="00377244">
            <w:pPr>
              <w:rPr>
                <w:rFonts w:ascii="Times New Roman" w:hAnsi="Times New Roman" w:cs="Times New Roman"/>
                <w:sz w:val="18"/>
                <w:szCs w:val="18"/>
                <w:lang w:val="lt-LT"/>
              </w:rPr>
            </w:pPr>
          </w:p>
        </w:tc>
        <w:tc>
          <w:tcPr>
            <w:tcW w:w="550" w:type="pct"/>
          </w:tcPr>
          <w:p w14:paraId="26A87CE2" w14:textId="77777777" w:rsidR="00F64258" w:rsidRPr="00E10C99" w:rsidRDefault="00F64258" w:rsidP="00377244">
            <w:pPr>
              <w:rPr>
                <w:rFonts w:ascii="Times New Roman" w:hAnsi="Times New Roman" w:cs="Times New Roman"/>
                <w:sz w:val="18"/>
                <w:szCs w:val="18"/>
                <w:lang w:val="lt-LT"/>
              </w:rPr>
            </w:pPr>
          </w:p>
        </w:tc>
        <w:tc>
          <w:tcPr>
            <w:tcW w:w="687" w:type="pct"/>
          </w:tcPr>
          <w:p w14:paraId="28CBBB54" w14:textId="77777777" w:rsidR="00F64258" w:rsidRPr="00E10C99" w:rsidRDefault="00F64258" w:rsidP="00377244">
            <w:pPr>
              <w:rPr>
                <w:rFonts w:ascii="Times New Roman" w:hAnsi="Times New Roman" w:cs="Times New Roman"/>
                <w:sz w:val="18"/>
                <w:szCs w:val="18"/>
                <w:lang w:val="lt-LT"/>
              </w:rPr>
            </w:pPr>
          </w:p>
        </w:tc>
        <w:tc>
          <w:tcPr>
            <w:tcW w:w="756" w:type="pct"/>
          </w:tcPr>
          <w:p w14:paraId="2ADE4C1A" w14:textId="77777777" w:rsidR="00F64258" w:rsidRPr="00E10C99" w:rsidRDefault="00F64258" w:rsidP="00377244">
            <w:pPr>
              <w:pStyle w:val="Default"/>
              <w:rPr>
                <w:sz w:val="18"/>
                <w:szCs w:val="18"/>
                <w:lang w:val="lt-LT"/>
              </w:rPr>
            </w:pPr>
            <w:r w:rsidRPr="00E10C99">
              <w:rPr>
                <w:sz w:val="18"/>
                <w:szCs w:val="18"/>
                <w:lang w:val="lt-LT"/>
              </w:rPr>
              <w:t>Nadciśnienie płucne</w:t>
            </w:r>
            <w:r w:rsidRPr="00E10C99">
              <w:rPr>
                <w:sz w:val="18"/>
                <w:szCs w:val="18"/>
                <w:vertAlign w:val="superscript"/>
                <w:lang w:val="lt-LT"/>
              </w:rPr>
              <w:t>c</w:t>
            </w:r>
            <w:r w:rsidRPr="00E10C99">
              <w:rPr>
                <w:sz w:val="18"/>
                <w:szCs w:val="18"/>
                <w:lang w:val="lt-LT"/>
              </w:rPr>
              <w:t xml:space="preserve">, </w:t>
            </w:r>
          </w:p>
          <w:p w14:paraId="2D1A38F8" w14:textId="77777777" w:rsidR="00F64258" w:rsidRPr="00E10C99" w:rsidRDefault="00F64258" w:rsidP="00377244">
            <w:pPr>
              <w:pStyle w:val="Default"/>
              <w:rPr>
                <w:sz w:val="18"/>
                <w:szCs w:val="18"/>
                <w:lang w:val="lt-LT"/>
              </w:rPr>
            </w:pPr>
            <w:r w:rsidRPr="00E10C99">
              <w:rPr>
                <w:sz w:val="18"/>
                <w:szCs w:val="18"/>
                <w:lang w:val="lt-LT"/>
              </w:rPr>
              <w:t>Peforacja przegrody nosa</w:t>
            </w:r>
            <w:r w:rsidRPr="00E10C99">
              <w:rPr>
                <w:sz w:val="18"/>
                <w:szCs w:val="18"/>
                <w:vertAlign w:val="superscript"/>
                <w:lang w:val="lt-LT"/>
              </w:rPr>
              <w:t>c</w:t>
            </w:r>
            <w:r w:rsidRPr="00E10C99">
              <w:rPr>
                <w:sz w:val="18"/>
                <w:szCs w:val="18"/>
                <w:lang w:val="lt-LT"/>
              </w:rPr>
              <w:t xml:space="preserve"> </w:t>
            </w:r>
          </w:p>
        </w:tc>
      </w:tr>
      <w:tr w:rsidR="003141EC" w:rsidRPr="00E10C99" w14:paraId="7F20AE6D" w14:textId="77777777" w:rsidTr="00F533B1">
        <w:tc>
          <w:tcPr>
            <w:tcW w:w="809" w:type="pct"/>
          </w:tcPr>
          <w:p w14:paraId="7368AC44" w14:textId="77777777" w:rsidR="00F64258" w:rsidRPr="00E10C99" w:rsidRDefault="00F64258" w:rsidP="006046D7">
            <w:pPr>
              <w:pStyle w:val="Default"/>
              <w:keepNext/>
              <w:keepLines/>
              <w:rPr>
                <w:sz w:val="18"/>
                <w:szCs w:val="18"/>
                <w:lang w:val="lt-LT"/>
              </w:rPr>
            </w:pPr>
            <w:r w:rsidRPr="00E10C99">
              <w:rPr>
                <w:sz w:val="18"/>
                <w:szCs w:val="18"/>
                <w:lang w:val="lt-LT"/>
              </w:rPr>
              <w:lastRenderedPageBreak/>
              <w:t xml:space="preserve">Zaburzenia żołądka i jelit </w:t>
            </w:r>
          </w:p>
        </w:tc>
        <w:tc>
          <w:tcPr>
            <w:tcW w:w="756" w:type="pct"/>
          </w:tcPr>
          <w:p w14:paraId="11A58F29" w14:textId="77777777" w:rsidR="00B44CD4" w:rsidRDefault="00F64258" w:rsidP="006046D7">
            <w:pPr>
              <w:pStyle w:val="Default"/>
              <w:keepNext/>
              <w:keepLines/>
              <w:rPr>
                <w:sz w:val="18"/>
                <w:szCs w:val="18"/>
                <w:lang w:val="lt-LT"/>
              </w:rPr>
            </w:pPr>
            <w:r w:rsidRPr="00E10C99">
              <w:rPr>
                <w:sz w:val="18"/>
                <w:szCs w:val="18"/>
                <w:lang w:val="lt-LT"/>
              </w:rPr>
              <w:t>Biegunka, Nudności, Wymioty,</w:t>
            </w:r>
          </w:p>
          <w:p w14:paraId="1771E573" w14:textId="77777777" w:rsidR="00F64258" w:rsidRPr="00E10C99" w:rsidRDefault="00F64258" w:rsidP="006046D7">
            <w:pPr>
              <w:pStyle w:val="Default"/>
              <w:keepNext/>
              <w:keepLines/>
              <w:rPr>
                <w:sz w:val="18"/>
                <w:szCs w:val="18"/>
                <w:lang w:val="lt-LT"/>
              </w:rPr>
            </w:pPr>
            <w:r w:rsidRPr="00E10C99">
              <w:rPr>
                <w:sz w:val="18"/>
                <w:szCs w:val="18"/>
                <w:lang w:val="lt-LT"/>
              </w:rPr>
              <w:t xml:space="preserve">Ból brzucha </w:t>
            </w:r>
          </w:p>
        </w:tc>
        <w:tc>
          <w:tcPr>
            <w:tcW w:w="756" w:type="pct"/>
          </w:tcPr>
          <w:p w14:paraId="077C202F" w14:textId="77777777" w:rsidR="00E77289" w:rsidRDefault="00F64258" w:rsidP="006046D7">
            <w:pPr>
              <w:pStyle w:val="Default"/>
              <w:keepNext/>
              <w:keepLines/>
              <w:rPr>
                <w:sz w:val="18"/>
                <w:szCs w:val="18"/>
                <w:lang w:val="lt-LT"/>
              </w:rPr>
            </w:pPr>
            <w:r w:rsidRPr="00E10C99">
              <w:rPr>
                <w:sz w:val="18"/>
                <w:szCs w:val="18"/>
                <w:lang w:val="lt-LT"/>
              </w:rPr>
              <w:t>Perfora</w:t>
            </w:r>
            <w:r w:rsidR="00E77289">
              <w:rPr>
                <w:sz w:val="18"/>
                <w:szCs w:val="18"/>
                <w:lang w:val="lt-LT"/>
              </w:rPr>
              <w:t>cja jelita, Niedrożność jelita,</w:t>
            </w:r>
          </w:p>
          <w:p w14:paraId="3FEB4F6A" w14:textId="77777777" w:rsidR="00E77289" w:rsidRDefault="00F64258" w:rsidP="006046D7">
            <w:pPr>
              <w:pStyle w:val="Default"/>
              <w:keepNext/>
              <w:keepLines/>
              <w:rPr>
                <w:sz w:val="18"/>
                <w:szCs w:val="18"/>
                <w:lang w:val="lt-LT"/>
              </w:rPr>
            </w:pPr>
            <w:r w:rsidRPr="00E10C99">
              <w:rPr>
                <w:sz w:val="18"/>
                <w:szCs w:val="18"/>
                <w:lang w:val="lt-LT"/>
              </w:rPr>
              <w:t>Niedrożność jelit, Przetoki odbytniczo-pochwowe</w:t>
            </w:r>
            <w:r w:rsidRPr="00E10C99">
              <w:rPr>
                <w:sz w:val="18"/>
                <w:szCs w:val="18"/>
                <w:vertAlign w:val="superscript"/>
                <w:lang w:val="lt-LT"/>
              </w:rPr>
              <w:t>c,d</w:t>
            </w:r>
            <w:r w:rsidRPr="00E10C99">
              <w:rPr>
                <w:sz w:val="18"/>
                <w:szCs w:val="18"/>
                <w:lang w:val="lt-LT"/>
              </w:rPr>
              <w:t xml:space="preserve">, </w:t>
            </w:r>
          </w:p>
          <w:p w14:paraId="41527305" w14:textId="77777777" w:rsidR="00E77289" w:rsidRDefault="00F64258" w:rsidP="006046D7">
            <w:pPr>
              <w:pStyle w:val="Default"/>
              <w:keepNext/>
              <w:keepLines/>
              <w:rPr>
                <w:sz w:val="18"/>
                <w:szCs w:val="18"/>
                <w:lang w:val="lt-LT"/>
              </w:rPr>
            </w:pPr>
            <w:r w:rsidRPr="00E10C99">
              <w:rPr>
                <w:sz w:val="18"/>
                <w:szCs w:val="18"/>
                <w:lang w:val="lt-LT"/>
              </w:rPr>
              <w:t xml:space="preserve">Zaburzenia żołądkowo-jelitowe, </w:t>
            </w:r>
          </w:p>
          <w:p w14:paraId="131354AC" w14:textId="77777777" w:rsidR="00E15A3A" w:rsidRDefault="00F64258" w:rsidP="006046D7">
            <w:pPr>
              <w:pStyle w:val="Default"/>
              <w:keepNext/>
              <w:keepLines/>
              <w:rPr>
                <w:sz w:val="18"/>
                <w:szCs w:val="18"/>
                <w:lang w:val="lt-LT"/>
              </w:rPr>
            </w:pPr>
            <w:r w:rsidRPr="00E10C99">
              <w:rPr>
                <w:sz w:val="18"/>
                <w:szCs w:val="18"/>
                <w:lang w:val="lt-LT"/>
              </w:rPr>
              <w:t>Zapale</w:t>
            </w:r>
            <w:r w:rsidR="00E15A3A">
              <w:rPr>
                <w:sz w:val="18"/>
                <w:szCs w:val="18"/>
                <w:lang w:val="lt-LT"/>
              </w:rPr>
              <w:t>nie błony śluzowej jamy ustnej,</w:t>
            </w:r>
          </w:p>
          <w:p w14:paraId="67A3F365" w14:textId="77777777" w:rsidR="00F64258" w:rsidRPr="00E10C99" w:rsidRDefault="00F64258" w:rsidP="006046D7">
            <w:pPr>
              <w:pStyle w:val="Default"/>
              <w:keepNext/>
              <w:keepLines/>
              <w:rPr>
                <w:sz w:val="18"/>
                <w:szCs w:val="18"/>
                <w:lang w:val="lt-LT"/>
              </w:rPr>
            </w:pPr>
            <w:r w:rsidRPr="00E10C99">
              <w:rPr>
                <w:sz w:val="18"/>
                <w:szCs w:val="18"/>
                <w:lang w:val="lt-LT"/>
              </w:rPr>
              <w:t xml:space="preserve">Ból odbytu </w:t>
            </w:r>
          </w:p>
        </w:tc>
        <w:tc>
          <w:tcPr>
            <w:tcW w:w="687" w:type="pct"/>
          </w:tcPr>
          <w:p w14:paraId="17BD4A47" w14:textId="77777777" w:rsidR="00F64258" w:rsidRPr="00E10C99" w:rsidRDefault="00F64258" w:rsidP="006046D7">
            <w:pPr>
              <w:keepNext/>
              <w:keepLines/>
              <w:rPr>
                <w:rFonts w:ascii="Times New Roman" w:hAnsi="Times New Roman" w:cs="Times New Roman"/>
                <w:sz w:val="18"/>
                <w:szCs w:val="18"/>
                <w:lang w:val="lt-LT"/>
              </w:rPr>
            </w:pPr>
          </w:p>
        </w:tc>
        <w:tc>
          <w:tcPr>
            <w:tcW w:w="550" w:type="pct"/>
          </w:tcPr>
          <w:p w14:paraId="53D73E70" w14:textId="77777777" w:rsidR="00F64258" w:rsidRPr="00E10C99" w:rsidRDefault="00F64258" w:rsidP="006046D7">
            <w:pPr>
              <w:keepNext/>
              <w:keepLines/>
              <w:rPr>
                <w:rFonts w:ascii="Times New Roman" w:hAnsi="Times New Roman" w:cs="Times New Roman"/>
                <w:sz w:val="18"/>
                <w:szCs w:val="18"/>
                <w:lang w:val="lt-LT"/>
              </w:rPr>
            </w:pPr>
          </w:p>
        </w:tc>
        <w:tc>
          <w:tcPr>
            <w:tcW w:w="687" w:type="pct"/>
          </w:tcPr>
          <w:p w14:paraId="038334D2" w14:textId="77777777" w:rsidR="00F64258" w:rsidRPr="00E10C99" w:rsidRDefault="00F64258" w:rsidP="006046D7">
            <w:pPr>
              <w:keepNext/>
              <w:keepLines/>
              <w:rPr>
                <w:rFonts w:ascii="Times New Roman" w:hAnsi="Times New Roman" w:cs="Times New Roman"/>
                <w:sz w:val="18"/>
                <w:szCs w:val="18"/>
                <w:lang w:val="lt-LT"/>
              </w:rPr>
            </w:pPr>
          </w:p>
        </w:tc>
        <w:tc>
          <w:tcPr>
            <w:tcW w:w="756" w:type="pct"/>
          </w:tcPr>
          <w:p w14:paraId="5B8DFF81" w14:textId="77777777" w:rsidR="00E77289" w:rsidRDefault="00F64258" w:rsidP="006046D7">
            <w:pPr>
              <w:pStyle w:val="Default"/>
              <w:keepNext/>
              <w:keepLines/>
              <w:rPr>
                <w:sz w:val="18"/>
                <w:szCs w:val="18"/>
                <w:lang w:val="lt-LT"/>
              </w:rPr>
            </w:pPr>
            <w:r w:rsidRPr="00E10C99">
              <w:rPr>
                <w:sz w:val="18"/>
                <w:szCs w:val="18"/>
                <w:lang w:val="lt-LT"/>
              </w:rPr>
              <w:t>Perforacje żołądkowo-jelitowe</w:t>
            </w:r>
            <w:r w:rsidRPr="00E10C99">
              <w:rPr>
                <w:sz w:val="18"/>
                <w:szCs w:val="18"/>
                <w:vertAlign w:val="superscript"/>
                <w:lang w:val="lt-LT"/>
              </w:rPr>
              <w:t>a,b</w:t>
            </w:r>
            <w:r w:rsidR="00E77289">
              <w:rPr>
                <w:sz w:val="18"/>
                <w:szCs w:val="18"/>
                <w:lang w:val="lt-LT"/>
              </w:rPr>
              <w:t>,</w:t>
            </w:r>
          </w:p>
          <w:p w14:paraId="718FDFF0" w14:textId="77777777" w:rsidR="00E77289" w:rsidRDefault="00F64258" w:rsidP="006046D7">
            <w:pPr>
              <w:pStyle w:val="Default"/>
              <w:keepNext/>
              <w:keepLines/>
              <w:rPr>
                <w:sz w:val="18"/>
                <w:szCs w:val="18"/>
                <w:lang w:val="lt-LT"/>
              </w:rPr>
            </w:pPr>
            <w:r w:rsidRPr="00E10C99">
              <w:rPr>
                <w:sz w:val="18"/>
                <w:szCs w:val="18"/>
                <w:lang w:val="lt-LT"/>
              </w:rPr>
              <w:t>Choroba wrzodowa żołądka i dwunastnicy</w:t>
            </w:r>
            <w:r w:rsidRPr="00E10C99">
              <w:rPr>
                <w:sz w:val="18"/>
                <w:szCs w:val="18"/>
                <w:vertAlign w:val="superscript"/>
                <w:lang w:val="lt-LT"/>
              </w:rPr>
              <w:t>c</w:t>
            </w:r>
            <w:r w:rsidR="00E77289">
              <w:rPr>
                <w:sz w:val="18"/>
                <w:szCs w:val="18"/>
                <w:lang w:val="lt-LT"/>
              </w:rPr>
              <w:t>,</w:t>
            </w:r>
          </w:p>
          <w:p w14:paraId="378EDF7E" w14:textId="77777777" w:rsidR="00F64258" w:rsidRPr="00E10C99" w:rsidRDefault="00F64258" w:rsidP="006046D7">
            <w:pPr>
              <w:pStyle w:val="Default"/>
              <w:keepNext/>
              <w:keepLines/>
              <w:rPr>
                <w:sz w:val="18"/>
                <w:szCs w:val="18"/>
                <w:lang w:val="lt-LT"/>
              </w:rPr>
            </w:pPr>
            <w:r w:rsidRPr="00E10C99">
              <w:rPr>
                <w:sz w:val="18"/>
                <w:szCs w:val="18"/>
                <w:lang w:val="lt-LT"/>
              </w:rPr>
              <w:t xml:space="preserve">Krwotok z odbytnicy </w:t>
            </w:r>
          </w:p>
        </w:tc>
      </w:tr>
      <w:tr w:rsidR="003141EC" w:rsidRPr="00E10C99" w14:paraId="31D69903" w14:textId="77777777" w:rsidTr="00F533B1">
        <w:tc>
          <w:tcPr>
            <w:tcW w:w="809" w:type="pct"/>
          </w:tcPr>
          <w:p w14:paraId="23D07AA5" w14:textId="77777777" w:rsidR="00F64258" w:rsidRPr="00E10C99" w:rsidRDefault="00F64258" w:rsidP="002B1650">
            <w:pPr>
              <w:pStyle w:val="Default"/>
              <w:keepNext/>
              <w:rPr>
                <w:sz w:val="18"/>
                <w:szCs w:val="18"/>
                <w:lang w:val="lt-LT"/>
              </w:rPr>
            </w:pPr>
            <w:r w:rsidRPr="00E10C99">
              <w:rPr>
                <w:sz w:val="18"/>
                <w:szCs w:val="18"/>
                <w:lang w:val="lt-LT"/>
              </w:rPr>
              <w:t>Zaburz</w:t>
            </w:r>
            <w:r w:rsidR="00557DD6" w:rsidRPr="00E10C99">
              <w:rPr>
                <w:sz w:val="18"/>
                <w:szCs w:val="18"/>
                <w:lang w:val="lt-LT"/>
              </w:rPr>
              <w:t>enia wątroby i dróg żółciowych</w:t>
            </w:r>
          </w:p>
        </w:tc>
        <w:tc>
          <w:tcPr>
            <w:tcW w:w="756" w:type="pct"/>
          </w:tcPr>
          <w:p w14:paraId="0FFDC6EA" w14:textId="77777777" w:rsidR="00F64258" w:rsidRPr="00E10C99" w:rsidRDefault="00F64258" w:rsidP="00377244">
            <w:pPr>
              <w:pStyle w:val="Default"/>
              <w:rPr>
                <w:sz w:val="18"/>
                <w:szCs w:val="18"/>
                <w:lang w:val="lt-LT"/>
              </w:rPr>
            </w:pPr>
          </w:p>
        </w:tc>
        <w:tc>
          <w:tcPr>
            <w:tcW w:w="756" w:type="pct"/>
          </w:tcPr>
          <w:p w14:paraId="15C4B09D" w14:textId="77777777" w:rsidR="00F64258" w:rsidRPr="00E10C99" w:rsidRDefault="00F64258" w:rsidP="00377244">
            <w:pPr>
              <w:pStyle w:val="Default"/>
              <w:rPr>
                <w:sz w:val="18"/>
                <w:szCs w:val="18"/>
                <w:lang w:val="lt-LT"/>
              </w:rPr>
            </w:pPr>
          </w:p>
        </w:tc>
        <w:tc>
          <w:tcPr>
            <w:tcW w:w="687" w:type="pct"/>
          </w:tcPr>
          <w:p w14:paraId="35B833F4" w14:textId="77777777" w:rsidR="00F64258" w:rsidRPr="00E10C99" w:rsidRDefault="00F64258" w:rsidP="00377244">
            <w:pPr>
              <w:rPr>
                <w:rFonts w:ascii="Times New Roman" w:hAnsi="Times New Roman" w:cs="Times New Roman"/>
                <w:sz w:val="18"/>
                <w:szCs w:val="18"/>
                <w:lang w:val="lt-LT"/>
              </w:rPr>
            </w:pPr>
          </w:p>
        </w:tc>
        <w:tc>
          <w:tcPr>
            <w:tcW w:w="550" w:type="pct"/>
          </w:tcPr>
          <w:p w14:paraId="76ADE4F7" w14:textId="77777777" w:rsidR="00F64258" w:rsidRPr="00E10C99" w:rsidRDefault="00F64258" w:rsidP="00377244">
            <w:pPr>
              <w:rPr>
                <w:rFonts w:ascii="Times New Roman" w:hAnsi="Times New Roman" w:cs="Times New Roman"/>
                <w:sz w:val="18"/>
                <w:szCs w:val="18"/>
                <w:lang w:val="lt-LT"/>
              </w:rPr>
            </w:pPr>
          </w:p>
        </w:tc>
        <w:tc>
          <w:tcPr>
            <w:tcW w:w="687" w:type="pct"/>
          </w:tcPr>
          <w:p w14:paraId="0835C2F5" w14:textId="77777777" w:rsidR="00F64258" w:rsidRPr="00E10C99" w:rsidRDefault="00F64258" w:rsidP="00377244">
            <w:pPr>
              <w:rPr>
                <w:rFonts w:ascii="Times New Roman" w:hAnsi="Times New Roman" w:cs="Times New Roman"/>
                <w:sz w:val="18"/>
                <w:szCs w:val="18"/>
                <w:lang w:val="lt-LT"/>
              </w:rPr>
            </w:pPr>
          </w:p>
        </w:tc>
        <w:tc>
          <w:tcPr>
            <w:tcW w:w="756" w:type="pct"/>
          </w:tcPr>
          <w:p w14:paraId="1184E1C9" w14:textId="77777777" w:rsidR="00F64258" w:rsidRPr="00E10C99" w:rsidRDefault="00F64258" w:rsidP="00377244">
            <w:pPr>
              <w:pStyle w:val="Default"/>
              <w:rPr>
                <w:sz w:val="18"/>
                <w:szCs w:val="18"/>
                <w:lang w:val="lt-LT"/>
              </w:rPr>
            </w:pPr>
            <w:r w:rsidRPr="00E10C99">
              <w:rPr>
                <w:sz w:val="18"/>
                <w:szCs w:val="18"/>
                <w:lang w:val="lt-LT"/>
              </w:rPr>
              <w:t>Perforacja pęcherzyka żółciowego</w:t>
            </w:r>
            <w:r w:rsidRPr="00E10C99">
              <w:rPr>
                <w:sz w:val="18"/>
                <w:szCs w:val="18"/>
                <w:vertAlign w:val="superscript"/>
                <w:lang w:val="lt-LT"/>
              </w:rPr>
              <w:t>b,c</w:t>
            </w:r>
          </w:p>
        </w:tc>
      </w:tr>
      <w:tr w:rsidR="003141EC" w:rsidRPr="00BC56FD" w14:paraId="43D53E37" w14:textId="77777777" w:rsidTr="00F533B1">
        <w:tc>
          <w:tcPr>
            <w:tcW w:w="809" w:type="pct"/>
          </w:tcPr>
          <w:p w14:paraId="10B8DC63" w14:textId="77777777" w:rsidR="00F64258" w:rsidRPr="00E10C99" w:rsidRDefault="00F64258" w:rsidP="00377244">
            <w:pPr>
              <w:pStyle w:val="Default"/>
              <w:rPr>
                <w:sz w:val="18"/>
                <w:szCs w:val="18"/>
                <w:lang w:val="lt-LT"/>
              </w:rPr>
            </w:pPr>
            <w:r w:rsidRPr="00E10C99">
              <w:rPr>
                <w:sz w:val="18"/>
                <w:szCs w:val="18"/>
                <w:lang w:val="lt-LT"/>
              </w:rPr>
              <w:t>Zaburzenia</w:t>
            </w:r>
            <w:r w:rsidR="00557DD6" w:rsidRPr="00E10C99">
              <w:rPr>
                <w:sz w:val="18"/>
                <w:szCs w:val="18"/>
                <w:lang w:val="lt-LT"/>
              </w:rPr>
              <w:t xml:space="preserve"> skóry i tkanki podskórnej</w:t>
            </w:r>
          </w:p>
        </w:tc>
        <w:tc>
          <w:tcPr>
            <w:tcW w:w="756" w:type="pct"/>
          </w:tcPr>
          <w:p w14:paraId="1EEB82B5" w14:textId="77777777" w:rsidR="00F64258" w:rsidRPr="00E10C99" w:rsidRDefault="00F64258" w:rsidP="00377244">
            <w:pPr>
              <w:pStyle w:val="Default"/>
              <w:rPr>
                <w:sz w:val="18"/>
                <w:szCs w:val="18"/>
                <w:lang w:val="lt-LT"/>
              </w:rPr>
            </w:pPr>
          </w:p>
        </w:tc>
        <w:tc>
          <w:tcPr>
            <w:tcW w:w="756" w:type="pct"/>
          </w:tcPr>
          <w:p w14:paraId="4C020AD5" w14:textId="77777777" w:rsidR="00F64258" w:rsidRPr="00E10C99" w:rsidRDefault="00F64258" w:rsidP="00377244">
            <w:pPr>
              <w:pStyle w:val="Default"/>
              <w:rPr>
                <w:sz w:val="18"/>
                <w:szCs w:val="18"/>
                <w:lang w:val="lt-LT"/>
              </w:rPr>
            </w:pPr>
            <w:r w:rsidRPr="00E10C99">
              <w:rPr>
                <w:sz w:val="18"/>
                <w:szCs w:val="18"/>
                <w:lang w:val="lt-LT"/>
              </w:rPr>
              <w:t>Komplikacje w gojeniu ran</w:t>
            </w:r>
            <w:r w:rsidRPr="00E10C99">
              <w:rPr>
                <w:sz w:val="18"/>
                <w:szCs w:val="18"/>
                <w:vertAlign w:val="superscript"/>
                <w:lang w:val="lt-LT"/>
              </w:rPr>
              <w:t>a,b</w:t>
            </w:r>
            <w:r w:rsidRPr="00E10C99">
              <w:rPr>
                <w:sz w:val="18"/>
                <w:szCs w:val="18"/>
                <w:lang w:val="lt-LT"/>
              </w:rPr>
              <w:t xml:space="preserve">, </w:t>
            </w:r>
          </w:p>
          <w:p w14:paraId="0566663F" w14:textId="77777777" w:rsidR="00F64258" w:rsidRPr="00E10C99" w:rsidRDefault="00F64258" w:rsidP="00377244">
            <w:pPr>
              <w:pStyle w:val="Default"/>
              <w:rPr>
                <w:sz w:val="18"/>
                <w:szCs w:val="18"/>
                <w:lang w:val="lt-LT"/>
              </w:rPr>
            </w:pPr>
            <w:r w:rsidRPr="00E10C99">
              <w:rPr>
                <w:sz w:val="18"/>
                <w:szCs w:val="18"/>
                <w:lang w:val="lt-LT"/>
              </w:rPr>
              <w:t xml:space="preserve">Zespół erytrodysestezji dłoniowo-podeszwowej </w:t>
            </w:r>
          </w:p>
        </w:tc>
        <w:tc>
          <w:tcPr>
            <w:tcW w:w="687" w:type="pct"/>
          </w:tcPr>
          <w:p w14:paraId="446D42B2" w14:textId="77777777" w:rsidR="00F64258" w:rsidRPr="00E10C99" w:rsidRDefault="00F64258" w:rsidP="00377244">
            <w:pPr>
              <w:rPr>
                <w:rFonts w:ascii="Times New Roman" w:hAnsi="Times New Roman" w:cs="Times New Roman"/>
                <w:sz w:val="18"/>
                <w:szCs w:val="18"/>
                <w:lang w:val="lt-LT"/>
              </w:rPr>
            </w:pPr>
          </w:p>
        </w:tc>
        <w:tc>
          <w:tcPr>
            <w:tcW w:w="550" w:type="pct"/>
          </w:tcPr>
          <w:p w14:paraId="2EA48F44" w14:textId="77777777" w:rsidR="00F64258" w:rsidRPr="00E10C99" w:rsidRDefault="00F64258" w:rsidP="00377244">
            <w:pPr>
              <w:rPr>
                <w:rFonts w:ascii="Times New Roman" w:hAnsi="Times New Roman" w:cs="Times New Roman"/>
                <w:sz w:val="18"/>
                <w:szCs w:val="18"/>
                <w:lang w:val="lt-LT"/>
              </w:rPr>
            </w:pPr>
          </w:p>
        </w:tc>
        <w:tc>
          <w:tcPr>
            <w:tcW w:w="687" w:type="pct"/>
          </w:tcPr>
          <w:p w14:paraId="7A18ED0E" w14:textId="77777777" w:rsidR="00F64258" w:rsidRPr="00E10C99" w:rsidRDefault="00F64258" w:rsidP="00377244">
            <w:pPr>
              <w:rPr>
                <w:rFonts w:ascii="Times New Roman" w:hAnsi="Times New Roman" w:cs="Times New Roman"/>
                <w:sz w:val="18"/>
                <w:szCs w:val="18"/>
                <w:lang w:val="lt-LT"/>
              </w:rPr>
            </w:pPr>
          </w:p>
        </w:tc>
        <w:tc>
          <w:tcPr>
            <w:tcW w:w="756" w:type="pct"/>
          </w:tcPr>
          <w:p w14:paraId="294B2B9F" w14:textId="77777777" w:rsidR="00F64258" w:rsidRPr="00E10C99" w:rsidRDefault="00F64258" w:rsidP="00377244">
            <w:pPr>
              <w:pStyle w:val="Default"/>
              <w:rPr>
                <w:sz w:val="18"/>
                <w:szCs w:val="18"/>
                <w:lang w:val="lt-LT"/>
              </w:rPr>
            </w:pPr>
          </w:p>
        </w:tc>
      </w:tr>
      <w:tr w:rsidR="003141EC" w:rsidRPr="00E10C99" w14:paraId="461BB6B1" w14:textId="77777777" w:rsidTr="00F533B1">
        <w:tc>
          <w:tcPr>
            <w:tcW w:w="809" w:type="pct"/>
          </w:tcPr>
          <w:p w14:paraId="66C09A72" w14:textId="77777777" w:rsidR="00F64258" w:rsidRPr="00E10C99" w:rsidRDefault="00F64258" w:rsidP="00377244">
            <w:pPr>
              <w:pStyle w:val="Default"/>
              <w:rPr>
                <w:sz w:val="18"/>
                <w:szCs w:val="18"/>
                <w:lang w:val="lt-LT"/>
              </w:rPr>
            </w:pPr>
            <w:r w:rsidRPr="00E10C99">
              <w:rPr>
                <w:sz w:val="18"/>
                <w:szCs w:val="18"/>
                <w:lang w:val="lt-LT"/>
              </w:rPr>
              <w:t>Zaburzenia mięśniow</w:t>
            </w:r>
            <w:r w:rsidR="00557DD6" w:rsidRPr="00E10C99">
              <w:rPr>
                <w:sz w:val="18"/>
                <w:szCs w:val="18"/>
                <w:lang w:val="lt-LT"/>
              </w:rPr>
              <w:t>o-szkieletowe i tkanki łącznej</w:t>
            </w:r>
          </w:p>
        </w:tc>
        <w:tc>
          <w:tcPr>
            <w:tcW w:w="756" w:type="pct"/>
          </w:tcPr>
          <w:p w14:paraId="05F1F8C9" w14:textId="77777777" w:rsidR="00F64258" w:rsidRPr="00E10C99" w:rsidRDefault="00F64258" w:rsidP="00377244">
            <w:pPr>
              <w:pStyle w:val="Default"/>
              <w:rPr>
                <w:sz w:val="18"/>
                <w:szCs w:val="18"/>
                <w:lang w:val="lt-LT"/>
              </w:rPr>
            </w:pPr>
          </w:p>
        </w:tc>
        <w:tc>
          <w:tcPr>
            <w:tcW w:w="756" w:type="pct"/>
          </w:tcPr>
          <w:p w14:paraId="2EE1E3AE" w14:textId="77777777" w:rsidR="00F64258" w:rsidRPr="00E10C99" w:rsidRDefault="00F64258" w:rsidP="00377244">
            <w:pPr>
              <w:pStyle w:val="Default"/>
              <w:rPr>
                <w:sz w:val="18"/>
                <w:szCs w:val="18"/>
                <w:lang w:val="lt-LT"/>
              </w:rPr>
            </w:pPr>
            <w:r w:rsidRPr="00E10C99">
              <w:rPr>
                <w:sz w:val="18"/>
                <w:szCs w:val="18"/>
                <w:lang w:val="lt-LT"/>
              </w:rPr>
              <w:t>Przetoka</w:t>
            </w:r>
            <w:r w:rsidRPr="00E10C99">
              <w:rPr>
                <w:sz w:val="18"/>
                <w:szCs w:val="18"/>
                <w:vertAlign w:val="superscript"/>
                <w:lang w:val="lt-LT"/>
              </w:rPr>
              <w:t>a,b</w:t>
            </w:r>
            <w:r w:rsidRPr="00E10C99">
              <w:rPr>
                <w:sz w:val="18"/>
                <w:szCs w:val="18"/>
                <w:lang w:val="lt-LT"/>
              </w:rPr>
              <w:t xml:space="preserve">, </w:t>
            </w:r>
          </w:p>
          <w:p w14:paraId="2AE84794" w14:textId="77777777" w:rsidR="003141EC" w:rsidRDefault="003141EC" w:rsidP="006C3756">
            <w:pPr>
              <w:pStyle w:val="Default"/>
              <w:rPr>
                <w:sz w:val="18"/>
                <w:szCs w:val="18"/>
                <w:lang w:val="lt-LT"/>
              </w:rPr>
            </w:pPr>
            <w:r>
              <w:rPr>
                <w:sz w:val="18"/>
                <w:szCs w:val="18"/>
                <w:lang w:val="lt-LT"/>
              </w:rPr>
              <w:t>Bóle mięśniowe,</w:t>
            </w:r>
          </w:p>
          <w:p w14:paraId="2C0EC98A" w14:textId="77777777" w:rsidR="003141EC" w:rsidRDefault="003141EC" w:rsidP="006C3756">
            <w:pPr>
              <w:pStyle w:val="Default"/>
              <w:rPr>
                <w:sz w:val="18"/>
                <w:szCs w:val="18"/>
                <w:lang w:val="lt-LT"/>
              </w:rPr>
            </w:pPr>
            <w:r>
              <w:rPr>
                <w:sz w:val="18"/>
                <w:szCs w:val="18"/>
                <w:lang w:val="lt-LT"/>
              </w:rPr>
              <w:t>Bóle stawów,</w:t>
            </w:r>
          </w:p>
          <w:p w14:paraId="4E5685A1" w14:textId="77777777" w:rsidR="00F64258" w:rsidRPr="00E10C99" w:rsidRDefault="00F64258" w:rsidP="006C3756">
            <w:pPr>
              <w:pStyle w:val="Default"/>
              <w:rPr>
                <w:sz w:val="18"/>
                <w:szCs w:val="18"/>
                <w:lang w:val="lt-LT"/>
              </w:rPr>
            </w:pPr>
            <w:r w:rsidRPr="00E10C99">
              <w:rPr>
                <w:sz w:val="18"/>
                <w:szCs w:val="18"/>
                <w:lang w:val="lt-LT"/>
              </w:rPr>
              <w:t xml:space="preserve">Osłabienie mięśni, Ból pleców </w:t>
            </w:r>
          </w:p>
        </w:tc>
        <w:tc>
          <w:tcPr>
            <w:tcW w:w="687" w:type="pct"/>
          </w:tcPr>
          <w:p w14:paraId="68514ACD" w14:textId="77777777" w:rsidR="00F64258" w:rsidRPr="00E10C99" w:rsidRDefault="00F64258" w:rsidP="00377244">
            <w:pPr>
              <w:rPr>
                <w:rFonts w:ascii="Times New Roman" w:hAnsi="Times New Roman" w:cs="Times New Roman"/>
                <w:sz w:val="18"/>
                <w:szCs w:val="18"/>
                <w:lang w:val="lt-LT"/>
              </w:rPr>
            </w:pPr>
          </w:p>
        </w:tc>
        <w:tc>
          <w:tcPr>
            <w:tcW w:w="550" w:type="pct"/>
          </w:tcPr>
          <w:p w14:paraId="11AF8819" w14:textId="77777777" w:rsidR="00F64258" w:rsidRPr="00E10C99" w:rsidRDefault="00F64258" w:rsidP="00377244">
            <w:pPr>
              <w:rPr>
                <w:rFonts w:ascii="Times New Roman" w:hAnsi="Times New Roman" w:cs="Times New Roman"/>
                <w:sz w:val="18"/>
                <w:szCs w:val="18"/>
                <w:lang w:val="lt-LT"/>
              </w:rPr>
            </w:pPr>
          </w:p>
        </w:tc>
        <w:tc>
          <w:tcPr>
            <w:tcW w:w="687" w:type="pct"/>
          </w:tcPr>
          <w:p w14:paraId="1604D098" w14:textId="77777777" w:rsidR="00F64258" w:rsidRPr="00E10C99" w:rsidRDefault="00F64258" w:rsidP="00377244">
            <w:pPr>
              <w:rPr>
                <w:rFonts w:ascii="Times New Roman" w:hAnsi="Times New Roman" w:cs="Times New Roman"/>
                <w:sz w:val="18"/>
                <w:szCs w:val="18"/>
                <w:lang w:val="lt-LT"/>
              </w:rPr>
            </w:pPr>
          </w:p>
        </w:tc>
        <w:tc>
          <w:tcPr>
            <w:tcW w:w="756" w:type="pct"/>
          </w:tcPr>
          <w:p w14:paraId="51C322D2" w14:textId="77777777" w:rsidR="00F64258" w:rsidRPr="00E10C99" w:rsidRDefault="00F64258" w:rsidP="00377244">
            <w:pPr>
              <w:pStyle w:val="Default"/>
              <w:rPr>
                <w:sz w:val="18"/>
                <w:szCs w:val="18"/>
                <w:lang w:val="lt-LT"/>
              </w:rPr>
            </w:pPr>
            <w:r w:rsidRPr="00E10C99">
              <w:rPr>
                <w:sz w:val="18"/>
                <w:szCs w:val="18"/>
                <w:lang w:val="lt-LT"/>
              </w:rPr>
              <w:t>Martwica kości szczęki</w:t>
            </w:r>
            <w:r w:rsidRPr="00E10C99">
              <w:rPr>
                <w:sz w:val="18"/>
                <w:szCs w:val="18"/>
                <w:vertAlign w:val="superscript"/>
                <w:lang w:val="lt-LT"/>
              </w:rPr>
              <w:t>b,c</w:t>
            </w:r>
          </w:p>
        </w:tc>
      </w:tr>
      <w:tr w:rsidR="003141EC" w:rsidRPr="00E10C99" w14:paraId="20516EAD" w14:textId="77777777" w:rsidTr="00F533B1">
        <w:tc>
          <w:tcPr>
            <w:tcW w:w="809" w:type="pct"/>
          </w:tcPr>
          <w:p w14:paraId="303C8D6D" w14:textId="77777777" w:rsidR="00F64258" w:rsidRPr="00E10C99" w:rsidRDefault="00F64258" w:rsidP="00377244">
            <w:pPr>
              <w:pStyle w:val="Default"/>
              <w:rPr>
                <w:sz w:val="18"/>
                <w:szCs w:val="18"/>
                <w:lang w:val="lt-LT"/>
              </w:rPr>
            </w:pPr>
            <w:r w:rsidRPr="00E10C99">
              <w:rPr>
                <w:sz w:val="18"/>
                <w:szCs w:val="18"/>
                <w:lang w:val="lt-LT"/>
              </w:rPr>
              <w:t>Zab</w:t>
            </w:r>
            <w:r w:rsidR="00557DD6" w:rsidRPr="00E10C99">
              <w:rPr>
                <w:sz w:val="18"/>
                <w:szCs w:val="18"/>
                <w:lang w:val="lt-LT"/>
              </w:rPr>
              <w:t>urzenia nerek i dróg moczowych</w:t>
            </w:r>
          </w:p>
        </w:tc>
        <w:tc>
          <w:tcPr>
            <w:tcW w:w="756" w:type="pct"/>
          </w:tcPr>
          <w:p w14:paraId="1E0A625F" w14:textId="77777777" w:rsidR="00F64258" w:rsidRPr="00E10C99" w:rsidRDefault="00F64258" w:rsidP="00377244">
            <w:pPr>
              <w:pStyle w:val="Default"/>
              <w:rPr>
                <w:sz w:val="18"/>
                <w:szCs w:val="18"/>
                <w:lang w:val="lt-LT"/>
              </w:rPr>
            </w:pPr>
          </w:p>
        </w:tc>
        <w:tc>
          <w:tcPr>
            <w:tcW w:w="756" w:type="pct"/>
          </w:tcPr>
          <w:p w14:paraId="0F6C8CD7" w14:textId="77777777" w:rsidR="00F64258" w:rsidRPr="00E10C99" w:rsidRDefault="00F64258" w:rsidP="003B3443">
            <w:pPr>
              <w:pStyle w:val="Default"/>
              <w:rPr>
                <w:sz w:val="18"/>
                <w:szCs w:val="18"/>
                <w:lang w:val="lt-LT"/>
              </w:rPr>
            </w:pPr>
            <w:r w:rsidRPr="00E10C99">
              <w:rPr>
                <w:sz w:val="18"/>
                <w:szCs w:val="18"/>
                <w:lang w:val="lt-LT"/>
              </w:rPr>
              <w:t>Białkomocz</w:t>
            </w:r>
            <w:r w:rsidRPr="00E10C99">
              <w:rPr>
                <w:sz w:val="18"/>
                <w:szCs w:val="18"/>
                <w:vertAlign w:val="superscript"/>
                <w:lang w:val="lt-LT"/>
              </w:rPr>
              <w:t>a,b</w:t>
            </w:r>
          </w:p>
        </w:tc>
        <w:tc>
          <w:tcPr>
            <w:tcW w:w="687" w:type="pct"/>
          </w:tcPr>
          <w:p w14:paraId="5263BBAB" w14:textId="77777777" w:rsidR="00F64258" w:rsidRPr="00E10C99" w:rsidRDefault="00F64258" w:rsidP="00377244">
            <w:pPr>
              <w:rPr>
                <w:rFonts w:ascii="Times New Roman" w:hAnsi="Times New Roman" w:cs="Times New Roman"/>
                <w:sz w:val="18"/>
                <w:szCs w:val="18"/>
                <w:lang w:val="lt-LT"/>
              </w:rPr>
            </w:pPr>
          </w:p>
        </w:tc>
        <w:tc>
          <w:tcPr>
            <w:tcW w:w="550" w:type="pct"/>
          </w:tcPr>
          <w:p w14:paraId="5723655D" w14:textId="77777777" w:rsidR="00F64258" w:rsidRPr="00E10C99" w:rsidRDefault="00F64258" w:rsidP="00377244">
            <w:pPr>
              <w:rPr>
                <w:rFonts w:ascii="Times New Roman" w:hAnsi="Times New Roman" w:cs="Times New Roman"/>
                <w:sz w:val="18"/>
                <w:szCs w:val="18"/>
                <w:lang w:val="lt-LT"/>
              </w:rPr>
            </w:pPr>
          </w:p>
        </w:tc>
        <w:tc>
          <w:tcPr>
            <w:tcW w:w="687" w:type="pct"/>
          </w:tcPr>
          <w:p w14:paraId="03F47D40" w14:textId="77777777" w:rsidR="00F64258" w:rsidRPr="00E10C99" w:rsidRDefault="00F64258" w:rsidP="00377244">
            <w:pPr>
              <w:rPr>
                <w:rFonts w:ascii="Times New Roman" w:hAnsi="Times New Roman" w:cs="Times New Roman"/>
                <w:sz w:val="18"/>
                <w:szCs w:val="18"/>
                <w:lang w:val="lt-LT"/>
              </w:rPr>
            </w:pPr>
          </w:p>
        </w:tc>
        <w:tc>
          <w:tcPr>
            <w:tcW w:w="756" w:type="pct"/>
          </w:tcPr>
          <w:p w14:paraId="5575B945" w14:textId="77777777" w:rsidR="00F64258" w:rsidRPr="00E10C99" w:rsidRDefault="00F64258" w:rsidP="00377244">
            <w:pPr>
              <w:pStyle w:val="Default"/>
              <w:rPr>
                <w:sz w:val="18"/>
                <w:szCs w:val="18"/>
                <w:lang w:val="lt-LT"/>
              </w:rPr>
            </w:pPr>
          </w:p>
        </w:tc>
      </w:tr>
      <w:tr w:rsidR="003141EC" w:rsidRPr="00E10C99" w14:paraId="2EB9C7E5" w14:textId="77777777" w:rsidTr="00F533B1">
        <w:tc>
          <w:tcPr>
            <w:tcW w:w="809" w:type="pct"/>
          </w:tcPr>
          <w:p w14:paraId="6F0F97D2" w14:textId="77777777" w:rsidR="00F64258" w:rsidRPr="00E10C99" w:rsidRDefault="00F64258" w:rsidP="00377244">
            <w:pPr>
              <w:pStyle w:val="Default"/>
              <w:rPr>
                <w:sz w:val="18"/>
                <w:szCs w:val="18"/>
                <w:lang w:val="lt-LT"/>
              </w:rPr>
            </w:pPr>
            <w:r w:rsidRPr="00E10C99">
              <w:rPr>
                <w:sz w:val="18"/>
                <w:szCs w:val="18"/>
                <w:lang w:val="lt-LT"/>
              </w:rPr>
              <w:t>Zaburzen</w:t>
            </w:r>
            <w:r w:rsidR="00557DD6" w:rsidRPr="00E10C99">
              <w:rPr>
                <w:sz w:val="18"/>
                <w:szCs w:val="18"/>
                <w:lang w:val="lt-LT"/>
              </w:rPr>
              <w:t>ia układu rozrodczego i piersi</w:t>
            </w:r>
          </w:p>
        </w:tc>
        <w:tc>
          <w:tcPr>
            <w:tcW w:w="756" w:type="pct"/>
          </w:tcPr>
          <w:p w14:paraId="44403D3D" w14:textId="77777777" w:rsidR="00F64258" w:rsidRPr="00E10C99" w:rsidRDefault="00F64258" w:rsidP="00377244">
            <w:pPr>
              <w:pStyle w:val="Default"/>
              <w:rPr>
                <w:sz w:val="18"/>
                <w:szCs w:val="18"/>
                <w:lang w:val="lt-LT"/>
              </w:rPr>
            </w:pPr>
          </w:p>
        </w:tc>
        <w:tc>
          <w:tcPr>
            <w:tcW w:w="756" w:type="pct"/>
          </w:tcPr>
          <w:p w14:paraId="6F7A2101" w14:textId="77777777" w:rsidR="00F64258" w:rsidRPr="00E10C99" w:rsidRDefault="00E15A3A" w:rsidP="00377244">
            <w:pPr>
              <w:pStyle w:val="Default"/>
              <w:rPr>
                <w:sz w:val="18"/>
                <w:szCs w:val="18"/>
                <w:lang w:val="lt-LT"/>
              </w:rPr>
            </w:pPr>
            <w:r>
              <w:rPr>
                <w:sz w:val="18"/>
                <w:szCs w:val="18"/>
                <w:lang w:val="lt-LT"/>
              </w:rPr>
              <w:t>Ból miednicy</w:t>
            </w:r>
          </w:p>
        </w:tc>
        <w:tc>
          <w:tcPr>
            <w:tcW w:w="687" w:type="pct"/>
          </w:tcPr>
          <w:p w14:paraId="3B510705" w14:textId="77777777" w:rsidR="00F64258" w:rsidRPr="00E10C99" w:rsidRDefault="00F64258" w:rsidP="00377244">
            <w:pPr>
              <w:rPr>
                <w:rFonts w:ascii="Times New Roman" w:hAnsi="Times New Roman" w:cs="Times New Roman"/>
                <w:sz w:val="18"/>
                <w:szCs w:val="18"/>
                <w:lang w:val="lt-LT"/>
              </w:rPr>
            </w:pPr>
          </w:p>
        </w:tc>
        <w:tc>
          <w:tcPr>
            <w:tcW w:w="550" w:type="pct"/>
          </w:tcPr>
          <w:p w14:paraId="2E8714C6" w14:textId="77777777" w:rsidR="00F64258" w:rsidRPr="00E10C99" w:rsidRDefault="00F64258" w:rsidP="00377244">
            <w:pPr>
              <w:rPr>
                <w:rFonts w:ascii="Times New Roman" w:hAnsi="Times New Roman" w:cs="Times New Roman"/>
                <w:sz w:val="18"/>
                <w:szCs w:val="18"/>
                <w:lang w:val="lt-LT"/>
              </w:rPr>
            </w:pPr>
          </w:p>
        </w:tc>
        <w:tc>
          <w:tcPr>
            <w:tcW w:w="687" w:type="pct"/>
          </w:tcPr>
          <w:p w14:paraId="0F34AE20" w14:textId="77777777" w:rsidR="00F64258" w:rsidRPr="00E10C99" w:rsidRDefault="00F64258" w:rsidP="00377244">
            <w:pPr>
              <w:rPr>
                <w:rFonts w:ascii="Times New Roman" w:hAnsi="Times New Roman" w:cs="Times New Roman"/>
                <w:sz w:val="18"/>
                <w:szCs w:val="18"/>
                <w:lang w:val="lt-LT"/>
              </w:rPr>
            </w:pPr>
          </w:p>
        </w:tc>
        <w:tc>
          <w:tcPr>
            <w:tcW w:w="756" w:type="pct"/>
          </w:tcPr>
          <w:p w14:paraId="7308ABF5" w14:textId="77777777" w:rsidR="00F64258" w:rsidRPr="00E10C99" w:rsidRDefault="00F64258" w:rsidP="00377244">
            <w:pPr>
              <w:pStyle w:val="Default"/>
              <w:rPr>
                <w:sz w:val="18"/>
                <w:szCs w:val="18"/>
                <w:lang w:val="lt-LT"/>
              </w:rPr>
            </w:pPr>
            <w:r w:rsidRPr="00E10C99">
              <w:rPr>
                <w:sz w:val="18"/>
                <w:szCs w:val="18"/>
                <w:lang w:val="lt-LT"/>
              </w:rPr>
              <w:t>Niewydolność jajników</w:t>
            </w:r>
            <w:r w:rsidRPr="00E10C99">
              <w:rPr>
                <w:sz w:val="18"/>
                <w:szCs w:val="18"/>
                <w:vertAlign w:val="superscript"/>
                <w:lang w:val="lt-LT"/>
              </w:rPr>
              <w:t>a,b</w:t>
            </w:r>
          </w:p>
        </w:tc>
      </w:tr>
      <w:tr w:rsidR="003141EC" w:rsidRPr="00E10C99" w14:paraId="32990400" w14:textId="77777777" w:rsidTr="00F533B1">
        <w:tc>
          <w:tcPr>
            <w:tcW w:w="809" w:type="pct"/>
          </w:tcPr>
          <w:p w14:paraId="283679A1" w14:textId="77777777" w:rsidR="00F64258" w:rsidRPr="00E10C99" w:rsidRDefault="00F64258" w:rsidP="00377244">
            <w:pPr>
              <w:pStyle w:val="Default"/>
              <w:rPr>
                <w:sz w:val="18"/>
                <w:szCs w:val="18"/>
                <w:lang w:val="lt-LT"/>
              </w:rPr>
            </w:pPr>
            <w:r w:rsidRPr="00E10C99">
              <w:rPr>
                <w:sz w:val="18"/>
                <w:szCs w:val="18"/>
                <w:lang w:val="lt-LT"/>
              </w:rPr>
              <w:t>Wady wrodzone,</w:t>
            </w:r>
            <w:r w:rsidR="00557DD6" w:rsidRPr="00E10C99">
              <w:rPr>
                <w:sz w:val="18"/>
                <w:szCs w:val="18"/>
                <w:lang w:val="lt-LT"/>
              </w:rPr>
              <w:t xml:space="preserve"> choroby rodzinne i genetyczne</w:t>
            </w:r>
          </w:p>
        </w:tc>
        <w:tc>
          <w:tcPr>
            <w:tcW w:w="756" w:type="pct"/>
          </w:tcPr>
          <w:p w14:paraId="4CE4DC5F" w14:textId="77777777" w:rsidR="00F64258" w:rsidRPr="00E10C99" w:rsidRDefault="00F64258" w:rsidP="00377244">
            <w:pPr>
              <w:pStyle w:val="Default"/>
              <w:rPr>
                <w:sz w:val="18"/>
                <w:szCs w:val="18"/>
                <w:lang w:val="lt-LT"/>
              </w:rPr>
            </w:pPr>
          </w:p>
        </w:tc>
        <w:tc>
          <w:tcPr>
            <w:tcW w:w="756" w:type="pct"/>
          </w:tcPr>
          <w:p w14:paraId="02E6FBE9" w14:textId="77777777" w:rsidR="00F64258" w:rsidRPr="00E10C99" w:rsidRDefault="00F64258" w:rsidP="00377244">
            <w:pPr>
              <w:pStyle w:val="Default"/>
              <w:rPr>
                <w:sz w:val="18"/>
                <w:szCs w:val="18"/>
                <w:lang w:val="lt-LT"/>
              </w:rPr>
            </w:pPr>
          </w:p>
        </w:tc>
        <w:tc>
          <w:tcPr>
            <w:tcW w:w="687" w:type="pct"/>
          </w:tcPr>
          <w:p w14:paraId="725AD37D" w14:textId="77777777" w:rsidR="00F64258" w:rsidRPr="00E10C99" w:rsidRDefault="00F64258" w:rsidP="00377244">
            <w:pPr>
              <w:rPr>
                <w:rFonts w:ascii="Times New Roman" w:hAnsi="Times New Roman" w:cs="Times New Roman"/>
                <w:sz w:val="18"/>
                <w:szCs w:val="18"/>
                <w:lang w:val="lt-LT"/>
              </w:rPr>
            </w:pPr>
          </w:p>
        </w:tc>
        <w:tc>
          <w:tcPr>
            <w:tcW w:w="550" w:type="pct"/>
          </w:tcPr>
          <w:p w14:paraId="217044F2" w14:textId="77777777" w:rsidR="00F64258" w:rsidRPr="00E10C99" w:rsidRDefault="00F64258" w:rsidP="00377244">
            <w:pPr>
              <w:rPr>
                <w:rFonts w:ascii="Times New Roman" w:hAnsi="Times New Roman" w:cs="Times New Roman"/>
                <w:sz w:val="18"/>
                <w:szCs w:val="18"/>
                <w:lang w:val="lt-LT"/>
              </w:rPr>
            </w:pPr>
          </w:p>
        </w:tc>
        <w:tc>
          <w:tcPr>
            <w:tcW w:w="687" w:type="pct"/>
          </w:tcPr>
          <w:p w14:paraId="6B11BCEC" w14:textId="77777777" w:rsidR="00F64258" w:rsidRPr="00E10C99" w:rsidRDefault="00F64258" w:rsidP="00377244">
            <w:pPr>
              <w:rPr>
                <w:rFonts w:ascii="Times New Roman" w:hAnsi="Times New Roman" w:cs="Times New Roman"/>
                <w:sz w:val="18"/>
                <w:szCs w:val="18"/>
                <w:lang w:val="lt-LT"/>
              </w:rPr>
            </w:pPr>
          </w:p>
        </w:tc>
        <w:tc>
          <w:tcPr>
            <w:tcW w:w="756" w:type="pct"/>
          </w:tcPr>
          <w:p w14:paraId="22898EBD" w14:textId="77777777" w:rsidR="00F64258" w:rsidRPr="00E10C99" w:rsidRDefault="00F64258" w:rsidP="00377244">
            <w:pPr>
              <w:pStyle w:val="Default"/>
              <w:rPr>
                <w:sz w:val="18"/>
                <w:szCs w:val="18"/>
                <w:lang w:val="lt-LT"/>
              </w:rPr>
            </w:pPr>
            <w:r w:rsidRPr="00E10C99">
              <w:rPr>
                <w:sz w:val="18"/>
                <w:szCs w:val="18"/>
                <w:lang w:val="lt-LT"/>
              </w:rPr>
              <w:t>Wady rozwojowe płodu</w:t>
            </w:r>
            <w:r w:rsidRPr="00E10C99">
              <w:rPr>
                <w:sz w:val="18"/>
                <w:szCs w:val="18"/>
                <w:vertAlign w:val="superscript"/>
                <w:lang w:val="lt-LT"/>
              </w:rPr>
              <w:t>a,c</w:t>
            </w:r>
            <w:r w:rsidRPr="00E10C99">
              <w:rPr>
                <w:sz w:val="18"/>
                <w:szCs w:val="18"/>
                <w:lang w:val="lt-LT"/>
              </w:rPr>
              <w:t xml:space="preserve"> </w:t>
            </w:r>
          </w:p>
          <w:p w14:paraId="1235BCCF" w14:textId="77777777" w:rsidR="00F64258" w:rsidRPr="00E10C99" w:rsidRDefault="00F64258" w:rsidP="00377244">
            <w:pPr>
              <w:pStyle w:val="Default"/>
              <w:rPr>
                <w:sz w:val="18"/>
                <w:szCs w:val="18"/>
                <w:lang w:val="lt-LT"/>
              </w:rPr>
            </w:pPr>
          </w:p>
        </w:tc>
      </w:tr>
      <w:tr w:rsidR="003141EC" w:rsidRPr="008C2A94" w14:paraId="351124DF" w14:textId="77777777" w:rsidTr="00F533B1">
        <w:tc>
          <w:tcPr>
            <w:tcW w:w="809" w:type="pct"/>
          </w:tcPr>
          <w:p w14:paraId="333B53AF" w14:textId="77777777" w:rsidR="00F64258" w:rsidRPr="00E10C99" w:rsidRDefault="00F64258" w:rsidP="00377244">
            <w:pPr>
              <w:pStyle w:val="Default"/>
              <w:rPr>
                <w:sz w:val="18"/>
                <w:szCs w:val="18"/>
                <w:lang w:val="lt-LT"/>
              </w:rPr>
            </w:pPr>
            <w:r w:rsidRPr="00E10C99">
              <w:rPr>
                <w:sz w:val="18"/>
                <w:szCs w:val="18"/>
                <w:lang w:val="lt-LT"/>
              </w:rPr>
              <w:t xml:space="preserve">Zaburzenia ogólne i stany w miejscu podania </w:t>
            </w:r>
          </w:p>
        </w:tc>
        <w:tc>
          <w:tcPr>
            <w:tcW w:w="756" w:type="pct"/>
          </w:tcPr>
          <w:p w14:paraId="060638B2" w14:textId="77777777" w:rsidR="00F64258" w:rsidRPr="00E10C99" w:rsidRDefault="00F64258" w:rsidP="006C3756">
            <w:pPr>
              <w:pStyle w:val="Default"/>
              <w:rPr>
                <w:sz w:val="18"/>
                <w:szCs w:val="18"/>
                <w:lang w:val="lt-LT"/>
              </w:rPr>
            </w:pPr>
            <w:r w:rsidRPr="00E10C99">
              <w:rPr>
                <w:sz w:val="18"/>
                <w:szCs w:val="18"/>
                <w:lang w:val="lt-LT"/>
              </w:rPr>
              <w:t xml:space="preserve">Osłabienie, Zmęczenie </w:t>
            </w:r>
          </w:p>
        </w:tc>
        <w:tc>
          <w:tcPr>
            <w:tcW w:w="756" w:type="pct"/>
          </w:tcPr>
          <w:p w14:paraId="37B9A928" w14:textId="77777777" w:rsidR="003141EC" w:rsidRDefault="003141EC" w:rsidP="006C3756">
            <w:pPr>
              <w:pStyle w:val="Default"/>
              <w:rPr>
                <w:sz w:val="18"/>
                <w:szCs w:val="18"/>
                <w:lang w:val="lt-LT"/>
              </w:rPr>
            </w:pPr>
            <w:r>
              <w:rPr>
                <w:sz w:val="18"/>
                <w:szCs w:val="18"/>
                <w:lang w:val="lt-LT"/>
              </w:rPr>
              <w:t>Ból, Ospałość,</w:t>
            </w:r>
          </w:p>
          <w:p w14:paraId="689B289D" w14:textId="77777777" w:rsidR="00F64258" w:rsidRPr="00E10C99" w:rsidRDefault="00F64258" w:rsidP="006C3756">
            <w:pPr>
              <w:pStyle w:val="Default"/>
              <w:rPr>
                <w:sz w:val="18"/>
                <w:szCs w:val="18"/>
                <w:lang w:val="lt-LT"/>
              </w:rPr>
            </w:pPr>
            <w:r w:rsidRPr="00E10C99">
              <w:rPr>
                <w:sz w:val="18"/>
                <w:szCs w:val="18"/>
                <w:lang w:val="lt-LT"/>
              </w:rPr>
              <w:t xml:space="preserve">Zapalenie błon śluzowych </w:t>
            </w:r>
          </w:p>
        </w:tc>
        <w:tc>
          <w:tcPr>
            <w:tcW w:w="687" w:type="pct"/>
          </w:tcPr>
          <w:p w14:paraId="2371FB02" w14:textId="77777777" w:rsidR="00F64258" w:rsidRPr="00E10C99" w:rsidRDefault="00F64258" w:rsidP="00377244">
            <w:pPr>
              <w:rPr>
                <w:rFonts w:ascii="Times New Roman" w:hAnsi="Times New Roman" w:cs="Times New Roman"/>
                <w:sz w:val="18"/>
                <w:szCs w:val="18"/>
                <w:lang w:val="lt-LT"/>
              </w:rPr>
            </w:pPr>
          </w:p>
        </w:tc>
        <w:tc>
          <w:tcPr>
            <w:tcW w:w="550" w:type="pct"/>
          </w:tcPr>
          <w:p w14:paraId="66B74BBF" w14:textId="77777777" w:rsidR="00F64258" w:rsidRPr="00E10C99" w:rsidRDefault="00F64258" w:rsidP="00377244">
            <w:pPr>
              <w:rPr>
                <w:rFonts w:ascii="Times New Roman" w:hAnsi="Times New Roman" w:cs="Times New Roman"/>
                <w:sz w:val="18"/>
                <w:szCs w:val="18"/>
                <w:lang w:val="lt-LT"/>
              </w:rPr>
            </w:pPr>
          </w:p>
        </w:tc>
        <w:tc>
          <w:tcPr>
            <w:tcW w:w="687" w:type="pct"/>
          </w:tcPr>
          <w:p w14:paraId="20E1DE4B" w14:textId="77777777" w:rsidR="00F64258" w:rsidRPr="00E10C99" w:rsidRDefault="00F64258" w:rsidP="00377244">
            <w:pPr>
              <w:rPr>
                <w:rFonts w:ascii="Times New Roman" w:hAnsi="Times New Roman" w:cs="Times New Roman"/>
                <w:sz w:val="18"/>
                <w:szCs w:val="18"/>
                <w:lang w:val="lt-LT"/>
              </w:rPr>
            </w:pPr>
          </w:p>
        </w:tc>
        <w:tc>
          <w:tcPr>
            <w:tcW w:w="756" w:type="pct"/>
          </w:tcPr>
          <w:p w14:paraId="1419990C" w14:textId="77777777" w:rsidR="00F64258" w:rsidRPr="00E10C99" w:rsidRDefault="00F64258" w:rsidP="00377244">
            <w:pPr>
              <w:pStyle w:val="Default"/>
              <w:rPr>
                <w:sz w:val="18"/>
                <w:szCs w:val="18"/>
                <w:lang w:val="lt-LT"/>
              </w:rPr>
            </w:pPr>
          </w:p>
        </w:tc>
      </w:tr>
    </w:tbl>
    <w:p w14:paraId="6DC04BBC" w14:textId="77777777" w:rsidR="00071CFE" w:rsidRPr="00741122" w:rsidRDefault="00071CFE" w:rsidP="001B794B">
      <w:pPr>
        <w:rPr>
          <w:rFonts w:ascii="Times New Roman" w:eastAsia="Times New Roman" w:hAnsi="Times New Roman" w:cs="Times New Roman"/>
          <w:lang w:val="lt-LT"/>
        </w:rPr>
      </w:pPr>
    </w:p>
    <w:p w14:paraId="05266B81" w14:textId="63132437" w:rsidR="00071CFE" w:rsidRPr="00741122" w:rsidRDefault="00071CFE" w:rsidP="001B794B">
      <w:pPr>
        <w:rPr>
          <w:rFonts w:ascii="Times New Roman" w:eastAsia="Times New Roman" w:hAnsi="Times New Roman"/>
          <w:lang w:val="lt-LT"/>
        </w:rPr>
      </w:pPr>
      <w:r w:rsidRPr="007E1E09">
        <w:rPr>
          <w:rFonts w:ascii="Times New Roman" w:eastAsia="Times New Roman" w:hAnsi="Times New Roman"/>
          <w:lang w:val="lt-LT"/>
        </w:rPr>
        <w:t xml:space="preserve">Tabela 2 zawiera częstość występowania ciężkich działań niepożądanych. Ciężkie działania niepożądane zostały określone jako obserwowane z przynajmniej 2% różnicą w porównaniu </w:t>
      </w:r>
      <w:r w:rsidR="002E3434" w:rsidRPr="007E1E09">
        <w:rPr>
          <w:rFonts w:ascii="Times New Roman" w:eastAsia="Times New Roman" w:hAnsi="Times New Roman"/>
          <w:lang w:val="lt-LT"/>
        </w:rPr>
        <w:t>z</w:t>
      </w:r>
      <w:r w:rsidRPr="007E1E09">
        <w:rPr>
          <w:rFonts w:ascii="Times New Roman" w:eastAsia="Times New Roman" w:hAnsi="Times New Roman"/>
          <w:lang w:val="lt-LT"/>
        </w:rPr>
        <w:t xml:space="preserve"> grup</w:t>
      </w:r>
      <w:r w:rsidR="002E3434" w:rsidRPr="007E1E09">
        <w:rPr>
          <w:rFonts w:ascii="Times New Roman" w:eastAsia="Times New Roman" w:hAnsi="Times New Roman"/>
          <w:lang w:val="lt-LT"/>
        </w:rPr>
        <w:t>ą</w:t>
      </w:r>
      <w:r w:rsidRPr="007E1E09">
        <w:rPr>
          <w:rFonts w:ascii="Times New Roman" w:eastAsia="Times New Roman" w:hAnsi="Times New Roman"/>
          <w:lang w:val="lt-LT"/>
        </w:rPr>
        <w:t xml:space="preserve"> kontroln</w:t>
      </w:r>
      <w:r w:rsidR="002E3434" w:rsidRPr="007E1E09">
        <w:rPr>
          <w:rFonts w:ascii="Times New Roman" w:eastAsia="Times New Roman" w:hAnsi="Times New Roman"/>
          <w:lang w:val="lt-LT"/>
        </w:rPr>
        <w:t>ą</w:t>
      </w:r>
      <w:r w:rsidRPr="007E1E09">
        <w:rPr>
          <w:rFonts w:ascii="Times New Roman" w:eastAsia="Times New Roman" w:hAnsi="Times New Roman"/>
          <w:lang w:val="lt-LT"/>
        </w:rPr>
        <w:t xml:space="preserve"> w badaniach klinicznych dla </w:t>
      </w:r>
      <w:r w:rsidR="00295C0C">
        <w:rPr>
          <w:rFonts w:ascii="Times New Roman" w:eastAsia="Times New Roman" w:hAnsi="Times New Roman"/>
          <w:lang w:val="lt-LT"/>
        </w:rPr>
        <w:t>działań</w:t>
      </w:r>
      <w:r w:rsidRPr="007E1E09">
        <w:rPr>
          <w:rFonts w:ascii="Times New Roman" w:eastAsia="Times New Roman" w:hAnsi="Times New Roman"/>
          <w:lang w:val="lt-LT"/>
        </w:rPr>
        <w:t xml:space="preserve"> w stopniu nasilenia 3-5 wg skali NCI-CTCAE. Tabela 2 zawiera również działania niepożądane, które</w:t>
      </w:r>
      <w:r w:rsidRPr="00741122">
        <w:rPr>
          <w:rFonts w:ascii="Times New Roman" w:eastAsia="Times New Roman" w:hAnsi="Times New Roman"/>
          <w:lang w:val="lt-LT"/>
        </w:rPr>
        <w:t xml:space="preserve"> zostały uznane przez podmiot odpowiedzialny za mające znaczenie kliniczne lub ciężkie. Reakcje te były obserwowane w badaniach klinicznych, jednak częstość ich występowania w stopniu nasilenia 3-5 nie spełniała kryterium przynajmniej 2% różnicy w porównaniu </w:t>
      </w:r>
      <w:r w:rsidR="002E3434">
        <w:rPr>
          <w:rFonts w:ascii="Times New Roman" w:eastAsia="Times New Roman" w:hAnsi="Times New Roman"/>
          <w:lang w:val="lt-LT"/>
        </w:rPr>
        <w:t>z</w:t>
      </w:r>
      <w:r w:rsidRPr="00741122">
        <w:rPr>
          <w:rFonts w:ascii="Times New Roman" w:eastAsia="Times New Roman" w:hAnsi="Times New Roman"/>
          <w:lang w:val="lt-LT"/>
        </w:rPr>
        <w:t xml:space="preserve"> grup</w:t>
      </w:r>
      <w:r w:rsidR="002E3434">
        <w:rPr>
          <w:rFonts w:ascii="Times New Roman" w:eastAsia="Times New Roman" w:hAnsi="Times New Roman"/>
          <w:lang w:val="lt-LT"/>
        </w:rPr>
        <w:t>ą</w:t>
      </w:r>
      <w:r w:rsidRPr="00741122">
        <w:rPr>
          <w:rFonts w:ascii="Times New Roman" w:eastAsia="Times New Roman" w:hAnsi="Times New Roman"/>
          <w:lang w:val="lt-LT"/>
        </w:rPr>
        <w:t xml:space="preserve"> kontroln</w:t>
      </w:r>
      <w:r w:rsidR="002E3434">
        <w:rPr>
          <w:rFonts w:ascii="Times New Roman" w:eastAsia="Times New Roman" w:hAnsi="Times New Roman"/>
          <w:lang w:val="lt-LT"/>
        </w:rPr>
        <w:t>ą</w:t>
      </w:r>
      <w:r w:rsidRPr="00741122">
        <w:rPr>
          <w:rFonts w:ascii="Times New Roman" w:eastAsia="Times New Roman" w:hAnsi="Times New Roman"/>
          <w:lang w:val="lt-LT"/>
        </w:rPr>
        <w:t>. Tabela 2 zawiera również działania niepożądane mające znaczenie kliniczne obserwowane po wprowadzeniu produktu do obrotu, dlatego częstość ich występowania oraz stopień nasilenia wg skali NCI-CTCAE nie jest znany. Z tego powodu, reakcje te zostały zawarte w Tabeli 2 w kolumnie „Częstość nieznana”.</w:t>
      </w:r>
    </w:p>
    <w:p w14:paraId="2DF6DF40" w14:textId="77777777" w:rsidR="00071CFE" w:rsidRPr="00741122" w:rsidRDefault="00071CFE" w:rsidP="001B794B">
      <w:pPr>
        <w:rPr>
          <w:rFonts w:ascii="Times New Roman" w:eastAsia="Times New Roman" w:hAnsi="Times New Roman"/>
          <w:lang w:val="lt-LT"/>
        </w:rPr>
      </w:pPr>
    </w:p>
    <w:p w14:paraId="72DF543E" w14:textId="77777777" w:rsidR="00071CFE" w:rsidRPr="00741122" w:rsidRDefault="00071CFE" w:rsidP="001B794B">
      <w:pPr>
        <w:ind w:left="567" w:hanging="567"/>
        <w:rPr>
          <w:rFonts w:ascii="Times New Roman" w:eastAsia="Times New Roman" w:hAnsi="Times New Roman"/>
          <w:lang w:val="lt-LT"/>
        </w:rPr>
      </w:pPr>
      <w:r w:rsidRPr="00741122">
        <w:rPr>
          <w:rFonts w:ascii="Times New Roman" w:eastAsia="Times New Roman" w:hAnsi="Times New Roman" w:cs="Times New Roman"/>
          <w:vertAlign w:val="superscript"/>
          <w:lang w:val="lt-LT" w:eastAsia="en-US"/>
        </w:rPr>
        <w:t>a</w:t>
      </w:r>
      <w:r w:rsidR="006C3756" w:rsidRPr="00741122">
        <w:rPr>
          <w:rFonts w:ascii="Times New Roman" w:eastAsia="Times New Roman" w:hAnsi="Times New Roman" w:cs="Times New Roman"/>
          <w:lang w:val="lt-LT" w:eastAsia="en-US"/>
        </w:rPr>
        <w:tab/>
      </w:r>
      <w:r w:rsidRPr="00741122">
        <w:rPr>
          <w:rFonts w:ascii="Times New Roman" w:eastAsia="Times New Roman" w:hAnsi="Times New Roman"/>
          <w:lang w:val="lt-LT"/>
        </w:rPr>
        <w:t>Pojęcia medyczne przedstawiają zbiorcze działania niepożądane a nie pojedyncze jednostki chorobowe lub terminy medyczne słownika MedDRA stosowane przed i po dopuszczeniu produktu do obrotu. Pojęcia te mogą być związane z takim samym podłożem patofizjologicznym (np. działania niepożądane o charakterze zakrzepowo-zatorowym, w</w:t>
      </w:r>
      <w:r w:rsidR="002E3434">
        <w:rPr>
          <w:rFonts w:ascii="Times New Roman" w:eastAsia="Times New Roman" w:hAnsi="Times New Roman"/>
          <w:lang w:val="lt-LT"/>
        </w:rPr>
        <w:t xml:space="preserve"> tym</w:t>
      </w:r>
      <w:r w:rsidRPr="00741122">
        <w:rPr>
          <w:rFonts w:ascii="Times New Roman" w:eastAsia="Times New Roman" w:hAnsi="Times New Roman"/>
          <w:lang w:val="lt-LT"/>
        </w:rPr>
        <w:t xml:space="preserve"> incydenty w obrębie naczyń mózgowych, zawał </w:t>
      </w:r>
      <w:r w:rsidR="00F52AC6">
        <w:rPr>
          <w:rFonts w:ascii="Times New Roman" w:eastAsia="Times New Roman" w:hAnsi="Times New Roman"/>
          <w:lang w:val="lt-LT"/>
        </w:rPr>
        <w:t>mięśnia sercowego</w:t>
      </w:r>
      <w:r w:rsidRPr="00741122">
        <w:rPr>
          <w:rFonts w:ascii="Times New Roman" w:eastAsia="Times New Roman" w:hAnsi="Times New Roman"/>
          <w:lang w:val="lt-LT"/>
        </w:rPr>
        <w:t>, przemijające napady niedokrwienne mózgu i inne zdarzenia zakrzepowo-zatorowe).</w:t>
      </w:r>
    </w:p>
    <w:p w14:paraId="7CAFBEFD" w14:textId="77777777" w:rsidR="00071CFE" w:rsidRPr="00741122" w:rsidRDefault="00071CFE" w:rsidP="001B794B">
      <w:pPr>
        <w:ind w:left="567" w:hanging="567"/>
        <w:rPr>
          <w:rFonts w:ascii="Times New Roman" w:eastAsia="Times New Roman" w:hAnsi="Times New Roman"/>
          <w:lang w:val="lt-LT"/>
        </w:rPr>
      </w:pPr>
      <w:r w:rsidRPr="00741122">
        <w:rPr>
          <w:rFonts w:ascii="Times New Roman" w:eastAsia="Times New Roman" w:hAnsi="Times New Roman" w:cs="Times New Roman"/>
          <w:vertAlign w:val="superscript"/>
          <w:lang w:val="lt-LT" w:eastAsia="en-US"/>
        </w:rPr>
        <w:t>b</w:t>
      </w:r>
      <w:r w:rsidR="006C3756" w:rsidRPr="00741122">
        <w:rPr>
          <w:rFonts w:ascii="Times New Roman" w:eastAsia="Times New Roman" w:hAnsi="Times New Roman" w:cs="Times New Roman"/>
          <w:lang w:val="lt-LT" w:eastAsia="en-US"/>
        </w:rPr>
        <w:tab/>
      </w:r>
      <w:r w:rsidRPr="00741122">
        <w:rPr>
          <w:rFonts w:ascii="Times New Roman" w:eastAsia="Times New Roman" w:hAnsi="Times New Roman"/>
          <w:lang w:val="lt-LT"/>
        </w:rPr>
        <w:t>Dodatkowe informacje można znaleźć poniżej w części „</w:t>
      </w:r>
      <w:r w:rsidR="00FF35EA">
        <w:rPr>
          <w:rFonts w:ascii="Times New Roman" w:eastAsia="Times New Roman" w:hAnsi="Times New Roman"/>
          <w:lang w:val="lt-LT"/>
        </w:rPr>
        <w:t>Opis</w:t>
      </w:r>
      <w:r w:rsidRPr="00741122">
        <w:rPr>
          <w:rFonts w:ascii="Times New Roman" w:eastAsia="Times New Roman" w:hAnsi="Times New Roman"/>
          <w:lang w:val="lt-LT"/>
        </w:rPr>
        <w:t xml:space="preserve"> wybranych działań niepożądanych”.</w:t>
      </w:r>
    </w:p>
    <w:p w14:paraId="7D3EE279" w14:textId="77777777" w:rsidR="006C3756" w:rsidRPr="00741122" w:rsidRDefault="00071CFE" w:rsidP="001B794B">
      <w:pPr>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t>c</w:t>
      </w:r>
      <w:r w:rsidR="006C3756" w:rsidRPr="00741122">
        <w:rPr>
          <w:rFonts w:ascii="Times New Roman" w:eastAsia="Times New Roman" w:hAnsi="Times New Roman" w:cs="Times New Roman"/>
          <w:lang w:val="lt-LT" w:eastAsia="en-US"/>
        </w:rPr>
        <w:tab/>
      </w:r>
      <w:r w:rsidRPr="00741122">
        <w:rPr>
          <w:rFonts w:ascii="Times New Roman" w:eastAsia="Times New Roman" w:hAnsi="Times New Roman"/>
          <w:lang w:val="lt-LT"/>
        </w:rPr>
        <w:t xml:space="preserve">Więcej informacji można znaleźć w Tabeli 3 „Działania niepożądane obserwowane po wprowadzeniu produktu do obrotu”. </w:t>
      </w:r>
    </w:p>
    <w:p w14:paraId="708331D1" w14:textId="77777777" w:rsidR="00071CFE" w:rsidRPr="00741122" w:rsidRDefault="00071CFE" w:rsidP="001B794B">
      <w:pPr>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lastRenderedPageBreak/>
        <w:t>d</w:t>
      </w:r>
      <w:r w:rsidR="006C3756" w:rsidRPr="00741122">
        <w:rPr>
          <w:rFonts w:ascii="Times New Roman" w:eastAsia="Times New Roman" w:hAnsi="Times New Roman" w:cs="Times New Roman"/>
          <w:lang w:val="lt-LT" w:eastAsia="en-US"/>
        </w:rPr>
        <w:tab/>
      </w:r>
      <w:r w:rsidRPr="00741122">
        <w:rPr>
          <w:rFonts w:ascii="Times New Roman" w:eastAsia="Times New Roman" w:hAnsi="Times New Roman"/>
          <w:lang w:val="lt-LT"/>
        </w:rPr>
        <w:t>Przetoki odbytniczo-pochwowe należą do najczęstszych przetok w kategorii przetok pomiędzy pochwą a przewodem pokarmowym.</w:t>
      </w:r>
    </w:p>
    <w:p w14:paraId="741B147C" w14:textId="77777777" w:rsidR="00071CFE" w:rsidRPr="00741122" w:rsidRDefault="00071CFE" w:rsidP="001B794B">
      <w:pPr>
        <w:rPr>
          <w:rFonts w:ascii="Times New Roman" w:eastAsia="Times New Roman" w:hAnsi="Times New Roman" w:cs="Times New Roman"/>
          <w:sz w:val="22"/>
          <w:szCs w:val="22"/>
          <w:lang w:val="lt-LT"/>
        </w:rPr>
      </w:pPr>
    </w:p>
    <w:p w14:paraId="4DEDD919" w14:textId="77777777" w:rsidR="00071CFE" w:rsidRPr="00741122" w:rsidRDefault="00071CFE" w:rsidP="001B794B">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 xml:space="preserve">Opis </w:t>
      </w:r>
      <w:r w:rsidR="007270E7" w:rsidRPr="00741122">
        <w:rPr>
          <w:rFonts w:ascii="Times New Roman" w:eastAsia="Times New Roman" w:hAnsi="Times New Roman" w:cs="Times New Roman"/>
          <w:sz w:val="22"/>
          <w:szCs w:val="22"/>
          <w:u w:val="single"/>
          <w:lang w:val="lt-LT"/>
        </w:rPr>
        <w:t>wybranych działań niepożądanych</w:t>
      </w:r>
    </w:p>
    <w:p w14:paraId="38AE7E42" w14:textId="77777777" w:rsidR="00071CFE" w:rsidRPr="00741122" w:rsidRDefault="00071CFE" w:rsidP="001B794B">
      <w:pPr>
        <w:keepNext/>
        <w:rPr>
          <w:rFonts w:ascii="Times New Roman" w:eastAsia="Times New Roman" w:hAnsi="Times New Roman" w:cs="Times New Roman"/>
          <w:sz w:val="22"/>
          <w:szCs w:val="22"/>
          <w:lang w:val="lt-LT"/>
        </w:rPr>
      </w:pPr>
    </w:p>
    <w:p w14:paraId="192E6C37" w14:textId="77777777" w:rsidR="00071CFE" w:rsidRPr="008F34D1" w:rsidRDefault="00071CFE" w:rsidP="001B794B">
      <w:pPr>
        <w:rPr>
          <w:rFonts w:ascii="Times New Roman" w:eastAsia="Times New Roman" w:hAnsi="Times New Roman" w:cs="Times New Roman"/>
          <w:i/>
          <w:sz w:val="22"/>
          <w:szCs w:val="22"/>
          <w:u w:val="single"/>
          <w:lang w:val="lt-LT"/>
        </w:rPr>
      </w:pPr>
      <w:r w:rsidRPr="008F34D1">
        <w:rPr>
          <w:rFonts w:ascii="Times New Roman" w:eastAsia="Times New Roman" w:hAnsi="Times New Roman" w:cs="Times New Roman"/>
          <w:i/>
          <w:sz w:val="22"/>
          <w:szCs w:val="22"/>
          <w:u w:val="single"/>
          <w:lang w:val="lt-LT"/>
        </w:rPr>
        <w:t>Perforacje żołądkowo-jelitowe i przetoki (patrz punkt 4.4)</w:t>
      </w:r>
    </w:p>
    <w:p w14:paraId="24FA4356" w14:textId="77777777" w:rsidR="007270E7" w:rsidRPr="00741122" w:rsidRDefault="007270E7" w:rsidP="001B794B">
      <w:pPr>
        <w:rPr>
          <w:rFonts w:ascii="Times New Roman" w:eastAsia="Times New Roman" w:hAnsi="Times New Roman" w:cs="Times New Roman"/>
          <w:sz w:val="22"/>
          <w:szCs w:val="22"/>
          <w:u w:val="single"/>
          <w:lang w:val="lt-LT"/>
        </w:rPr>
      </w:pPr>
    </w:p>
    <w:p w14:paraId="2FF60D6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Podawanie </w:t>
      </w:r>
      <w:r w:rsidR="001B611F">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było związane z występowaniem ciężkich przypadków perforacji żołądkowo-jelitowych.</w:t>
      </w:r>
    </w:p>
    <w:p w14:paraId="0D6D66D0" w14:textId="77777777" w:rsidR="00071CFE" w:rsidRPr="00741122" w:rsidRDefault="00071CFE" w:rsidP="007270E7">
      <w:pPr>
        <w:rPr>
          <w:rFonts w:ascii="Times New Roman" w:eastAsia="Times New Roman" w:hAnsi="Times New Roman" w:cs="Times New Roman"/>
          <w:sz w:val="22"/>
          <w:szCs w:val="22"/>
          <w:lang w:val="lt-LT"/>
        </w:rPr>
      </w:pPr>
    </w:p>
    <w:p w14:paraId="390E0218" w14:textId="78B64B13"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badaniach klinicznych perforacje żołądkowo-jelitowe występowały z częstością mniejszą niż 1% u pacjentów z niepłaskonabłonkowym, niedrobnokomórkowym rakiem płuca, do 1,3% u pacjentów z rakiem piersi z przerzutami, do 2</w:t>
      </w:r>
      <w:r w:rsidR="00823170">
        <w:rPr>
          <w:rFonts w:ascii="Times New Roman" w:eastAsia="Times New Roman" w:hAnsi="Times New Roman" w:cs="Times New Roman"/>
          <w:sz w:val="22"/>
          <w:szCs w:val="22"/>
          <w:lang w:val="lt-LT"/>
        </w:rPr>
        <w:t>,0</w:t>
      </w:r>
      <w:r w:rsidRPr="00741122">
        <w:rPr>
          <w:rFonts w:ascii="Times New Roman" w:eastAsia="Times New Roman" w:hAnsi="Times New Roman" w:cs="Times New Roman"/>
          <w:sz w:val="22"/>
          <w:szCs w:val="22"/>
          <w:lang w:val="lt-LT"/>
        </w:rPr>
        <w:t>% u chorych na rozsianego raka nerki lub raka jajnika oraz do 2,7% (w tym przetoka żołądkowo-jelitowa i ropień) u pacjentów z rakiem okrężnicy lub odbytnicy z przerzutami. W badaniu klinicznym u pacjentek z przetrwałym, nawrotowym lub przerzutowym rakiem szyjki macicy (badanie GOG-0240), perforacje żołądkowo-jelitowe (wszystkie stopnie) zgłaszano u 3,2% pacjentek. Wszystkie pacjentki z tym powikłaniem były uprzednio poddawane radioterapii miednicy.</w:t>
      </w:r>
    </w:p>
    <w:p w14:paraId="697325F6" w14:textId="77777777" w:rsidR="00071CFE" w:rsidRPr="00741122" w:rsidRDefault="00071CFE" w:rsidP="007270E7">
      <w:pPr>
        <w:rPr>
          <w:rFonts w:ascii="Times New Roman" w:eastAsia="Times New Roman" w:hAnsi="Times New Roman" w:cs="Times New Roman"/>
          <w:sz w:val="22"/>
          <w:szCs w:val="22"/>
          <w:lang w:val="lt-LT"/>
        </w:rPr>
      </w:pPr>
    </w:p>
    <w:p w14:paraId="01844702" w14:textId="77777777" w:rsidR="00071CFE" w:rsidRPr="00741122" w:rsidRDefault="00071CFE" w:rsidP="007270E7">
      <w:pPr>
        <w:rPr>
          <w:rFonts w:ascii="Times New Roman" w:eastAsia="Times New Roman" w:hAnsi="Times New Roman" w:cs="Times New Roman"/>
          <w:sz w:val="22"/>
          <w:szCs w:val="22"/>
          <w:lang w:val="lt-LT"/>
        </w:rPr>
      </w:pPr>
      <w:bookmarkStart w:id="17" w:name="page17"/>
      <w:bookmarkEnd w:id="17"/>
      <w:r w:rsidRPr="00741122">
        <w:rPr>
          <w:rFonts w:ascii="Times New Roman" w:eastAsia="Times New Roman" w:hAnsi="Times New Roman" w:cs="Times New Roman"/>
          <w:sz w:val="22"/>
          <w:szCs w:val="22"/>
          <w:lang w:val="lt-LT"/>
        </w:rPr>
        <w:t>Występowanie tych zdarzeń różniło się w zakresie rodzaju i ciężkości, od objawu bańki powietrza widocznego na zdjęciu przeglądowym jamy brzusznej, który ustępował bez leczenia, aż do perforacji jelitowej z ropniem w jamie brzusznej i śmierci pacjenta. W niektórych przypadkach występowało zapalenie w obrębie jamy brzusznej spowodowane chorobą wrzodową żołądka, martwicą guza, zapaleniem uchyłka lub zapaleniem jelit związanym z chemioterapią.</w:t>
      </w:r>
    </w:p>
    <w:p w14:paraId="4AA4B5C6" w14:textId="77777777" w:rsidR="00071CFE" w:rsidRPr="00741122" w:rsidRDefault="00071CFE" w:rsidP="007270E7">
      <w:pPr>
        <w:rPr>
          <w:rFonts w:ascii="Times New Roman" w:eastAsia="Times New Roman" w:hAnsi="Times New Roman" w:cs="Times New Roman"/>
          <w:sz w:val="22"/>
          <w:szCs w:val="22"/>
          <w:lang w:val="lt-LT"/>
        </w:rPr>
      </w:pPr>
    </w:p>
    <w:p w14:paraId="2BDE408D"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Zgonem zakończyła się około trzecia część ciężkich przypadków perforacji żołądkowo-jelitowych, co odpowiada 0,2%-1% wszystkich pacjentów otrzymujących </w:t>
      </w:r>
      <w:r w:rsidR="001B611F">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w:t>
      </w:r>
    </w:p>
    <w:p w14:paraId="085F3B71" w14:textId="77777777" w:rsidR="00071CFE" w:rsidRPr="00741122" w:rsidRDefault="00071CFE" w:rsidP="007270E7">
      <w:pPr>
        <w:rPr>
          <w:rFonts w:ascii="Times New Roman" w:eastAsia="Times New Roman" w:hAnsi="Times New Roman" w:cs="Times New Roman"/>
          <w:sz w:val="22"/>
          <w:szCs w:val="22"/>
          <w:lang w:val="lt-LT"/>
        </w:rPr>
      </w:pPr>
    </w:p>
    <w:p w14:paraId="487805D6"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badaniach klinicznych </w:t>
      </w:r>
      <w:r w:rsidR="001B611F">
        <w:rPr>
          <w:rFonts w:ascii="Times New Roman" w:eastAsia="Times New Roman" w:hAnsi="Times New Roman" w:cs="Times New Roman"/>
          <w:sz w:val="22"/>
          <w:szCs w:val="22"/>
          <w:lang w:val="lt-LT"/>
        </w:rPr>
        <w:t>z bewacyzumabem</w:t>
      </w:r>
      <w:r w:rsidRPr="00741122">
        <w:rPr>
          <w:rFonts w:ascii="Times New Roman" w:eastAsia="Times New Roman" w:hAnsi="Times New Roman" w:cs="Times New Roman"/>
          <w:sz w:val="22"/>
          <w:szCs w:val="22"/>
          <w:lang w:val="lt-LT"/>
        </w:rPr>
        <w:t xml:space="preserve"> przetoki (wszystkie stopnie) w obrębie przewodu pokarmowego występowały z częstością do 2% u chorych na raka okrężnicy i odbytnicy z przerzutami oraz chorych na raka jajnika, jednak były również obserwowane rzadziej u pacjentów z innymi rodzajami nowotworów.</w:t>
      </w:r>
    </w:p>
    <w:p w14:paraId="3F84CDE4" w14:textId="77777777" w:rsidR="00071CFE" w:rsidRPr="00741122" w:rsidRDefault="00071CFE" w:rsidP="007270E7">
      <w:pPr>
        <w:rPr>
          <w:rFonts w:ascii="Times New Roman" w:eastAsia="Times New Roman" w:hAnsi="Times New Roman" w:cs="Times New Roman"/>
          <w:sz w:val="22"/>
          <w:szCs w:val="22"/>
          <w:lang w:val="lt-LT"/>
        </w:rPr>
      </w:pPr>
    </w:p>
    <w:p w14:paraId="64DB73ED" w14:textId="77777777" w:rsidR="00071CFE" w:rsidRPr="00A0662E" w:rsidRDefault="00071CFE" w:rsidP="007270E7">
      <w:pPr>
        <w:rPr>
          <w:rFonts w:ascii="Times New Roman" w:eastAsia="Times New Roman" w:hAnsi="Times New Roman" w:cs="Times New Roman"/>
          <w:i/>
          <w:sz w:val="22"/>
          <w:szCs w:val="22"/>
          <w:u w:val="single"/>
          <w:lang w:val="lt-LT"/>
        </w:rPr>
      </w:pPr>
      <w:r w:rsidRPr="00A0662E">
        <w:rPr>
          <w:rFonts w:ascii="Times New Roman" w:eastAsia="Times New Roman" w:hAnsi="Times New Roman" w:cs="Times New Roman"/>
          <w:i/>
          <w:sz w:val="22"/>
          <w:szCs w:val="22"/>
          <w:u w:val="single"/>
          <w:lang w:val="lt-LT"/>
        </w:rPr>
        <w:t>Przetoki pomiędzy układem pokarmowym a pochwą w badaniu GOG-0240</w:t>
      </w:r>
    </w:p>
    <w:p w14:paraId="51FB2B9B" w14:textId="77777777" w:rsidR="007270E7" w:rsidRPr="00741122" w:rsidRDefault="007270E7" w:rsidP="007270E7">
      <w:pPr>
        <w:rPr>
          <w:rFonts w:ascii="Times New Roman" w:eastAsia="Times New Roman" w:hAnsi="Times New Roman" w:cs="Times New Roman"/>
          <w:sz w:val="22"/>
          <w:szCs w:val="22"/>
          <w:u w:val="single"/>
          <w:lang w:val="lt-LT"/>
        </w:rPr>
      </w:pPr>
    </w:p>
    <w:p w14:paraId="2BC4B15A" w14:textId="77777777" w:rsidR="00071CFE" w:rsidRPr="00741122" w:rsidRDefault="00A03A2F" w:rsidP="007270E7">
      <w:pPr>
        <w:tabs>
          <w:tab w:val="left" w:pos="265"/>
        </w:tab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w:t>
      </w:r>
      <w:r w:rsidR="00071CFE" w:rsidRPr="00741122">
        <w:rPr>
          <w:rFonts w:ascii="Times New Roman" w:eastAsia="Times New Roman" w:hAnsi="Times New Roman" w:cs="Times New Roman"/>
          <w:sz w:val="22"/>
          <w:szCs w:val="22"/>
          <w:lang w:val="lt-LT"/>
        </w:rPr>
        <w:t xml:space="preserve">badaniu z udziałem pacjentek z przetrwałym, nawrotowym lub przerzutowym rakiem szyjki macicy, przetoki pomiędzy pochwą a przewodem pokarmowym występowały z częstością 8,3% w grupie leczonej </w:t>
      </w:r>
      <w:r w:rsidR="001B611F">
        <w:rPr>
          <w:rFonts w:ascii="Times New Roman" w:eastAsia="Times New Roman" w:hAnsi="Times New Roman" w:cs="Times New Roman"/>
          <w:sz w:val="22"/>
          <w:szCs w:val="22"/>
          <w:lang w:val="lt-LT"/>
        </w:rPr>
        <w:t>bewacyzumabem</w:t>
      </w:r>
      <w:r w:rsidR="00071CFE" w:rsidRPr="00741122">
        <w:rPr>
          <w:rFonts w:ascii="Times New Roman" w:eastAsia="Times New Roman" w:hAnsi="Times New Roman" w:cs="Times New Roman"/>
          <w:sz w:val="22"/>
          <w:szCs w:val="22"/>
          <w:lang w:val="lt-LT"/>
        </w:rPr>
        <w:t xml:space="preserve"> i 0,9% w grupie kontrolnej, wszystkie pacjentki z tym powikłaniem były uprzednio poddawane radioterapii miednicy. Częstość powstawania przetok pomiędzy układem pokarmowym a pochwą była większa u pacjentek leczonych </w:t>
      </w:r>
      <w:r w:rsidR="001B611F">
        <w:rPr>
          <w:rFonts w:ascii="Times New Roman" w:eastAsia="Times New Roman" w:hAnsi="Times New Roman" w:cs="Times New Roman"/>
          <w:sz w:val="22"/>
          <w:szCs w:val="22"/>
          <w:lang w:val="lt-LT"/>
        </w:rPr>
        <w:t>bewacyzumabem</w:t>
      </w:r>
      <w:r w:rsidR="00071CFE" w:rsidRPr="00741122">
        <w:rPr>
          <w:rFonts w:ascii="Times New Roman" w:eastAsia="Times New Roman" w:hAnsi="Times New Roman" w:cs="Times New Roman"/>
          <w:sz w:val="22"/>
          <w:szCs w:val="22"/>
          <w:lang w:val="lt-LT"/>
        </w:rPr>
        <w:t xml:space="preserve"> w skojarzeniu z chemioterapią</w:t>
      </w:r>
      <w:r w:rsidR="00293965">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jeżeli wznowa nowotworu była w ob</w:t>
      </w:r>
      <w:r w:rsidR="00DE33C3">
        <w:rPr>
          <w:rFonts w:ascii="Times New Roman" w:eastAsia="Times New Roman" w:hAnsi="Times New Roman" w:cs="Times New Roman"/>
          <w:sz w:val="22"/>
          <w:szCs w:val="22"/>
          <w:lang w:val="lt-LT"/>
        </w:rPr>
        <w:t>szarze</w:t>
      </w:r>
      <w:r w:rsidR="00071CFE" w:rsidRPr="00741122">
        <w:rPr>
          <w:rFonts w:ascii="Times New Roman" w:eastAsia="Times New Roman" w:hAnsi="Times New Roman" w:cs="Times New Roman"/>
          <w:sz w:val="22"/>
          <w:szCs w:val="22"/>
          <w:lang w:val="lt-LT"/>
        </w:rPr>
        <w:t xml:space="preserve"> poddawanym radioterapii (16,7%), w porównaniu z grupą pacjentek bez wcześniejszej radioterapii i (lub) bez wznowy w polu wcześniejszego napromieniania (3,6%). W grupie kontrolnej otrzymującej wyłącznie chemioterapię częstość występowania przetok wynosiła odpowiednio 1,1% vs. 0,8%. Pacjentki u których wystąpi przetoka pomiędzy pochwą a przewodem pokarmowym mogą także mieć niedrożność jelit i wymagać interwencji chirurgicznej, jak również wytworzenia stomii.</w:t>
      </w:r>
    </w:p>
    <w:p w14:paraId="33D48D95" w14:textId="77777777" w:rsidR="00071CFE" w:rsidRPr="00741122" w:rsidRDefault="00071CFE" w:rsidP="007270E7">
      <w:pPr>
        <w:rPr>
          <w:rFonts w:ascii="Times New Roman" w:eastAsia="Times New Roman" w:hAnsi="Times New Roman" w:cs="Times New Roman"/>
          <w:sz w:val="22"/>
          <w:szCs w:val="22"/>
          <w:lang w:val="lt-LT"/>
        </w:rPr>
      </w:pPr>
    </w:p>
    <w:p w14:paraId="7C485655" w14:textId="77777777" w:rsidR="00071CFE" w:rsidRPr="00741122" w:rsidRDefault="00071CFE" w:rsidP="007270E7">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Przetoki (inne niż żołądkowo-jelitowe) (patrz punkt 4.4)</w:t>
      </w:r>
    </w:p>
    <w:p w14:paraId="7E24E679" w14:textId="77777777" w:rsidR="007270E7" w:rsidRPr="00741122" w:rsidRDefault="007270E7" w:rsidP="007270E7">
      <w:pPr>
        <w:keepNext/>
        <w:rPr>
          <w:rFonts w:ascii="Times New Roman" w:eastAsia="Times New Roman" w:hAnsi="Times New Roman" w:cs="Times New Roman"/>
          <w:sz w:val="22"/>
          <w:szCs w:val="22"/>
          <w:u w:val="single"/>
          <w:lang w:val="lt-LT"/>
        </w:rPr>
      </w:pPr>
    </w:p>
    <w:p w14:paraId="68AAA9DD"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Podawanie </w:t>
      </w:r>
      <w:r w:rsidR="001B611F">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było związane z występowaniem ciężkich przypadków przetok, z których niektóre prowadziły do zgonu.</w:t>
      </w:r>
    </w:p>
    <w:p w14:paraId="76437180" w14:textId="77777777" w:rsidR="00071CFE" w:rsidRPr="00741122" w:rsidRDefault="00071CFE" w:rsidP="007270E7">
      <w:pPr>
        <w:rPr>
          <w:rFonts w:ascii="Times New Roman" w:eastAsia="Times New Roman" w:hAnsi="Times New Roman" w:cs="Times New Roman"/>
          <w:sz w:val="22"/>
          <w:szCs w:val="22"/>
          <w:lang w:val="lt-LT"/>
        </w:rPr>
      </w:pPr>
    </w:p>
    <w:p w14:paraId="14664320"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badaniu klinicznym u pacjentek z przetrwałym, nawrotowym lub przerzutowym rakiem szyjki macicy (badanie GOG-0240), u 1,8% chorych leczonych </w:t>
      </w:r>
      <w:r w:rsidR="001B611F">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i u 1,4% chorych z grupy kontrolnej zgłaszano przetoki poza przewodem pokarmowym - pochwy, pęcherza moczowego lub dróg rodnych.</w:t>
      </w:r>
    </w:p>
    <w:p w14:paraId="3229CD69" w14:textId="77777777" w:rsidR="00071CFE" w:rsidRPr="00741122" w:rsidRDefault="00071CFE" w:rsidP="007270E7">
      <w:pPr>
        <w:rPr>
          <w:rFonts w:ascii="Times New Roman" w:eastAsia="Times New Roman" w:hAnsi="Times New Roman" w:cs="Times New Roman"/>
          <w:sz w:val="22"/>
          <w:szCs w:val="22"/>
          <w:lang w:val="lt-LT"/>
        </w:rPr>
      </w:pPr>
    </w:p>
    <w:p w14:paraId="08BA041F"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Niezbyt często (</w:t>
      </w:r>
      <w:r w:rsidRPr="00741122">
        <w:rPr>
          <w:rFonts w:ascii="Times New Roman" w:eastAsia="Arial" w:hAnsi="Times New Roman" w:cs="Times New Roman"/>
          <w:sz w:val="22"/>
          <w:szCs w:val="22"/>
          <w:lang w:val="lt-LT"/>
        </w:rPr>
        <w:t>≥</w:t>
      </w:r>
      <w:r w:rsidR="00DC3146">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0,1% do &lt;</w:t>
      </w:r>
      <w:r w:rsidR="00DC3146">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1%) obserwowano przetoki poza przewodem pokarmowym (np. oskrzelowo-opłucnowe i żółciowe), występujące w przypadku różnych wskazań. Występowanie przetok było również obserwowane po wprowadzeniu </w:t>
      </w:r>
      <w:r w:rsidR="00EC4E38">
        <w:rPr>
          <w:rFonts w:ascii="Times New Roman" w:eastAsia="Times New Roman" w:hAnsi="Times New Roman" w:cs="Times New Roman"/>
          <w:sz w:val="22"/>
          <w:szCs w:val="22"/>
          <w:lang w:val="lt-LT"/>
        </w:rPr>
        <w:t>produktu</w:t>
      </w:r>
      <w:r w:rsidRPr="00741122">
        <w:rPr>
          <w:rFonts w:ascii="Times New Roman" w:eastAsia="Times New Roman" w:hAnsi="Times New Roman" w:cs="Times New Roman"/>
          <w:sz w:val="22"/>
          <w:szCs w:val="22"/>
          <w:lang w:val="lt-LT"/>
        </w:rPr>
        <w:t xml:space="preserve"> do obrotu.</w:t>
      </w:r>
    </w:p>
    <w:p w14:paraId="633CDDF8" w14:textId="77777777" w:rsidR="00071CFE" w:rsidRPr="00741122" w:rsidRDefault="00071CFE" w:rsidP="007270E7">
      <w:pPr>
        <w:rPr>
          <w:rFonts w:ascii="Times New Roman" w:eastAsia="Times New Roman" w:hAnsi="Times New Roman" w:cs="Times New Roman"/>
          <w:sz w:val="22"/>
          <w:szCs w:val="22"/>
          <w:lang w:val="lt-LT"/>
        </w:rPr>
      </w:pPr>
    </w:p>
    <w:p w14:paraId="311C6297"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Powyższe działania niepożądane występowały w różnym momencie leczenia: od 1 tygodnia do 1 roku od rozpoczęcia podawania </w:t>
      </w:r>
      <w:r w:rsidR="001B611F">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przy czym większość działań wystąpiła w ciągu pierwszych 6 miesięcy terapii.</w:t>
      </w:r>
    </w:p>
    <w:p w14:paraId="28FEF91F" w14:textId="77777777" w:rsidR="00071CFE" w:rsidRPr="00741122" w:rsidRDefault="00071CFE" w:rsidP="007270E7">
      <w:pPr>
        <w:rPr>
          <w:rFonts w:ascii="Times New Roman" w:eastAsia="Times New Roman" w:hAnsi="Times New Roman" w:cs="Times New Roman"/>
          <w:sz w:val="22"/>
          <w:szCs w:val="22"/>
          <w:lang w:val="lt-LT"/>
        </w:rPr>
      </w:pPr>
    </w:p>
    <w:p w14:paraId="58A7F1ED" w14:textId="77777777" w:rsidR="00071CFE" w:rsidRPr="00741122" w:rsidRDefault="00071CFE" w:rsidP="001B794B">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Komplikacje w gojeniu ran (patrz punkt 4.4)</w:t>
      </w:r>
    </w:p>
    <w:p w14:paraId="3DF8FEDE" w14:textId="77777777" w:rsidR="00071CFE" w:rsidRPr="00741122" w:rsidRDefault="00071CFE" w:rsidP="001B794B">
      <w:pPr>
        <w:keepNext/>
        <w:rPr>
          <w:rFonts w:ascii="Times New Roman" w:eastAsia="Times New Roman" w:hAnsi="Times New Roman" w:cs="Times New Roman"/>
          <w:sz w:val="22"/>
          <w:szCs w:val="22"/>
          <w:lang w:val="lt-LT"/>
        </w:rPr>
      </w:pPr>
    </w:p>
    <w:p w14:paraId="14566876"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Ponieważ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może mieć negatywny wpływ na proces gojenia ran, chorzy, którzy byli poddawani większym zabiegom chirurgicznym w okresie krótszym niż 28 dni od rozpoczęcia podawania leku, byli wykluczani z badań klinicznych fazy III.</w:t>
      </w:r>
    </w:p>
    <w:p w14:paraId="51F23A3A" w14:textId="77777777" w:rsidR="00071CFE" w:rsidRPr="00741122" w:rsidRDefault="00071CFE" w:rsidP="001B794B">
      <w:pPr>
        <w:rPr>
          <w:rFonts w:ascii="Times New Roman" w:eastAsia="Times New Roman" w:hAnsi="Times New Roman" w:cs="Times New Roman"/>
          <w:sz w:val="22"/>
          <w:szCs w:val="22"/>
          <w:lang w:val="lt-LT"/>
        </w:rPr>
      </w:pPr>
    </w:p>
    <w:p w14:paraId="54B0A83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badaniach klinicznych chorych z rakiem okrężnicy i odbytnicy z przerzutami nie obserwowano zwiększonego ryzyka wystąpienia krwawienia pooperacyjnego lub powikłań w gojeniu ran u pacjentów, którzy byli poddawani dużym zabiegom chirurgicznym w okresie od 28 do 60 dni przed rozpoczęciem podawania </w:t>
      </w:r>
      <w:r w:rsidR="00C91493">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W ciągu 60 dni po dużym zabiegu chirurgicznym u pacjentów</w:t>
      </w:r>
      <w:r w:rsidRPr="00741122">
        <w:rPr>
          <w:rFonts w:ascii="Times New Roman" w:eastAsia="Times New Roman" w:hAnsi="Times New Roman"/>
          <w:sz w:val="22"/>
          <w:lang w:val="lt-LT"/>
        </w:rPr>
        <w:t xml:space="preserve"> </w:t>
      </w:r>
      <w:r w:rsidRPr="00741122">
        <w:rPr>
          <w:rFonts w:ascii="Times New Roman" w:eastAsia="Times New Roman" w:hAnsi="Times New Roman" w:cs="Times New Roman"/>
          <w:sz w:val="22"/>
          <w:szCs w:val="22"/>
          <w:lang w:val="lt-LT"/>
        </w:rPr>
        <w:t xml:space="preserve">przyjmujących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okresie wykonywania zabiegu obserwowano zwiększoną częstość występowania krwawienia pooperacyjnego lub powikłań w gojeniu ran. Częstość występowania wahała się pomiędzy 10% (4/40) a 20% (3/15).</w:t>
      </w:r>
    </w:p>
    <w:p w14:paraId="183274CA" w14:textId="77777777" w:rsidR="00071CFE" w:rsidRPr="00741122" w:rsidRDefault="00071CFE" w:rsidP="001B794B">
      <w:pPr>
        <w:rPr>
          <w:rFonts w:ascii="Times New Roman" w:eastAsia="Times New Roman" w:hAnsi="Times New Roman" w:cs="Times New Roman"/>
          <w:sz w:val="22"/>
          <w:szCs w:val="22"/>
          <w:lang w:val="lt-LT"/>
        </w:rPr>
      </w:pPr>
    </w:p>
    <w:p w14:paraId="62B73A4E" w14:textId="77777777" w:rsidR="00071CFE" w:rsidRPr="00741122" w:rsidRDefault="00071CFE" w:rsidP="001B794B">
      <w:pPr>
        <w:rPr>
          <w:rFonts w:ascii="Times New Roman" w:eastAsia="Times New Roman" w:hAnsi="Times New Roman" w:cs="Times New Roman"/>
          <w:sz w:val="22"/>
          <w:szCs w:val="22"/>
          <w:lang w:val="lt-LT"/>
        </w:rPr>
      </w:pPr>
      <w:bookmarkStart w:id="18" w:name="page18"/>
      <w:bookmarkEnd w:id="18"/>
      <w:r w:rsidRPr="00741122">
        <w:rPr>
          <w:rFonts w:ascii="Times New Roman" w:eastAsia="Times New Roman" w:hAnsi="Times New Roman" w:cs="Times New Roman"/>
          <w:sz w:val="22"/>
          <w:szCs w:val="22"/>
          <w:lang w:val="lt-LT"/>
        </w:rPr>
        <w:t>Donoszono o przypadkach komplikacji w gojeniu się ran o ciężkim przebiegu, włączając komplikacje związane z zespoleniami. Niektóre z tych przypadków zakończyły się śmiercią pacjenta.</w:t>
      </w:r>
    </w:p>
    <w:p w14:paraId="2A44A2C5" w14:textId="77777777" w:rsidR="00071CFE" w:rsidRPr="00741122" w:rsidRDefault="00071CFE" w:rsidP="001B794B">
      <w:pPr>
        <w:rPr>
          <w:rFonts w:ascii="Times New Roman" w:eastAsia="Times New Roman" w:hAnsi="Times New Roman" w:cs="Times New Roman"/>
          <w:sz w:val="22"/>
          <w:szCs w:val="22"/>
          <w:lang w:val="lt-LT"/>
        </w:rPr>
      </w:pPr>
    </w:p>
    <w:p w14:paraId="262530A4"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badaniach klinicznych u pacjentów z rakiem piersi z przerzutami i miejscowymi nawrotami obserwowano powikłania gojenia ran w stopniu 3-5</w:t>
      </w:r>
      <w:r w:rsidR="0034221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u do 1,1% pacjentów przyjmujących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porównaniu </w:t>
      </w:r>
      <w:r w:rsidR="0034221D">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0,9% u pacjentów w ramieniu kontrolnym (NCI-CTCAE v.3).</w:t>
      </w:r>
    </w:p>
    <w:p w14:paraId="7BC7CB95" w14:textId="77777777" w:rsidR="00071CFE" w:rsidRPr="00741122" w:rsidRDefault="00071CFE" w:rsidP="001B794B">
      <w:pPr>
        <w:rPr>
          <w:rFonts w:ascii="Times New Roman" w:eastAsia="Times New Roman" w:hAnsi="Times New Roman" w:cs="Times New Roman"/>
          <w:sz w:val="22"/>
          <w:szCs w:val="22"/>
          <w:lang w:val="lt-LT"/>
        </w:rPr>
      </w:pPr>
    </w:p>
    <w:p w14:paraId="3ADA0253"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badaniach klinicznych z udziałem chorych na raka jajnika obserwowano powikłania gojenia się ran w stopniu 3-5</w:t>
      </w:r>
      <w:r w:rsidR="0034221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u maksymalnie 1,8% pacjentek w grupie otrzymującej bewacyzumab oraz u 0,1% pacjentek w grupie kontrolnej (NCI-CTCAE v.3).</w:t>
      </w:r>
    </w:p>
    <w:p w14:paraId="5897F2E8" w14:textId="77777777" w:rsidR="00071CFE" w:rsidRPr="00741122" w:rsidRDefault="00071CFE" w:rsidP="001B794B">
      <w:pPr>
        <w:rPr>
          <w:rFonts w:ascii="Times New Roman" w:eastAsia="Times New Roman" w:hAnsi="Times New Roman" w:cs="Times New Roman"/>
          <w:sz w:val="22"/>
          <w:szCs w:val="22"/>
          <w:lang w:val="lt-LT"/>
        </w:rPr>
      </w:pPr>
    </w:p>
    <w:p w14:paraId="584E966E" w14:textId="77777777" w:rsidR="00071CFE" w:rsidRPr="00E77874" w:rsidRDefault="00071CFE" w:rsidP="001B794B">
      <w:pPr>
        <w:rPr>
          <w:rFonts w:ascii="Times New Roman" w:eastAsia="Times New Roman" w:hAnsi="Times New Roman" w:cs="Times New Roman"/>
          <w:i/>
          <w:sz w:val="22"/>
          <w:szCs w:val="22"/>
          <w:u w:val="single"/>
          <w:lang w:val="lt-LT"/>
        </w:rPr>
      </w:pPr>
      <w:r w:rsidRPr="00E77874">
        <w:rPr>
          <w:rFonts w:ascii="Times New Roman" w:eastAsia="Times New Roman" w:hAnsi="Times New Roman" w:cs="Times New Roman"/>
          <w:i/>
          <w:sz w:val="22"/>
          <w:szCs w:val="22"/>
          <w:u w:val="single"/>
          <w:lang w:val="lt-LT"/>
        </w:rPr>
        <w:t>Nadciśnienie (patrz punkt 4.4)</w:t>
      </w:r>
    </w:p>
    <w:p w14:paraId="59EDE63B" w14:textId="77777777" w:rsidR="00071CFE" w:rsidRPr="00741122" w:rsidRDefault="00071CFE" w:rsidP="001B794B">
      <w:pPr>
        <w:rPr>
          <w:rFonts w:ascii="Times New Roman" w:eastAsia="Times New Roman" w:hAnsi="Times New Roman" w:cs="Times New Roman"/>
          <w:sz w:val="22"/>
          <w:szCs w:val="22"/>
          <w:lang w:val="lt-LT"/>
        </w:rPr>
      </w:pPr>
    </w:p>
    <w:p w14:paraId="16A6515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badaniach klinicznych, z wyjątkiem badania JO25567, całkowita częstość występowania nadciśnienia (wszystkich stopni) wynosiła do 42,1% w grupach przyjmujących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porównaniu </w:t>
      </w:r>
      <w:r w:rsidR="004508D7">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14% w grupach kontrolnych. Całkowita częstość występowania nadciśnienia stopnia 3</w:t>
      </w:r>
      <w:r w:rsidR="004508D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i 4</w:t>
      </w:r>
      <w:r w:rsidR="004508D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wg NCI-CTC u pacjentów przyjmujących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wynosiła od 0,4% do 17,9%. Nadciśnienie stopnia 4</w:t>
      </w:r>
      <w:r w:rsidR="004508D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(przełom nadciśnieniowy) wystąpiło z częstością do 1,0% u pacjentów przyjmujących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oraz chemioterapię w porównaniu </w:t>
      </w:r>
      <w:r w:rsidR="004508D7">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0,2% u pacjentów przyjmujących tylko chemioterapię.</w:t>
      </w:r>
    </w:p>
    <w:p w14:paraId="058AF2F0" w14:textId="77777777" w:rsidR="00071CFE" w:rsidRPr="00741122" w:rsidRDefault="00071CFE" w:rsidP="001B794B">
      <w:pPr>
        <w:rPr>
          <w:rFonts w:ascii="Times New Roman" w:eastAsia="Times New Roman" w:hAnsi="Times New Roman" w:cs="Times New Roman"/>
          <w:sz w:val="22"/>
          <w:szCs w:val="22"/>
          <w:lang w:val="lt-LT"/>
        </w:rPr>
      </w:pPr>
    </w:p>
    <w:p w14:paraId="3E96987C"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badaniu JO25567 nadciśnienie wszystkich stopni obserwowano u 77,3% pacjentów z niepłaskonabłonkowym NSCLC z aktywującymi mutacjami w genie EGFR przyjmujących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skojarzeniu z erlotynibem w leczeniu pierwszego rzutu, w porównaniu </w:t>
      </w:r>
      <w:r w:rsidR="004508D7">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14,3% pacjentów przyjmujących tylko erlotynib. Nadciśnienie stopnia 3</w:t>
      </w:r>
      <w:r w:rsidR="004508D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obserwowano u 60,0% pacjentów przyjmujących </w:t>
      </w:r>
      <w:r w:rsidR="00C91493">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skojarzeniu z erlotynibem w porównaniu </w:t>
      </w:r>
      <w:r w:rsidR="004508D7">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11,7% pacjentów przyjmujących tylko erlotynib. Nie występowały przypadki nadciśnienia stopnia 4</w:t>
      </w:r>
      <w:r w:rsidR="004508D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lub 5.</w:t>
      </w:r>
    </w:p>
    <w:p w14:paraId="3264A8D6" w14:textId="77777777" w:rsidR="00071CFE" w:rsidRPr="00741122" w:rsidRDefault="00071CFE" w:rsidP="001B794B">
      <w:pPr>
        <w:rPr>
          <w:rFonts w:ascii="Times New Roman" w:eastAsia="Times New Roman" w:hAnsi="Times New Roman" w:cs="Times New Roman"/>
          <w:sz w:val="22"/>
          <w:szCs w:val="22"/>
          <w:lang w:val="lt-LT"/>
        </w:rPr>
      </w:pPr>
    </w:p>
    <w:p w14:paraId="5AADE0C6"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Nadciśnienie było odpowiednio kontrolowane doustnymi lekami przeciwnadciśnieniowymi, takimi jak inhibitory konwertazy angiotensyny, leki moczopędne i blokery kanału wapniowego. W rzadkich przypadkach nadciśnienie prowadziło do przerwania leczenia </w:t>
      </w:r>
      <w:r w:rsidR="00C91493">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lub hospitalizacji.</w:t>
      </w:r>
    </w:p>
    <w:p w14:paraId="5B94ED43" w14:textId="77777777" w:rsidR="00071CFE" w:rsidRPr="00741122" w:rsidRDefault="00071CFE" w:rsidP="001B794B">
      <w:pPr>
        <w:rPr>
          <w:rFonts w:ascii="Times New Roman" w:eastAsia="Times New Roman" w:hAnsi="Times New Roman" w:cs="Times New Roman"/>
          <w:sz w:val="22"/>
          <w:szCs w:val="22"/>
          <w:lang w:val="lt-LT"/>
        </w:rPr>
      </w:pPr>
    </w:p>
    <w:p w14:paraId="7B5EFB4D"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Opisano bardzo rzadkie przypadki encefalopatii nadciśnieniowej, z których niektóre prowadziły do zgonu.</w:t>
      </w:r>
    </w:p>
    <w:p w14:paraId="05DBC29F" w14:textId="77777777" w:rsidR="00071CFE" w:rsidRPr="00741122" w:rsidRDefault="00071CFE" w:rsidP="001B794B">
      <w:pPr>
        <w:rPr>
          <w:rFonts w:ascii="Times New Roman" w:eastAsia="Times New Roman" w:hAnsi="Times New Roman" w:cs="Times New Roman"/>
          <w:sz w:val="22"/>
          <w:szCs w:val="22"/>
          <w:lang w:val="lt-LT"/>
        </w:rPr>
      </w:pPr>
    </w:p>
    <w:p w14:paraId="5AC5F4CC"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Ryzyko wystąpienia nadciśnienia związanego z podawaniem </w:t>
      </w:r>
      <w:r w:rsidR="009C0C98">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nie miało związku ze stanem początkowym pacjenta, chorobą zasadniczą lub z leczeniem towarzyszącym.</w:t>
      </w:r>
    </w:p>
    <w:p w14:paraId="774D284C" w14:textId="77777777" w:rsidR="00071CFE" w:rsidRPr="00741122" w:rsidRDefault="00071CFE" w:rsidP="001B794B">
      <w:pPr>
        <w:rPr>
          <w:rFonts w:ascii="Times New Roman" w:eastAsia="Times New Roman" w:hAnsi="Times New Roman" w:cs="Times New Roman"/>
          <w:sz w:val="22"/>
          <w:szCs w:val="22"/>
          <w:lang w:val="lt-LT"/>
        </w:rPr>
      </w:pPr>
    </w:p>
    <w:p w14:paraId="660FE4EB"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i/>
          <w:sz w:val="22"/>
          <w:szCs w:val="22"/>
          <w:u w:val="single"/>
          <w:lang w:val="lt-LT"/>
        </w:rPr>
        <w:t>Zespół tylnej</w:t>
      </w:r>
      <w:r w:rsidR="004508D7">
        <w:rPr>
          <w:rFonts w:ascii="Times New Roman" w:eastAsia="Times New Roman" w:hAnsi="Times New Roman" w:cs="Times New Roman"/>
          <w:i/>
          <w:sz w:val="22"/>
          <w:szCs w:val="22"/>
          <w:u w:val="single"/>
          <w:lang w:val="lt-LT"/>
        </w:rPr>
        <w:t>,</w:t>
      </w:r>
      <w:r w:rsidRPr="00741122">
        <w:rPr>
          <w:rFonts w:ascii="Times New Roman" w:eastAsia="Times New Roman" w:hAnsi="Times New Roman" w:cs="Times New Roman"/>
          <w:i/>
          <w:sz w:val="22"/>
          <w:szCs w:val="22"/>
          <w:u w:val="single"/>
          <w:lang w:val="lt-LT"/>
        </w:rPr>
        <w:t xml:space="preserve"> odwracalnej encefalopatii </w:t>
      </w:r>
      <w:r w:rsidRPr="00741122">
        <w:rPr>
          <w:rFonts w:ascii="Times New Roman" w:eastAsia="Times New Roman" w:hAnsi="Times New Roman" w:cs="Times New Roman"/>
          <w:sz w:val="22"/>
          <w:szCs w:val="22"/>
          <w:u w:val="single"/>
          <w:lang w:val="lt-LT"/>
        </w:rPr>
        <w:t>(patrz punkt 4.4)</w:t>
      </w:r>
    </w:p>
    <w:p w14:paraId="0ACDE836" w14:textId="77777777" w:rsidR="007270E7" w:rsidRPr="00741122" w:rsidRDefault="007270E7" w:rsidP="001B794B">
      <w:pPr>
        <w:rPr>
          <w:rFonts w:ascii="Times New Roman" w:eastAsia="Times New Roman" w:hAnsi="Times New Roman" w:cs="Times New Roman"/>
          <w:sz w:val="22"/>
          <w:szCs w:val="22"/>
          <w:u w:val="single"/>
          <w:lang w:val="lt-LT"/>
        </w:rPr>
      </w:pPr>
    </w:p>
    <w:p w14:paraId="1852151E" w14:textId="77777777" w:rsidR="00071CFE" w:rsidRPr="00741122" w:rsidRDefault="00071CFE" w:rsidP="001B794B">
      <w:pPr>
        <w:rPr>
          <w:rFonts w:ascii="Times New Roman" w:eastAsia="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 xml:space="preserve">U pacjentów otrzymujących </w:t>
      </w:r>
      <w:r w:rsidR="0073686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rzadko opisywano objawy podmiotowe i przedmiotowe wskazujące na wystąpienie rzadkiego zaburzenia neurologicznego – zespołu tylnej</w:t>
      </w:r>
      <w:r w:rsidR="004508D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odwracalnej encefalopatii </w:t>
      </w:r>
      <w:r w:rsidR="00EC4E3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PRES</w:t>
      </w:r>
      <w:r w:rsidR="00EC4E3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Objawy mogą obejmować drgawki, ból głowy, zaburzenia psychiczne oraz zaburzenia widzenia lub ślepotę korową,</w:t>
      </w:r>
      <w:r w:rsidR="00283A69"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z towarzyszącym nadciśnieniem lub bez niego. </w:t>
      </w:r>
      <w:r w:rsidRPr="00741122">
        <w:rPr>
          <w:rFonts w:ascii="Times New Roman" w:eastAsia="Times New Roman" w:hAnsi="Times New Roman" w:cs="Times New Roman"/>
          <w:color w:val="292526"/>
          <w:sz w:val="22"/>
          <w:szCs w:val="22"/>
          <w:lang w:val="lt-LT"/>
        </w:rPr>
        <w:t>Objawy kliniczne PRES są często niespecyficzne,</w:t>
      </w:r>
      <w:r w:rsidR="00283A69" w:rsidRPr="00741122">
        <w:rPr>
          <w:rFonts w:ascii="Times New Roman" w:eastAsia="Times New Roman" w:hAnsi="Times New Roman" w:cs="Times New Roman"/>
          <w:color w:val="292526"/>
          <w:sz w:val="22"/>
          <w:szCs w:val="22"/>
          <w:lang w:val="lt-LT"/>
        </w:rPr>
        <w:t xml:space="preserve"> </w:t>
      </w:r>
      <w:r w:rsidRPr="00741122">
        <w:rPr>
          <w:rFonts w:ascii="Times New Roman" w:eastAsia="Times New Roman" w:hAnsi="Times New Roman" w:cs="Times New Roman"/>
          <w:color w:val="292526"/>
          <w:sz w:val="22"/>
          <w:szCs w:val="22"/>
          <w:lang w:val="lt-LT"/>
        </w:rPr>
        <w:t xml:space="preserve">a zatem </w:t>
      </w:r>
      <w:r w:rsidRPr="00741122">
        <w:rPr>
          <w:rFonts w:ascii="Times New Roman" w:eastAsia="Times New Roman" w:hAnsi="Times New Roman" w:cs="Times New Roman"/>
          <w:color w:val="000000"/>
          <w:sz w:val="22"/>
          <w:szCs w:val="22"/>
          <w:lang w:val="lt-LT"/>
        </w:rPr>
        <w:t>rozpoznanie</w:t>
      </w:r>
      <w:r w:rsidRPr="00741122">
        <w:rPr>
          <w:rFonts w:ascii="Times New Roman" w:eastAsia="Times New Roman" w:hAnsi="Times New Roman" w:cs="Times New Roman"/>
          <w:color w:val="292526"/>
          <w:sz w:val="22"/>
          <w:szCs w:val="22"/>
          <w:lang w:val="lt-LT"/>
        </w:rPr>
        <w:t xml:space="preserve"> </w:t>
      </w:r>
      <w:r w:rsidRPr="00741122">
        <w:rPr>
          <w:rFonts w:ascii="Times New Roman" w:eastAsia="Times New Roman" w:hAnsi="Times New Roman" w:cs="Times New Roman"/>
          <w:color w:val="000000"/>
          <w:sz w:val="22"/>
          <w:szCs w:val="22"/>
          <w:lang w:val="lt-LT"/>
        </w:rPr>
        <w:t>PRES wymaga potwierdzenia za pomocą obrazowania mózgu, zwłaszcza metodą</w:t>
      </w:r>
      <w:r w:rsidRPr="00741122">
        <w:rPr>
          <w:rFonts w:ascii="Times New Roman" w:eastAsia="Times New Roman" w:hAnsi="Times New Roman" w:cs="Times New Roman"/>
          <w:color w:val="292526"/>
          <w:sz w:val="22"/>
          <w:szCs w:val="22"/>
          <w:lang w:val="lt-LT"/>
        </w:rPr>
        <w:t xml:space="preserve"> </w:t>
      </w:r>
      <w:r w:rsidRPr="00741122">
        <w:rPr>
          <w:rFonts w:ascii="Times New Roman" w:eastAsia="Times New Roman" w:hAnsi="Times New Roman" w:cs="Times New Roman"/>
          <w:color w:val="000000"/>
          <w:sz w:val="22"/>
          <w:szCs w:val="22"/>
          <w:lang w:val="lt-LT"/>
        </w:rPr>
        <w:t>rezonansu magnetycznego.</w:t>
      </w:r>
    </w:p>
    <w:p w14:paraId="2000EDE7" w14:textId="77777777" w:rsidR="00071CFE" w:rsidRPr="00741122" w:rsidRDefault="00071CFE" w:rsidP="001B794B">
      <w:pPr>
        <w:rPr>
          <w:rFonts w:ascii="Times New Roman" w:eastAsia="Times New Roman" w:hAnsi="Times New Roman" w:cs="Times New Roman"/>
          <w:sz w:val="22"/>
          <w:szCs w:val="22"/>
          <w:lang w:val="lt-LT"/>
        </w:rPr>
      </w:pPr>
    </w:p>
    <w:p w14:paraId="5EB36DC4"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pacjentów, u których występuje PRES, wskazane jest wczesne zauważenie objawów i niezwłoczne leczenie określonych objawów, w tym kontrola ciśnienia tętniczego krwi (jeżeli zaburzeniu towarzyszy ciężkie niekontrolowane nadciśnienie), oprócz przerwania stosowania bewacyzumabu. Objawy zwykle ustępują lub ulegają złagodzeniu w ciągu kilku dni po przerwaniu leczenia, aczkolwiek u niektórych pacjentów pozostają pewne następstwa neurologiczne. Nie ma danych dotyczących bezpieczeństwa ponownego zastosowania </w:t>
      </w:r>
      <w:r w:rsidR="00736866">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u pacjentów, u których wcześniej wystąpił PRES.</w:t>
      </w:r>
    </w:p>
    <w:p w14:paraId="2486D08C" w14:textId="77777777" w:rsidR="00071CFE" w:rsidRPr="00741122" w:rsidRDefault="00071CFE" w:rsidP="001B794B">
      <w:pPr>
        <w:rPr>
          <w:rFonts w:ascii="Times New Roman" w:eastAsia="Times New Roman" w:hAnsi="Times New Roman" w:cs="Times New Roman"/>
          <w:sz w:val="22"/>
          <w:szCs w:val="22"/>
          <w:lang w:val="lt-LT"/>
        </w:rPr>
      </w:pPr>
    </w:p>
    <w:p w14:paraId="62FB4441"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badaniach klinicznych zgłoszono łącznie 8 przypadków PRES. Spośród tych 8 przypadków w dwóch rozpoznanie nie zostało potwierdzone za pomocą </w:t>
      </w:r>
      <w:r w:rsidR="00FC7407" w:rsidRPr="00741122">
        <w:rPr>
          <w:rFonts w:ascii="Times New Roman" w:eastAsia="Times New Roman" w:hAnsi="Times New Roman" w:cs="Times New Roman"/>
          <w:color w:val="000000"/>
          <w:sz w:val="22"/>
          <w:szCs w:val="22"/>
          <w:lang w:val="lt-LT"/>
        </w:rPr>
        <w:t>rezonansu magnetycznego</w:t>
      </w:r>
      <w:r w:rsidRPr="00741122">
        <w:rPr>
          <w:rFonts w:ascii="Times New Roman" w:eastAsia="Times New Roman" w:hAnsi="Times New Roman" w:cs="Times New Roman"/>
          <w:sz w:val="22"/>
          <w:szCs w:val="22"/>
          <w:lang w:val="lt-LT"/>
        </w:rPr>
        <w:t>.</w:t>
      </w:r>
    </w:p>
    <w:p w14:paraId="5C7650B2" w14:textId="77777777" w:rsidR="00071CFE" w:rsidRPr="00741122" w:rsidRDefault="00071CFE" w:rsidP="001B794B">
      <w:pPr>
        <w:rPr>
          <w:rFonts w:ascii="Times New Roman" w:eastAsia="Times New Roman" w:hAnsi="Times New Roman" w:cs="Times New Roman"/>
          <w:sz w:val="22"/>
          <w:szCs w:val="22"/>
          <w:lang w:val="lt-LT"/>
        </w:rPr>
      </w:pPr>
    </w:p>
    <w:p w14:paraId="4202A9C3" w14:textId="77777777" w:rsidR="00071CFE" w:rsidRPr="00741122" w:rsidRDefault="00071CFE" w:rsidP="001B794B">
      <w:pPr>
        <w:keepNext/>
        <w:rPr>
          <w:rFonts w:ascii="Times New Roman" w:eastAsia="Times New Roman" w:hAnsi="Times New Roman" w:cs="Times New Roman"/>
          <w:i/>
          <w:sz w:val="22"/>
          <w:szCs w:val="22"/>
          <w:u w:val="single"/>
          <w:lang w:val="lt-LT"/>
        </w:rPr>
      </w:pPr>
      <w:bookmarkStart w:id="19" w:name="page19"/>
      <w:bookmarkEnd w:id="19"/>
      <w:r w:rsidRPr="00741122">
        <w:rPr>
          <w:rFonts w:ascii="Times New Roman" w:eastAsia="Times New Roman" w:hAnsi="Times New Roman" w:cs="Times New Roman"/>
          <w:i/>
          <w:sz w:val="22"/>
          <w:szCs w:val="22"/>
          <w:u w:val="single"/>
          <w:lang w:val="lt-LT"/>
        </w:rPr>
        <w:t>Białkomocz (patrz punkt 4.4)</w:t>
      </w:r>
    </w:p>
    <w:p w14:paraId="7B37634C" w14:textId="77777777" w:rsidR="007270E7" w:rsidRPr="0023471C" w:rsidRDefault="007270E7" w:rsidP="001B794B">
      <w:pPr>
        <w:keepNext/>
        <w:rPr>
          <w:rFonts w:ascii="Times New Roman" w:eastAsia="Times New Roman" w:hAnsi="Times New Roman" w:cs="Times New Roman"/>
          <w:i/>
          <w:sz w:val="22"/>
          <w:szCs w:val="22"/>
          <w:lang w:val="lt-LT"/>
        </w:rPr>
      </w:pPr>
    </w:p>
    <w:p w14:paraId="16E94310"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badaniach klinicznych, białkomocz był obserwowany w zakresie od 0,7% do 54,7% w grupie pacjentów przyjmujących </w:t>
      </w:r>
      <w:r w:rsidR="0073686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w:t>
      </w:r>
    </w:p>
    <w:p w14:paraId="0DBE7862" w14:textId="77777777" w:rsidR="00071CFE" w:rsidRPr="00741122" w:rsidRDefault="00071CFE" w:rsidP="001B794B">
      <w:pPr>
        <w:rPr>
          <w:rFonts w:ascii="Times New Roman" w:eastAsia="Times New Roman" w:hAnsi="Times New Roman" w:cs="Times New Roman"/>
          <w:sz w:val="22"/>
          <w:szCs w:val="22"/>
          <w:lang w:val="lt-LT"/>
        </w:rPr>
      </w:pPr>
    </w:p>
    <w:p w14:paraId="5F1D0A96"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Białkomocz w zależności od ciężkości mógł mieć postać od klinicznie bezobjawowej, przemijającej, w postaci śladowego białkomoczu aż do zespołu nerczycowego, w większości przypadków białkomoc</w:t>
      </w:r>
      <w:r w:rsidR="00283A69" w:rsidRPr="00741122">
        <w:rPr>
          <w:rFonts w:ascii="Times New Roman" w:eastAsia="Times New Roman" w:hAnsi="Times New Roman" w:cs="Times New Roman"/>
          <w:sz w:val="22"/>
          <w:szCs w:val="22"/>
          <w:lang w:val="lt-LT"/>
        </w:rPr>
        <w:t>z był stopnia 1</w:t>
      </w:r>
      <w:r w:rsidR="00FC7407">
        <w:rPr>
          <w:rFonts w:ascii="Times New Roman" w:eastAsia="Times New Roman" w:hAnsi="Times New Roman" w:cs="Times New Roman"/>
          <w:sz w:val="22"/>
          <w:szCs w:val="22"/>
          <w:lang w:val="lt-LT"/>
        </w:rPr>
        <w:t>.</w:t>
      </w:r>
      <w:r w:rsidR="00283A69" w:rsidRPr="00741122">
        <w:rPr>
          <w:rFonts w:ascii="Times New Roman" w:eastAsia="Times New Roman" w:hAnsi="Times New Roman" w:cs="Times New Roman"/>
          <w:sz w:val="22"/>
          <w:szCs w:val="22"/>
          <w:lang w:val="lt-LT"/>
        </w:rPr>
        <w:t xml:space="preserve"> (NCI-CTCAE v.3)</w:t>
      </w:r>
      <w:r w:rsidRPr="00741122">
        <w:rPr>
          <w:rFonts w:ascii="Times New Roman" w:eastAsia="Times New Roman" w:hAnsi="Times New Roman" w:cs="Times New Roman"/>
          <w:sz w:val="22"/>
          <w:szCs w:val="22"/>
          <w:lang w:val="lt-LT"/>
        </w:rPr>
        <w:t>. Białkomocz stopnia 3</w:t>
      </w:r>
      <w:r w:rsidR="00FC740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występował z częstością do 10,9% leczonych pacjentów. Białkomocz stopnia 4</w:t>
      </w:r>
      <w:r w:rsidR="00FC740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(zespół nerczycowy) był obserwowany u maksymalnie 1,4% leczonych pacjentów. Przed rozpoczęciem leczenia produktem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zaleca się wykonanie badania dotyczące</w:t>
      </w:r>
      <w:r w:rsidR="009C0C98">
        <w:rPr>
          <w:rFonts w:ascii="Times New Roman" w:eastAsia="Times New Roman" w:hAnsi="Times New Roman" w:cs="Times New Roman"/>
          <w:sz w:val="22"/>
          <w:szCs w:val="22"/>
          <w:lang w:val="lt-LT"/>
        </w:rPr>
        <w:t>go</w:t>
      </w:r>
      <w:r w:rsidRPr="00741122">
        <w:rPr>
          <w:rFonts w:ascii="Times New Roman" w:eastAsia="Times New Roman" w:hAnsi="Times New Roman" w:cs="Times New Roman"/>
          <w:sz w:val="22"/>
          <w:szCs w:val="22"/>
          <w:lang w:val="lt-LT"/>
        </w:rPr>
        <w:t xml:space="preserve"> białkomoczu. W większości badań klinicznych</w:t>
      </w:r>
      <w:r w:rsidR="00DE33C3">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t>
      </w:r>
      <w:r w:rsidR="00DE33C3">
        <w:rPr>
          <w:rFonts w:ascii="Times New Roman" w:eastAsia="Times New Roman" w:hAnsi="Times New Roman" w:cs="Times New Roman"/>
          <w:sz w:val="22"/>
          <w:szCs w:val="22"/>
          <w:lang w:val="lt-LT"/>
        </w:rPr>
        <w:t xml:space="preserve">jeśli </w:t>
      </w:r>
      <w:r w:rsidRPr="00741122">
        <w:rPr>
          <w:rFonts w:ascii="Times New Roman" w:eastAsia="Times New Roman" w:hAnsi="Times New Roman" w:cs="Times New Roman"/>
          <w:sz w:val="22"/>
          <w:szCs w:val="22"/>
          <w:lang w:val="lt-LT"/>
        </w:rPr>
        <w:t>białkomocz</w:t>
      </w:r>
      <w:r w:rsidR="00283A69" w:rsidRPr="00741122">
        <w:rPr>
          <w:rFonts w:ascii="Times New Roman" w:eastAsia="Times New Roman" w:hAnsi="Times New Roman" w:cs="Times New Roman"/>
          <w:sz w:val="22"/>
          <w:szCs w:val="22"/>
          <w:lang w:val="lt-LT"/>
        </w:rPr>
        <w:t xml:space="preserve"> dobowy był większy lub równy 2 </w:t>
      </w:r>
      <w:r w:rsidRPr="00741122">
        <w:rPr>
          <w:rFonts w:ascii="Times New Roman" w:eastAsia="Times New Roman" w:hAnsi="Times New Roman" w:cs="Times New Roman"/>
          <w:sz w:val="22"/>
          <w:szCs w:val="22"/>
          <w:lang w:val="lt-LT"/>
        </w:rPr>
        <w:t>g na dobę</w:t>
      </w:r>
      <w:r w:rsidR="00DE33C3">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t>
      </w:r>
      <w:r w:rsidR="00DE33C3">
        <w:rPr>
          <w:rFonts w:ascii="Times New Roman" w:eastAsia="Times New Roman" w:hAnsi="Times New Roman" w:cs="Times New Roman"/>
          <w:sz w:val="22"/>
          <w:szCs w:val="22"/>
          <w:lang w:val="lt-LT"/>
        </w:rPr>
        <w:t>przerywano</w:t>
      </w:r>
      <w:r w:rsidRPr="00741122">
        <w:rPr>
          <w:rFonts w:ascii="Times New Roman" w:eastAsia="Times New Roman" w:hAnsi="Times New Roman" w:cs="Times New Roman"/>
          <w:sz w:val="22"/>
          <w:szCs w:val="22"/>
          <w:lang w:val="lt-LT"/>
        </w:rPr>
        <w:t xml:space="preserve"> stosowani</w:t>
      </w:r>
      <w:r w:rsidR="00DE33C3">
        <w:rPr>
          <w:rFonts w:ascii="Times New Roman" w:eastAsia="Times New Roman" w:hAnsi="Times New Roman" w:cs="Times New Roman"/>
          <w:sz w:val="22"/>
          <w:szCs w:val="22"/>
          <w:lang w:val="lt-LT"/>
        </w:rPr>
        <w:t>e</w:t>
      </w:r>
      <w:r w:rsidRPr="00741122">
        <w:rPr>
          <w:rFonts w:ascii="Times New Roman" w:eastAsia="Times New Roman" w:hAnsi="Times New Roman" w:cs="Times New Roman"/>
          <w:sz w:val="22"/>
          <w:szCs w:val="22"/>
          <w:lang w:val="lt-LT"/>
        </w:rPr>
        <w:t xml:space="preserve"> </w:t>
      </w:r>
      <w:r w:rsidR="00736866">
        <w:rPr>
          <w:rFonts w:ascii="Times New Roman" w:eastAsia="Times New Roman" w:hAnsi="Times New Roman" w:cs="Times New Roman"/>
          <w:sz w:val="22"/>
          <w:szCs w:val="22"/>
          <w:lang w:val="lt-LT"/>
        </w:rPr>
        <w:t>bewacyzumabu</w:t>
      </w:r>
      <w:r w:rsidR="00DE33C3">
        <w:rPr>
          <w:rFonts w:ascii="Times New Roman" w:eastAsia="Times New Roman" w:hAnsi="Times New Roman" w:cs="Times New Roman"/>
          <w:sz w:val="22"/>
          <w:szCs w:val="22"/>
          <w:lang w:val="lt-LT"/>
        </w:rPr>
        <w:t xml:space="preserve"> do momentu ponownego osiągnięcia</w:t>
      </w:r>
      <w:r w:rsidR="00283A69" w:rsidRPr="00741122">
        <w:rPr>
          <w:rFonts w:ascii="Times New Roman" w:eastAsia="Times New Roman" w:hAnsi="Times New Roman" w:cs="Times New Roman"/>
          <w:sz w:val="22"/>
          <w:szCs w:val="22"/>
          <w:lang w:val="lt-LT"/>
        </w:rPr>
        <w:t xml:space="preserve"> stężenia mniejszeg</w:t>
      </w:r>
      <w:r w:rsidR="00DE33C3">
        <w:rPr>
          <w:rFonts w:ascii="Times New Roman" w:eastAsia="Times New Roman" w:hAnsi="Times New Roman" w:cs="Times New Roman"/>
          <w:sz w:val="22"/>
          <w:szCs w:val="22"/>
          <w:lang w:val="lt-LT"/>
        </w:rPr>
        <w:t>o</w:t>
      </w:r>
      <w:r w:rsidR="00283A69" w:rsidRPr="00741122">
        <w:rPr>
          <w:rFonts w:ascii="Times New Roman" w:eastAsia="Times New Roman" w:hAnsi="Times New Roman" w:cs="Times New Roman"/>
          <w:sz w:val="22"/>
          <w:szCs w:val="22"/>
          <w:lang w:val="lt-LT"/>
        </w:rPr>
        <w:t xml:space="preserve"> niż 2 </w:t>
      </w:r>
      <w:r w:rsidRPr="00741122">
        <w:rPr>
          <w:rFonts w:ascii="Times New Roman" w:eastAsia="Times New Roman" w:hAnsi="Times New Roman" w:cs="Times New Roman"/>
          <w:sz w:val="22"/>
          <w:szCs w:val="22"/>
          <w:lang w:val="lt-LT"/>
        </w:rPr>
        <w:t>g na dobę.</w:t>
      </w:r>
    </w:p>
    <w:p w14:paraId="782C052A" w14:textId="77777777" w:rsidR="00071CFE" w:rsidRPr="00741122" w:rsidRDefault="00071CFE" w:rsidP="001B794B">
      <w:pPr>
        <w:rPr>
          <w:rFonts w:ascii="Times New Roman" w:eastAsia="Times New Roman" w:hAnsi="Times New Roman" w:cs="Times New Roman"/>
          <w:sz w:val="22"/>
          <w:szCs w:val="22"/>
          <w:lang w:val="lt-LT"/>
        </w:rPr>
      </w:pPr>
    </w:p>
    <w:p w14:paraId="4BCF12F2" w14:textId="77777777" w:rsidR="00071CFE" w:rsidRPr="00741122" w:rsidRDefault="00071CFE" w:rsidP="001B794B">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i/>
          <w:sz w:val="22"/>
          <w:szCs w:val="22"/>
          <w:u w:val="single"/>
          <w:lang w:val="lt-LT"/>
        </w:rPr>
        <w:t xml:space="preserve">Krwotoki </w:t>
      </w:r>
      <w:r w:rsidRPr="00741122">
        <w:rPr>
          <w:rFonts w:ascii="Times New Roman" w:eastAsia="Times New Roman" w:hAnsi="Times New Roman" w:cs="Times New Roman"/>
          <w:sz w:val="22"/>
          <w:szCs w:val="22"/>
          <w:u w:val="single"/>
          <w:lang w:val="lt-LT"/>
        </w:rPr>
        <w:t>(patrz punkt 4.4)</w:t>
      </w:r>
    </w:p>
    <w:p w14:paraId="62169CF6" w14:textId="77777777" w:rsidR="007270E7" w:rsidRPr="00741122" w:rsidRDefault="007270E7" w:rsidP="001B794B">
      <w:pPr>
        <w:keepNext/>
        <w:rPr>
          <w:rFonts w:ascii="Times New Roman" w:eastAsia="Times New Roman" w:hAnsi="Times New Roman" w:cs="Times New Roman"/>
          <w:sz w:val="22"/>
          <w:szCs w:val="22"/>
          <w:lang w:val="lt-LT"/>
        </w:rPr>
      </w:pPr>
    </w:p>
    <w:p w14:paraId="18907B6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badaniach klinicznych we wszystkich wskazaniach, całkowita częstość występowania krwawienia stopnia 3-5</w:t>
      </w:r>
      <w:r w:rsidR="00FC740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wg ska</w:t>
      </w:r>
      <w:r w:rsidR="0073525E" w:rsidRPr="00741122">
        <w:rPr>
          <w:rFonts w:ascii="Times New Roman" w:eastAsia="Times New Roman" w:hAnsi="Times New Roman" w:cs="Times New Roman"/>
          <w:sz w:val="22"/>
          <w:szCs w:val="22"/>
          <w:lang w:val="lt-LT"/>
        </w:rPr>
        <w:t>li (NCI-</w:t>
      </w:r>
      <w:r w:rsidRPr="00741122">
        <w:rPr>
          <w:rFonts w:ascii="Times New Roman" w:eastAsia="Times New Roman" w:hAnsi="Times New Roman" w:cs="Times New Roman"/>
          <w:sz w:val="22"/>
          <w:szCs w:val="22"/>
          <w:lang w:val="lt-LT"/>
        </w:rPr>
        <w:t xml:space="preserve">CTCAE v.3) wynosiła od 0,4% do 6,9% chorych otrzymujących </w:t>
      </w:r>
      <w:r w:rsidR="00656BA5">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porównaniu </w:t>
      </w:r>
      <w:r w:rsidR="00FC7407">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maksymalnie 4,5% pacjentów w grupie kontrolnej otrzymującej chemioterapię.</w:t>
      </w:r>
    </w:p>
    <w:p w14:paraId="79DB3026" w14:textId="77777777" w:rsidR="00071CFE" w:rsidRPr="00741122" w:rsidRDefault="00071CFE" w:rsidP="001B794B">
      <w:pPr>
        <w:rPr>
          <w:rFonts w:ascii="Times New Roman" w:eastAsia="Times New Roman" w:hAnsi="Times New Roman" w:cs="Times New Roman"/>
          <w:sz w:val="22"/>
          <w:szCs w:val="22"/>
          <w:lang w:val="lt-LT"/>
        </w:rPr>
      </w:pPr>
    </w:p>
    <w:p w14:paraId="68D32D2B"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badaniu klinicznym u pacjentek z przetrwałym, nawrotowym lub przerzutowym rakiem szyjki macicy (badanie GOG-0240) krwawienia</w:t>
      </w:r>
      <w:r w:rsidR="004D5D05" w:rsidRPr="00741122">
        <w:rPr>
          <w:rFonts w:ascii="Times New Roman" w:eastAsia="Times New Roman" w:hAnsi="Times New Roman" w:cs="Times New Roman"/>
          <w:sz w:val="22"/>
          <w:szCs w:val="22"/>
          <w:lang w:val="lt-LT"/>
        </w:rPr>
        <w:t xml:space="preserve"> stopnia 3-5</w:t>
      </w:r>
      <w:r w:rsidR="00FC7407">
        <w:rPr>
          <w:rFonts w:ascii="Times New Roman" w:eastAsia="Times New Roman" w:hAnsi="Times New Roman" w:cs="Times New Roman"/>
          <w:sz w:val="22"/>
          <w:szCs w:val="22"/>
          <w:lang w:val="lt-LT"/>
        </w:rPr>
        <w:t>.</w:t>
      </w:r>
      <w:r w:rsidR="004D5D05" w:rsidRPr="00741122">
        <w:rPr>
          <w:rFonts w:ascii="Times New Roman" w:eastAsia="Times New Roman" w:hAnsi="Times New Roman" w:cs="Times New Roman"/>
          <w:sz w:val="22"/>
          <w:szCs w:val="22"/>
          <w:lang w:val="lt-LT"/>
        </w:rPr>
        <w:t xml:space="preserve"> były opisywane u 8,</w:t>
      </w:r>
      <w:r w:rsidRPr="00741122">
        <w:rPr>
          <w:rFonts w:ascii="Times New Roman" w:eastAsia="Times New Roman" w:hAnsi="Times New Roman" w:cs="Times New Roman"/>
          <w:sz w:val="22"/>
          <w:szCs w:val="22"/>
          <w:lang w:val="lt-LT"/>
        </w:rPr>
        <w:t xml:space="preserve">3% pacjentek leczonych </w:t>
      </w:r>
      <w:r w:rsidR="00656BA5">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w skojarzeniu z paklitakselem </w:t>
      </w:r>
      <w:r w:rsidR="004D5D05" w:rsidRPr="00741122">
        <w:rPr>
          <w:rFonts w:ascii="Times New Roman" w:eastAsia="Times New Roman" w:hAnsi="Times New Roman" w:cs="Times New Roman"/>
          <w:sz w:val="22"/>
          <w:szCs w:val="22"/>
          <w:lang w:val="lt-LT"/>
        </w:rPr>
        <w:t xml:space="preserve">i topotekanem w porównaniu </w:t>
      </w:r>
      <w:r w:rsidR="00FC7407">
        <w:rPr>
          <w:rFonts w:ascii="Times New Roman" w:eastAsia="Times New Roman" w:hAnsi="Times New Roman" w:cs="Times New Roman"/>
          <w:sz w:val="22"/>
          <w:szCs w:val="22"/>
          <w:lang w:val="lt-LT"/>
        </w:rPr>
        <w:t xml:space="preserve">z </w:t>
      </w:r>
      <w:r w:rsidR="004D5D05" w:rsidRPr="00741122">
        <w:rPr>
          <w:rFonts w:ascii="Times New Roman" w:eastAsia="Times New Roman" w:hAnsi="Times New Roman" w:cs="Times New Roman"/>
          <w:sz w:val="22"/>
          <w:szCs w:val="22"/>
          <w:lang w:val="lt-LT"/>
        </w:rPr>
        <w:t>4,</w:t>
      </w:r>
      <w:r w:rsidRPr="00741122">
        <w:rPr>
          <w:rFonts w:ascii="Times New Roman" w:eastAsia="Times New Roman" w:hAnsi="Times New Roman" w:cs="Times New Roman"/>
          <w:sz w:val="22"/>
          <w:szCs w:val="22"/>
          <w:lang w:val="lt-LT"/>
        </w:rPr>
        <w:t>6% w grupie chorych leczonych paklitakselem i topotekanem.</w:t>
      </w:r>
    </w:p>
    <w:p w14:paraId="0878C522" w14:textId="77777777" w:rsidR="00071CFE" w:rsidRPr="00741122" w:rsidRDefault="00071CFE" w:rsidP="001B794B">
      <w:pPr>
        <w:rPr>
          <w:rFonts w:ascii="Times New Roman" w:eastAsia="Times New Roman" w:hAnsi="Times New Roman" w:cs="Times New Roman"/>
          <w:sz w:val="22"/>
          <w:szCs w:val="22"/>
          <w:lang w:val="lt-LT"/>
        </w:rPr>
      </w:pPr>
    </w:p>
    <w:p w14:paraId="1C2F5C28"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Krwotoki obserwowane w badaniach klinicznych były głównie krwotokami związanymi z guzem (patrz poniżej) i krwawieniami z błon śluzowych o niewielkim nasileniu (np. krwawienie z nosa).</w:t>
      </w:r>
    </w:p>
    <w:p w14:paraId="5FEF23DA" w14:textId="77777777" w:rsidR="00071CFE" w:rsidRPr="00741122" w:rsidRDefault="00071CFE" w:rsidP="001B794B">
      <w:pPr>
        <w:rPr>
          <w:rFonts w:ascii="Times New Roman" w:eastAsia="Times New Roman" w:hAnsi="Times New Roman" w:cs="Times New Roman"/>
          <w:sz w:val="22"/>
          <w:szCs w:val="22"/>
          <w:lang w:val="lt-LT"/>
        </w:rPr>
      </w:pPr>
    </w:p>
    <w:p w14:paraId="743F3A4F" w14:textId="77777777" w:rsidR="00071CFE" w:rsidRPr="00741122" w:rsidRDefault="00071CFE" w:rsidP="000802EA">
      <w:pPr>
        <w:keepNext/>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i/>
          <w:sz w:val="22"/>
          <w:szCs w:val="22"/>
          <w:u w:val="single"/>
          <w:lang w:val="lt-LT"/>
        </w:rPr>
        <w:lastRenderedPageBreak/>
        <w:t xml:space="preserve">Krwotoki związane z guzem </w:t>
      </w:r>
      <w:r w:rsidRPr="00741122">
        <w:rPr>
          <w:rFonts w:ascii="Times New Roman" w:eastAsia="Times New Roman" w:hAnsi="Times New Roman" w:cs="Times New Roman"/>
          <w:sz w:val="22"/>
          <w:szCs w:val="22"/>
          <w:u w:val="single"/>
          <w:lang w:val="lt-LT"/>
        </w:rPr>
        <w:t>(patrz punkt 4.4)</w:t>
      </w:r>
    </w:p>
    <w:p w14:paraId="38ACD9EB" w14:textId="77777777" w:rsidR="007270E7" w:rsidRPr="00741122" w:rsidRDefault="007270E7" w:rsidP="000802EA">
      <w:pPr>
        <w:keepNext/>
        <w:rPr>
          <w:rFonts w:ascii="Times New Roman" w:eastAsia="Times New Roman" w:hAnsi="Times New Roman" w:cs="Times New Roman"/>
          <w:sz w:val="22"/>
          <w:szCs w:val="22"/>
          <w:u w:val="single"/>
          <w:lang w:val="lt-LT"/>
        </w:rPr>
      </w:pPr>
    </w:p>
    <w:p w14:paraId="5A30D187"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Ciężkie lub intensywne krwotoki płucne i (lub) krwioplucie obserwowano głównie u chorych na niedrobnokomórkowego raka płuca. Do możliwych czynników ryzyka należą: płaskonabłonkowy typ histologiczny, stosowanie leków przeciwreumatycznych i (lub) przeciwzapalnych, stosowanie leków przeciwzakrzepowych, wcześniej stosowana radioterapia, leczenie </w:t>
      </w:r>
      <w:r w:rsidR="00656BA5">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miażdżyca tętnic w wywiadzie, guz zlokalizowany centralnie oraz powstawanie jam w obrębie guza podczas leczenia. Jedynymi czynnikami wskazującymi na statystycznie istotną zależność z występowaniem krwawień były leczenie </w:t>
      </w:r>
      <w:r w:rsidR="00656BA5">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oraz rak płaskonabłonkowy. Pacjenci z niedrobnokomórkowym rakiem płuca ze stwierdzonym płaskonabłonkowym typem histologicznym lub mieszanym typem komórek z przewagą typu płaskonabłonkowego byli wyłączani z dalszych badań fazy III, zaś pacjenci bez weryfikacji histologicznej nowotworu byli włączani do badań.</w:t>
      </w:r>
    </w:p>
    <w:p w14:paraId="1DE31AFC" w14:textId="77777777" w:rsidR="00071CFE" w:rsidRPr="00741122" w:rsidRDefault="00071CFE" w:rsidP="001B794B">
      <w:pPr>
        <w:rPr>
          <w:rFonts w:ascii="Times New Roman" w:eastAsia="Times New Roman" w:hAnsi="Times New Roman" w:cs="Times New Roman"/>
          <w:sz w:val="22"/>
          <w:szCs w:val="22"/>
          <w:lang w:val="lt-LT"/>
        </w:rPr>
      </w:pPr>
    </w:p>
    <w:p w14:paraId="2C8F0173"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grupie pacjentów z niedrobnokomórkowym rakiem płuca, z wyjątkiem pacjentów z rakiem z przewagą komórek typu płaskonabłonkowego, obserwowano incydenty krwotoczne wszystkich stopni z częstością do 9,3% w grupie leczonych </w:t>
      </w:r>
      <w:r w:rsidR="00656BA5">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i chemioterapią w porównaniu </w:t>
      </w:r>
      <w:r w:rsidR="00AD7BB6">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nie więcej niż 5% w grupie pacjentów otrzymujących tylko samą chemioterapię. Krwotok płucny i (lub) krwioplucie stopnia 3-5</w:t>
      </w:r>
      <w:r w:rsidR="00AD7BB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obserwowano maksymalnie u 2,3% pacjentów leczonych </w:t>
      </w:r>
      <w:r w:rsidR="00656BA5">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i chemioterapią w porównaniu </w:t>
      </w:r>
      <w:r w:rsidR="00AD7BB6">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&lt;</w:t>
      </w:r>
      <w:r w:rsidR="00AD7BB6">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1% u otrzymujących tylko samą chemioterapię (NCI-CTCAE v.3). Ciężkie lub intensywne krwotoki płucne i (lub) krwioplucie mogą wystąpić nagle i w prawie dwóch trzecich przypadków ciężkiego krwotoku płucnego nastąpił zgon pacjenta.</w:t>
      </w:r>
    </w:p>
    <w:p w14:paraId="053772B2" w14:textId="77777777" w:rsidR="00071CFE" w:rsidRPr="00741122" w:rsidRDefault="00071CFE" w:rsidP="001B794B">
      <w:pPr>
        <w:rPr>
          <w:rFonts w:ascii="Times New Roman" w:eastAsia="Times New Roman" w:hAnsi="Times New Roman" w:cs="Times New Roman"/>
          <w:sz w:val="22"/>
          <w:szCs w:val="22"/>
          <w:lang w:val="lt-LT"/>
        </w:rPr>
      </w:pPr>
    </w:p>
    <w:p w14:paraId="3B37C8F1"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U pacjentów z rakiem odbytnicy i okrężnicy obserwowano krwotoki z przewodu pokarmowego, w tym krwotoki z odbytnicy oraz smołowate stolce, zakwalifikowane jako krwotoki związane z guzem.</w:t>
      </w:r>
    </w:p>
    <w:p w14:paraId="66249AD1" w14:textId="77777777" w:rsidR="00071CFE" w:rsidRPr="00741122" w:rsidRDefault="00071CFE" w:rsidP="001B794B">
      <w:pPr>
        <w:rPr>
          <w:rFonts w:ascii="Times New Roman" w:eastAsia="Times New Roman" w:hAnsi="Times New Roman" w:cs="Times New Roman"/>
          <w:sz w:val="22"/>
          <w:szCs w:val="22"/>
          <w:lang w:val="lt-LT"/>
        </w:rPr>
      </w:pPr>
    </w:p>
    <w:p w14:paraId="255438E4"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Krwotoki związane z guzem były również rzadko obserwowane w innych nowotworach, </w:t>
      </w:r>
      <w:r w:rsidR="00AD7BB6">
        <w:rPr>
          <w:rFonts w:ascii="Times New Roman" w:eastAsia="Times New Roman" w:hAnsi="Times New Roman" w:cs="Times New Roman"/>
          <w:sz w:val="22"/>
          <w:szCs w:val="22"/>
          <w:lang w:val="lt-LT"/>
        </w:rPr>
        <w:t>w tym</w:t>
      </w:r>
      <w:r w:rsidRPr="00741122">
        <w:rPr>
          <w:rFonts w:ascii="Times New Roman" w:eastAsia="Times New Roman" w:hAnsi="Times New Roman" w:cs="Times New Roman"/>
          <w:sz w:val="22"/>
          <w:szCs w:val="22"/>
          <w:lang w:val="lt-LT"/>
        </w:rPr>
        <w:t xml:space="preserve"> przypadki krwawienia w obrębie ośrodkowego układu nerwowego (OUN) u chorych, z przerzutami do OUN (patrz punkt 4.4).</w:t>
      </w:r>
    </w:p>
    <w:p w14:paraId="2B174B10" w14:textId="77777777" w:rsidR="00071CFE" w:rsidRPr="00741122" w:rsidRDefault="00071CFE" w:rsidP="001B794B">
      <w:pPr>
        <w:rPr>
          <w:rFonts w:ascii="Times New Roman" w:eastAsia="Times New Roman" w:hAnsi="Times New Roman" w:cs="Times New Roman"/>
          <w:sz w:val="22"/>
          <w:szCs w:val="22"/>
          <w:lang w:val="lt-LT"/>
        </w:rPr>
      </w:pPr>
    </w:p>
    <w:p w14:paraId="37A75C2F" w14:textId="77777777" w:rsidR="00071CFE" w:rsidRPr="00741122" w:rsidRDefault="00071CFE" w:rsidP="001B794B">
      <w:pPr>
        <w:rPr>
          <w:rFonts w:ascii="Times New Roman" w:eastAsia="Times New Roman" w:hAnsi="Times New Roman" w:cs="Times New Roman"/>
          <w:sz w:val="22"/>
          <w:szCs w:val="22"/>
          <w:lang w:val="lt-LT"/>
        </w:rPr>
      </w:pPr>
      <w:bookmarkStart w:id="20" w:name="page20"/>
      <w:bookmarkEnd w:id="20"/>
      <w:r w:rsidRPr="00741122">
        <w:rPr>
          <w:rFonts w:ascii="Times New Roman" w:eastAsia="Times New Roman" w:hAnsi="Times New Roman" w:cs="Times New Roman"/>
          <w:sz w:val="22"/>
          <w:szCs w:val="22"/>
          <w:lang w:val="lt-LT"/>
        </w:rPr>
        <w:t>Przypadki krwawienia do OUN u pacjentów z nieleczonymi przerzutami do OUN otrzymujących bewacyzumab nie były oceniane prospektywnie w randomizowanych badaniach klinicznych. W analizie retrospektywnej danych z 13 zakończonych randomizowanych badań klinicznych u pacjentów z różnymi typami guzów, u 3 z 91 (3,3%) z przerzutami do mózgu leczonych bewacyzumabem wystąpiło krwawienie do OUN (wszyscy 4</w:t>
      </w:r>
      <w:r w:rsidR="00AD7BB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stopień) w porównaniu do 1 przypadku (stopień 5</w:t>
      </w:r>
      <w:r w:rsidR="00AD7BB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z 96 pacjentów (1%) nie poddanych leczeniu bewacyzumabem. W dwóch kolejnych badaniach u leczonych pacjentów z przerzutami do OUN (w których uczestniczyło około 800 pacjentów), w cząstkowej analizie bezpieczeństwa, zgłoszono jeden przypadek krwawienia stopnia 2. w grupie 83 pacjentów leczonych bewacyzumabem (1,2%) (NCI-CTCAE v.3).</w:t>
      </w:r>
    </w:p>
    <w:p w14:paraId="2A8859D5" w14:textId="77777777" w:rsidR="00425112" w:rsidRPr="00741122" w:rsidRDefault="00425112" w:rsidP="001B794B">
      <w:pPr>
        <w:rPr>
          <w:rFonts w:ascii="Times New Roman" w:eastAsia="Times New Roman" w:hAnsi="Times New Roman" w:cs="Times New Roman"/>
          <w:sz w:val="22"/>
          <w:szCs w:val="22"/>
          <w:lang w:val="lt-LT"/>
        </w:rPr>
      </w:pPr>
    </w:p>
    <w:p w14:paraId="4BEB034A"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We wszystkich badaniach krwawienia z błon śluzowych były obserwowane u do 50% pacjentów otrzymujących </w:t>
      </w:r>
      <w:r w:rsidR="00656BA5">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Były to najczęściej krwawienia z nosa stopnia 1. w/g (NCI-CTCAE v.3), które trwały krócej niż 5 minut, ustępowały bez leczenia i nie wymagały żadnych zmian w sposobie podawania </w:t>
      </w:r>
      <w:r w:rsidR="00656BA5">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Kliniczne dane dotyczące bezpieczeństwa wskazują, że występowanie mniejszych krwotoków z błon śluzowych (np. krwawienie z nosa) może być zależne od dawki leku.</w:t>
      </w:r>
    </w:p>
    <w:p w14:paraId="11EA0F98" w14:textId="77777777" w:rsidR="00071CFE" w:rsidRPr="00741122" w:rsidRDefault="00071CFE" w:rsidP="001B794B">
      <w:pPr>
        <w:rPr>
          <w:rFonts w:ascii="Times New Roman" w:eastAsia="Times New Roman" w:hAnsi="Times New Roman" w:cs="Times New Roman"/>
          <w:sz w:val="22"/>
          <w:szCs w:val="22"/>
          <w:lang w:val="lt-LT"/>
        </w:rPr>
      </w:pPr>
    </w:p>
    <w:p w14:paraId="5B64E84C"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Rzadziej występowały również krwawienia o niewielkim nasileniu z błon śluzowych w innych lokalizacjach, np. krwawienie z dziąseł lub krwawienie z pochwy.</w:t>
      </w:r>
    </w:p>
    <w:p w14:paraId="4930A0A6" w14:textId="77777777" w:rsidR="00071CFE" w:rsidRPr="00741122" w:rsidRDefault="00071CFE" w:rsidP="001B794B">
      <w:pPr>
        <w:rPr>
          <w:rFonts w:ascii="Times New Roman" w:eastAsia="Times New Roman" w:hAnsi="Times New Roman"/>
          <w:sz w:val="22"/>
          <w:szCs w:val="22"/>
          <w:lang w:val="lt-LT"/>
        </w:rPr>
      </w:pPr>
    </w:p>
    <w:p w14:paraId="698FCF80" w14:textId="77777777" w:rsidR="00071CFE" w:rsidRPr="00741122" w:rsidRDefault="00071CFE" w:rsidP="001B794B">
      <w:pPr>
        <w:rPr>
          <w:rFonts w:ascii="Times New Roman" w:eastAsia="Times New Roman" w:hAnsi="Times New Roman"/>
          <w:sz w:val="22"/>
          <w:szCs w:val="22"/>
          <w:u w:val="single"/>
          <w:lang w:val="lt-LT"/>
        </w:rPr>
      </w:pPr>
      <w:r w:rsidRPr="00741122">
        <w:rPr>
          <w:rFonts w:ascii="Times New Roman" w:eastAsia="Times New Roman" w:hAnsi="Times New Roman"/>
          <w:i/>
          <w:sz w:val="22"/>
          <w:szCs w:val="22"/>
          <w:u w:val="single"/>
          <w:lang w:val="lt-LT"/>
        </w:rPr>
        <w:t xml:space="preserve">Zakrzepica zatorowa </w:t>
      </w:r>
      <w:r w:rsidR="007270E7" w:rsidRPr="00741122">
        <w:rPr>
          <w:rFonts w:ascii="Times New Roman" w:eastAsia="Times New Roman" w:hAnsi="Times New Roman"/>
          <w:sz w:val="22"/>
          <w:szCs w:val="22"/>
          <w:u w:val="single"/>
          <w:lang w:val="lt-LT"/>
        </w:rPr>
        <w:t>(patrz punkt 4.4)</w:t>
      </w:r>
    </w:p>
    <w:p w14:paraId="4D18617A" w14:textId="77777777" w:rsidR="007270E7" w:rsidRPr="00741122" w:rsidRDefault="007270E7" w:rsidP="001B794B">
      <w:pPr>
        <w:rPr>
          <w:rFonts w:ascii="Times New Roman" w:eastAsia="Times New Roman" w:hAnsi="Times New Roman"/>
          <w:sz w:val="22"/>
          <w:szCs w:val="22"/>
          <w:u w:val="single"/>
          <w:lang w:val="lt-LT"/>
        </w:rPr>
      </w:pPr>
    </w:p>
    <w:p w14:paraId="3B606873"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i/>
          <w:sz w:val="22"/>
          <w:szCs w:val="22"/>
          <w:lang w:val="lt-LT"/>
        </w:rPr>
        <w:t xml:space="preserve">Zakrzepica zatorowa tętnic: </w:t>
      </w:r>
      <w:r w:rsidRPr="00741122">
        <w:rPr>
          <w:rFonts w:ascii="Times New Roman" w:eastAsia="Times New Roman" w:hAnsi="Times New Roman"/>
          <w:sz w:val="22"/>
          <w:szCs w:val="22"/>
          <w:lang w:val="lt-LT"/>
        </w:rPr>
        <w:t xml:space="preserve">U pacjentów przyjmujących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we wszystkich wskazaniach</w:t>
      </w:r>
      <w:r w:rsidRPr="00741122">
        <w:rPr>
          <w:rFonts w:ascii="Times New Roman" w:eastAsia="Times New Roman" w:hAnsi="Times New Roman"/>
          <w:i/>
          <w:sz w:val="22"/>
          <w:szCs w:val="22"/>
          <w:lang w:val="lt-LT"/>
        </w:rPr>
        <w:t xml:space="preserve"> </w:t>
      </w:r>
      <w:r w:rsidRPr="00741122">
        <w:rPr>
          <w:rFonts w:ascii="Times New Roman" w:eastAsia="Times New Roman" w:hAnsi="Times New Roman"/>
          <w:sz w:val="22"/>
          <w:szCs w:val="22"/>
          <w:lang w:val="lt-LT"/>
        </w:rPr>
        <w:t>obserwowano większą częstość występowania epizodów tętniczej zakrzepicy zatorowej, w tym incydentów mózgowo-naczyniowych, zawałów mięśnia sercowego, przemijających napadów niedokrwiennych mózgu i innych incydentów zakrzepowo-zatorowych.</w:t>
      </w:r>
    </w:p>
    <w:p w14:paraId="7C93E987" w14:textId="77777777" w:rsidR="00071CFE" w:rsidRPr="00741122" w:rsidRDefault="00071CFE" w:rsidP="001B794B">
      <w:pPr>
        <w:rPr>
          <w:rFonts w:ascii="Times New Roman" w:eastAsia="Times New Roman" w:hAnsi="Times New Roman"/>
          <w:sz w:val="22"/>
          <w:szCs w:val="22"/>
          <w:lang w:val="lt-LT"/>
        </w:rPr>
      </w:pPr>
    </w:p>
    <w:p w14:paraId="5172D382"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lastRenderedPageBreak/>
        <w:t xml:space="preserve">W badaniach klinicznych, ogólna częstość występowania tętniczej zakrzepicy zatorowej </w:t>
      </w:r>
      <w:r w:rsidR="00F90C75">
        <w:rPr>
          <w:rFonts w:ascii="Times New Roman" w:eastAsia="Times New Roman" w:hAnsi="Times New Roman"/>
          <w:sz w:val="22"/>
          <w:szCs w:val="22"/>
          <w:lang w:val="lt-LT"/>
        </w:rPr>
        <w:t>wynosiła</w:t>
      </w:r>
      <w:r w:rsidRPr="00741122">
        <w:rPr>
          <w:rFonts w:ascii="Times New Roman" w:eastAsia="Times New Roman" w:hAnsi="Times New Roman"/>
          <w:sz w:val="22"/>
          <w:szCs w:val="22"/>
          <w:lang w:val="lt-LT"/>
        </w:rPr>
        <w:t xml:space="preserve"> do 3,8% w grupie pacjentów przyjmujących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porównaniu </w:t>
      </w:r>
      <w:r w:rsidR="00AD7BB6">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maksymalnie 2,1% w grupie otrzymującej chemioterapię. Zgony obserwowano u 0,8% pacjentów przyjmujących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porównaniu </w:t>
      </w:r>
      <w:r w:rsidR="00AD7BB6">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0,5% u pacjentów otrzymujących tylko chemioterapię. Incydenty naczyniowo-mózgowe</w:t>
      </w:r>
      <w:r w:rsidRPr="00741122">
        <w:rPr>
          <w:rFonts w:ascii="Times New Roman" w:eastAsia="Times New Roman" w:hAnsi="Times New Roman"/>
          <w:sz w:val="22"/>
          <w:lang w:val="lt-LT"/>
        </w:rPr>
        <w:t xml:space="preserve"> </w:t>
      </w:r>
      <w:r w:rsidRPr="00741122">
        <w:rPr>
          <w:rFonts w:ascii="Times New Roman" w:eastAsia="Times New Roman" w:hAnsi="Times New Roman"/>
          <w:sz w:val="22"/>
          <w:szCs w:val="22"/>
          <w:lang w:val="lt-LT"/>
        </w:rPr>
        <w:t xml:space="preserve">(w tym przemijające napady niedokrwienne mózgu </w:t>
      </w:r>
      <w:r w:rsidR="00727522">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TIA</w:t>
      </w:r>
      <w:r w:rsidR="00727522">
        <w:rPr>
          <w:rFonts w:ascii="Times New Roman" w:eastAsia="Times New Roman" w:hAnsi="Times New Roman"/>
          <w:sz w:val="22"/>
          <w:szCs w:val="22"/>
          <w:lang w:val="lt-LT"/>
        </w:rPr>
        <w:t>]</w:t>
      </w:r>
      <w:r w:rsidR="005B485C">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wystąpiły u nie więcej niż 2,7% chorych otrzymujących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skojarzeniu z chemioterapią w porównaniu </w:t>
      </w:r>
      <w:r w:rsidR="00AD7BB6">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nie więcej niż 0,5% chorych otrzymujących samą chemioterapię. Zawał mięśnia sercowego (MI) wystąpił u nie więcej niż 1,4% chorych otrzymujących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skojarzeniu z chemioterapią w porównaniu </w:t>
      </w:r>
      <w:r w:rsidR="00AD7BB6">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nie więcej niż 0,7% chorych otrzymujących samą chemioterapię.</w:t>
      </w:r>
    </w:p>
    <w:p w14:paraId="3D28F89F" w14:textId="77777777" w:rsidR="00071CFE" w:rsidRPr="00741122" w:rsidRDefault="00071CFE" w:rsidP="001B794B">
      <w:pPr>
        <w:rPr>
          <w:rFonts w:ascii="Times New Roman" w:eastAsia="Times New Roman" w:hAnsi="Times New Roman"/>
          <w:sz w:val="22"/>
          <w:szCs w:val="22"/>
          <w:lang w:val="lt-LT"/>
        </w:rPr>
      </w:pPr>
    </w:p>
    <w:p w14:paraId="67D6AFCB"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Do jednego badania klinicznego, oceniającego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skojarzeniu z 5-fluorouracylem/kwasem folinowym, AVF2192g, włączono pacjentów z rakiem odbytnicy i okrężnicy z przerzutami, którzy nie zostali zaklasyfikowani do leczenia irynotekanem. W tym badaniu działa</w:t>
      </w:r>
      <w:r w:rsidR="00F90C75">
        <w:rPr>
          <w:rFonts w:ascii="Times New Roman" w:eastAsia="Times New Roman" w:hAnsi="Times New Roman"/>
          <w:sz w:val="22"/>
          <w:szCs w:val="22"/>
          <w:lang w:val="lt-LT"/>
        </w:rPr>
        <w:t>nia</w:t>
      </w:r>
      <w:r w:rsidRPr="00741122">
        <w:rPr>
          <w:rFonts w:ascii="Times New Roman" w:eastAsia="Times New Roman" w:hAnsi="Times New Roman"/>
          <w:sz w:val="22"/>
          <w:szCs w:val="22"/>
          <w:lang w:val="lt-LT"/>
        </w:rPr>
        <w:t xml:space="preserve"> niepożądan</w:t>
      </w:r>
      <w:r w:rsidR="00F90C75">
        <w:rPr>
          <w:rFonts w:ascii="Times New Roman" w:eastAsia="Times New Roman" w:hAnsi="Times New Roman"/>
          <w:sz w:val="22"/>
          <w:szCs w:val="22"/>
          <w:lang w:val="lt-LT"/>
        </w:rPr>
        <w:t>e</w:t>
      </w:r>
      <w:r w:rsidRPr="00741122">
        <w:rPr>
          <w:rFonts w:ascii="Times New Roman" w:eastAsia="Times New Roman" w:hAnsi="Times New Roman"/>
          <w:sz w:val="22"/>
          <w:szCs w:val="22"/>
          <w:lang w:val="lt-LT"/>
        </w:rPr>
        <w:t xml:space="preserve"> o charakterze zakrzepicy z zatorami obserwowano u 11% pacjentów (11/100), w porównaniu </w:t>
      </w:r>
      <w:r w:rsidR="00AD7BB6">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5,8% (6/104) w grupie kontrolnej otrzymującej chemioterapię.</w:t>
      </w:r>
    </w:p>
    <w:p w14:paraId="3222FC41" w14:textId="77777777" w:rsidR="00071CFE" w:rsidRPr="00741122" w:rsidRDefault="00071CFE" w:rsidP="001B794B">
      <w:pPr>
        <w:rPr>
          <w:rFonts w:ascii="Times New Roman" w:eastAsia="Times New Roman" w:hAnsi="Times New Roman"/>
          <w:sz w:val="22"/>
          <w:szCs w:val="22"/>
          <w:lang w:val="lt-LT"/>
        </w:rPr>
      </w:pPr>
    </w:p>
    <w:p w14:paraId="0334069C"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i/>
          <w:sz w:val="22"/>
          <w:szCs w:val="22"/>
          <w:lang w:val="lt-LT"/>
        </w:rPr>
        <w:t xml:space="preserve">Zakrzepica zatorowa żył: </w:t>
      </w:r>
      <w:r w:rsidRPr="00741122">
        <w:rPr>
          <w:rFonts w:ascii="Times New Roman" w:eastAsia="Times New Roman" w:hAnsi="Times New Roman"/>
          <w:sz w:val="22"/>
          <w:szCs w:val="22"/>
          <w:lang w:val="lt-LT"/>
        </w:rPr>
        <w:t>W badaniach klinicznych częstość występowania działań niepożądanych o</w:t>
      </w:r>
      <w:r w:rsidRPr="00741122">
        <w:rPr>
          <w:rFonts w:ascii="Times New Roman" w:eastAsia="Times New Roman" w:hAnsi="Times New Roman"/>
          <w:i/>
          <w:sz w:val="22"/>
          <w:szCs w:val="22"/>
          <w:lang w:val="lt-LT"/>
        </w:rPr>
        <w:t xml:space="preserve"> </w:t>
      </w:r>
      <w:r w:rsidRPr="00741122">
        <w:rPr>
          <w:rFonts w:ascii="Times New Roman" w:eastAsia="Times New Roman" w:hAnsi="Times New Roman"/>
          <w:sz w:val="22"/>
          <w:szCs w:val="22"/>
          <w:lang w:val="lt-LT"/>
        </w:rPr>
        <w:t xml:space="preserve">charakterze żylnej zakrzepicy zatorowej była zbliżona u pacjentów przyjmujących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porównaniu do pacjentów otrzymujących tylko chemioterapię. Epizody żylnej zakrzepicy zatorowej obejmują zakrzepicę żył głębokich, zatory tętnicy płucnej i zakrzepowe zapalenie żył.</w:t>
      </w:r>
    </w:p>
    <w:p w14:paraId="7DEE3C99" w14:textId="77777777" w:rsidR="00071CFE" w:rsidRPr="00741122" w:rsidRDefault="00071CFE" w:rsidP="001B794B">
      <w:pPr>
        <w:rPr>
          <w:rFonts w:ascii="Times New Roman" w:eastAsia="Times New Roman" w:hAnsi="Times New Roman"/>
          <w:sz w:val="22"/>
          <w:szCs w:val="22"/>
          <w:lang w:val="lt-LT"/>
        </w:rPr>
      </w:pPr>
    </w:p>
    <w:p w14:paraId="3797C70D"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W badaniach klinicznych we wszystkich wskazaniach ogólna częstość występowania działań niepożądanych o charakterze żylnej zakrzepicy zatorowej wahała się od 2,8% do 17,3% u chorych otrzymujących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porównaniu </w:t>
      </w:r>
      <w:r w:rsidR="00AD7BB6">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częstości</w:t>
      </w:r>
      <w:r w:rsidR="00AD7BB6">
        <w:rPr>
          <w:rFonts w:ascii="Times New Roman" w:eastAsia="Times New Roman" w:hAnsi="Times New Roman"/>
          <w:sz w:val="22"/>
          <w:szCs w:val="22"/>
          <w:lang w:val="lt-LT"/>
        </w:rPr>
        <w:t>ą</w:t>
      </w:r>
      <w:r w:rsidRPr="00741122">
        <w:rPr>
          <w:rFonts w:ascii="Times New Roman" w:eastAsia="Times New Roman" w:hAnsi="Times New Roman"/>
          <w:sz w:val="22"/>
          <w:szCs w:val="22"/>
          <w:lang w:val="lt-LT"/>
        </w:rPr>
        <w:t xml:space="preserve"> występowania od 3,2% do 15,6% w grupach kontrolnych.</w:t>
      </w:r>
    </w:p>
    <w:p w14:paraId="54BC05E1" w14:textId="77777777" w:rsidR="00071CFE" w:rsidRPr="00741122" w:rsidRDefault="00071CFE" w:rsidP="001B794B">
      <w:pPr>
        <w:rPr>
          <w:rFonts w:ascii="Times New Roman" w:eastAsia="Times New Roman" w:hAnsi="Times New Roman"/>
          <w:sz w:val="22"/>
          <w:szCs w:val="22"/>
          <w:lang w:val="lt-LT"/>
        </w:rPr>
      </w:pPr>
    </w:p>
    <w:p w14:paraId="4C3A5F81"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Działania niepożądane o charakterze żylnej zakrzepicy zatorowej stopnia 3-5</w:t>
      </w:r>
      <w:r w:rsidR="00C821C3">
        <w:rPr>
          <w:rFonts w:ascii="Times New Roman" w:eastAsia="Times New Roman" w:hAnsi="Times New Roman"/>
          <w:sz w:val="22"/>
          <w:szCs w:val="22"/>
          <w:lang w:val="lt-LT"/>
        </w:rPr>
        <w:t>.</w:t>
      </w:r>
      <w:r w:rsidR="00313263">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 xml:space="preserve">(NCI-CTCAE v.3) obserwowano maksymalnie u 7,8% pacjentów poddawanych chemioterapii wraz z </w:t>
      </w:r>
      <w:r w:rsidR="00531FAA">
        <w:rPr>
          <w:rFonts w:ascii="Times New Roman" w:eastAsia="Times New Roman" w:hAnsi="Times New Roman"/>
          <w:sz w:val="22"/>
          <w:szCs w:val="22"/>
          <w:lang w:val="lt-LT"/>
        </w:rPr>
        <w:t>bewacyzumabem</w:t>
      </w:r>
      <w:r w:rsidRPr="00741122">
        <w:rPr>
          <w:rFonts w:ascii="Times New Roman" w:eastAsia="Times New Roman" w:hAnsi="Times New Roman"/>
          <w:sz w:val="22"/>
          <w:szCs w:val="22"/>
          <w:lang w:val="lt-LT"/>
        </w:rPr>
        <w:t xml:space="preserve"> w porównaniu </w:t>
      </w:r>
      <w:r w:rsidR="00660DA3">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4,9% w grupie kontrolnej pacjentów otrzymujących wyłącznie chemioterapię (we wskazaniach z wyłączeniem przetrwałego, nawrotowego lub przerzutowego raka szyjki macicy).</w:t>
      </w:r>
    </w:p>
    <w:p w14:paraId="766EBEBD" w14:textId="77777777" w:rsidR="00071CFE" w:rsidRPr="00741122" w:rsidRDefault="00071CFE" w:rsidP="001B794B">
      <w:pPr>
        <w:rPr>
          <w:rFonts w:ascii="Times New Roman" w:eastAsia="Times New Roman" w:hAnsi="Times New Roman"/>
          <w:sz w:val="22"/>
          <w:szCs w:val="22"/>
          <w:lang w:val="lt-LT"/>
        </w:rPr>
      </w:pPr>
    </w:p>
    <w:p w14:paraId="11984190" w14:textId="77777777" w:rsidR="00071CFE" w:rsidRPr="00741122" w:rsidRDefault="00071CFE" w:rsidP="001B794B">
      <w:pPr>
        <w:rPr>
          <w:rFonts w:ascii="Times New Roman" w:eastAsia="Times New Roman" w:hAnsi="Times New Roman"/>
          <w:sz w:val="22"/>
          <w:szCs w:val="22"/>
          <w:lang w:val="lt-LT"/>
        </w:rPr>
      </w:pPr>
      <w:bookmarkStart w:id="21" w:name="page21"/>
      <w:bookmarkEnd w:id="21"/>
      <w:r w:rsidRPr="00741122">
        <w:rPr>
          <w:rFonts w:ascii="Times New Roman" w:eastAsia="Times New Roman" w:hAnsi="Times New Roman"/>
          <w:sz w:val="22"/>
          <w:szCs w:val="22"/>
          <w:lang w:val="lt-LT"/>
        </w:rPr>
        <w:t xml:space="preserve">W badaniu klinicznym u pacjentek z przetrwałym, nawrotowym lub przerzutowym rakiem szyjki macicy (badanie GOG-0240) żylne epizody zakrzepowo-zatorowe w </w:t>
      </w:r>
      <w:r w:rsidR="004D5D05" w:rsidRPr="00741122">
        <w:rPr>
          <w:rFonts w:ascii="Times New Roman" w:eastAsia="Times New Roman" w:hAnsi="Times New Roman"/>
          <w:sz w:val="22"/>
          <w:szCs w:val="22"/>
          <w:lang w:val="lt-LT"/>
        </w:rPr>
        <w:t>stopniu 3-5</w:t>
      </w:r>
      <w:r w:rsidR="00660DA3">
        <w:rPr>
          <w:rFonts w:ascii="Times New Roman" w:eastAsia="Times New Roman" w:hAnsi="Times New Roman"/>
          <w:sz w:val="22"/>
          <w:szCs w:val="22"/>
          <w:lang w:val="lt-LT"/>
        </w:rPr>
        <w:t>.</w:t>
      </w:r>
      <w:r w:rsidR="004D5D05" w:rsidRPr="00741122">
        <w:rPr>
          <w:rFonts w:ascii="Times New Roman" w:eastAsia="Times New Roman" w:hAnsi="Times New Roman"/>
          <w:sz w:val="22"/>
          <w:szCs w:val="22"/>
          <w:lang w:val="lt-LT"/>
        </w:rPr>
        <w:t xml:space="preserve"> były opisywane u 15,</w:t>
      </w:r>
      <w:r w:rsidRPr="00741122">
        <w:rPr>
          <w:rFonts w:ascii="Times New Roman" w:eastAsia="Times New Roman" w:hAnsi="Times New Roman"/>
          <w:sz w:val="22"/>
          <w:szCs w:val="22"/>
          <w:lang w:val="lt-LT"/>
        </w:rPr>
        <w:t xml:space="preserve">6% pacjentek leczonych </w:t>
      </w:r>
      <w:r w:rsidR="00531FAA">
        <w:rPr>
          <w:rFonts w:ascii="Times New Roman" w:eastAsia="Times New Roman" w:hAnsi="Times New Roman"/>
          <w:sz w:val="22"/>
          <w:szCs w:val="22"/>
          <w:lang w:val="lt-LT"/>
        </w:rPr>
        <w:t>bewacyzumabem</w:t>
      </w:r>
      <w:r w:rsidRPr="00741122">
        <w:rPr>
          <w:rFonts w:ascii="Times New Roman" w:eastAsia="Times New Roman" w:hAnsi="Times New Roman"/>
          <w:sz w:val="22"/>
          <w:szCs w:val="22"/>
          <w:lang w:val="lt-LT"/>
        </w:rPr>
        <w:t xml:space="preserve"> w skojarzeniu z paklitakselem</w:t>
      </w:r>
      <w:r w:rsidR="004D5D05" w:rsidRPr="00741122">
        <w:rPr>
          <w:rFonts w:ascii="Times New Roman" w:eastAsia="Times New Roman" w:hAnsi="Times New Roman"/>
          <w:sz w:val="22"/>
          <w:szCs w:val="22"/>
          <w:lang w:val="lt-LT"/>
        </w:rPr>
        <w:t xml:space="preserve"> i cisplatyną w porównaniu </w:t>
      </w:r>
      <w:r w:rsidR="00660DA3">
        <w:rPr>
          <w:rFonts w:ascii="Times New Roman" w:eastAsia="Times New Roman" w:hAnsi="Times New Roman"/>
          <w:sz w:val="22"/>
          <w:szCs w:val="22"/>
          <w:lang w:val="lt-LT"/>
        </w:rPr>
        <w:t>z</w:t>
      </w:r>
      <w:r w:rsidR="004D5D05" w:rsidRPr="00741122">
        <w:rPr>
          <w:rFonts w:ascii="Times New Roman" w:eastAsia="Times New Roman" w:hAnsi="Times New Roman"/>
          <w:sz w:val="22"/>
          <w:szCs w:val="22"/>
          <w:lang w:val="lt-LT"/>
        </w:rPr>
        <w:t xml:space="preserve"> 7,</w:t>
      </w:r>
      <w:r w:rsidRPr="00741122">
        <w:rPr>
          <w:rFonts w:ascii="Times New Roman" w:eastAsia="Times New Roman" w:hAnsi="Times New Roman"/>
          <w:sz w:val="22"/>
          <w:szCs w:val="22"/>
          <w:lang w:val="lt-LT"/>
        </w:rPr>
        <w:t>0% pacjentek leczonych paklitakselem i cisplatyną</w:t>
      </w:r>
      <w:r w:rsidR="00425112" w:rsidRPr="00741122">
        <w:rPr>
          <w:rFonts w:ascii="Times New Roman" w:eastAsia="Times New Roman" w:hAnsi="Times New Roman"/>
          <w:sz w:val="22"/>
          <w:szCs w:val="22"/>
          <w:lang w:val="lt-LT"/>
        </w:rPr>
        <w:t>.</w:t>
      </w:r>
    </w:p>
    <w:p w14:paraId="1917F02E" w14:textId="77777777" w:rsidR="00071CFE" w:rsidRPr="00741122" w:rsidRDefault="00071CFE" w:rsidP="001B794B">
      <w:pPr>
        <w:rPr>
          <w:rFonts w:ascii="Times New Roman" w:eastAsia="Times New Roman" w:hAnsi="Times New Roman"/>
          <w:sz w:val="22"/>
          <w:szCs w:val="22"/>
          <w:lang w:val="lt-LT"/>
        </w:rPr>
      </w:pPr>
    </w:p>
    <w:p w14:paraId="4665D766"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Pacjenci, u których wystąpił epizod żylnej zakrzepicy zatorowej, mogą być bardziej zagrożeni ponownym jego wystąpieniem, jeśli otrzymują </w:t>
      </w:r>
      <w:r w:rsidR="00CF14B2">
        <w:rPr>
          <w:rFonts w:ascii="Times New Roman" w:eastAsia="Times New Roman" w:hAnsi="Times New Roman" w:cs="Times New Roman"/>
          <w:sz w:val="22"/>
          <w:szCs w:val="22"/>
          <w:lang w:val="lt-LT"/>
        </w:rPr>
        <w:t>bewacyzumab</w:t>
      </w:r>
      <w:r w:rsidRPr="00741122">
        <w:rPr>
          <w:rFonts w:ascii="Times New Roman" w:eastAsia="Times New Roman" w:hAnsi="Times New Roman"/>
          <w:sz w:val="22"/>
          <w:szCs w:val="22"/>
          <w:lang w:val="lt-LT"/>
        </w:rPr>
        <w:t xml:space="preserve"> w skojarzeniu z chemioterapią, w porównaniu </w:t>
      </w:r>
      <w:r w:rsidR="00660DA3">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pacjent</w:t>
      </w:r>
      <w:r w:rsidR="00660DA3">
        <w:rPr>
          <w:rFonts w:ascii="Times New Roman" w:eastAsia="Times New Roman" w:hAnsi="Times New Roman"/>
          <w:sz w:val="22"/>
          <w:szCs w:val="22"/>
          <w:lang w:val="lt-LT"/>
        </w:rPr>
        <w:t>ami</w:t>
      </w:r>
      <w:r w:rsidRPr="00741122">
        <w:rPr>
          <w:rFonts w:ascii="Times New Roman" w:eastAsia="Times New Roman" w:hAnsi="Times New Roman"/>
          <w:sz w:val="22"/>
          <w:szCs w:val="22"/>
          <w:lang w:val="lt-LT"/>
        </w:rPr>
        <w:t xml:space="preserve"> przyjmujący</w:t>
      </w:r>
      <w:r w:rsidR="00660DA3">
        <w:rPr>
          <w:rFonts w:ascii="Times New Roman" w:eastAsia="Times New Roman" w:hAnsi="Times New Roman"/>
          <w:sz w:val="22"/>
          <w:szCs w:val="22"/>
          <w:lang w:val="lt-LT"/>
        </w:rPr>
        <w:t>mi</w:t>
      </w:r>
      <w:r w:rsidRPr="00741122">
        <w:rPr>
          <w:rFonts w:ascii="Times New Roman" w:eastAsia="Times New Roman" w:hAnsi="Times New Roman"/>
          <w:sz w:val="22"/>
          <w:szCs w:val="22"/>
          <w:lang w:val="lt-LT"/>
        </w:rPr>
        <w:t xml:space="preserve"> tylko chemioterapię.</w:t>
      </w:r>
    </w:p>
    <w:p w14:paraId="4C0530DB" w14:textId="77777777" w:rsidR="00071CFE" w:rsidRPr="00741122" w:rsidRDefault="00071CFE" w:rsidP="001B794B">
      <w:pPr>
        <w:rPr>
          <w:rFonts w:ascii="Times New Roman" w:eastAsia="Times New Roman" w:hAnsi="Times New Roman"/>
          <w:sz w:val="22"/>
          <w:szCs w:val="22"/>
          <w:lang w:val="lt-LT"/>
        </w:rPr>
      </w:pPr>
    </w:p>
    <w:p w14:paraId="7E30225D" w14:textId="77777777" w:rsidR="00071CFE" w:rsidRPr="00741122" w:rsidRDefault="00071CFE" w:rsidP="001B794B">
      <w:pPr>
        <w:rPr>
          <w:rFonts w:ascii="Times New Roman" w:eastAsia="Times New Roman" w:hAnsi="Times New Roman"/>
          <w:i/>
          <w:sz w:val="22"/>
          <w:szCs w:val="22"/>
          <w:u w:val="single"/>
          <w:lang w:val="lt-LT"/>
        </w:rPr>
      </w:pPr>
      <w:r w:rsidRPr="00741122">
        <w:rPr>
          <w:rFonts w:ascii="Times New Roman" w:eastAsia="Times New Roman" w:hAnsi="Times New Roman"/>
          <w:i/>
          <w:sz w:val="22"/>
          <w:szCs w:val="22"/>
          <w:u w:val="single"/>
          <w:lang w:val="lt-LT"/>
        </w:rPr>
        <w:t>Zastoinowa niewydolność serca (CHF)</w:t>
      </w:r>
    </w:p>
    <w:p w14:paraId="17A33DB4" w14:textId="77777777" w:rsidR="007270E7" w:rsidRPr="00741122" w:rsidRDefault="007270E7" w:rsidP="001B794B">
      <w:pPr>
        <w:rPr>
          <w:rFonts w:ascii="Times New Roman" w:eastAsia="Times New Roman" w:hAnsi="Times New Roman"/>
          <w:i/>
          <w:sz w:val="22"/>
          <w:szCs w:val="22"/>
          <w:u w:val="single"/>
          <w:lang w:val="lt-LT"/>
        </w:rPr>
      </w:pPr>
    </w:p>
    <w:p w14:paraId="6C82D5DD"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sz w:val="22"/>
          <w:szCs w:val="22"/>
          <w:lang w:val="lt-LT"/>
        </w:rPr>
        <w:t xml:space="preserve">W badaniach klinicznych </w:t>
      </w:r>
      <w:r w:rsidR="00531FAA">
        <w:rPr>
          <w:rFonts w:ascii="Times New Roman" w:eastAsia="Times New Roman" w:hAnsi="Times New Roman"/>
          <w:sz w:val="22"/>
          <w:szCs w:val="22"/>
          <w:lang w:val="lt-LT"/>
        </w:rPr>
        <w:t>z bewacyzumabem</w:t>
      </w:r>
      <w:r w:rsidRPr="00741122">
        <w:rPr>
          <w:rFonts w:ascii="Times New Roman" w:eastAsia="Times New Roman" w:hAnsi="Times New Roman"/>
          <w:sz w:val="22"/>
          <w:szCs w:val="22"/>
          <w:lang w:val="lt-LT"/>
        </w:rPr>
        <w:t xml:space="preserve"> zastoinową niewydolność serca (CHF) obserwowano we wszystkich badanych dotychczas wskazaniach, lecz występowała ona głównie u pacjentów z rakiem piersi z przerzutami. W czterech badaniach klinicznych III fazy (AVF2119g, E2100, BO17708 i </w:t>
      </w:r>
      <w:r w:rsidRPr="00741122">
        <w:rPr>
          <w:rFonts w:ascii="Times New Roman" w:eastAsia="Times New Roman" w:hAnsi="Times New Roman" w:cs="Times New Roman"/>
          <w:sz w:val="22"/>
          <w:szCs w:val="22"/>
          <w:lang w:val="lt-LT"/>
        </w:rPr>
        <w:t xml:space="preserve">AVF3694g) u pacjentów z rakiem piersi z przerzutami zgłaszano zastoinową niewydolność serca stopnia 3. lub wyższego (NCI-CTCAE v.3) u maksymalnie 3,5% pacjentów leczonych </w:t>
      </w:r>
      <w:r w:rsidR="00531FAA">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w skojarzeniu z chemioterapią w porównaniu </w:t>
      </w:r>
      <w:r w:rsidR="00660DA3">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maksymalnie 0,9% w ramionach kontrolnych. U pacjentów uczestniczących w badaniu AVF3694g, którzy byli leczeni równocześnie antracyklinami i bewacyzumabem, zastoinowa niewydolność serca stopnia 3. lub wyższego występowała w grupie otrzymującej bewacyzumab i w grupie kontrolnej z podobną częstością jak w innych badaniach z udziałem pacjentów z rozsianym rakiem piersi: 2,9% u chorych otrzymujących antracyklinę + bewacyzumab i 0% w grupie otrzymującej antracyklinę + placebo. Dodatkowo w badaniu AVF3694g częstoś</w:t>
      </w:r>
      <w:r w:rsidR="00F90C75">
        <w:rPr>
          <w:rFonts w:ascii="Times New Roman" w:eastAsia="Times New Roman" w:hAnsi="Times New Roman" w:cs="Times New Roman"/>
          <w:sz w:val="22"/>
          <w:szCs w:val="22"/>
          <w:lang w:val="lt-LT"/>
        </w:rPr>
        <w:t>ć</w:t>
      </w:r>
      <w:r w:rsidRPr="00741122">
        <w:rPr>
          <w:rFonts w:ascii="Times New Roman" w:eastAsia="Times New Roman" w:hAnsi="Times New Roman" w:cs="Times New Roman"/>
          <w:sz w:val="22"/>
          <w:szCs w:val="22"/>
          <w:lang w:val="lt-LT"/>
        </w:rPr>
        <w:t xml:space="preserve"> występowania zastoinowej niewydolności serca dowolnego stopnia w grupie leczonej </w:t>
      </w:r>
      <w:r w:rsidRPr="00741122">
        <w:rPr>
          <w:rFonts w:ascii="Times New Roman" w:eastAsia="Times New Roman" w:hAnsi="Times New Roman" w:cs="Times New Roman"/>
          <w:sz w:val="22"/>
          <w:szCs w:val="22"/>
          <w:lang w:val="lt-LT"/>
        </w:rPr>
        <w:lastRenderedPageBreak/>
        <w:t xml:space="preserve">antracykliną z </w:t>
      </w:r>
      <w:r w:rsidR="00531FAA">
        <w:rPr>
          <w:rFonts w:ascii="Times New Roman" w:eastAsia="Times New Roman" w:hAnsi="Times New Roman" w:cs="Times New Roman"/>
          <w:sz w:val="22"/>
          <w:szCs w:val="22"/>
          <w:lang w:val="lt-LT"/>
        </w:rPr>
        <w:t>bewacyzumabem</w:t>
      </w:r>
      <w:r w:rsidR="00531FAA" w:rsidRPr="00741122" w:rsidDel="00531FAA">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(6,2%) była podobna do tej zaobserwowanej w grupie leczonej antracykliną z placebo (6,0%).</w:t>
      </w:r>
    </w:p>
    <w:p w14:paraId="72537751" w14:textId="77777777" w:rsidR="00071CFE" w:rsidRPr="00741122" w:rsidRDefault="00071CFE" w:rsidP="001B794B">
      <w:pPr>
        <w:rPr>
          <w:rFonts w:ascii="Times New Roman" w:eastAsia="Times New Roman" w:hAnsi="Times New Roman" w:cs="Times New Roman"/>
          <w:sz w:val="22"/>
          <w:szCs w:val="22"/>
          <w:lang w:val="lt-LT"/>
        </w:rPr>
      </w:pPr>
    </w:p>
    <w:p w14:paraId="07155E55"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U większości pacjentów, u których wystąpiła CHF w czasie badania klinicznego w populacji chorych z rozsianym rakiem piersi, obserwowano poprawę w zakresie objawów i (lub) funkcji lewej komory po zastosowaniu odpowiedniego leczenia.</w:t>
      </w:r>
    </w:p>
    <w:p w14:paraId="59D098C0" w14:textId="77777777" w:rsidR="00071CFE" w:rsidRPr="00741122" w:rsidRDefault="00071CFE" w:rsidP="001B794B">
      <w:pPr>
        <w:rPr>
          <w:rFonts w:ascii="Times New Roman" w:eastAsia="Times New Roman" w:hAnsi="Times New Roman" w:cs="Times New Roman"/>
          <w:sz w:val="22"/>
          <w:szCs w:val="22"/>
          <w:lang w:val="lt-LT"/>
        </w:rPr>
      </w:pPr>
    </w:p>
    <w:p w14:paraId="3280EE98"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większości badań klinicznych </w:t>
      </w:r>
      <w:r w:rsidR="00531FAA">
        <w:rPr>
          <w:rFonts w:ascii="Times New Roman" w:eastAsia="Times New Roman" w:hAnsi="Times New Roman" w:cs="Times New Roman"/>
          <w:sz w:val="22"/>
          <w:szCs w:val="22"/>
          <w:lang w:val="lt-LT"/>
        </w:rPr>
        <w:t>z bewacyzumabem</w:t>
      </w:r>
      <w:r w:rsidRPr="00741122">
        <w:rPr>
          <w:rFonts w:ascii="Times New Roman" w:eastAsia="Times New Roman" w:hAnsi="Times New Roman" w:cs="Times New Roman"/>
          <w:sz w:val="22"/>
          <w:szCs w:val="22"/>
          <w:lang w:val="lt-LT"/>
        </w:rPr>
        <w:t>, pacjenci z CHF stopnia II-IV wg NYHA</w:t>
      </w:r>
      <w:r w:rsidR="0042511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t>
      </w:r>
      <w:r w:rsidR="00660DA3">
        <w:rPr>
          <w:rFonts w:ascii="Times New Roman" w:eastAsia="Times New Roman" w:hAnsi="Times New Roman" w:cs="Times New Roman"/>
          <w:sz w:val="22"/>
          <w:szCs w:val="22"/>
          <w:lang w:val="lt-LT"/>
        </w:rPr>
        <w:t xml:space="preserve">ang. </w:t>
      </w:r>
      <w:r w:rsidRPr="00741122">
        <w:rPr>
          <w:rFonts w:ascii="Times New Roman" w:eastAsia="Times New Roman" w:hAnsi="Times New Roman" w:cs="Times New Roman"/>
          <w:sz w:val="22"/>
          <w:szCs w:val="22"/>
          <w:lang w:val="lt-LT"/>
        </w:rPr>
        <w:t>New York Heart Association) byli wykluczeni z badań, w związku z tym nie ma żadnych dostępnych danych dotyczących ryzyka CHF w tej populacji pacjentów.</w:t>
      </w:r>
    </w:p>
    <w:p w14:paraId="174E05D4" w14:textId="77777777" w:rsidR="00071CFE" w:rsidRPr="00741122" w:rsidRDefault="00071CFE" w:rsidP="007270E7">
      <w:pPr>
        <w:rPr>
          <w:rFonts w:ascii="Times New Roman" w:eastAsia="Times New Roman" w:hAnsi="Times New Roman" w:cs="Times New Roman"/>
          <w:sz w:val="22"/>
          <w:szCs w:val="22"/>
          <w:lang w:val="lt-LT"/>
        </w:rPr>
      </w:pPr>
    </w:p>
    <w:p w14:paraId="274249DE" w14:textId="77777777" w:rsidR="00071CFE" w:rsidRPr="00741122" w:rsidRDefault="00071CFE" w:rsidP="007270E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Wcześniejsze stosowanie antracyklin i (lub) napromieniowanie okolicy klatki piersiowej mogą być czynnikami ryzyka wystąpienia zastoinowej niewydolności serca.</w:t>
      </w:r>
    </w:p>
    <w:p w14:paraId="351897CD" w14:textId="77777777" w:rsidR="00071CFE" w:rsidRPr="00741122" w:rsidRDefault="00071CFE" w:rsidP="007270E7">
      <w:pPr>
        <w:rPr>
          <w:rFonts w:ascii="Times New Roman" w:eastAsia="Times New Roman" w:hAnsi="Times New Roman" w:cs="Times New Roman"/>
          <w:sz w:val="22"/>
          <w:szCs w:val="22"/>
          <w:lang w:val="lt-LT"/>
        </w:rPr>
      </w:pPr>
    </w:p>
    <w:p w14:paraId="0B845843" w14:textId="67D428E0" w:rsidR="00071CFE" w:rsidRPr="00741122" w:rsidRDefault="00213F9E" w:rsidP="007270E7">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w:t>
      </w:r>
      <w:r w:rsidR="00071CFE" w:rsidRPr="00741122">
        <w:rPr>
          <w:rFonts w:ascii="Times New Roman" w:eastAsia="Times New Roman" w:hAnsi="Times New Roman" w:cs="Times New Roman"/>
          <w:sz w:val="22"/>
          <w:szCs w:val="22"/>
          <w:lang w:val="lt-LT"/>
        </w:rPr>
        <w:t xml:space="preserve"> badaniu klinicznym z udziałem chorych na chłoniaka rozlanego dużych komórek B obserwowano zwiększoną częstość występowania CHF w grupie pacjentów leczonych bewacyzumabem</w:t>
      </w:r>
      <w:r w:rsidR="00425112"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i doksorubicyną w skum</w:t>
      </w:r>
      <w:r w:rsidR="00425112" w:rsidRPr="00741122">
        <w:rPr>
          <w:rFonts w:ascii="Times New Roman" w:eastAsia="Times New Roman" w:hAnsi="Times New Roman" w:cs="Times New Roman"/>
          <w:sz w:val="22"/>
          <w:szCs w:val="22"/>
          <w:lang w:val="lt-LT"/>
        </w:rPr>
        <w:t>ulowanej dawce większej niż 300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W badaniu III fazy porównano rytuksym</w:t>
      </w:r>
      <w:r w:rsidR="00425112" w:rsidRPr="00741122">
        <w:rPr>
          <w:rFonts w:ascii="Times New Roman" w:eastAsia="Times New Roman" w:hAnsi="Times New Roman" w:cs="Times New Roman"/>
          <w:sz w:val="22"/>
          <w:szCs w:val="22"/>
          <w:lang w:val="lt-LT"/>
        </w:rPr>
        <w:t>ab/cyklofosfamid/doksorubicyna/</w:t>
      </w:r>
      <w:r w:rsidR="00071CFE" w:rsidRPr="00741122">
        <w:rPr>
          <w:rFonts w:ascii="Times New Roman" w:eastAsia="Times New Roman" w:hAnsi="Times New Roman" w:cs="Times New Roman"/>
          <w:sz w:val="22"/>
          <w:szCs w:val="22"/>
          <w:lang w:val="lt-LT"/>
        </w:rPr>
        <w:t>winkrystyna/prednison (R-CHOP) plus bewacyzumab</w:t>
      </w:r>
      <w:r w:rsidR="008D38DA"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z leczeniem wyłącznie schematem R-CHOP. Jakkolwiek częstość występowania CHF była w obydwu ramionach badania wyższa niż uprzednio obserwowana po zastosowaniu doksorubicyny, CHF częściej występowała u pacjentów otrzymujących R-CHOP z bewacyzumabem. Uzyskane dane wskazują na konieczność ścisłego monitorowania klinicznego z odpowiednią oceną funkcji serca u pacjentów leczonych doksorubicyną w skum</w:t>
      </w:r>
      <w:r w:rsidR="008D38DA" w:rsidRPr="00741122">
        <w:rPr>
          <w:rFonts w:ascii="Times New Roman" w:eastAsia="Times New Roman" w:hAnsi="Times New Roman" w:cs="Times New Roman"/>
          <w:sz w:val="22"/>
          <w:szCs w:val="22"/>
          <w:lang w:val="lt-LT"/>
        </w:rPr>
        <w:t>ulowanej dawce większej niż 300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skojarzeniu z bewacyzumabem.</w:t>
      </w:r>
    </w:p>
    <w:p w14:paraId="6F3AAC13" w14:textId="77777777" w:rsidR="00071CFE" w:rsidRPr="00741122" w:rsidRDefault="00071CFE" w:rsidP="007270E7">
      <w:pPr>
        <w:rPr>
          <w:rFonts w:ascii="Times New Roman" w:eastAsia="Times New Roman" w:hAnsi="Times New Roman" w:cs="Times New Roman"/>
          <w:sz w:val="22"/>
          <w:szCs w:val="22"/>
          <w:lang w:val="lt-LT"/>
        </w:rPr>
      </w:pPr>
    </w:p>
    <w:p w14:paraId="38E83569" w14:textId="4724CA1D" w:rsidR="00071CFE" w:rsidRPr="00741122" w:rsidRDefault="00071CFE" w:rsidP="00CB7A4F">
      <w:pPr>
        <w:keepNext/>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Reakcje nadwrażliwości</w:t>
      </w:r>
      <w:r w:rsidR="00754B1C">
        <w:rPr>
          <w:rFonts w:ascii="Times New Roman" w:eastAsia="Times New Roman" w:hAnsi="Times New Roman" w:cs="Times New Roman"/>
          <w:i/>
          <w:sz w:val="22"/>
          <w:szCs w:val="22"/>
          <w:u w:val="single"/>
          <w:lang w:val="lt-LT"/>
        </w:rPr>
        <w:t xml:space="preserve"> (w tym wstrząs anafilaktyczny)</w:t>
      </w:r>
      <w:r w:rsidRPr="00741122">
        <w:rPr>
          <w:rFonts w:ascii="Times New Roman" w:eastAsia="Times New Roman" w:hAnsi="Times New Roman" w:cs="Times New Roman"/>
          <w:i/>
          <w:sz w:val="22"/>
          <w:szCs w:val="22"/>
          <w:u w:val="single"/>
          <w:lang w:val="lt-LT"/>
        </w:rPr>
        <w:t xml:space="preserve">/reakcje podczas </w:t>
      </w:r>
      <w:r w:rsidR="002F55F4">
        <w:rPr>
          <w:rFonts w:ascii="Times New Roman" w:eastAsia="Times New Roman" w:hAnsi="Times New Roman" w:cs="Times New Roman"/>
          <w:i/>
          <w:sz w:val="22"/>
          <w:szCs w:val="22"/>
          <w:u w:val="single"/>
          <w:lang w:val="lt-LT"/>
        </w:rPr>
        <w:t>infuzji</w:t>
      </w:r>
      <w:r w:rsidRPr="00741122">
        <w:rPr>
          <w:rFonts w:ascii="Times New Roman" w:eastAsia="Times New Roman" w:hAnsi="Times New Roman" w:cs="Times New Roman"/>
          <w:i/>
          <w:sz w:val="22"/>
          <w:szCs w:val="22"/>
          <w:u w:val="single"/>
          <w:lang w:val="lt-LT"/>
        </w:rPr>
        <w:t xml:space="preserve"> </w:t>
      </w:r>
      <w:r w:rsidRPr="0041202B">
        <w:rPr>
          <w:rFonts w:ascii="Times New Roman" w:eastAsia="Times New Roman" w:hAnsi="Times New Roman" w:cs="Times New Roman"/>
          <w:iCs/>
          <w:sz w:val="22"/>
          <w:szCs w:val="22"/>
          <w:u w:val="single"/>
          <w:lang w:val="lt-LT"/>
        </w:rPr>
        <w:t>(patrz punkt 4.4</w:t>
      </w:r>
      <w:r w:rsidRPr="00741122">
        <w:rPr>
          <w:rFonts w:ascii="Times New Roman" w:eastAsia="Times New Roman" w:hAnsi="Times New Roman" w:cs="Times New Roman"/>
          <w:i/>
          <w:sz w:val="22"/>
          <w:szCs w:val="22"/>
          <w:u w:val="single"/>
          <w:lang w:val="lt-LT"/>
        </w:rPr>
        <w:t xml:space="preserve"> i doświadczenia po wprowadzeniu produktu do obrotu </w:t>
      </w:r>
      <w:r w:rsidRPr="0041202B">
        <w:rPr>
          <w:rFonts w:ascii="Times New Roman" w:eastAsia="Times New Roman" w:hAnsi="Times New Roman" w:cs="Times New Roman"/>
          <w:iCs/>
          <w:sz w:val="22"/>
          <w:szCs w:val="22"/>
          <w:u w:val="single"/>
          <w:lang w:val="lt-LT"/>
        </w:rPr>
        <w:t>patrz poniżej)</w:t>
      </w:r>
    </w:p>
    <w:p w14:paraId="3F55D530" w14:textId="77777777" w:rsidR="00071CFE" w:rsidRPr="00741122" w:rsidRDefault="00071CFE" w:rsidP="00CB7A4F">
      <w:pPr>
        <w:keepNext/>
        <w:rPr>
          <w:rFonts w:ascii="Times New Roman" w:eastAsia="Times New Roman" w:hAnsi="Times New Roman" w:cs="Times New Roman"/>
          <w:sz w:val="22"/>
          <w:szCs w:val="22"/>
          <w:lang w:val="lt-LT"/>
        </w:rPr>
      </w:pPr>
    </w:p>
    <w:p w14:paraId="5AE05652" w14:textId="77777777" w:rsidR="00071CFE" w:rsidRPr="00741122" w:rsidRDefault="00071CFE" w:rsidP="00712B66">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niektórych badaniach klinicznych reakcje anafilaktyczne oraz anafilakoidalne występowały częściej u pacjentów otrzymujących bewacyzumab w połączeniu z chemioterapią niż otrzymujących jedynie chemioterapię. W niektórych badaniach reakcje te występowały często (do 5% w grupie chorych otrzymujących bewacyzumab).</w:t>
      </w:r>
    </w:p>
    <w:p w14:paraId="6B5C775B" w14:textId="77777777" w:rsidR="00071CFE" w:rsidRPr="00741122" w:rsidRDefault="00071CFE" w:rsidP="00712B66">
      <w:pPr>
        <w:rPr>
          <w:rFonts w:ascii="Times New Roman" w:eastAsia="Times New Roman" w:hAnsi="Times New Roman" w:cs="Times New Roman"/>
          <w:sz w:val="22"/>
          <w:szCs w:val="22"/>
          <w:lang w:val="lt-LT"/>
        </w:rPr>
      </w:pPr>
    </w:p>
    <w:p w14:paraId="555BC9A8" w14:textId="77777777" w:rsidR="00071CFE" w:rsidRPr="00741122" w:rsidRDefault="00071CFE" w:rsidP="00712B66">
      <w:pPr>
        <w:rPr>
          <w:rFonts w:ascii="Times New Roman" w:eastAsia="Times New Roman" w:hAnsi="Times New Roman"/>
          <w:i/>
          <w:sz w:val="22"/>
          <w:szCs w:val="22"/>
          <w:u w:val="single"/>
          <w:lang w:val="lt-LT"/>
        </w:rPr>
      </w:pPr>
      <w:r w:rsidRPr="00741122">
        <w:rPr>
          <w:rFonts w:ascii="Times New Roman" w:eastAsia="Times New Roman" w:hAnsi="Times New Roman"/>
          <w:i/>
          <w:sz w:val="22"/>
          <w:szCs w:val="22"/>
          <w:u w:val="single"/>
          <w:lang w:val="lt-LT"/>
        </w:rPr>
        <w:t>Zakażenia</w:t>
      </w:r>
    </w:p>
    <w:p w14:paraId="3D540594" w14:textId="77777777" w:rsidR="00547F46" w:rsidRPr="00741122" w:rsidRDefault="00547F46" w:rsidP="00712B66">
      <w:pPr>
        <w:rPr>
          <w:rFonts w:ascii="Times New Roman" w:eastAsia="Times New Roman" w:hAnsi="Times New Roman"/>
          <w:i/>
          <w:sz w:val="22"/>
          <w:szCs w:val="22"/>
          <w:u w:val="single"/>
          <w:lang w:val="lt-LT"/>
        </w:rPr>
      </w:pPr>
    </w:p>
    <w:p w14:paraId="5B66C68C" w14:textId="77777777" w:rsidR="00071CFE" w:rsidRPr="00741122" w:rsidRDefault="00071CFE" w:rsidP="00712B66">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 badaniu klinicznym u pacjentek z przetrwałym, nawrotowym lub przerzutowym rakiem szyjki macicy (badanie GOG-0240) zgłaszano infekcje stopnia 3-5</w:t>
      </w:r>
      <w:r w:rsidR="006C116D">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u 24% pacjentek leczonych </w:t>
      </w:r>
      <w:r w:rsidR="00531FAA">
        <w:rPr>
          <w:rFonts w:ascii="Times New Roman" w:eastAsia="Times New Roman" w:hAnsi="Times New Roman" w:cs="Times New Roman"/>
          <w:sz w:val="22"/>
          <w:szCs w:val="22"/>
          <w:lang w:val="lt-LT"/>
        </w:rPr>
        <w:t>bewacyzumabem</w:t>
      </w:r>
      <w:bookmarkStart w:id="22" w:name="page22"/>
      <w:bookmarkEnd w:id="22"/>
      <w:r w:rsidRPr="00741122">
        <w:rPr>
          <w:rFonts w:ascii="Times New Roman" w:eastAsia="Times New Roman" w:hAnsi="Times New Roman"/>
          <w:sz w:val="22"/>
          <w:szCs w:val="22"/>
          <w:lang w:val="lt-LT"/>
        </w:rPr>
        <w:t xml:space="preserve"> w skojarzeniu z paklitakselem i topotekanem w porównaniu </w:t>
      </w:r>
      <w:r w:rsidR="006C116D">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13% pacjentek leczonych paklitakselem i topotekanem.</w:t>
      </w:r>
    </w:p>
    <w:p w14:paraId="10DBC327" w14:textId="77777777" w:rsidR="00071CFE" w:rsidRPr="00741122" w:rsidRDefault="00071CFE" w:rsidP="00712B66">
      <w:pPr>
        <w:rPr>
          <w:rFonts w:ascii="Times New Roman" w:eastAsia="Times New Roman" w:hAnsi="Times New Roman"/>
          <w:sz w:val="22"/>
          <w:szCs w:val="22"/>
          <w:lang w:val="lt-LT"/>
        </w:rPr>
      </w:pPr>
    </w:p>
    <w:p w14:paraId="59DA5DEC" w14:textId="77777777" w:rsidR="00071CFE" w:rsidRPr="00741122" w:rsidRDefault="00071CFE" w:rsidP="00712B66">
      <w:pPr>
        <w:rPr>
          <w:rFonts w:ascii="Times New Roman" w:eastAsia="Times New Roman" w:hAnsi="Times New Roman"/>
          <w:sz w:val="22"/>
          <w:szCs w:val="22"/>
          <w:u w:val="single"/>
          <w:lang w:val="lt-LT"/>
        </w:rPr>
      </w:pPr>
      <w:r w:rsidRPr="00741122">
        <w:rPr>
          <w:rFonts w:ascii="Times New Roman" w:eastAsia="Times New Roman" w:hAnsi="Times New Roman"/>
          <w:i/>
          <w:sz w:val="22"/>
          <w:szCs w:val="22"/>
          <w:u w:val="single"/>
          <w:lang w:val="lt-LT"/>
        </w:rPr>
        <w:t xml:space="preserve">Niewydolność jajników/płodność </w:t>
      </w:r>
      <w:r w:rsidRPr="00741122">
        <w:rPr>
          <w:rFonts w:ascii="Times New Roman" w:eastAsia="Times New Roman" w:hAnsi="Times New Roman"/>
          <w:sz w:val="22"/>
          <w:szCs w:val="22"/>
          <w:u w:val="single"/>
          <w:lang w:val="lt-LT"/>
        </w:rPr>
        <w:t>(patrz punkty 4.4 i 4.6)</w:t>
      </w:r>
    </w:p>
    <w:p w14:paraId="29520DC3" w14:textId="77777777" w:rsidR="00547F46" w:rsidRPr="00741122" w:rsidRDefault="00547F46" w:rsidP="00712B66">
      <w:pPr>
        <w:rPr>
          <w:rFonts w:ascii="Times New Roman" w:eastAsia="Times New Roman" w:hAnsi="Times New Roman"/>
          <w:sz w:val="22"/>
          <w:szCs w:val="22"/>
          <w:lang w:val="lt-LT"/>
        </w:rPr>
      </w:pPr>
    </w:p>
    <w:p w14:paraId="4BE6C250" w14:textId="77777777" w:rsidR="00071CFE" w:rsidRPr="00741122" w:rsidRDefault="008D38DA" w:rsidP="00712B66">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 badaniu III fazy NSABP C</w:t>
      </w:r>
      <w:r w:rsidR="00071CFE" w:rsidRPr="00741122">
        <w:rPr>
          <w:rFonts w:ascii="Times New Roman" w:eastAsia="Times New Roman" w:hAnsi="Times New Roman"/>
          <w:sz w:val="22"/>
          <w:szCs w:val="22"/>
          <w:lang w:val="lt-LT"/>
        </w:rPr>
        <w:t xml:space="preserve">-08, dotyczącym stosowania </w:t>
      </w:r>
      <w:r w:rsidR="00531FAA">
        <w:rPr>
          <w:rFonts w:ascii="Times New Roman" w:eastAsia="Times New Roman" w:hAnsi="Times New Roman"/>
          <w:sz w:val="22"/>
          <w:szCs w:val="22"/>
          <w:lang w:val="lt-LT"/>
        </w:rPr>
        <w:t xml:space="preserve">bewacyzumabu </w:t>
      </w:r>
      <w:r w:rsidR="00071CFE" w:rsidRPr="00741122">
        <w:rPr>
          <w:rFonts w:ascii="Times New Roman" w:eastAsia="Times New Roman" w:hAnsi="Times New Roman"/>
          <w:sz w:val="22"/>
          <w:szCs w:val="22"/>
          <w:lang w:val="lt-LT"/>
        </w:rPr>
        <w:t>jako leczenia uzupełniającego u chorych na raka jelita grubego, częstość występowania niewydolności jajników, zdefiniowanej jako brak miesiączki trwający przez 3 lub więcej miesięcy, stężenie FSH ≥</w:t>
      </w:r>
      <w:r w:rsidR="00C57AC4">
        <w:rPr>
          <w:rFonts w:ascii="Times New Roman" w:eastAsia="Times New Roman" w:hAnsi="Times New Roman"/>
          <w:sz w:val="22"/>
          <w:szCs w:val="22"/>
          <w:lang w:val="lt-LT"/>
        </w:rPr>
        <w:t> </w:t>
      </w:r>
      <w:r w:rsidR="00071CFE" w:rsidRPr="00741122">
        <w:rPr>
          <w:rFonts w:ascii="Times New Roman" w:eastAsia="Times New Roman" w:hAnsi="Times New Roman"/>
          <w:sz w:val="22"/>
          <w:szCs w:val="22"/>
          <w:lang w:val="lt-LT"/>
        </w:rPr>
        <w:t>30</w:t>
      </w:r>
      <w:r w:rsidR="00996D41">
        <w:rPr>
          <w:rFonts w:ascii="Times New Roman" w:eastAsia="Times New Roman" w:hAnsi="Times New Roman"/>
          <w:sz w:val="22"/>
          <w:szCs w:val="22"/>
          <w:lang w:val="lt-LT"/>
        </w:rPr>
        <w:t> </w:t>
      </w:r>
      <w:r w:rsidR="00071CFE" w:rsidRPr="00741122">
        <w:rPr>
          <w:rFonts w:ascii="Times New Roman" w:eastAsia="Times New Roman" w:hAnsi="Times New Roman"/>
          <w:sz w:val="22"/>
          <w:szCs w:val="22"/>
          <w:lang w:val="lt-LT"/>
        </w:rPr>
        <w:t>mili j.m./ml oraz negatywny wynik testu ciążowego β-HCG w surowicy, oceniono u 295 kobiet przed menopauzą. Nowe przypadki wystąpienia niewydolności jajnik</w:t>
      </w:r>
      <w:r w:rsidR="00F8540F">
        <w:rPr>
          <w:rFonts w:ascii="Times New Roman" w:eastAsia="Times New Roman" w:hAnsi="Times New Roman"/>
          <w:sz w:val="22"/>
          <w:szCs w:val="22"/>
          <w:lang w:val="lt-LT"/>
        </w:rPr>
        <w:t>ów odnotowano u 2,6</w:t>
      </w:r>
      <w:r w:rsidR="00071CFE" w:rsidRPr="00741122">
        <w:rPr>
          <w:rFonts w:ascii="Times New Roman" w:eastAsia="Times New Roman" w:hAnsi="Times New Roman"/>
          <w:sz w:val="22"/>
          <w:szCs w:val="22"/>
          <w:lang w:val="lt-LT"/>
        </w:rPr>
        <w:t>% pacjentek w grupie leczonej wyłącznie mFOLFOX-6 i u 39% w grupie leczonej schematem mFOLFOX-6 w skojarzeniu z bewacyzumabem. Po zaprzestaniu leczenia bewacyzumabem czynność jajników powróciła u 86,2% kobiet poddanych ocenie. Długoterminowy wpływ leczenia bewacyzumabem na płodność nie jest znany.</w:t>
      </w:r>
    </w:p>
    <w:p w14:paraId="6EB9540C" w14:textId="77777777" w:rsidR="00071CFE" w:rsidRPr="00741122" w:rsidRDefault="00071CFE" w:rsidP="00712B66">
      <w:pPr>
        <w:rPr>
          <w:rFonts w:ascii="Times New Roman" w:eastAsia="Times New Roman" w:hAnsi="Times New Roman"/>
          <w:sz w:val="22"/>
          <w:szCs w:val="22"/>
          <w:lang w:val="lt-LT"/>
        </w:rPr>
      </w:pPr>
    </w:p>
    <w:p w14:paraId="56DA3A28" w14:textId="77777777" w:rsidR="00071CFE" w:rsidRPr="00741122" w:rsidRDefault="00071CFE" w:rsidP="00F063C8">
      <w:pPr>
        <w:keepNext/>
        <w:rPr>
          <w:rFonts w:ascii="Times New Roman" w:eastAsia="Times New Roman" w:hAnsi="Times New Roman"/>
          <w:i/>
          <w:sz w:val="22"/>
          <w:szCs w:val="22"/>
          <w:u w:val="single"/>
          <w:lang w:val="lt-LT"/>
        </w:rPr>
      </w:pPr>
      <w:r w:rsidRPr="00741122">
        <w:rPr>
          <w:rFonts w:ascii="Times New Roman" w:eastAsia="Times New Roman" w:hAnsi="Times New Roman"/>
          <w:i/>
          <w:sz w:val="22"/>
          <w:szCs w:val="22"/>
          <w:u w:val="single"/>
          <w:lang w:val="lt-LT"/>
        </w:rPr>
        <w:lastRenderedPageBreak/>
        <w:t>Nieprawidłowości w badaniach laboratoryjnych</w:t>
      </w:r>
    </w:p>
    <w:p w14:paraId="0CF5FCA8" w14:textId="77777777" w:rsidR="00547F46" w:rsidRPr="00741122" w:rsidRDefault="00547F46" w:rsidP="00F063C8">
      <w:pPr>
        <w:keepNext/>
        <w:rPr>
          <w:rFonts w:ascii="Times New Roman" w:eastAsia="Times New Roman" w:hAnsi="Times New Roman"/>
          <w:i/>
          <w:sz w:val="22"/>
          <w:szCs w:val="22"/>
          <w:u w:val="single"/>
          <w:lang w:val="lt-LT"/>
        </w:rPr>
      </w:pPr>
    </w:p>
    <w:p w14:paraId="53EA70A1" w14:textId="77777777" w:rsidR="00071CFE" w:rsidRPr="00741122" w:rsidRDefault="00071CFE" w:rsidP="00F063C8">
      <w:pPr>
        <w:keepNext/>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Zmniejszona liczba neutrofili, zmniejszona liczba leukocytów i obecność białka w moczu mogą być związane z leczeniem </w:t>
      </w:r>
      <w:r w:rsidR="00F027A8">
        <w:rPr>
          <w:rFonts w:ascii="Times New Roman" w:eastAsia="Times New Roman" w:hAnsi="Times New Roman" w:cs="Times New Roman"/>
          <w:sz w:val="22"/>
          <w:szCs w:val="22"/>
          <w:lang w:val="lt-LT"/>
        </w:rPr>
        <w:t>produktem MVASI</w:t>
      </w:r>
      <w:r w:rsidRPr="00741122">
        <w:rPr>
          <w:rFonts w:ascii="Times New Roman" w:eastAsia="Times New Roman" w:hAnsi="Times New Roman"/>
          <w:sz w:val="22"/>
          <w:szCs w:val="22"/>
          <w:lang w:val="lt-LT"/>
        </w:rPr>
        <w:t>.</w:t>
      </w:r>
    </w:p>
    <w:p w14:paraId="63EFA1C9" w14:textId="77777777" w:rsidR="00071CFE" w:rsidRPr="00741122" w:rsidRDefault="00071CFE" w:rsidP="00712B66">
      <w:pPr>
        <w:rPr>
          <w:rFonts w:ascii="Times New Roman" w:eastAsia="Times New Roman" w:hAnsi="Times New Roman"/>
          <w:sz w:val="22"/>
          <w:szCs w:val="22"/>
          <w:lang w:val="lt-LT"/>
        </w:rPr>
      </w:pPr>
    </w:p>
    <w:p w14:paraId="7B1E78ED" w14:textId="77777777" w:rsidR="00071CFE" w:rsidRPr="00741122" w:rsidRDefault="00071CFE" w:rsidP="00712B66">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We wszystkich badaniach klinicznych, następujące nieprawidłowości wyników laboratoryjnych stopnia 3</w:t>
      </w:r>
      <w:r w:rsidR="006C116D">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i 4</w:t>
      </w:r>
      <w:r w:rsidR="006C116D">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(NCI-CTCAE v.3) wystąpiły u pacjentów </w:t>
      </w:r>
      <w:r w:rsidR="00531FAA">
        <w:rPr>
          <w:rFonts w:ascii="Times New Roman" w:eastAsia="Times New Roman" w:hAnsi="Times New Roman"/>
          <w:sz w:val="22"/>
          <w:szCs w:val="22"/>
          <w:lang w:val="lt-LT"/>
        </w:rPr>
        <w:t xml:space="preserve">leczonych bewacyzumabem </w:t>
      </w:r>
      <w:r w:rsidRPr="00741122">
        <w:rPr>
          <w:rFonts w:ascii="Times New Roman" w:eastAsia="Times New Roman" w:hAnsi="Times New Roman"/>
          <w:sz w:val="22"/>
          <w:szCs w:val="22"/>
          <w:lang w:val="lt-LT"/>
        </w:rPr>
        <w:t>z częstością różniącą się o co najmniej 2% w porównaniu do odpowiadających im grup kontrolnych: hiperglikemia, zmniejszenie stężenia hemoglobiny, hipokaliemia, hiponatremia, zmniejszona liczba leukocytów, zwiększony znormalizowany współczynnik międzynarodowy (INR).</w:t>
      </w:r>
    </w:p>
    <w:p w14:paraId="5B12254A" w14:textId="77777777" w:rsidR="00071CFE" w:rsidRPr="00741122" w:rsidRDefault="00071CFE" w:rsidP="00712B66">
      <w:pPr>
        <w:rPr>
          <w:rFonts w:ascii="Times New Roman" w:eastAsia="Times New Roman" w:hAnsi="Times New Roman"/>
          <w:sz w:val="22"/>
          <w:szCs w:val="22"/>
          <w:lang w:val="lt-LT"/>
        </w:rPr>
      </w:pPr>
    </w:p>
    <w:p w14:paraId="622D7833" w14:textId="77777777" w:rsidR="00071CFE" w:rsidRPr="00741122" w:rsidRDefault="00071CFE" w:rsidP="001B794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Badania kliniczne wykazały, że prze</w:t>
      </w:r>
      <w:r w:rsidR="006C116D">
        <w:rPr>
          <w:rFonts w:ascii="Times New Roman" w:eastAsia="Times New Roman" w:hAnsi="Times New Roman"/>
          <w:sz w:val="22"/>
          <w:szCs w:val="22"/>
          <w:lang w:val="lt-LT"/>
        </w:rPr>
        <w:t>mijając</w:t>
      </w:r>
      <w:r w:rsidR="002F55F4">
        <w:rPr>
          <w:rFonts w:ascii="Times New Roman" w:eastAsia="Times New Roman" w:hAnsi="Times New Roman"/>
          <w:sz w:val="22"/>
          <w:szCs w:val="22"/>
          <w:lang w:val="lt-LT"/>
        </w:rPr>
        <w:t>e</w:t>
      </w:r>
      <w:r w:rsidRPr="00741122">
        <w:rPr>
          <w:rFonts w:ascii="Times New Roman" w:eastAsia="Times New Roman" w:hAnsi="Times New Roman"/>
          <w:sz w:val="22"/>
          <w:szCs w:val="22"/>
          <w:lang w:val="lt-LT"/>
        </w:rPr>
        <w:t xml:space="preserve"> </w:t>
      </w:r>
      <w:r w:rsidR="002F55F4">
        <w:rPr>
          <w:rFonts w:ascii="Times New Roman" w:eastAsia="Times New Roman" w:hAnsi="Times New Roman"/>
          <w:sz w:val="22"/>
          <w:szCs w:val="22"/>
          <w:lang w:val="lt-LT"/>
        </w:rPr>
        <w:t>zwiększenie</w:t>
      </w:r>
      <w:r w:rsidRPr="00741122">
        <w:rPr>
          <w:rFonts w:ascii="Times New Roman" w:eastAsia="Times New Roman" w:hAnsi="Times New Roman"/>
          <w:sz w:val="22"/>
          <w:szCs w:val="22"/>
          <w:lang w:val="lt-LT"/>
        </w:rPr>
        <w:t xml:space="preserve"> stężenia kreatyniny w surowicy (</w:t>
      </w:r>
      <w:r w:rsidR="002F55F4">
        <w:rPr>
          <w:rFonts w:ascii="Times New Roman" w:eastAsia="Times New Roman" w:hAnsi="Times New Roman"/>
          <w:sz w:val="22"/>
          <w:szCs w:val="22"/>
          <w:lang w:val="lt-LT"/>
        </w:rPr>
        <w:t xml:space="preserve">zwiększenie </w:t>
      </w:r>
      <w:r w:rsidRPr="00741122">
        <w:rPr>
          <w:rFonts w:ascii="Times New Roman" w:eastAsia="Times New Roman" w:hAnsi="Times New Roman"/>
          <w:sz w:val="22"/>
          <w:szCs w:val="22"/>
          <w:lang w:val="lt-LT"/>
        </w:rPr>
        <w:t xml:space="preserve">w zakresie 1,5-1,9 razy stężenie </w:t>
      </w:r>
      <w:r w:rsidR="006C116D">
        <w:rPr>
          <w:rFonts w:ascii="Times New Roman" w:eastAsia="Times New Roman" w:hAnsi="Times New Roman"/>
          <w:sz w:val="22"/>
          <w:szCs w:val="22"/>
          <w:lang w:val="lt-LT"/>
        </w:rPr>
        <w:t>początkowe</w:t>
      </w:r>
      <w:r w:rsidRPr="00741122">
        <w:rPr>
          <w:rFonts w:ascii="Times New Roman" w:eastAsia="Times New Roman" w:hAnsi="Times New Roman"/>
          <w:sz w:val="22"/>
          <w:szCs w:val="22"/>
          <w:lang w:val="lt-LT"/>
        </w:rPr>
        <w:t xml:space="preserve">), z towarzyszącą proteinurią lub bez proteinurii, związany jest ze stosowaniem </w:t>
      </w:r>
      <w:r w:rsidR="00531FAA">
        <w:rPr>
          <w:rFonts w:ascii="Times New Roman" w:eastAsia="Times New Roman" w:hAnsi="Times New Roman"/>
          <w:sz w:val="22"/>
          <w:szCs w:val="22"/>
          <w:lang w:val="lt-LT"/>
        </w:rPr>
        <w:t>bewacyzumabu</w:t>
      </w:r>
      <w:r w:rsidRPr="00741122">
        <w:rPr>
          <w:rFonts w:ascii="Times New Roman" w:eastAsia="Times New Roman" w:hAnsi="Times New Roman"/>
          <w:sz w:val="22"/>
          <w:szCs w:val="22"/>
          <w:lang w:val="lt-LT"/>
        </w:rPr>
        <w:t xml:space="preserve">. Obserwowany wzrost stężenia kreatyniny w surowicy nie był związany z częstszym występowaniem objawowych zaburzeń czynności nerek u pacjentów leczonych </w:t>
      </w:r>
      <w:r w:rsidR="00531FAA">
        <w:rPr>
          <w:rFonts w:ascii="Times New Roman" w:eastAsia="Times New Roman" w:hAnsi="Times New Roman" w:cs="Times New Roman"/>
          <w:sz w:val="22"/>
          <w:szCs w:val="22"/>
          <w:lang w:val="lt-LT"/>
        </w:rPr>
        <w:t>bewacyzumabem</w:t>
      </w:r>
      <w:r w:rsidRPr="00741122">
        <w:rPr>
          <w:rFonts w:ascii="Times New Roman" w:eastAsia="Times New Roman" w:hAnsi="Times New Roman"/>
          <w:sz w:val="22"/>
          <w:szCs w:val="22"/>
          <w:lang w:val="lt-LT"/>
        </w:rPr>
        <w:t>.</w:t>
      </w:r>
    </w:p>
    <w:p w14:paraId="05692116" w14:textId="77777777" w:rsidR="00071CFE" w:rsidRPr="00741122" w:rsidRDefault="00071CFE" w:rsidP="001B794B">
      <w:pPr>
        <w:rPr>
          <w:rFonts w:ascii="Times New Roman" w:eastAsia="Times New Roman" w:hAnsi="Times New Roman"/>
          <w:sz w:val="22"/>
          <w:szCs w:val="22"/>
          <w:lang w:val="lt-LT"/>
        </w:rPr>
      </w:pPr>
    </w:p>
    <w:p w14:paraId="2D26F354" w14:textId="77777777" w:rsidR="00071CFE" w:rsidRPr="00297968" w:rsidRDefault="00071CFE" w:rsidP="002B1650">
      <w:pPr>
        <w:keepNext/>
        <w:rPr>
          <w:rFonts w:ascii="Times New Roman" w:eastAsia="Times New Roman" w:hAnsi="Times New Roman"/>
          <w:sz w:val="22"/>
          <w:szCs w:val="22"/>
          <w:u w:val="single"/>
          <w:lang w:val="lt-LT"/>
        </w:rPr>
      </w:pPr>
      <w:r w:rsidRPr="00297968">
        <w:rPr>
          <w:rFonts w:ascii="Times New Roman" w:eastAsia="Times New Roman" w:hAnsi="Times New Roman"/>
          <w:sz w:val="22"/>
          <w:szCs w:val="22"/>
          <w:u w:val="single"/>
          <w:lang w:val="lt-LT"/>
        </w:rPr>
        <w:t>Inne szczególne grupy chorych</w:t>
      </w:r>
    </w:p>
    <w:p w14:paraId="4A51A90B" w14:textId="77777777" w:rsidR="00071CFE" w:rsidRPr="00297968" w:rsidRDefault="00071CFE" w:rsidP="002B1650">
      <w:pPr>
        <w:keepNext/>
        <w:rPr>
          <w:rFonts w:ascii="Times New Roman" w:eastAsia="Times New Roman" w:hAnsi="Times New Roman"/>
          <w:sz w:val="22"/>
          <w:szCs w:val="22"/>
          <w:lang w:val="lt-LT"/>
        </w:rPr>
      </w:pPr>
    </w:p>
    <w:p w14:paraId="39CEE86F" w14:textId="77777777" w:rsidR="00071CFE" w:rsidRPr="00297968" w:rsidRDefault="00071CFE" w:rsidP="002B1650">
      <w:pPr>
        <w:keepNext/>
        <w:rPr>
          <w:rFonts w:ascii="Times New Roman" w:eastAsia="Times New Roman" w:hAnsi="Times New Roman"/>
          <w:i/>
          <w:sz w:val="22"/>
          <w:szCs w:val="22"/>
          <w:u w:val="single"/>
          <w:lang w:val="lt-LT"/>
        </w:rPr>
      </w:pPr>
      <w:r w:rsidRPr="00297968">
        <w:rPr>
          <w:rFonts w:ascii="Times New Roman" w:eastAsia="Times New Roman" w:hAnsi="Times New Roman"/>
          <w:i/>
          <w:sz w:val="22"/>
          <w:szCs w:val="22"/>
          <w:u w:val="single"/>
          <w:lang w:val="lt-LT"/>
        </w:rPr>
        <w:t>Osoby w podeszłym wieku</w:t>
      </w:r>
    </w:p>
    <w:p w14:paraId="51B7B135" w14:textId="77777777" w:rsidR="00071CFE" w:rsidRPr="00297968" w:rsidRDefault="00071CFE" w:rsidP="002B1650">
      <w:pPr>
        <w:keepNext/>
        <w:rPr>
          <w:rFonts w:ascii="Times New Roman" w:eastAsia="Times New Roman" w:hAnsi="Times New Roman"/>
          <w:sz w:val="22"/>
          <w:szCs w:val="22"/>
          <w:lang w:val="lt-LT"/>
        </w:rPr>
      </w:pPr>
    </w:p>
    <w:p w14:paraId="0F1611A7" w14:textId="62A0E098" w:rsidR="00071CFE" w:rsidRPr="00741122" w:rsidRDefault="00071CFE" w:rsidP="001B794B">
      <w:pPr>
        <w:rPr>
          <w:rFonts w:ascii="Times New Roman" w:eastAsia="Times New Roman" w:hAnsi="Times New Roman" w:cs="Times New Roman"/>
          <w:sz w:val="22"/>
          <w:szCs w:val="22"/>
          <w:lang w:val="lt-LT"/>
        </w:rPr>
      </w:pPr>
      <w:r w:rsidRPr="00297968">
        <w:rPr>
          <w:rFonts w:ascii="Times New Roman" w:eastAsia="Times New Roman" w:hAnsi="Times New Roman"/>
          <w:sz w:val="22"/>
          <w:szCs w:val="22"/>
          <w:lang w:val="lt-LT"/>
        </w:rPr>
        <w:t>W randomizowanych</w:t>
      </w:r>
      <w:r w:rsidRPr="00741122">
        <w:rPr>
          <w:rFonts w:ascii="Times New Roman" w:eastAsia="Times New Roman" w:hAnsi="Times New Roman"/>
          <w:sz w:val="22"/>
          <w:szCs w:val="22"/>
          <w:lang w:val="lt-LT"/>
        </w:rPr>
        <w:t xml:space="preserve"> badaniach klinicznych wiek &gt;</w:t>
      </w:r>
      <w:r w:rsidR="002803E1">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65 lat był związany ze zwiększonym ryzykiem wystąpienia tętniczej zakrzepicy zatorowej, w</w:t>
      </w:r>
      <w:r w:rsidR="002803E1">
        <w:rPr>
          <w:rFonts w:ascii="Times New Roman" w:eastAsia="Times New Roman" w:hAnsi="Times New Roman"/>
          <w:sz w:val="22"/>
          <w:szCs w:val="22"/>
          <w:lang w:val="lt-LT"/>
        </w:rPr>
        <w:t xml:space="preserve"> tym</w:t>
      </w:r>
      <w:r w:rsidRPr="00741122">
        <w:rPr>
          <w:rFonts w:ascii="Times New Roman" w:eastAsia="Times New Roman" w:hAnsi="Times New Roman"/>
          <w:sz w:val="22"/>
          <w:szCs w:val="22"/>
          <w:lang w:val="lt-LT"/>
        </w:rPr>
        <w:t xml:space="preserve"> incydent</w:t>
      </w:r>
      <w:r w:rsidR="002803E1">
        <w:rPr>
          <w:rFonts w:ascii="Times New Roman" w:eastAsia="Times New Roman" w:hAnsi="Times New Roman"/>
          <w:sz w:val="22"/>
          <w:szCs w:val="22"/>
          <w:lang w:val="lt-LT"/>
        </w:rPr>
        <w:t>ów</w:t>
      </w:r>
      <w:r w:rsidRPr="00741122">
        <w:rPr>
          <w:rFonts w:ascii="Times New Roman" w:eastAsia="Times New Roman" w:hAnsi="Times New Roman"/>
          <w:sz w:val="22"/>
          <w:szCs w:val="22"/>
          <w:lang w:val="lt-LT"/>
        </w:rPr>
        <w:t xml:space="preserve"> naczyniowo-mózgow</w:t>
      </w:r>
      <w:r w:rsidR="002803E1">
        <w:rPr>
          <w:rFonts w:ascii="Times New Roman" w:eastAsia="Times New Roman" w:hAnsi="Times New Roman"/>
          <w:sz w:val="22"/>
          <w:szCs w:val="22"/>
          <w:lang w:val="lt-LT"/>
        </w:rPr>
        <w:t>ych</w:t>
      </w:r>
      <w:r w:rsidRPr="00741122">
        <w:rPr>
          <w:rFonts w:ascii="Times New Roman" w:eastAsia="Times New Roman" w:hAnsi="Times New Roman"/>
          <w:sz w:val="22"/>
          <w:szCs w:val="22"/>
          <w:lang w:val="lt-LT"/>
        </w:rPr>
        <w:t xml:space="preserve"> (CVA), przemijając</w:t>
      </w:r>
      <w:r w:rsidR="002803E1">
        <w:rPr>
          <w:rFonts w:ascii="Times New Roman" w:eastAsia="Times New Roman" w:hAnsi="Times New Roman"/>
          <w:sz w:val="22"/>
          <w:szCs w:val="22"/>
          <w:lang w:val="lt-LT"/>
        </w:rPr>
        <w:t>ych</w:t>
      </w:r>
      <w:r w:rsidRPr="00741122">
        <w:rPr>
          <w:rFonts w:ascii="Times New Roman" w:eastAsia="Times New Roman" w:hAnsi="Times New Roman"/>
          <w:sz w:val="22"/>
          <w:szCs w:val="22"/>
          <w:lang w:val="lt-LT"/>
        </w:rPr>
        <w:t xml:space="preserve"> napad</w:t>
      </w:r>
      <w:r w:rsidR="002803E1">
        <w:rPr>
          <w:rFonts w:ascii="Times New Roman" w:eastAsia="Times New Roman" w:hAnsi="Times New Roman"/>
          <w:sz w:val="22"/>
          <w:szCs w:val="22"/>
          <w:lang w:val="lt-LT"/>
        </w:rPr>
        <w:t>ów</w:t>
      </w:r>
      <w:r w:rsidRPr="00741122">
        <w:rPr>
          <w:rFonts w:ascii="Times New Roman" w:eastAsia="Times New Roman" w:hAnsi="Times New Roman"/>
          <w:sz w:val="22"/>
          <w:szCs w:val="22"/>
          <w:lang w:val="lt-LT"/>
        </w:rPr>
        <w:t xml:space="preserve"> niedokrwienn</w:t>
      </w:r>
      <w:r w:rsidR="002803E1">
        <w:rPr>
          <w:rFonts w:ascii="Times New Roman" w:eastAsia="Times New Roman" w:hAnsi="Times New Roman"/>
          <w:sz w:val="22"/>
          <w:szCs w:val="22"/>
          <w:lang w:val="lt-LT"/>
        </w:rPr>
        <w:t>ych</w:t>
      </w:r>
      <w:r w:rsidRPr="00741122">
        <w:rPr>
          <w:rFonts w:ascii="Times New Roman" w:eastAsia="Times New Roman" w:hAnsi="Times New Roman"/>
          <w:sz w:val="22"/>
          <w:szCs w:val="22"/>
          <w:lang w:val="lt-LT"/>
        </w:rPr>
        <w:t xml:space="preserve"> mózgu (TIA), zawał</w:t>
      </w:r>
      <w:r w:rsidR="002803E1">
        <w:rPr>
          <w:rFonts w:ascii="Times New Roman" w:eastAsia="Times New Roman" w:hAnsi="Times New Roman"/>
          <w:sz w:val="22"/>
          <w:szCs w:val="22"/>
          <w:lang w:val="lt-LT"/>
        </w:rPr>
        <w:t>ów</w:t>
      </w:r>
      <w:r w:rsidRPr="00741122">
        <w:rPr>
          <w:rFonts w:ascii="Times New Roman" w:eastAsia="Times New Roman" w:hAnsi="Times New Roman"/>
          <w:sz w:val="22"/>
          <w:szCs w:val="22"/>
          <w:lang w:val="lt-LT"/>
        </w:rPr>
        <w:t xml:space="preserve"> mięśnia sercowego (MI). Do innych działań niepożądanych występujących z większą częstością u pacjentów powyżej 65 lat należały leukopenia stopnia 3-4</w:t>
      </w:r>
      <w:r w:rsidR="002803E1">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i trombocytopenia (NCI-CTCAE v.3); neutropenia każdego stopnia, biegunka, nudności, ból głowy oraz zmęczenie u chorych otrzymujących </w:t>
      </w:r>
      <w:r w:rsidR="00531FAA">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porównaniu </w:t>
      </w:r>
      <w:r w:rsidR="002803E1">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pacjent</w:t>
      </w:r>
      <w:r w:rsidR="002803E1">
        <w:rPr>
          <w:rFonts w:ascii="Times New Roman" w:eastAsia="Times New Roman" w:hAnsi="Times New Roman"/>
          <w:sz w:val="22"/>
          <w:szCs w:val="22"/>
          <w:lang w:val="lt-LT"/>
        </w:rPr>
        <w:t>ami</w:t>
      </w:r>
      <w:r w:rsidRPr="00741122">
        <w:rPr>
          <w:rFonts w:ascii="Times New Roman" w:eastAsia="Times New Roman" w:hAnsi="Times New Roman"/>
          <w:sz w:val="22"/>
          <w:szCs w:val="22"/>
          <w:lang w:val="lt-LT"/>
        </w:rPr>
        <w:t xml:space="preserve"> ≤</w:t>
      </w:r>
      <w:r w:rsidR="002803E1">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 xml:space="preserve">65 lat (patrz punkt 4.4 i 4.8 </w:t>
      </w:r>
      <w:r w:rsidRPr="00741122">
        <w:rPr>
          <w:rFonts w:ascii="Times New Roman" w:eastAsia="Times New Roman" w:hAnsi="Times New Roman"/>
          <w:i/>
          <w:sz w:val="22"/>
          <w:szCs w:val="22"/>
          <w:lang w:val="lt-LT"/>
        </w:rPr>
        <w:t>Zakrzepica zatorowa</w:t>
      </w:r>
      <w:r w:rsidRPr="00741122">
        <w:rPr>
          <w:rFonts w:ascii="Times New Roman" w:eastAsia="Times New Roman" w:hAnsi="Times New Roman"/>
          <w:sz w:val="22"/>
          <w:szCs w:val="22"/>
          <w:lang w:val="lt-LT"/>
        </w:rPr>
        <w:t>). W jednym badaniu klinicznym częstość nadciśnienia stopnia ≥</w:t>
      </w:r>
      <w:r w:rsidR="002803E1">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3</w:t>
      </w:r>
      <w:r w:rsidR="002803E1">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była dwukrotnie większa w grupie pacjentów &gt;</w:t>
      </w:r>
      <w:r w:rsidR="002803E1">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65 lat, w porównaniu z młodszymi pacjentami (&lt;</w:t>
      </w:r>
      <w:r w:rsidR="002803E1">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65 lat). W badaniu z udziałem pacjentek z nawrotowym rakiem jajnika opornym</w:t>
      </w:r>
      <w:r w:rsidR="008D38DA"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 xml:space="preserve">na związki platyny zgłaszano </w:t>
      </w:r>
      <w:r w:rsidRPr="00741122">
        <w:rPr>
          <w:rFonts w:ascii="Times New Roman" w:eastAsia="Times New Roman" w:hAnsi="Times New Roman" w:cs="Times New Roman"/>
          <w:sz w:val="22"/>
          <w:szCs w:val="22"/>
          <w:lang w:val="lt-LT"/>
        </w:rPr>
        <w:t>łysienie, zapalenie błon śluzowych, obwodową neuropatię czuciową, białkomocz i tętnicze nadciśnienie, które występowały z częstością co najmniej 5% wyższą</w:t>
      </w:r>
      <w:r w:rsidR="008D38DA"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 ramieniu CT+B</w:t>
      </w:r>
      <w:r w:rsidR="00D97733">
        <w:rPr>
          <w:rFonts w:ascii="Times New Roman" w:eastAsia="Times New Roman" w:hAnsi="Times New Roman" w:cs="Times New Roman"/>
          <w:sz w:val="22"/>
          <w:szCs w:val="22"/>
          <w:lang w:val="lt-LT"/>
        </w:rPr>
        <w:t>V</w:t>
      </w:r>
      <w:r w:rsidRPr="00741122">
        <w:rPr>
          <w:rFonts w:ascii="Times New Roman" w:eastAsia="Times New Roman" w:hAnsi="Times New Roman" w:cs="Times New Roman"/>
          <w:sz w:val="22"/>
          <w:szCs w:val="22"/>
          <w:lang w:val="lt-LT"/>
        </w:rPr>
        <w:t xml:space="preserve"> w przypadku pacjentek w wieku </w:t>
      </w:r>
      <w:r w:rsidRPr="00741122">
        <w:rPr>
          <w:rFonts w:ascii="Times New Roman" w:eastAsia="Arial" w:hAnsi="Times New Roman" w:cs="Times New Roman"/>
          <w:sz w:val="22"/>
          <w:szCs w:val="22"/>
          <w:lang w:val="lt-LT"/>
        </w:rPr>
        <w:t>≥</w:t>
      </w:r>
      <w:r w:rsidR="002803E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65 lat leczonych bewacyzumabem, w porównaniu </w:t>
      </w:r>
      <w:r w:rsidR="002803E1">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pacjent</w:t>
      </w:r>
      <w:r w:rsidR="002803E1">
        <w:rPr>
          <w:rFonts w:ascii="Times New Roman" w:eastAsia="Times New Roman" w:hAnsi="Times New Roman" w:cs="Times New Roman"/>
          <w:sz w:val="22"/>
          <w:szCs w:val="22"/>
          <w:lang w:val="lt-LT"/>
        </w:rPr>
        <w:t>kami</w:t>
      </w:r>
      <w:r w:rsidRPr="00741122">
        <w:rPr>
          <w:rFonts w:ascii="Times New Roman" w:eastAsia="Times New Roman" w:hAnsi="Times New Roman" w:cs="Times New Roman"/>
          <w:sz w:val="22"/>
          <w:szCs w:val="22"/>
          <w:lang w:val="lt-LT"/>
        </w:rPr>
        <w:t xml:space="preserve"> w wieku &lt;</w:t>
      </w:r>
      <w:r w:rsidR="002803E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65 lat leczony</w:t>
      </w:r>
      <w:r w:rsidR="002803E1">
        <w:rPr>
          <w:rFonts w:ascii="Times New Roman" w:eastAsia="Times New Roman" w:hAnsi="Times New Roman" w:cs="Times New Roman"/>
          <w:sz w:val="22"/>
          <w:szCs w:val="22"/>
          <w:lang w:val="lt-LT"/>
        </w:rPr>
        <w:t>ch</w:t>
      </w:r>
      <w:r w:rsidRPr="00741122">
        <w:rPr>
          <w:rFonts w:ascii="Times New Roman" w:eastAsia="Times New Roman" w:hAnsi="Times New Roman" w:cs="Times New Roman"/>
          <w:sz w:val="22"/>
          <w:szCs w:val="22"/>
          <w:lang w:val="lt-LT"/>
        </w:rPr>
        <w:t xml:space="preserve"> bewacyzumabem.</w:t>
      </w:r>
    </w:p>
    <w:p w14:paraId="5CAFED83" w14:textId="77777777" w:rsidR="008D38DA" w:rsidRPr="00741122" w:rsidRDefault="008D38DA" w:rsidP="001B794B">
      <w:pPr>
        <w:rPr>
          <w:rFonts w:ascii="Times New Roman" w:eastAsia="Times New Roman" w:hAnsi="Times New Roman" w:cs="Times New Roman"/>
          <w:sz w:val="22"/>
          <w:szCs w:val="22"/>
          <w:lang w:val="lt-LT"/>
        </w:rPr>
      </w:pPr>
    </w:p>
    <w:p w14:paraId="64379D1E"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grupie chorych w podeszłym wieku (&gt;</w:t>
      </w:r>
      <w:r w:rsidR="002803E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65 lat) w porównaniu </w:t>
      </w:r>
      <w:r w:rsidR="002803E1">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chory</w:t>
      </w:r>
      <w:r w:rsidR="002803E1">
        <w:rPr>
          <w:rFonts w:ascii="Times New Roman" w:eastAsia="Times New Roman" w:hAnsi="Times New Roman" w:cs="Times New Roman"/>
          <w:sz w:val="22"/>
          <w:szCs w:val="22"/>
          <w:lang w:val="lt-LT"/>
        </w:rPr>
        <w:t>mi</w:t>
      </w:r>
      <w:r w:rsidRPr="00741122">
        <w:rPr>
          <w:rFonts w:ascii="Times New Roman" w:eastAsia="Times New Roman" w:hAnsi="Times New Roman" w:cs="Times New Roman"/>
          <w:sz w:val="22"/>
          <w:szCs w:val="22"/>
          <w:lang w:val="lt-LT"/>
        </w:rPr>
        <w:t xml:space="preserve"> w wieku ≤</w:t>
      </w:r>
      <w:r w:rsidR="002803E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65 lat, którzy otrzymywali </w:t>
      </w:r>
      <w:r w:rsidR="00531FAA">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nie obserwowano wzrostu częstości występowania innych reakcji,</w:t>
      </w:r>
      <w:r w:rsidR="008D38DA"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 tym perforacji żołądkowo-jelitowych, powikłań w gojeniu ran, zastoinowej niewydolności serca i krwotoków.</w:t>
      </w:r>
    </w:p>
    <w:p w14:paraId="449382A2" w14:textId="77777777" w:rsidR="00071CFE" w:rsidRPr="00741122" w:rsidRDefault="00071CFE" w:rsidP="001B794B">
      <w:pPr>
        <w:rPr>
          <w:rFonts w:ascii="Times New Roman" w:eastAsia="Times New Roman" w:hAnsi="Times New Roman" w:cs="Times New Roman"/>
          <w:sz w:val="22"/>
          <w:szCs w:val="22"/>
          <w:lang w:val="lt-LT"/>
        </w:rPr>
      </w:pPr>
    </w:p>
    <w:p w14:paraId="6A07488E" w14:textId="77777777" w:rsidR="00071CFE" w:rsidRPr="00741122" w:rsidRDefault="00071CFE" w:rsidP="001B794B">
      <w:pPr>
        <w:keepNext/>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Dzieci i młodzież</w:t>
      </w:r>
    </w:p>
    <w:p w14:paraId="34776945" w14:textId="77777777" w:rsidR="00071CFE" w:rsidRPr="00741122" w:rsidRDefault="00071CFE" w:rsidP="001B794B">
      <w:pPr>
        <w:keepNext/>
        <w:rPr>
          <w:rFonts w:ascii="Times New Roman" w:eastAsia="Times New Roman" w:hAnsi="Times New Roman" w:cs="Times New Roman"/>
          <w:sz w:val="22"/>
          <w:szCs w:val="22"/>
          <w:lang w:val="lt-LT"/>
        </w:rPr>
      </w:pPr>
    </w:p>
    <w:p w14:paraId="640E554E"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ustalono bezpieczeństwa stosowania i skuteczności </w:t>
      </w:r>
      <w:r w:rsidR="00531FAA">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u dzieci w wieku poniżej 18 lat.</w:t>
      </w:r>
    </w:p>
    <w:p w14:paraId="14EB77FE" w14:textId="77777777" w:rsidR="00071CFE" w:rsidRPr="00741122" w:rsidRDefault="00071CFE" w:rsidP="001B794B">
      <w:pPr>
        <w:rPr>
          <w:rFonts w:ascii="Times New Roman" w:eastAsia="Times New Roman" w:hAnsi="Times New Roman" w:cs="Times New Roman"/>
          <w:sz w:val="22"/>
          <w:szCs w:val="22"/>
          <w:lang w:val="lt-LT"/>
        </w:rPr>
      </w:pPr>
    </w:p>
    <w:p w14:paraId="2866F8E8"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badaniu BO25041 </w:t>
      </w:r>
      <w:r w:rsidR="00531FAA">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dołączono do radioterapii pooperacyjnej z jednoczesną, adjuwantową terapią temozolomidem u dzieci i młodzieży ze świeżo rozpoznaną lokalizacją glejaka móżdżku,</w:t>
      </w:r>
      <w:r w:rsidR="00D663AA" w:rsidRPr="00741122">
        <w:rPr>
          <w:rFonts w:ascii="Times New Roman" w:eastAsia="Times New Roman" w:hAnsi="Times New Roman" w:cs="Times New Roman"/>
          <w:sz w:val="22"/>
          <w:szCs w:val="22"/>
          <w:lang w:val="lt-LT"/>
        </w:rPr>
        <w:t xml:space="preserve"> </w:t>
      </w:r>
      <w:bookmarkStart w:id="23" w:name="page23"/>
      <w:bookmarkEnd w:id="23"/>
      <w:r w:rsidRPr="00741122">
        <w:rPr>
          <w:rFonts w:ascii="Times New Roman" w:eastAsia="Times New Roman" w:hAnsi="Times New Roman" w:cs="Times New Roman"/>
          <w:sz w:val="22"/>
          <w:szCs w:val="22"/>
          <w:lang w:val="lt-LT"/>
        </w:rPr>
        <w:t xml:space="preserve">nadnamiotową lub podnamiotową albo konarową o wysokim stopniu złośliwości. Profil bezpieczeństwa był porównywalny do profilu obserwowanego w innych typach guzów u dorosłych leczonych </w:t>
      </w:r>
      <w:r w:rsidR="00531FAA">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w:t>
      </w:r>
    </w:p>
    <w:p w14:paraId="1167A783" w14:textId="77777777" w:rsidR="00071CFE" w:rsidRPr="00741122" w:rsidRDefault="00071CFE" w:rsidP="001B794B">
      <w:pPr>
        <w:rPr>
          <w:rFonts w:ascii="Times New Roman" w:eastAsia="Times New Roman" w:hAnsi="Times New Roman" w:cs="Times New Roman"/>
          <w:sz w:val="22"/>
          <w:szCs w:val="22"/>
          <w:lang w:val="lt-LT"/>
        </w:rPr>
      </w:pPr>
    </w:p>
    <w:p w14:paraId="50920E27" w14:textId="4DEC77ED" w:rsidR="00071CFE" w:rsidRPr="00741122" w:rsidRDefault="00071CFE" w:rsidP="001B794B">
      <w:pPr>
        <w:rPr>
          <w:rFonts w:ascii="Times New Roman" w:eastAsia="Times New Roman" w:hAnsi="Times New Roman"/>
          <w:sz w:val="22"/>
          <w:lang w:val="lt-LT"/>
        </w:rPr>
      </w:pPr>
      <w:r w:rsidRPr="00741122">
        <w:rPr>
          <w:rFonts w:ascii="Times New Roman" w:eastAsia="Times New Roman" w:hAnsi="Times New Roman"/>
          <w:sz w:val="22"/>
          <w:szCs w:val="22"/>
          <w:lang w:val="lt-LT"/>
        </w:rPr>
        <w:t xml:space="preserve">W badaniu BO20924 dotyczącym stosowania </w:t>
      </w:r>
      <w:r w:rsidR="0072114F">
        <w:rPr>
          <w:rFonts w:ascii="Times New Roman" w:eastAsia="Times New Roman" w:hAnsi="Times New Roman"/>
          <w:sz w:val="22"/>
          <w:szCs w:val="22"/>
          <w:lang w:val="lt-LT"/>
        </w:rPr>
        <w:t>bewacyzumabu</w:t>
      </w:r>
      <w:r w:rsidRPr="00741122">
        <w:rPr>
          <w:rFonts w:ascii="Times New Roman" w:eastAsia="Times New Roman" w:hAnsi="Times New Roman"/>
          <w:sz w:val="22"/>
          <w:szCs w:val="22"/>
          <w:lang w:val="lt-LT"/>
        </w:rPr>
        <w:t xml:space="preserve"> w połączeniu z obecnym leczeniem standardowym u pacjentów z mięśniakomięsakiem prążkowanokomórkowym i nieprążkowanokomórkowym</w:t>
      </w:r>
      <w:r w:rsidRPr="00741122">
        <w:rPr>
          <w:rFonts w:ascii="Times New Roman" w:eastAsia="Times New Roman" w:hAnsi="Times New Roman"/>
          <w:sz w:val="22"/>
          <w:lang w:val="lt-LT"/>
        </w:rPr>
        <w:t xml:space="preserve">, profil bezpieczeństwa u dzieci leczonych </w:t>
      </w:r>
      <w:r w:rsidR="008A29D7">
        <w:rPr>
          <w:rFonts w:ascii="Times New Roman" w:eastAsia="Times New Roman" w:hAnsi="Times New Roman" w:cs="Times New Roman"/>
          <w:sz w:val="22"/>
          <w:szCs w:val="22"/>
          <w:lang w:val="lt-LT"/>
        </w:rPr>
        <w:t>bewacyzumabem</w:t>
      </w:r>
      <w:r w:rsidRPr="00741122">
        <w:rPr>
          <w:rFonts w:ascii="Times New Roman" w:eastAsia="Times New Roman" w:hAnsi="Times New Roman"/>
          <w:sz w:val="22"/>
          <w:lang w:val="lt-LT"/>
        </w:rPr>
        <w:t xml:space="preserve"> był porównywalny z profilem bezpieczeństwa obserwowanym u dorosłych pacjentów leczonych </w:t>
      </w:r>
      <w:r w:rsidR="008A29D7">
        <w:rPr>
          <w:rFonts w:ascii="Times New Roman" w:eastAsia="Times New Roman" w:hAnsi="Times New Roman" w:cs="Times New Roman"/>
          <w:sz w:val="22"/>
          <w:szCs w:val="22"/>
          <w:lang w:val="lt-LT"/>
        </w:rPr>
        <w:t>bewacyzumabem</w:t>
      </w:r>
      <w:r w:rsidRPr="00741122">
        <w:rPr>
          <w:rFonts w:ascii="Times New Roman" w:eastAsia="Times New Roman" w:hAnsi="Times New Roman"/>
          <w:sz w:val="22"/>
          <w:lang w:val="lt-LT"/>
        </w:rPr>
        <w:t>.</w:t>
      </w:r>
    </w:p>
    <w:p w14:paraId="0E35C58A" w14:textId="77777777" w:rsidR="00071CFE" w:rsidRPr="00741122" w:rsidRDefault="00071CFE" w:rsidP="001B794B">
      <w:pPr>
        <w:rPr>
          <w:rFonts w:ascii="Times New Roman" w:eastAsia="Times New Roman" w:hAnsi="Times New Roman"/>
          <w:lang w:val="lt-LT"/>
        </w:rPr>
      </w:pPr>
    </w:p>
    <w:p w14:paraId="3FE7EAAB" w14:textId="77777777" w:rsidR="00071CFE" w:rsidRPr="00741122" w:rsidRDefault="00261A5A" w:rsidP="001B794B">
      <w:pPr>
        <w:rPr>
          <w:rFonts w:ascii="Times New Roman" w:eastAsia="Times New Roman" w:hAnsi="Times New Roman"/>
          <w:sz w:val="22"/>
          <w:lang w:val="lt-LT"/>
        </w:rPr>
      </w:pPr>
      <w:r>
        <w:rPr>
          <w:rFonts w:ascii="Times New Roman" w:eastAsia="Times New Roman" w:hAnsi="Times New Roman"/>
          <w:sz w:val="22"/>
          <w:lang w:val="lt-LT"/>
        </w:rPr>
        <w:lastRenderedPageBreak/>
        <w:t>MVASI</w:t>
      </w:r>
      <w:r w:rsidR="00071CFE" w:rsidRPr="00741122">
        <w:rPr>
          <w:rFonts w:ascii="Times New Roman" w:eastAsia="Times New Roman" w:hAnsi="Times New Roman"/>
          <w:sz w:val="22"/>
          <w:lang w:val="lt-LT"/>
        </w:rPr>
        <w:t xml:space="preserve"> nie jest zatwierdzony do stosowania u pacjentów w wieku poniżej 18 lat.</w:t>
      </w:r>
      <w:r w:rsidR="008D38DA" w:rsidRPr="00741122">
        <w:rPr>
          <w:rFonts w:ascii="Times New Roman" w:eastAsia="Times New Roman" w:hAnsi="Times New Roman"/>
          <w:sz w:val="22"/>
          <w:lang w:val="lt-LT"/>
        </w:rPr>
        <w:t xml:space="preserve"> </w:t>
      </w:r>
      <w:r w:rsidR="00071CFE" w:rsidRPr="00741122">
        <w:rPr>
          <w:rFonts w:ascii="Times New Roman" w:eastAsia="Times New Roman" w:hAnsi="Times New Roman"/>
          <w:sz w:val="22"/>
          <w:lang w:val="lt-LT"/>
        </w:rPr>
        <w:t xml:space="preserve">W opublikowanych raportach, donoszono o przypadkach martwicy kości innych niż szczęki lub żuchwy u pacjentów w wieku poniżej 18 </w:t>
      </w:r>
      <w:r w:rsidR="00E26C6C" w:rsidRPr="00741122">
        <w:rPr>
          <w:rFonts w:ascii="Times New Roman" w:eastAsia="Times New Roman" w:hAnsi="Times New Roman"/>
          <w:sz w:val="22"/>
          <w:lang w:val="lt-LT"/>
        </w:rPr>
        <w:t xml:space="preserve">lat leczonych </w:t>
      </w:r>
      <w:r w:rsidR="00B46ED4">
        <w:rPr>
          <w:rFonts w:ascii="Times New Roman" w:eastAsia="Times New Roman" w:hAnsi="Times New Roman" w:cs="Times New Roman"/>
          <w:sz w:val="22"/>
          <w:szCs w:val="22"/>
          <w:lang w:val="lt-LT"/>
        </w:rPr>
        <w:t>bewacyzumabem</w:t>
      </w:r>
      <w:r w:rsidR="00071CFE" w:rsidRPr="00741122">
        <w:rPr>
          <w:rFonts w:ascii="Times New Roman" w:eastAsia="Times New Roman" w:hAnsi="Times New Roman"/>
          <w:sz w:val="22"/>
          <w:lang w:val="lt-LT"/>
        </w:rPr>
        <w:t>.</w:t>
      </w:r>
    </w:p>
    <w:p w14:paraId="3F226A0D" w14:textId="77777777" w:rsidR="00071CFE" w:rsidRPr="00741122" w:rsidRDefault="00071CFE" w:rsidP="001B794B">
      <w:pPr>
        <w:rPr>
          <w:rFonts w:ascii="Times New Roman" w:eastAsia="Times New Roman" w:hAnsi="Times New Roman"/>
          <w:sz w:val="22"/>
          <w:szCs w:val="22"/>
          <w:lang w:val="lt-LT"/>
        </w:rPr>
      </w:pPr>
    </w:p>
    <w:p w14:paraId="264B5CF3" w14:textId="77777777" w:rsidR="00071CFE" w:rsidRPr="00741122" w:rsidRDefault="00071CFE" w:rsidP="002B1650">
      <w:pPr>
        <w:keepNext/>
        <w:rPr>
          <w:rFonts w:ascii="Times New Roman" w:eastAsia="Times New Roman" w:hAnsi="Times New Roman"/>
          <w:sz w:val="22"/>
          <w:szCs w:val="22"/>
          <w:u w:val="single"/>
          <w:lang w:val="lt-LT"/>
        </w:rPr>
      </w:pPr>
      <w:r w:rsidRPr="00741122">
        <w:rPr>
          <w:rFonts w:ascii="Times New Roman" w:eastAsia="Times New Roman" w:hAnsi="Times New Roman"/>
          <w:sz w:val="22"/>
          <w:szCs w:val="22"/>
          <w:u w:val="single"/>
          <w:lang w:val="lt-LT"/>
        </w:rPr>
        <w:t>Doświadczenie po wprowadzeniu produktu do obrotu</w:t>
      </w:r>
    </w:p>
    <w:p w14:paraId="3439A328" w14:textId="77777777" w:rsidR="00071CFE" w:rsidRPr="00741122" w:rsidRDefault="00071CFE" w:rsidP="002B1650">
      <w:pPr>
        <w:keepNext/>
        <w:rPr>
          <w:rFonts w:ascii="Times New Roman" w:eastAsia="Times New Roman" w:hAnsi="Times New Roman"/>
          <w:sz w:val="22"/>
          <w:szCs w:val="22"/>
          <w:lang w:val="lt-LT"/>
        </w:rPr>
      </w:pPr>
    </w:p>
    <w:p w14:paraId="2234F6F2" w14:textId="77777777" w:rsidR="00071CFE" w:rsidRPr="00741122" w:rsidRDefault="00547F46" w:rsidP="002B1650">
      <w:pPr>
        <w:keepNext/>
        <w:tabs>
          <w:tab w:val="left" w:pos="1120"/>
        </w:tabs>
        <w:rPr>
          <w:rFonts w:ascii="Times New Roman" w:eastAsia="Times New Roman" w:hAnsi="Times New Roman"/>
          <w:b/>
          <w:sz w:val="22"/>
          <w:szCs w:val="22"/>
          <w:lang w:val="lt-LT"/>
        </w:rPr>
      </w:pPr>
      <w:r w:rsidRPr="00741122">
        <w:rPr>
          <w:rFonts w:ascii="Times New Roman" w:eastAsia="Times New Roman" w:hAnsi="Times New Roman"/>
          <w:b/>
          <w:sz w:val="22"/>
          <w:szCs w:val="22"/>
          <w:lang w:val="lt-LT"/>
        </w:rPr>
        <w:t>Tabela 3</w:t>
      </w:r>
      <w:r w:rsidR="002803E1">
        <w:rPr>
          <w:rFonts w:ascii="Times New Roman" w:eastAsia="Times New Roman" w:hAnsi="Times New Roman"/>
          <w:b/>
          <w:sz w:val="22"/>
          <w:szCs w:val="22"/>
          <w:lang w:val="lt-LT"/>
        </w:rPr>
        <w:t>.</w:t>
      </w:r>
      <w:r w:rsidR="008D38DA" w:rsidRPr="00741122">
        <w:rPr>
          <w:rFonts w:ascii="Times New Roman" w:eastAsia="Times New Roman" w:hAnsi="Times New Roman"/>
          <w:b/>
          <w:sz w:val="22"/>
          <w:szCs w:val="22"/>
          <w:lang w:val="lt-LT"/>
        </w:rPr>
        <w:t xml:space="preserve"> </w:t>
      </w:r>
      <w:r w:rsidR="00727522">
        <w:rPr>
          <w:rFonts w:ascii="Times New Roman" w:eastAsia="Times New Roman" w:hAnsi="Times New Roman"/>
          <w:b/>
          <w:sz w:val="22"/>
          <w:szCs w:val="22"/>
          <w:lang w:val="lt-LT"/>
        </w:rPr>
        <w:t>Działa</w:t>
      </w:r>
      <w:r w:rsidR="00071CFE" w:rsidRPr="00741122">
        <w:rPr>
          <w:rFonts w:ascii="Times New Roman" w:eastAsia="Times New Roman" w:hAnsi="Times New Roman"/>
          <w:b/>
          <w:sz w:val="22"/>
          <w:szCs w:val="22"/>
          <w:lang w:val="lt-LT"/>
        </w:rPr>
        <w:t>nia niepożądane obserwowane po wprowadzeniu produktu do obrotu</w:t>
      </w:r>
    </w:p>
    <w:p w14:paraId="64F26B58" w14:textId="77777777" w:rsidR="00071CFE" w:rsidRDefault="00071CFE" w:rsidP="002B1650">
      <w:pPr>
        <w:keepNext/>
        <w:rPr>
          <w:rFonts w:ascii="Times New Roman" w:eastAsia="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8"/>
        <w:gridCol w:w="5954"/>
      </w:tblGrid>
      <w:tr w:rsidR="0079201C" w:rsidRPr="00741122" w14:paraId="7962D1F6" w14:textId="77777777" w:rsidTr="00F350BB">
        <w:trPr>
          <w:trHeight w:val="511"/>
          <w:tblHeader/>
        </w:trPr>
        <w:tc>
          <w:tcPr>
            <w:tcW w:w="1820" w:type="pct"/>
            <w:vAlign w:val="center"/>
          </w:tcPr>
          <w:p w14:paraId="430CE91C" w14:textId="77777777" w:rsidR="0079201C" w:rsidRPr="00F350BB" w:rsidRDefault="0079201C" w:rsidP="002B1650">
            <w:pPr>
              <w:keepNext/>
              <w:widowControl w:val="0"/>
              <w:ind w:left="57"/>
              <w:rPr>
                <w:rFonts w:ascii="Times New Roman" w:eastAsia="Times New Roman" w:hAnsi="Times New Roman"/>
                <w:b/>
                <w:sz w:val="22"/>
                <w:szCs w:val="22"/>
                <w:lang w:val="lt-LT"/>
              </w:rPr>
            </w:pPr>
            <w:r w:rsidRPr="00F350BB">
              <w:rPr>
                <w:rFonts w:ascii="Times New Roman" w:eastAsia="Times New Roman" w:hAnsi="Times New Roman"/>
                <w:b/>
                <w:sz w:val="22"/>
                <w:szCs w:val="22"/>
                <w:lang w:val="lt-LT"/>
              </w:rPr>
              <w:t xml:space="preserve">Klasyfikacja układów i narządów </w:t>
            </w:r>
          </w:p>
        </w:tc>
        <w:tc>
          <w:tcPr>
            <w:tcW w:w="3180" w:type="pct"/>
            <w:vAlign w:val="center"/>
          </w:tcPr>
          <w:p w14:paraId="61579E5A" w14:textId="77777777" w:rsidR="0079201C" w:rsidRPr="00F350BB" w:rsidRDefault="0079201C" w:rsidP="002B1650">
            <w:pPr>
              <w:keepNext/>
              <w:widowControl w:val="0"/>
              <w:jc w:val="center"/>
              <w:rPr>
                <w:rFonts w:ascii="Times New Roman" w:eastAsia="Times New Roman" w:hAnsi="Times New Roman"/>
                <w:b/>
                <w:sz w:val="22"/>
                <w:szCs w:val="22"/>
                <w:lang w:val="lt-LT"/>
              </w:rPr>
            </w:pPr>
            <w:r w:rsidRPr="00F350BB">
              <w:rPr>
                <w:rFonts w:ascii="Times New Roman" w:eastAsia="Times New Roman" w:hAnsi="Times New Roman"/>
                <w:b/>
                <w:sz w:val="22"/>
                <w:szCs w:val="22"/>
                <w:lang w:val="lt-LT"/>
              </w:rPr>
              <w:t>Reakcje (częstość*)</w:t>
            </w:r>
          </w:p>
        </w:tc>
      </w:tr>
      <w:tr w:rsidR="0079201C" w:rsidRPr="008C2A94" w14:paraId="58928C44" w14:textId="77777777" w:rsidTr="006D59A8">
        <w:trPr>
          <w:trHeight w:val="850"/>
        </w:trPr>
        <w:tc>
          <w:tcPr>
            <w:tcW w:w="1820" w:type="pct"/>
          </w:tcPr>
          <w:p w14:paraId="5F1DC074" w14:textId="77777777" w:rsidR="0079201C" w:rsidRPr="00741122" w:rsidRDefault="0079201C" w:rsidP="002B1650">
            <w:pPr>
              <w:keepNext/>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Zakażenia i zarażenia </w:t>
            </w:r>
            <w:r w:rsidRPr="00741122">
              <w:rPr>
                <w:rFonts w:ascii="Times New Roman" w:eastAsia="Times New Roman" w:hAnsi="Times New Roman"/>
                <w:w w:val="98"/>
                <w:sz w:val="22"/>
                <w:szCs w:val="22"/>
                <w:lang w:val="lt-LT"/>
              </w:rPr>
              <w:t>pasożytnicze</w:t>
            </w:r>
          </w:p>
        </w:tc>
        <w:tc>
          <w:tcPr>
            <w:tcW w:w="3180" w:type="pct"/>
            <w:vAlign w:val="center"/>
          </w:tcPr>
          <w:p w14:paraId="136D062C" w14:textId="50D5045B" w:rsidR="0079201C" w:rsidRPr="00741122" w:rsidRDefault="0079201C" w:rsidP="002B1650">
            <w:pPr>
              <w:keepNext/>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Martwicze zapalenie powięzi zazwyczaj wtórne do powikłanego gojenia ran, perforacji układu pokarmowego lub powstania przetoki (rzadko) (patrz punkt 4.4)</w:t>
            </w:r>
          </w:p>
        </w:tc>
      </w:tr>
      <w:tr w:rsidR="0079201C" w:rsidRPr="008C2A94" w14:paraId="60026DCC" w14:textId="77777777" w:rsidTr="00AA2BAB">
        <w:trPr>
          <w:trHeight w:val="1814"/>
        </w:trPr>
        <w:tc>
          <w:tcPr>
            <w:tcW w:w="1820" w:type="pct"/>
          </w:tcPr>
          <w:p w14:paraId="091BF515" w14:textId="77777777" w:rsidR="0079201C" w:rsidRPr="00741122" w:rsidRDefault="0079201C" w:rsidP="00D85420">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Zaburzenia układu immunologicznego</w:t>
            </w:r>
          </w:p>
        </w:tc>
        <w:tc>
          <w:tcPr>
            <w:tcW w:w="3180" w:type="pct"/>
            <w:vAlign w:val="center"/>
          </w:tcPr>
          <w:p w14:paraId="402F7667" w14:textId="688C7B82" w:rsidR="0079201C"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Reakcje nadwrażliwości i reakcje podczas </w:t>
            </w:r>
            <w:r w:rsidR="003B4B63">
              <w:rPr>
                <w:rFonts w:ascii="Times New Roman" w:eastAsia="Times New Roman" w:hAnsi="Times New Roman"/>
                <w:sz w:val="22"/>
                <w:szCs w:val="22"/>
                <w:lang w:val="lt-LT"/>
              </w:rPr>
              <w:t>infuzji</w:t>
            </w:r>
            <w:r w:rsidRPr="00741122">
              <w:rPr>
                <w:rFonts w:ascii="Times New Roman" w:eastAsia="Times New Roman" w:hAnsi="Times New Roman"/>
                <w:sz w:val="22"/>
                <w:szCs w:val="22"/>
                <w:lang w:val="lt-LT"/>
              </w:rPr>
              <w:t xml:space="preserve"> (</w:t>
            </w:r>
            <w:r w:rsidR="00754B1C">
              <w:rPr>
                <w:rFonts w:ascii="Times New Roman" w:eastAsia="Times New Roman" w:hAnsi="Times New Roman"/>
                <w:sz w:val="22"/>
                <w:szCs w:val="22"/>
                <w:lang w:val="lt-LT"/>
              </w:rPr>
              <w:t>często</w:t>
            </w:r>
            <w:r w:rsidRPr="00741122">
              <w:rPr>
                <w:rFonts w:ascii="Times New Roman" w:eastAsia="Times New Roman" w:hAnsi="Times New Roman"/>
                <w:sz w:val="22"/>
                <w:szCs w:val="22"/>
                <w:lang w:val="lt-LT"/>
              </w:rPr>
              <w:t xml:space="preserve">); z możliwymi objawami współistniejącymi: duszność/trudności w oddychaniu, nagłe zaczerwienienie/rumień/wysypka, obniżone ciśnienie tętnicze lub nadciśnienie, desaturacja krwi tętniczej tlenem, bóle w klatce piersiowej, dreszcze i nudności/wymioty (patrz punkt 4.4 i </w:t>
            </w:r>
            <w:r w:rsidRPr="00741122">
              <w:rPr>
                <w:rFonts w:ascii="Times New Roman" w:eastAsia="Times New Roman" w:hAnsi="Times New Roman"/>
                <w:i/>
                <w:sz w:val="22"/>
                <w:szCs w:val="22"/>
                <w:lang w:val="lt-LT"/>
              </w:rPr>
              <w:t>Reakcje nadwrażliwości</w:t>
            </w:r>
            <w:r w:rsidR="003D179A">
              <w:rPr>
                <w:rFonts w:ascii="Times New Roman" w:eastAsia="Times New Roman" w:hAnsi="Times New Roman"/>
                <w:i/>
                <w:sz w:val="22"/>
                <w:szCs w:val="22"/>
                <w:lang w:val="lt-LT"/>
              </w:rPr>
              <w:t>/</w:t>
            </w:r>
            <w:r w:rsidRPr="00741122">
              <w:rPr>
                <w:rFonts w:ascii="Times New Roman" w:eastAsia="Times New Roman" w:hAnsi="Times New Roman"/>
                <w:i/>
                <w:sz w:val="22"/>
                <w:szCs w:val="22"/>
                <w:lang w:val="lt-LT"/>
              </w:rPr>
              <w:t xml:space="preserve">reakcje podczas </w:t>
            </w:r>
            <w:r w:rsidR="003B4B63">
              <w:rPr>
                <w:rFonts w:ascii="Times New Roman" w:eastAsia="Times New Roman" w:hAnsi="Times New Roman"/>
                <w:i/>
                <w:sz w:val="22"/>
                <w:szCs w:val="22"/>
                <w:lang w:val="lt-LT"/>
              </w:rPr>
              <w:t>infuzji</w:t>
            </w:r>
            <w:r w:rsidRPr="00741122">
              <w:rPr>
                <w:rFonts w:ascii="Times New Roman" w:eastAsia="Times New Roman" w:hAnsi="Times New Roman"/>
                <w:i/>
                <w:sz w:val="22"/>
                <w:szCs w:val="22"/>
                <w:lang w:val="lt-LT"/>
              </w:rPr>
              <w:t xml:space="preserve"> </w:t>
            </w:r>
            <w:r w:rsidRPr="00741122">
              <w:rPr>
                <w:rFonts w:ascii="Times New Roman" w:eastAsia="Times New Roman" w:hAnsi="Times New Roman"/>
                <w:sz w:val="22"/>
                <w:szCs w:val="22"/>
                <w:lang w:val="lt-LT"/>
              </w:rPr>
              <w:t>powyżej)</w:t>
            </w:r>
          </w:p>
          <w:p w14:paraId="214FB83F" w14:textId="77777777" w:rsidR="00754B1C" w:rsidRDefault="00754B1C" w:rsidP="006D59A8">
            <w:pPr>
              <w:widowControl w:val="0"/>
              <w:ind w:left="57"/>
              <w:rPr>
                <w:rFonts w:ascii="Times New Roman" w:eastAsia="Times New Roman" w:hAnsi="Times New Roman"/>
                <w:sz w:val="22"/>
                <w:szCs w:val="22"/>
                <w:lang w:val="lt-LT"/>
              </w:rPr>
            </w:pPr>
          </w:p>
          <w:p w14:paraId="1095DB15" w14:textId="5A9DD5C2" w:rsidR="00754B1C" w:rsidRPr="00741122" w:rsidRDefault="00754B1C" w:rsidP="006D59A8">
            <w:pPr>
              <w:widowControl w:val="0"/>
              <w:ind w:left="57"/>
              <w:rPr>
                <w:rFonts w:ascii="Times New Roman" w:eastAsia="Times New Roman" w:hAnsi="Times New Roman"/>
                <w:sz w:val="22"/>
                <w:szCs w:val="22"/>
                <w:lang w:val="lt-LT"/>
              </w:rPr>
            </w:pPr>
            <w:r>
              <w:rPr>
                <w:rFonts w:ascii="Times New Roman" w:eastAsia="Times New Roman" w:hAnsi="Times New Roman"/>
                <w:sz w:val="22"/>
                <w:szCs w:val="22"/>
                <w:lang w:val="lt-LT"/>
              </w:rPr>
              <w:t>Wstrząs anafilaktyczny (rzadko) (</w:t>
            </w:r>
            <w:r w:rsidRPr="00741122">
              <w:rPr>
                <w:rFonts w:ascii="Times New Roman" w:eastAsia="Times New Roman" w:hAnsi="Times New Roman"/>
                <w:sz w:val="22"/>
                <w:szCs w:val="22"/>
                <w:lang w:val="lt-LT"/>
              </w:rPr>
              <w:t>patrz punkt 4.4</w:t>
            </w:r>
            <w:r>
              <w:rPr>
                <w:rFonts w:ascii="Times New Roman" w:eastAsia="Times New Roman" w:hAnsi="Times New Roman"/>
                <w:sz w:val="22"/>
                <w:szCs w:val="22"/>
                <w:lang w:val="lt-LT"/>
              </w:rPr>
              <w:t>).</w:t>
            </w:r>
          </w:p>
        </w:tc>
      </w:tr>
      <w:tr w:rsidR="0079201C" w:rsidRPr="00741122" w14:paraId="0ACE19CA" w14:textId="77777777" w:rsidTr="00AA2BAB">
        <w:trPr>
          <w:trHeight w:val="1304"/>
        </w:trPr>
        <w:tc>
          <w:tcPr>
            <w:tcW w:w="1820" w:type="pct"/>
          </w:tcPr>
          <w:p w14:paraId="583B1BA7" w14:textId="77777777" w:rsidR="0079201C" w:rsidRPr="00741122" w:rsidRDefault="0079201C" w:rsidP="00F350BB">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Zaburzenia układu nerwowego</w:t>
            </w:r>
          </w:p>
        </w:tc>
        <w:tc>
          <w:tcPr>
            <w:tcW w:w="3180" w:type="pct"/>
            <w:vAlign w:val="center"/>
          </w:tcPr>
          <w:p w14:paraId="6EA0A8C3" w14:textId="77A4C1D0"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Encefalopatia nadciśnieniowa (bardzo rzadko) (patrz punkt 4.4 oraz </w:t>
            </w:r>
            <w:r w:rsidRPr="00741122">
              <w:rPr>
                <w:rFonts w:ascii="Times New Roman" w:eastAsia="Times New Roman" w:hAnsi="Times New Roman"/>
                <w:i/>
                <w:sz w:val="22"/>
                <w:szCs w:val="22"/>
                <w:lang w:val="lt-LT"/>
              </w:rPr>
              <w:t>Nadciśnienie</w:t>
            </w:r>
            <w:r w:rsidRPr="00741122">
              <w:rPr>
                <w:rFonts w:ascii="Times New Roman" w:eastAsia="Times New Roman" w:hAnsi="Times New Roman"/>
                <w:sz w:val="22"/>
                <w:szCs w:val="22"/>
                <w:lang w:val="lt-LT"/>
              </w:rPr>
              <w:t xml:space="preserve"> w punkcie 4.8)</w:t>
            </w:r>
          </w:p>
          <w:p w14:paraId="24772B8A" w14:textId="06AC392F"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Zespół tylnej</w:t>
            </w:r>
            <w:r w:rsidR="00E01221">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odwracalnej encefalopatii (ang. Posterior Reversible Encephalopathy Syndrome, PRES) (rzadko) (patrz punkt 4.4)</w:t>
            </w:r>
          </w:p>
        </w:tc>
      </w:tr>
      <w:tr w:rsidR="0079201C" w:rsidRPr="008C2A94" w14:paraId="216A62C7" w14:textId="77777777" w:rsidTr="006D59A8">
        <w:trPr>
          <w:trHeight w:val="1077"/>
        </w:trPr>
        <w:tc>
          <w:tcPr>
            <w:tcW w:w="1820" w:type="pct"/>
          </w:tcPr>
          <w:p w14:paraId="1FC006E4" w14:textId="77777777" w:rsidR="0079201C" w:rsidRPr="00081509" w:rsidRDefault="0079201C" w:rsidP="00F350BB">
            <w:pPr>
              <w:widowControl w:val="0"/>
              <w:ind w:left="57"/>
              <w:rPr>
                <w:rFonts w:ascii="Times New Roman" w:eastAsia="Times New Roman" w:hAnsi="Times New Roman" w:cs="Times New Roman"/>
                <w:sz w:val="22"/>
                <w:szCs w:val="22"/>
                <w:lang w:val="lt-LT"/>
              </w:rPr>
            </w:pPr>
            <w:r w:rsidRPr="00081509">
              <w:rPr>
                <w:rFonts w:ascii="Times New Roman" w:eastAsia="Times New Roman" w:hAnsi="Times New Roman" w:cs="Times New Roman"/>
                <w:sz w:val="22"/>
                <w:szCs w:val="22"/>
                <w:lang w:val="lt-LT"/>
              </w:rPr>
              <w:t>Zaburzenia naczyniowe</w:t>
            </w:r>
          </w:p>
        </w:tc>
        <w:tc>
          <w:tcPr>
            <w:tcW w:w="3180" w:type="pct"/>
            <w:vAlign w:val="center"/>
          </w:tcPr>
          <w:p w14:paraId="24D52E9F" w14:textId="77777777"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Zakrzepowa mikroangiopatia nerkowa, która może objawiać się klinicznie białkomoczem (nieznana) niezależnie od jednoczasowego stosowania sunitynibu. Więcej informacji o białkomoczu w punkcie 4.4 oraz </w:t>
            </w:r>
            <w:r w:rsidRPr="00741122">
              <w:rPr>
                <w:rFonts w:ascii="Times New Roman" w:eastAsia="Times New Roman" w:hAnsi="Times New Roman"/>
                <w:i/>
                <w:sz w:val="22"/>
                <w:szCs w:val="22"/>
                <w:lang w:val="lt-LT"/>
              </w:rPr>
              <w:t>Białkomocz</w:t>
            </w:r>
            <w:r w:rsidRPr="00741122">
              <w:rPr>
                <w:rFonts w:ascii="Times New Roman" w:eastAsia="Times New Roman" w:hAnsi="Times New Roman"/>
                <w:sz w:val="22"/>
                <w:szCs w:val="22"/>
                <w:lang w:val="lt-LT"/>
              </w:rPr>
              <w:t xml:space="preserve"> w punkcie 4.8</w:t>
            </w:r>
          </w:p>
        </w:tc>
      </w:tr>
      <w:tr w:rsidR="0079201C" w:rsidRPr="00741122" w14:paraId="1E46629B" w14:textId="77777777" w:rsidTr="00AA2BAB">
        <w:trPr>
          <w:trHeight w:val="794"/>
        </w:trPr>
        <w:tc>
          <w:tcPr>
            <w:tcW w:w="1820" w:type="pct"/>
          </w:tcPr>
          <w:p w14:paraId="095C3E0B" w14:textId="77777777" w:rsidR="0079201C" w:rsidRPr="00081509" w:rsidRDefault="0079201C" w:rsidP="00F350BB">
            <w:pPr>
              <w:widowControl w:val="0"/>
              <w:ind w:left="57"/>
              <w:rPr>
                <w:rFonts w:ascii="Times New Roman" w:eastAsia="Times New Roman" w:hAnsi="Times New Roman" w:cs="Times New Roman"/>
                <w:sz w:val="22"/>
                <w:szCs w:val="22"/>
                <w:lang w:val="lt-LT"/>
              </w:rPr>
            </w:pPr>
            <w:r w:rsidRPr="00081509">
              <w:rPr>
                <w:rFonts w:ascii="Times New Roman" w:eastAsia="Times New Roman" w:hAnsi="Times New Roman" w:cs="Times New Roman"/>
                <w:sz w:val="22"/>
                <w:szCs w:val="22"/>
                <w:lang w:val="lt-LT"/>
              </w:rPr>
              <w:t>Zaburzenia układu oddechowego, klatki piersiowej i śródpiersia</w:t>
            </w:r>
          </w:p>
        </w:tc>
        <w:tc>
          <w:tcPr>
            <w:tcW w:w="3180" w:type="pct"/>
            <w:vAlign w:val="center"/>
          </w:tcPr>
          <w:p w14:paraId="32C4E5FE" w14:textId="77777777"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Perforacja przegrody nosa (nieznana)</w:t>
            </w:r>
          </w:p>
          <w:p w14:paraId="46B80B61" w14:textId="77777777"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Nadciśnienie płucne (nieznana)</w:t>
            </w:r>
          </w:p>
          <w:p w14:paraId="1D99545E" w14:textId="77777777"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Dysfonia (często)</w:t>
            </w:r>
          </w:p>
        </w:tc>
      </w:tr>
      <w:tr w:rsidR="0079201C" w:rsidRPr="008C2A94" w14:paraId="7089787F" w14:textId="77777777" w:rsidTr="006D59A8">
        <w:trPr>
          <w:trHeight w:val="335"/>
        </w:trPr>
        <w:tc>
          <w:tcPr>
            <w:tcW w:w="1820" w:type="pct"/>
          </w:tcPr>
          <w:p w14:paraId="0D41A097" w14:textId="77777777" w:rsidR="0079201C" w:rsidRPr="00081509" w:rsidRDefault="0079201C" w:rsidP="00F350BB">
            <w:pPr>
              <w:widowControl w:val="0"/>
              <w:ind w:left="57"/>
              <w:rPr>
                <w:rFonts w:ascii="Times New Roman" w:eastAsia="Times New Roman" w:hAnsi="Times New Roman" w:cs="Times New Roman"/>
                <w:sz w:val="22"/>
                <w:szCs w:val="22"/>
                <w:lang w:val="lt-LT"/>
              </w:rPr>
            </w:pPr>
            <w:r w:rsidRPr="00081509">
              <w:rPr>
                <w:rFonts w:ascii="Times New Roman" w:eastAsia="Times New Roman" w:hAnsi="Times New Roman" w:cs="Times New Roman"/>
                <w:sz w:val="22"/>
                <w:szCs w:val="22"/>
                <w:lang w:val="lt-LT"/>
              </w:rPr>
              <w:t>Zaburzenia żołądka i jelit</w:t>
            </w:r>
          </w:p>
        </w:tc>
        <w:tc>
          <w:tcPr>
            <w:tcW w:w="3180" w:type="pct"/>
            <w:vAlign w:val="center"/>
          </w:tcPr>
          <w:p w14:paraId="29BA70E3" w14:textId="77777777"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Choroba wrzodowa żołądka i dwunastnicy (nieznana)</w:t>
            </w:r>
          </w:p>
        </w:tc>
      </w:tr>
      <w:tr w:rsidR="0079201C" w:rsidRPr="00741122" w14:paraId="3297A7FE" w14:textId="77777777" w:rsidTr="00AA2BAB">
        <w:trPr>
          <w:trHeight w:val="340"/>
        </w:trPr>
        <w:tc>
          <w:tcPr>
            <w:tcW w:w="1820" w:type="pct"/>
            <w:vAlign w:val="center"/>
          </w:tcPr>
          <w:p w14:paraId="64E09DA4" w14:textId="77777777" w:rsidR="0079201C" w:rsidRPr="00081509" w:rsidRDefault="0079201C" w:rsidP="00AA2BAB">
            <w:pPr>
              <w:widowControl w:val="0"/>
              <w:ind w:left="57"/>
              <w:rPr>
                <w:rFonts w:ascii="Times New Roman" w:eastAsia="Times New Roman" w:hAnsi="Times New Roman" w:cs="Times New Roman"/>
                <w:sz w:val="22"/>
                <w:szCs w:val="22"/>
                <w:lang w:val="lt-LT"/>
              </w:rPr>
            </w:pPr>
            <w:r w:rsidRPr="00081509">
              <w:rPr>
                <w:rFonts w:ascii="Times New Roman" w:eastAsia="Times New Roman" w:hAnsi="Times New Roman" w:cs="Times New Roman"/>
                <w:sz w:val="22"/>
                <w:szCs w:val="22"/>
                <w:lang w:val="lt-LT"/>
              </w:rPr>
              <w:t xml:space="preserve">Zaburzenia wątroby i dróg żółciowych </w:t>
            </w:r>
          </w:p>
        </w:tc>
        <w:tc>
          <w:tcPr>
            <w:tcW w:w="3180" w:type="pct"/>
            <w:vAlign w:val="center"/>
          </w:tcPr>
          <w:p w14:paraId="180C8003" w14:textId="77777777" w:rsidR="0079201C" w:rsidRPr="00741122" w:rsidRDefault="0079201C" w:rsidP="006D59A8">
            <w:pPr>
              <w:widowControl w:val="0"/>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Perforacja pęcherzyka żółciowego (nieznana)</w:t>
            </w:r>
          </w:p>
        </w:tc>
      </w:tr>
      <w:tr w:rsidR="0079201C" w:rsidRPr="008C2A94" w14:paraId="2171B849" w14:textId="77777777" w:rsidTr="006D59A8">
        <w:trPr>
          <w:trHeight w:val="1814"/>
        </w:trPr>
        <w:tc>
          <w:tcPr>
            <w:tcW w:w="1820" w:type="pct"/>
            <w:vMerge w:val="restart"/>
          </w:tcPr>
          <w:p w14:paraId="7F1477E3" w14:textId="77777777" w:rsidR="0079201C" w:rsidRPr="00074707" w:rsidRDefault="0079201C" w:rsidP="00F350BB">
            <w:pPr>
              <w:widowControl w:val="0"/>
              <w:ind w:left="57"/>
              <w:rPr>
                <w:rFonts w:ascii="Times New Roman" w:hAnsi="Times New Roman" w:cs="Times New Roman"/>
                <w:sz w:val="22"/>
                <w:szCs w:val="22"/>
                <w:lang w:val="lt-LT"/>
              </w:rPr>
            </w:pPr>
            <w:r w:rsidRPr="00081509">
              <w:rPr>
                <w:rFonts w:ascii="Times New Roman" w:hAnsi="Times New Roman" w:cs="Times New Roman"/>
                <w:iCs/>
                <w:sz w:val="22"/>
                <w:szCs w:val="22"/>
                <w:lang w:val="lt-LT"/>
              </w:rPr>
              <w:t>Zaburzenia mięśnio</w:t>
            </w:r>
            <w:r>
              <w:rPr>
                <w:rFonts w:ascii="Times New Roman" w:hAnsi="Times New Roman" w:cs="Times New Roman"/>
                <w:iCs/>
                <w:sz w:val="22"/>
                <w:szCs w:val="22"/>
                <w:lang w:val="lt-LT"/>
              </w:rPr>
              <w:t>wo-szkieletowe i tkanki łącznej</w:t>
            </w:r>
          </w:p>
        </w:tc>
        <w:tc>
          <w:tcPr>
            <w:tcW w:w="3180" w:type="pct"/>
            <w:vAlign w:val="center"/>
          </w:tcPr>
          <w:p w14:paraId="4F483DA5" w14:textId="77777777" w:rsidR="0079201C" w:rsidRPr="00F80940" w:rsidRDefault="0079201C" w:rsidP="006D59A8">
            <w:pPr>
              <w:widowControl w:val="0"/>
              <w:ind w:left="57"/>
              <w:rPr>
                <w:rFonts w:ascii="Times New Roman" w:hAnsi="Times New Roman" w:cs="Times New Roman"/>
                <w:sz w:val="22"/>
                <w:szCs w:val="22"/>
                <w:lang w:val="lt-LT"/>
              </w:rPr>
            </w:pPr>
            <w:r w:rsidRPr="00741122">
              <w:rPr>
                <w:rFonts w:ascii="Times New Roman" w:hAnsi="Times New Roman" w:cs="Times New Roman"/>
                <w:sz w:val="22"/>
                <w:szCs w:val="22"/>
                <w:lang w:val="lt-LT"/>
              </w:rPr>
              <w:t xml:space="preserve">Wśród pacjentów leczonych </w:t>
            </w:r>
            <w:r w:rsidR="00912F7F">
              <w:rPr>
                <w:rFonts w:ascii="Times New Roman" w:eastAsia="Times New Roman" w:hAnsi="Times New Roman" w:cs="Times New Roman"/>
                <w:sz w:val="22"/>
                <w:szCs w:val="22"/>
                <w:lang w:val="lt-LT"/>
              </w:rPr>
              <w:t>bewacyzumabem</w:t>
            </w:r>
            <w:r w:rsidRPr="00741122">
              <w:rPr>
                <w:rFonts w:ascii="Times New Roman" w:hAnsi="Times New Roman" w:cs="Times New Roman"/>
                <w:sz w:val="22"/>
                <w:szCs w:val="22"/>
                <w:lang w:val="lt-LT"/>
              </w:rPr>
              <w:t xml:space="preserve"> obserwowano przypadki martwicy kości szczęki lub żuchwy</w:t>
            </w:r>
            <w:r w:rsidR="00E01221">
              <w:rPr>
                <w:rFonts w:ascii="Times New Roman" w:hAnsi="Times New Roman" w:cs="Times New Roman"/>
                <w:sz w:val="22"/>
                <w:szCs w:val="22"/>
                <w:lang w:val="lt-LT"/>
              </w:rPr>
              <w:t>;</w:t>
            </w:r>
            <w:r w:rsidRPr="00741122">
              <w:rPr>
                <w:rFonts w:ascii="Times New Roman" w:hAnsi="Times New Roman" w:cs="Times New Roman"/>
                <w:sz w:val="22"/>
                <w:szCs w:val="22"/>
                <w:lang w:val="lt-LT"/>
              </w:rPr>
              <w:t xml:space="preserve"> w większości zdarzenia te występowały u pacjentów ze znanymi czynnikami ryzyka wystąpienia martwicy kości szczęki/żuchwy, zwłaszcza leczonych bisfosfonianami w postaci dożylnej i (lub) chorobami jamy ustnej wymagającymi zastosowania inwazyjnej procedury stom</w:t>
            </w:r>
            <w:r>
              <w:rPr>
                <w:rFonts w:ascii="Times New Roman" w:hAnsi="Times New Roman" w:cs="Times New Roman"/>
                <w:sz w:val="22"/>
                <w:szCs w:val="22"/>
                <w:lang w:val="lt-LT"/>
              </w:rPr>
              <w:t>atologicznej (patrz punkt 4.4)</w:t>
            </w:r>
          </w:p>
        </w:tc>
      </w:tr>
      <w:tr w:rsidR="0079201C" w:rsidRPr="008C2A94" w14:paraId="0BD75F58" w14:textId="77777777" w:rsidTr="006D59A8">
        <w:trPr>
          <w:trHeight w:val="907"/>
        </w:trPr>
        <w:tc>
          <w:tcPr>
            <w:tcW w:w="1820" w:type="pct"/>
            <w:vMerge/>
          </w:tcPr>
          <w:p w14:paraId="22B79E17" w14:textId="77777777" w:rsidR="0079201C" w:rsidRPr="00081509" w:rsidRDefault="0079201C" w:rsidP="00F350BB">
            <w:pPr>
              <w:widowControl w:val="0"/>
              <w:ind w:left="57"/>
              <w:rPr>
                <w:rFonts w:ascii="Times New Roman" w:hAnsi="Times New Roman" w:cs="Times New Roman"/>
                <w:iCs/>
                <w:sz w:val="22"/>
                <w:szCs w:val="22"/>
                <w:lang w:val="lt-LT"/>
              </w:rPr>
            </w:pPr>
          </w:p>
        </w:tc>
        <w:tc>
          <w:tcPr>
            <w:tcW w:w="3180" w:type="pct"/>
            <w:vAlign w:val="center"/>
          </w:tcPr>
          <w:p w14:paraId="79389C76" w14:textId="77777777" w:rsidR="0079201C" w:rsidRPr="00741122" w:rsidRDefault="0079201C" w:rsidP="00F52AC6">
            <w:pPr>
              <w:widowControl w:val="0"/>
              <w:ind w:left="57"/>
              <w:rPr>
                <w:rFonts w:ascii="Times New Roman" w:hAnsi="Times New Roman" w:cs="Times New Roman"/>
                <w:sz w:val="22"/>
                <w:szCs w:val="22"/>
                <w:lang w:val="lt-LT"/>
              </w:rPr>
            </w:pPr>
            <w:r w:rsidRPr="00741122">
              <w:rPr>
                <w:rFonts w:ascii="Times New Roman" w:hAnsi="Times New Roman" w:cs="Times New Roman"/>
                <w:sz w:val="22"/>
                <w:szCs w:val="22"/>
                <w:lang w:val="lt-LT"/>
              </w:rPr>
              <w:t xml:space="preserve">Zgłaszano przypadki martwicy kości innych niż szczęki lub żuchwy u dzieci i młodzieży leczonych </w:t>
            </w:r>
            <w:r w:rsidR="00912F7F">
              <w:rPr>
                <w:rFonts w:ascii="Times New Roman" w:eastAsia="Times New Roman" w:hAnsi="Times New Roman" w:cs="Times New Roman"/>
                <w:sz w:val="22"/>
                <w:szCs w:val="22"/>
                <w:lang w:val="lt-LT"/>
              </w:rPr>
              <w:t>bewacyzumabem</w:t>
            </w:r>
            <w:r w:rsidRPr="00741122">
              <w:rPr>
                <w:rFonts w:ascii="Times New Roman" w:hAnsi="Times New Roman" w:cs="Times New Roman"/>
                <w:sz w:val="22"/>
                <w:szCs w:val="22"/>
                <w:lang w:val="lt-LT"/>
              </w:rPr>
              <w:t xml:space="preserve"> (patr</w:t>
            </w:r>
            <w:r>
              <w:rPr>
                <w:rFonts w:ascii="Times New Roman" w:hAnsi="Times New Roman" w:cs="Times New Roman"/>
                <w:sz w:val="22"/>
                <w:szCs w:val="22"/>
                <w:lang w:val="lt-LT"/>
              </w:rPr>
              <w:t xml:space="preserve">z punkt 4.8, </w:t>
            </w:r>
            <w:r w:rsidR="00F52AC6">
              <w:rPr>
                <w:rFonts w:ascii="Times New Roman" w:hAnsi="Times New Roman" w:cs="Times New Roman"/>
                <w:sz w:val="22"/>
                <w:szCs w:val="22"/>
                <w:lang w:val="lt-LT"/>
              </w:rPr>
              <w:t>Dzieci</w:t>
            </w:r>
            <w:r>
              <w:rPr>
                <w:rFonts w:ascii="Times New Roman" w:hAnsi="Times New Roman" w:cs="Times New Roman"/>
                <w:sz w:val="22"/>
                <w:szCs w:val="22"/>
                <w:lang w:val="lt-LT"/>
              </w:rPr>
              <w:t xml:space="preserve"> i młodzież)</w:t>
            </w:r>
          </w:p>
        </w:tc>
      </w:tr>
      <w:tr w:rsidR="0079201C" w:rsidRPr="008C2A94" w14:paraId="745BEE82" w14:textId="77777777" w:rsidTr="006D59A8">
        <w:trPr>
          <w:trHeight w:val="1077"/>
        </w:trPr>
        <w:tc>
          <w:tcPr>
            <w:tcW w:w="1820" w:type="pct"/>
          </w:tcPr>
          <w:p w14:paraId="60716BD6" w14:textId="77777777" w:rsidR="0079201C" w:rsidRPr="00DC161E" w:rsidRDefault="0079201C" w:rsidP="00F350BB">
            <w:pPr>
              <w:ind w:left="57"/>
              <w:rPr>
                <w:rFonts w:ascii="Times New Roman" w:hAnsi="Times New Roman" w:cs="Times New Roman"/>
                <w:sz w:val="22"/>
                <w:szCs w:val="22"/>
                <w:lang w:val="lt-LT"/>
              </w:rPr>
            </w:pPr>
            <w:r w:rsidRPr="00DC161E">
              <w:rPr>
                <w:rFonts w:ascii="Times New Roman" w:hAnsi="Times New Roman" w:cs="Times New Roman"/>
                <w:iCs/>
                <w:sz w:val="22"/>
                <w:szCs w:val="22"/>
                <w:lang w:val="lt-LT"/>
              </w:rPr>
              <w:t>Wady wrodzone, choroby rodzinne i genetyczne</w:t>
            </w:r>
          </w:p>
        </w:tc>
        <w:tc>
          <w:tcPr>
            <w:tcW w:w="3180" w:type="pct"/>
            <w:vAlign w:val="center"/>
          </w:tcPr>
          <w:p w14:paraId="7A42EBC5" w14:textId="77777777" w:rsidR="0079201C" w:rsidRPr="00741122" w:rsidRDefault="0079201C" w:rsidP="006D59A8">
            <w:pPr>
              <w:ind w:left="57"/>
              <w:rPr>
                <w:rFonts w:ascii="Times New Roman" w:hAnsi="Times New Roman" w:cs="Times New Roman"/>
                <w:sz w:val="22"/>
                <w:szCs w:val="22"/>
                <w:lang w:val="lt-LT"/>
              </w:rPr>
            </w:pPr>
            <w:r w:rsidRPr="00741122">
              <w:rPr>
                <w:rFonts w:ascii="Times New Roman" w:hAnsi="Times New Roman" w:cs="Times New Roman"/>
                <w:sz w:val="22"/>
                <w:szCs w:val="22"/>
                <w:lang w:val="lt-LT"/>
              </w:rPr>
              <w:t>Zgłaszano przypadki wad rozwojowych płodu u kobiet leczonych bewacyzumabem w monoterapii lub w połączeniu z chemioterapeutykami o znanym embriotoksyczn</w:t>
            </w:r>
            <w:r>
              <w:rPr>
                <w:rFonts w:ascii="Times New Roman" w:hAnsi="Times New Roman" w:cs="Times New Roman"/>
                <w:sz w:val="22"/>
                <w:szCs w:val="22"/>
                <w:lang w:val="lt-LT"/>
              </w:rPr>
              <w:t>ym działaniu (patrz punkt 4.6)</w:t>
            </w:r>
          </w:p>
        </w:tc>
      </w:tr>
    </w:tbl>
    <w:p w14:paraId="05D9DA81" w14:textId="77777777" w:rsidR="00774186" w:rsidRPr="00741122" w:rsidRDefault="00547F46" w:rsidP="0079201C">
      <w:pPr>
        <w:ind w:left="567" w:hanging="425"/>
        <w:rPr>
          <w:rFonts w:ascii="Times New Roman" w:hAnsi="Times New Roman" w:cs="Times New Roman"/>
          <w:lang w:val="lt-LT"/>
        </w:rPr>
      </w:pPr>
      <w:bookmarkStart w:id="24" w:name="page24"/>
      <w:bookmarkEnd w:id="24"/>
      <w:r w:rsidRPr="00741122">
        <w:rPr>
          <w:rFonts w:ascii="Times New Roman" w:hAnsi="Times New Roman" w:cs="Times New Roman"/>
          <w:lang w:val="lt-LT"/>
        </w:rPr>
        <w:t>*</w:t>
      </w:r>
      <w:r w:rsidRPr="00741122">
        <w:rPr>
          <w:rFonts w:ascii="Times New Roman" w:hAnsi="Times New Roman" w:cs="Times New Roman"/>
          <w:lang w:val="lt-LT"/>
        </w:rPr>
        <w:tab/>
      </w:r>
      <w:r w:rsidR="00774186" w:rsidRPr="00741122">
        <w:rPr>
          <w:rFonts w:ascii="Times New Roman" w:hAnsi="Times New Roman" w:cs="Times New Roman"/>
          <w:lang w:val="lt-LT"/>
        </w:rPr>
        <w:t>tam gdzie zostały podane, dane dotyczące częstości pochodzą z badań klinicznych</w:t>
      </w:r>
      <w:r w:rsidR="00A44819">
        <w:rPr>
          <w:rFonts w:ascii="Times New Roman" w:hAnsi="Times New Roman" w:cs="Times New Roman"/>
          <w:lang w:val="lt-LT"/>
        </w:rPr>
        <w:t>.</w:t>
      </w:r>
    </w:p>
    <w:p w14:paraId="11A04249" w14:textId="77777777" w:rsidR="00774186" w:rsidRPr="00741122" w:rsidRDefault="00774186" w:rsidP="00074707">
      <w:pPr>
        <w:rPr>
          <w:rFonts w:ascii="Times New Roman" w:eastAsia="Times New Roman" w:hAnsi="Times New Roman" w:cs="Times New Roman"/>
          <w:sz w:val="22"/>
          <w:szCs w:val="22"/>
          <w:u w:val="single"/>
          <w:lang w:val="lt-LT"/>
        </w:rPr>
      </w:pPr>
    </w:p>
    <w:p w14:paraId="4C1B9F91" w14:textId="77777777" w:rsidR="00071CFE" w:rsidRPr="00741122" w:rsidRDefault="00071CFE" w:rsidP="006046D7">
      <w:pPr>
        <w:keepNext/>
        <w:keepLines/>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Zgłaszanie podejrzewanych działań niepożądanych</w:t>
      </w:r>
    </w:p>
    <w:p w14:paraId="5AC56E97" w14:textId="77777777" w:rsidR="00071CFE" w:rsidRPr="00741122" w:rsidRDefault="00071CFE" w:rsidP="006046D7">
      <w:pPr>
        <w:keepNext/>
        <w:keepLines/>
        <w:rPr>
          <w:rFonts w:ascii="Times New Roman" w:eastAsia="Times New Roman" w:hAnsi="Times New Roman" w:cs="Times New Roman"/>
          <w:sz w:val="22"/>
          <w:szCs w:val="22"/>
          <w:lang w:val="lt-LT"/>
        </w:rPr>
      </w:pPr>
    </w:p>
    <w:p w14:paraId="63308CCA" w14:textId="77777777" w:rsidR="00071CFE" w:rsidRDefault="00071CFE" w:rsidP="007C0024">
      <w:pPr>
        <w:rPr>
          <w:rFonts w:ascii="Times New Roman" w:eastAsia="Times New Roman" w:hAnsi="Times New Roman" w:cs="Times New Roman"/>
          <w:sz w:val="22"/>
          <w:szCs w:val="22"/>
          <w:highlight w:val="lightGray"/>
          <w:u w:val="single"/>
          <w:lang w:val="lt-LT"/>
        </w:rPr>
      </w:pPr>
      <w:r w:rsidRPr="00741122">
        <w:rPr>
          <w:rFonts w:ascii="Times New Roman" w:eastAsia="Times New Roman" w:hAnsi="Times New Roman" w:cs="Times New Roman"/>
          <w:sz w:val="22"/>
          <w:szCs w:val="22"/>
          <w:lang w:val="lt-LT"/>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rFonts w:ascii="Times New Roman" w:eastAsia="Times New Roman" w:hAnsi="Times New Roman" w:cs="Times New Roman"/>
          <w:sz w:val="22"/>
          <w:szCs w:val="22"/>
          <w:highlight w:val="lightGray"/>
          <w:lang w:val="lt-LT"/>
        </w:rPr>
        <w:t xml:space="preserve">krajowego systemu zgłaszania wymienionego w </w:t>
      </w:r>
      <w:r>
        <w:fldChar w:fldCharType="begin"/>
      </w:r>
      <w:r w:rsidRPr="00BC56FD">
        <w:rPr>
          <w:lang w:val="lt-LT"/>
          <w:rPrChange w:id="25"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color w:val="0000FF"/>
          <w:sz w:val="22"/>
          <w:szCs w:val="22"/>
          <w:highlight w:val="lightGray"/>
          <w:u w:val="single"/>
          <w:lang w:val="lt-LT"/>
        </w:rPr>
        <w:t>załączniku V</w:t>
      </w:r>
      <w:r w:rsidRPr="00BC0F4C">
        <w:rPr>
          <w:rFonts w:ascii="Times New Roman" w:eastAsia="Times New Roman" w:hAnsi="Times New Roman" w:cs="Times New Roman"/>
          <w:sz w:val="22"/>
          <w:szCs w:val="22"/>
          <w:lang w:val="lt-LT"/>
        </w:rPr>
        <w:t>.</w:t>
      </w:r>
      <w:r>
        <w:fldChar w:fldCharType="end"/>
      </w:r>
    </w:p>
    <w:p w14:paraId="58961DD6" w14:textId="77777777" w:rsidR="00071CFE" w:rsidRPr="00741122" w:rsidRDefault="00071CFE" w:rsidP="00547F46">
      <w:pPr>
        <w:rPr>
          <w:rFonts w:ascii="Times New Roman" w:eastAsia="Times New Roman" w:hAnsi="Times New Roman" w:cs="Times New Roman"/>
          <w:sz w:val="22"/>
          <w:szCs w:val="22"/>
          <w:lang w:val="lt-LT"/>
        </w:rPr>
      </w:pPr>
    </w:p>
    <w:p w14:paraId="12038FA2" w14:textId="77777777" w:rsidR="00071CFE" w:rsidRPr="00741122" w:rsidRDefault="00071CFE" w:rsidP="0023471C">
      <w:pPr>
        <w:keepNext/>
        <w:tabs>
          <w:tab w:val="left" w:pos="541"/>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4.9</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Przedawkowanie</w:t>
      </w:r>
    </w:p>
    <w:p w14:paraId="2DA9FB1E" w14:textId="77777777" w:rsidR="00071CFE" w:rsidRPr="00741122" w:rsidRDefault="00071CFE" w:rsidP="001B794B">
      <w:pPr>
        <w:keepNext/>
        <w:rPr>
          <w:rFonts w:ascii="Times New Roman" w:eastAsia="Times New Roman" w:hAnsi="Times New Roman" w:cs="Times New Roman"/>
          <w:sz w:val="22"/>
          <w:szCs w:val="22"/>
          <w:lang w:val="lt-LT"/>
        </w:rPr>
      </w:pPr>
    </w:p>
    <w:p w14:paraId="6D136964"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Największe d</w:t>
      </w:r>
      <w:r w:rsidR="00D663AA" w:rsidRPr="00741122">
        <w:rPr>
          <w:rFonts w:ascii="Times New Roman" w:eastAsia="Times New Roman" w:hAnsi="Times New Roman" w:cs="Times New Roman"/>
          <w:sz w:val="22"/>
          <w:szCs w:val="22"/>
          <w:lang w:val="lt-LT"/>
        </w:rPr>
        <w:t>awki podawane ludziom (20 </w:t>
      </w:r>
      <w:r w:rsidRPr="00741122">
        <w:rPr>
          <w:rFonts w:ascii="Times New Roman" w:eastAsia="Times New Roman" w:hAnsi="Times New Roman" w:cs="Times New Roman"/>
          <w:sz w:val="22"/>
          <w:szCs w:val="22"/>
          <w:lang w:val="lt-LT"/>
        </w:rPr>
        <w:t>mg/k</w:t>
      </w:r>
      <w:r w:rsidR="00E01221">
        <w:rPr>
          <w:rFonts w:ascii="Times New Roman" w:eastAsia="Times New Roman" w:hAnsi="Times New Roman" w:cs="Times New Roman"/>
          <w:sz w:val="22"/>
          <w:szCs w:val="22"/>
          <w:lang w:val="lt-LT"/>
        </w:rPr>
        <w:t>g </w:t>
      </w:r>
      <w:r w:rsidRPr="00741122">
        <w:rPr>
          <w:rFonts w:ascii="Times New Roman" w:eastAsia="Times New Roman" w:hAnsi="Times New Roman" w:cs="Times New Roman"/>
          <w:sz w:val="22"/>
          <w:szCs w:val="22"/>
          <w:lang w:val="lt-LT"/>
        </w:rPr>
        <w:t>mc., dożylnie, co 2 tygodnie) powodowały u niektórych pacjentów ciężką migrenę.</w:t>
      </w:r>
    </w:p>
    <w:p w14:paraId="1CBF03B6" w14:textId="77777777" w:rsidR="00071CFE" w:rsidRPr="00741122" w:rsidRDefault="00071CFE" w:rsidP="001B794B">
      <w:pPr>
        <w:rPr>
          <w:rFonts w:ascii="Times New Roman" w:eastAsia="Times New Roman" w:hAnsi="Times New Roman" w:cs="Times New Roman"/>
          <w:sz w:val="22"/>
          <w:szCs w:val="22"/>
          <w:lang w:val="lt-LT"/>
        </w:rPr>
      </w:pPr>
    </w:p>
    <w:p w14:paraId="66FE239F" w14:textId="77777777" w:rsidR="00071CFE" w:rsidRPr="00741122" w:rsidRDefault="00071CFE" w:rsidP="001B794B">
      <w:pPr>
        <w:rPr>
          <w:rFonts w:ascii="Times New Roman" w:eastAsia="Times New Roman" w:hAnsi="Times New Roman" w:cs="Times New Roman"/>
          <w:sz w:val="22"/>
          <w:szCs w:val="22"/>
          <w:lang w:val="lt-LT"/>
        </w:rPr>
      </w:pPr>
    </w:p>
    <w:p w14:paraId="3EA9880B" w14:textId="77777777" w:rsidR="00071CFE" w:rsidRPr="00741122" w:rsidRDefault="00071CFE" w:rsidP="0023471C">
      <w:pPr>
        <w:numPr>
          <w:ilvl w:val="0"/>
          <w:numId w:val="7"/>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WŁAŚCIWOŚCI FARMAKOLOGICZNE</w:t>
      </w:r>
    </w:p>
    <w:p w14:paraId="08D4DC73" w14:textId="77777777" w:rsidR="00071CFE" w:rsidRPr="00741122" w:rsidRDefault="00071CFE" w:rsidP="001B794B">
      <w:pPr>
        <w:rPr>
          <w:rFonts w:ascii="Times New Roman" w:eastAsia="Times New Roman" w:hAnsi="Times New Roman" w:cs="Times New Roman"/>
          <w:sz w:val="22"/>
          <w:szCs w:val="22"/>
          <w:lang w:val="lt-LT"/>
        </w:rPr>
      </w:pPr>
    </w:p>
    <w:p w14:paraId="6919E212" w14:textId="77777777" w:rsidR="00071CFE" w:rsidRPr="00741122" w:rsidRDefault="00071CFE" w:rsidP="0023471C">
      <w:pPr>
        <w:tabs>
          <w:tab w:val="left" w:pos="567"/>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5.1</w:t>
      </w:r>
      <w:r w:rsidRPr="00741122">
        <w:rPr>
          <w:rFonts w:ascii="Times New Roman" w:eastAsia="Times New Roman" w:hAnsi="Times New Roman" w:cs="Times New Roman"/>
          <w:b/>
          <w:sz w:val="22"/>
          <w:szCs w:val="22"/>
          <w:lang w:val="lt-LT"/>
        </w:rPr>
        <w:tab/>
        <w:t>Właściwości farmakodynamiczne</w:t>
      </w:r>
    </w:p>
    <w:p w14:paraId="2102B285" w14:textId="77777777" w:rsidR="00071CFE" w:rsidRPr="00741122" w:rsidRDefault="00071CFE" w:rsidP="001B794B">
      <w:pPr>
        <w:rPr>
          <w:rFonts w:ascii="Times New Roman" w:eastAsia="Times New Roman" w:hAnsi="Times New Roman" w:cs="Times New Roman"/>
          <w:sz w:val="22"/>
          <w:szCs w:val="22"/>
          <w:lang w:val="lt-LT"/>
        </w:rPr>
      </w:pPr>
    </w:p>
    <w:p w14:paraId="7F8753F5" w14:textId="60F7E128" w:rsidR="00545C47"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Grupa farmakoterapeutyczna: leki przeciwnowotworowe i immunomodulujące, cytostatyki, przeciwciała monoklonalne</w:t>
      </w:r>
      <w:r w:rsidR="0021710C">
        <w:rPr>
          <w:rFonts w:ascii="Times New Roman" w:eastAsia="Times New Roman" w:hAnsi="Times New Roman" w:cs="Times New Roman"/>
          <w:sz w:val="22"/>
          <w:szCs w:val="22"/>
          <w:lang w:val="lt-LT"/>
        </w:rPr>
        <w:t xml:space="preserve"> i k</w:t>
      </w:r>
      <w:r w:rsidR="0021710C" w:rsidRPr="0021710C">
        <w:rPr>
          <w:rFonts w:ascii="Times New Roman" w:eastAsia="Times New Roman" w:hAnsi="Times New Roman" w:cs="Times New Roman"/>
          <w:sz w:val="22"/>
          <w:szCs w:val="22"/>
          <w:lang w:val="lt-LT"/>
        </w:rPr>
        <w:t>oniugaty przeciwciało-lek</w:t>
      </w:r>
      <w:r w:rsidRPr="00741122">
        <w:rPr>
          <w:rFonts w:ascii="Times New Roman" w:eastAsia="Times New Roman" w:hAnsi="Times New Roman" w:cs="Times New Roman"/>
          <w:sz w:val="22"/>
          <w:szCs w:val="22"/>
          <w:lang w:val="lt-LT"/>
        </w:rPr>
        <w:t>, kod ATC: L01</w:t>
      </w:r>
      <w:r w:rsidR="0021710C" w:rsidRPr="0021710C">
        <w:rPr>
          <w:rFonts w:ascii="Times New Roman" w:eastAsia="Times New Roman" w:hAnsi="Times New Roman" w:cs="Times New Roman"/>
          <w:sz w:val="22"/>
          <w:szCs w:val="22"/>
          <w:lang w:val="lt-LT"/>
        </w:rPr>
        <w:t>FG01</w:t>
      </w:r>
      <w:r w:rsidR="007B5EE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t>
      </w:r>
    </w:p>
    <w:p w14:paraId="05ACCE53" w14:textId="77777777" w:rsidR="00545C47" w:rsidRPr="006E1178" w:rsidRDefault="00545C47" w:rsidP="001B794B">
      <w:pPr>
        <w:rPr>
          <w:rFonts w:ascii="Times New Roman" w:eastAsia="Times New Roman" w:hAnsi="Times New Roman" w:cs="Times New Roman"/>
          <w:sz w:val="22"/>
          <w:szCs w:val="22"/>
          <w:lang w:val="lt-LT"/>
        </w:rPr>
      </w:pPr>
    </w:p>
    <w:p w14:paraId="5174046B" w14:textId="77777777" w:rsidR="006E1178" w:rsidRPr="00FD7F9C" w:rsidRDefault="006E1178" w:rsidP="006E1178">
      <w:pPr>
        <w:autoSpaceDE w:val="0"/>
        <w:autoSpaceDN w:val="0"/>
        <w:adjustRightInd w:val="0"/>
        <w:rPr>
          <w:rFonts w:ascii="Times New Roman" w:hAnsi="Times New Roman" w:cs="Times New Roman"/>
          <w:sz w:val="22"/>
          <w:szCs w:val="22"/>
          <w:lang w:val="pl-PL"/>
        </w:rPr>
      </w:pPr>
      <w:r>
        <w:rPr>
          <w:rFonts w:ascii="Times New Roman" w:hAnsi="Times New Roman" w:cs="Times New Roman"/>
          <w:sz w:val="22"/>
          <w:szCs w:val="22"/>
          <w:lang w:val="pl-PL"/>
        </w:rPr>
        <w:t>MVASI</w:t>
      </w:r>
      <w:r w:rsidRPr="00FD7F9C">
        <w:rPr>
          <w:rFonts w:ascii="Times New Roman" w:hAnsi="Times New Roman" w:cs="Times New Roman"/>
          <w:sz w:val="22"/>
          <w:szCs w:val="22"/>
          <w:lang w:val="pl-PL"/>
        </w:rPr>
        <w:t xml:space="preserve"> jest produktem leczniczym biopodobnym. Szczegółowe informacje są dostępne na stronie internetowej Europejskiej Agencji Leków </w:t>
      </w:r>
      <w:r>
        <w:fldChar w:fldCharType="begin"/>
      </w:r>
      <w:r w:rsidRPr="00BC56FD">
        <w:rPr>
          <w:lang w:val="pl-PL"/>
          <w:rPrChange w:id="26" w:author="Author">
            <w:rPr/>
          </w:rPrChange>
        </w:rPr>
        <w:instrText>HYPERLINK "http://www.ema.europa.eu/" \h</w:instrText>
      </w:r>
      <w:r>
        <w:fldChar w:fldCharType="separate"/>
      </w:r>
      <w:r w:rsidRPr="00FD7F9C">
        <w:rPr>
          <w:rStyle w:val="Hyperlink"/>
          <w:rFonts w:ascii="Times New Roman" w:hAnsi="Times New Roman" w:cs="Times New Roman"/>
          <w:noProof/>
          <w:sz w:val="22"/>
          <w:szCs w:val="22"/>
          <w:lang w:val="pl-PL"/>
        </w:rPr>
        <w:t>http://www.ema.europa.eu</w:t>
      </w:r>
      <w:r>
        <w:fldChar w:fldCharType="end"/>
      </w:r>
      <w:r w:rsidRPr="00FD7F9C">
        <w:rPr>
          <w:rFonts w:ascii="Times New Roman" w:hAnsi="Times New Roman" w:cs="Times New Roman"/>
          <w:noProof/>
          <w:color w:val="0000FF"/>
          <w:sz w:val="22"/>
          <w:szCs w:val="22"/>
          <w:lang w:val="pl-PL"/>
        </w:rPr>
        <w:t>.</w:t>
      </w:r>
    </w:p>
    <w:p w14:paraId="6ADA5489" w14:textId="77777777" w:rsidR="006E1178" w:rsidRPr="00FD7F9C" w:rsidRDefault="006E1178" w:rsidP="001B794B">
      <w:pPr>
        <w:rPr>
          <w:rFonts w:ascii="Times New Roman" w:eastAsia="Times New Roman" w:hAnsi="Times New Roman" w:cs="Times New Roman"/>
          <w:sz w:val="22"/>
          <w:szCs w:val="22"/>
          <w:lang w:val="pl-PL"/>
        </w:rPr>
      </w:pPr>
    </w:p>
    <w:p w14:paraId="54E9F98A"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Mechanizm działania</w:t>
      </w:r>
    </w:p>
    <w:p w14:paraId="2F170105" w14:textId="77777777" w:rsidR="00547F46" w:rsidRPr="00741122" w:rsidRDefault="00547F46" w:rsidP="001B794B">
      <w:pPr>
        <w:rPr>
          <w:rFonts w:ascii="Times New Roman" w:eastAsia="Times New Roman" w:hAnsi="Times New Roman" w:cs="Times New Roman"/>
          <w:sz w:val="22"/>
          <w:szCs w:val="22"/>
          <w:u w:val="single"/>
          <w:lang w:val="lt-LT"/>
        </w:rPr>
      </w:pPr>
    </w:p>
    <w:p w14:paraId="208EE726"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Bewacyzumab wiąże się z czynnikiem wzrostu śródbłonka naczyń (VEGF), kluczowym mediatorem waskulogenezy i angiogenezy, hamując wiązanie VEGF z receptorami Flt-1 (VEGFR-1) i KDR (VEGFR-2) na powierzchni komórek śródbłonka. Neutralizacja biologicznej aktywności VEGF cofa nowopowstałe unaczynienie guza, normalizuje pozostające unaczynienie guza oraz zatrzymuje powstawanie nowych naczyń w guzie, przez co hamuje wzrost guza.</w:t>
      </w:r>
    </w:p>
    <w:p w14:paraId="2546577A" w14:textId="77777777" w:rsidR="00071CFE" w:rsidRPr="00741122" w:rsidRDefault="00071CFE" w:rsidP="001B794B">
      <w:pPr>
        <w:rPr>
          <w:rFonts w:ascii="Times New Roman" w:eastAsia="Times New Roman" w:hAnsi="Times New Roman" w:cs="Times New Roman"/>
          <w:sz w:val="22"/>
          <w:szCs w:val="22"/>
          <w:lang w:val="lt-LT"/>
        </w:rPr>
      </w:pPr>
    </w:p>
    <w:p w14:paraId="16969F6A" w14:textId="77777777" w:rsidR="00071CFE" w:rsidRPr="00741122" w:rsidRDefault="00071CFE" w:rsidP="001B794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Działanie farmakodynamiczne</w:t>
      </w:r>
    </w:p>
    <w:p w14:paraId="2B6E72E9" w14:textId="77777777" w:rsidR="00547F46" w:rsidRPr="00741122" w:rsidRDefault="00547F46" w:rsidP="001B794B">
      <w:pPr>
        <w:rPr>
          <w:rFonts w:ascii="Times New Roman" w:eastAsia="Times New Roman" w:hAnsi="Times New Roman" w:cs="Times New Roman"/>
          <w:sz w:val="22"/>
          <w:szCs w:val="22"/>
          <w:u w:val="single"/>
          <w:lang w:val="lt-LT"/>
        </w:rPr>
      </w:pPr>
    </w:p>
    <w:p w14:paraId="473B207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Podanie bewacyzumabu lub macierzystego przeciwciała mysiego w modelach doświadczalnych nowotworów po przeszczepieniach obcogatunkowych u nagich myszy prowadziło do aktywności przeciwnowotworowej o szerokim zakresie w stosunku do ludzkich nowotworów, w tym raka okrężnicy, piersi, trzustki i gruczołu krokowego. Występowało hamowanie progresji zmian przerzutowych i zmniejszenie przepuszczalności naczyń mikrokrążenia.</w:t>
      </w:r>
    </w:p>
    <w:p w14:paraId="425994E7" w14:textId="77777777" w:rsidR="00071CFE" w:rsidRPr="00741122" w:rsidRDefault="00071CFE" w:rsidP="001B794B">
      <w:pPr>
        <w:rPr>
          <w:rFonts w:ascii="Times New Roman" w:eastAsia="Times New Roman" w:hAnsi="Times New Roman" w:cs="Times New Roman"/>
          <w:sz w:val="22"/>
          <w:szCs w:val="22"/>
          <w:lang w:val="lt-LT"/>
        </w:rPr>
      </w:pPr>
    </w:p>
    <w:p w14:paraId="01B23EAF" w14:textId="77777777" w:rsidR="00071CFE" w:rsidRPr="00741122" w:rsidRDefault="00071CFE" w:rsidP="001B794B">
      <w:pPr>
        <w:rPr>
          <w:rFonts w:ascii="Times New Roman" w:eastAsia="Times New Roman" w:hAnsi="Times New Roman" w:cs="Times New Roman"/>
          <w:sz w:val="22"/>
          <w:szCs w:val="22"/>
          <w:u w:val="single"/>
          <w:lang w:val="lt-LT"/>
        </w:rPr>
      </w:pPr>
      <w:bookmarkStart w:id="27" w:name="page25"/>
      <w:bookmarkEnd w:id="27"/>
      <w:r w:rsidRPr="00741122">
        <w:rPr>
          <w:rFonts w:ascii="Times New Roman" w:eastAsia="Times New Roman" w:hAnsi="Times New Roman" w:cs="Times New Roman"/>
          <w:sz w:val="22"/>
          <w:szCs w:val="22"/>
          <w:u w:val="single"/>
          <w:lang w:val="lt-LT"/>
        </w:rPr>
        <w:t>Skuteczność kliniczna</w:t>
      </w:r>
      <w:r w:rsidR="00FB2F16">
        <w:rPr>
          <w:rFonts w:ascii="Times New Roman" w:eastAsia="Times New Roman" w:hAnsi="Times New Roman" w:cs="Times New Roman"/>
          <w:sz w:val="22"/>
          <w:szCs w:val="22"/>
          <w:u w:val="single"/>
          <w:lang w:val="lt-LT"/>
        </w:rPr>
        <w:t xml:space="preserve"> i bezpieczeństwo</w:t>
      </w:r>
    </w:p>
    <w:p w14:paraId="2E1B6E1B" w14:textId="77777777" w:rsidR="00071CFE" w:rsidRPr="00741122" w:rsidRDefault="00071CFE" w:rsidP="001B794B">
      <w:pPr>
        <w:rPr>
          <w:rFonts w:ascii="Times New Roman" w:eastAsia="Times New Roman" w:hAnsi="Times New Roman" w:cs="Times New Roman"/>
          <w:sz w:val="22"/>
          <w:szCs w:val="22"/>
          <w:lang w:val="lt-LT"/>
        </w:rPr>
      </w:pPr>
    </w:p>
    <w:p w14:paraId="6D5BD3EE" w14:textId="77777777" w:rsidR="00071CFE" w:rsidRPr="00741122" w:rsidRDefault="00071CFE" w:rsidP="001B794B">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Rak okrężnicy lub odbytnicy z przerzutami (mCRC)</w:t>
      </w:r>
    </w:p>
    <w:p w14:paraId="76DE454C" w14:textId="77777777" w:rsidR="00547F46" w:rsidRPr="00741122" w:rsidRDefault="00547F46" w:rsidP="001B794B">
      <w:pPr>
        <w:rPr>
          <w:rFonts w:ascii="Times New Roman" w:eastAsia="Times New Roman" w:hAnsi="Times New Roman" w:cs="Times New Roman"/>
          <w:i/>
          <w:sz w:val="22"/>
          <w:szCs w:val="22"/>
          <w:u w:val="single"/>
          <w:lang w:val="lt-LT"/>
        </w:rPr>
      </w:pPr>
    </w:p>
    <w:p w14:paraId="48156DEB"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Bezpieczeństwo i</w:t>
      </w:r>
      <w:r w:rsidR="00545C47" w:rsidRPr="00741122">
        <w:rPr>
          <w:rFonts w:ascii="Times New Roman" w:eastAsia="Times New Roman" w:hAnsi="Times New Roman" w:cs="Times New Roman"/>
          <w:sz w:val="22"/>
          <w:szCs w:val="22"/>
          <w:lang w:val="lt-LT"/>
        </w:rPr>
        <w:t xml:space="preserve"> skuteczność zalecanej dawki (5 </w:t>
      </w:r>
      <w:r w:rsidRPr="00741122">
        <w:rPr>
          <w:rFonts w:ascii="Times New Roman" w:eastAsia="Times New Roman" w:hAnsi="Times New Roman" w:cs="Times New Roman"/>
          <w:sz w:val="22"/>
          <w:szCs w:val="22"/>
          <w:lang w:val="lt-LT"/>
        </w:rPr>
        <w:t>mg/kg</w:t>
      </w:r>
      <w:r w:rsidR="002D3AE0">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w:t>
      </w:r>
      <w:r w:rsidR="002D3AE0">
        <w:rPr>
          <w:rFonts w:ascii="Times New Roman" w:eastAsia="Times New Roman" w:hAnsi="Times New Roman" w:cs="Times New Roman"/>
          <w:sz w:val="22"/>
          <w:szCs w:val="22"/>
          <w:lang w:val="lt-LT"/>
        </w:rPr>
        <w:t>c.</w:t>
      </w:r>
      <w:r w:rsidRPr="00741122">
        <w:rPr>
          <w:rFonts w:ascii="Times New Roman" w:eastAsia="Times New Roman" w:hAnsi="Times New Roman" w:cs="Times New Roman"/>
          <w:sz w:val="22"/>
          <w:szCs w:val="22"/>
          <w:lang w:val="lt-LT"/>
        </w:rPr>
        <w:t xml:space="preserve"> co dwa tygodnie) w raku okrężnicy lub odbytnicy z przerzutami było badane w trzech randomizowanych badaniach klinicznych z aktywną kontrolą, w skojarzeniu z chemioterapią pierwszego rzutu opartą na pochodnych fluoropirymidyny. </w:t>
      </w:r>
      <w:r w:rsidR="00FB2F1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był skojarzony z dwoma schematami leczenia:</w:t>
      </w:r>
    </w:p>
    <w:p w14:paraId="7926AD34" w14:textId="77777777" w:rsidR="00071CFE" w:rsidRPr="00741122" w:rsidRDefault="00071CFE" w:rsidP="001B794B">
      <w:pPr>
        <w:rPr>
          <w:rFonts w:ascii="Times New Roman" w:eastAsia="Times New Roman" w:hAnsi="Times New Roman" w:cs="Times New Roman"/>
          <w:sz w:val="22"/>
          <w:szCs w:val="22"/>
          <w:lang w:val="lt-LT"/>
        </w:rPr>
      </w:pPr>
    </w:p>
    <w:p w14:paraId="5BCFA61D" w14:textId="77777777" w:rsidR="00071CFE" w:rsidRPr="00741122" w:rsidRDefault="00071CFE" w:rsidP="006E6EF1">
      <w:pPr>
        <w:numPr>
          <w:ilvl w:val="0"/>
          <w:numId w:val="82"/>
        </w:numPr>
        <w:autoSpaceDE w:val="0"/>
        <w:autoSpaceDN w:val="0"/>
        <w:adjustRightInd w:val="0"/>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AVF2107g: schemat dawkowania raz w tygodniu o składzie: irynotekan/5-fluorouracyl (bolus)/kwas folinowy (IFL) ogółem przez 4 tygodnie w każdym cyklu 6-tygodniowym (Saltz).</w:t>
      </w:r>
    </w:p>
    <w:p w14:paraId="48249B0C" w14:textId="77777777" w:rsidR="00071CFE" w:rsidRPr="00741122" w:rsidRDefault="00071CFE" w:rsidP="006E6EF1">
      <w:pPr>
        <w:numPr>
          <w:ilvl w:val="0"/>
          <w:numId w:val="82"/>
        </w:numPr>
        <w:autoSpaceDE w:val="0"/>
        <w:autoSpaceDN w:val="0"/>
        <w:adjustRightInd w:val="0"/>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AVF0780g: w skojarzeniu z 5-fluorouracylem/kwasem folinowym (5-FU/FA) w postaci bolusu ogółem przez 6 tygodni w każdym cyklu 8-tygodniowym (Roswell Park).</w:t>
      </w:r>
    </w:p>
    <w:p w14:paraId="3F5D0682" w14:textId="77777777" w:rsidR="00071CFE" w:rsidRPr="00741122" w:rsidRDefault="00071CFE" w:rsidP="006E6EF1">
      <w:pPr>
        <w:numPr>
          <w:ilvl w:val="0"/>
          <w:numId w:val="82"/>
        </w:numPr>
        <w:autoSpaceDE w:val="0"/>
        <w:autoSpaceDN w:val="0"/>
        <w:adjustRightInd w:val="0"/>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AVF2192g: w skojarzeniu z bolusem 5-FU/FA ogółem przez 6 tygodni w każdym cyklu</w:t>
      </w:r>
      <w:r w:rsidR="00545C47"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8</w:t>
      </w:r>
      <w:r w:rsidR="00AA2BAB">
        <w:rPr>
          <w:rFonts w:ascii="Times New Roman" w:eastAsia="Times New Roman" w:hAnsi="Times New Roman" w:cs="Times New Roman"/>
          <w:sz w:val="22"/>
          <w:szCs w:val="22"/>
          <w:lang w:val="lt-LT"/>
        </w:rPr>
        <w:noBreakHyphen/>
      </w:r>
      <w:r w:rsidRPr="00741122">
        <w:rPr>
          <w:rFonts w:ascii="Times New Roman" w:eastAsia="Times New Roman" w:hAnsi="Times New Roman" w:cs="Times New Roman"/>
          <w:sz w:val="22"/>
          <w:szCs w:val="22"/>
          <w:lang w:val="lt-LT"/>
        </w:rPr>
        <w:t>tygodniowym (Roswell Park) u pacjentów, którzy nie byli optymalnymi kandydatami do chemioterapii pierwszego rzutu z zastosowaniem irynotekanu.</w:t>
      </w:r>
    </w:p>
    <w:p w14:paraId="6ECF7953" w14:textId="77777777" w:rsidR="00071CFE" w:rsidRPr="00741122" w:rsidRDefault="00071CFE" w:rsidP="001B794B">
      <w:pPr>
        <w:tabs>
          <w:tab w:val="left" w:pos="542"/>
        </w:tabs>
        <w:rPr>
          <w:rFonts w:ascii="Times New Roman" w:eastAsia="Times New Roman" w:hAnsi="Times New Roman" w:cs="Times New Roman"/>
          <w:sz w:val="22"/>
          <w:szCs w:val="22"/>
          <w:lang w:val="lt-LT"/>
        </w:rPr>
      </w:pPr>
    </w:p>
    <w:p w14:paraId="286E45A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Przeprowadzono trzy dodatkowe badania dotyczące stosowania bewacyzumabu u pacjentów z rakiem okrężnicy lub odbytnicy z przerzutami: w leczeniu pierwszego rzutu (NO16966), drugiego rzutu bez uprzedniego leczenia bewacyzumabem (E3200) i drugiego rzutu, po uprzednim leczeniu bewacyzumabem, po wystąpieniu progresji w pierwszym rzucie (ML18147). W tych badaniach bewacyzumab podawano w następujących schematach w skojarzeniu z chemioterapią FOLFOX-4 (5-fluorouracyl/leukoworyna/oksaliplatyna) i XELOX (kapecytabina/oksaliplatyna) oraz fluoropirymidyną/irynotekanem i fluoropirymidyną/oksaliplatyną:</w:t>
      </w:r>
    </w:p>
    <w:p w14:paraId="29733C70" w14:textId="77777777" w:rsidR="00071CFE" w:rsidRPr="00741122" w:rsidRDefault="00071CFE" w:rsidP="00547F46">
      <w:pPr>
        <w:rPr>
          <w:rFonts w:ascii="Times New Roman" w:eastAsia="Times New Roman" w:hAnsi="Times New Roman" w:cs="Times New Roman"/>
          <w:sz w:val="22"/>
          <w:szCs w:val="22"/>
          <w:lang w:val="lt-LT"/>
        </w:rPr>
      </w:pPr>
    </w:p>
    <w:p w14:paraId="44E25893" w14:textId="77777777" w:rsidR="00071CFE" w:rsidRPr="00741122" w:rsidRDefault="00E26C6C" w:rsidP="008326F1">
      <w:pPr>
        <w:numPr>
          <w:ilvl w:val="0"/>
          <w:numId w:val="83"/>
        </w:numPr>
        <w:tabs>
          <w:tab w:val="left" w:pos="54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sz w:val="22"/>
          <w:szCs w:val="22"/>
          <w:lang w:val="lt-LT"/>
        </w:rPr>
        <w:t xml:space="preserve">NO16966: </w:t>
      </w:r>
      <w:r w:rsidR="00FB2F1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7,5 </w:t>
      </w:r>
      <w:r w:rsidR="00071CFE" w:rsidRPr="00741122">
        <w:rPr>
          <w:rFonts w:ascii="Times New Roman" w:eastAsia="Times New Roman" w:hAnsi="Times New Roman" w:cs="Times New Roman"/>
          <w:sz w:val="22"/>
          <w:szCs w:val="22"/>
          <w:lang w:val="lt-LT"/>
        </w:rPr>
        <w:t>mg/kg</w:t>
      </w:r>
      <w:r w:rsidR="002D3AE0">
        <w:rPr>
          <w:rFonts w:ascii="Times New Roman" w:eastAsia="Times New Roman" w:hAnsi="Times New Roman" w:cs="Times New Roman"/>
          <w:sz w:val="22"/>
          <w:szCs w:val="22"/>
          <w:lang w:val="lt-LT"/>
        </w:rPr>
        <w:t> </w:t>
      </w:r>
      <w:r w:rsidR="00071CFE" w:rsidRPr="00741122">
        <w:rPr>
          <w:rFonts w:ascii="Times New Roman" w:eastAsia="Times New Roman" w:hAnsi="Times New Roman" w:cs="Times New Roman"/>
          <w:sz w:val="22"/>
          <w:szCs w:val="22"/>
          <w:lang w:val="lt-LT"/>
        </w:rPr>
        <w:t>mc. co 3 tygodnie w skojarzeniu z kapecytabiną podawaną doustnie i oksaliplatyną podawaną</w:t>
      </w:r>
      <w:r w:rsidRPr="00741122">
        <w:rPr>
          <w:rFonts w:ascii="Times New Roman" w:eastAsia="Times New Roman" w:hAnsi="Times New Roman" w:cs="Times New Roman"/>
          <w:sz w:val="22"/>
          <w:szCs w:val="22"/>
          <w:lang w:val="lt-LT"/>
        </w:rPr>
        <w:t xml:space="preserve"> dożylnie (XELOX) lub </w:t>
      </w:r>
      <w:r w:rsidR="00FB2F1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5 </w:t>
      </w:r>
      <w:r w:rsidR="00071CFE" w:rsidRPr="00741122">
        <w:rPr>
          <w:rFonts w:ascii="Times New Roman" w:eastAsia="Times New Roman" w:hAnsi="Times New Roman" w:cs="Times New Roman"/>
          <w:sz w:val="22"/>
          <w:szCs w:val="22"/>
          <w:lang w:val="lt-LT"/>
        </w:rPr>
        <w:t>mg/kg</w:t>
      </w:r>
      <w:r w:rsidR="004850A9">
        <w:rPr>
          <w:rFonts w:ascii="Times New Roman" w:eastAsia="Times New Roman" w:hAnsi="Times New Roman" w:cs="Times New Roman"/>
          <w:sz w:val="22"/>
          <w:szCs w:val="22"/>
          <w:lang w:val="lt-LT"/>
        </w:rPr>
        <w:t> mc.</w:t>
      </w:r>
      <w:r w:rsidR="00071CFE" w:rsidRPr="00741122">
        <w:rPr>
          <w:rFonts w:ascii="Times New Roman" w:eastAsia="Times New Roman" w:hAnsi="Times New Roman" w:cs="Times New Roman"/>
          <w:sz w:val="22"/>
          <w:szCs w:val="22"/>
          <w:lang w:val="lt-LT"/>
        </w:rPr>
        <w:t xml:space="preserve"> co 2 tygodnie w skojarzeniu z leukoworyną i 5-fluorouracylem w bolusie, następnie 5-fluorouracylem w</w:t>
      </w:r>
      <w:r w:rsidR="00CE2844">
        <w:rPr>
          <w:rFonts w:ascii="Times New Roman" w:eastAsia="Times New Roman" w:hAnsi="Times New Roman" w:cs="Times New Roman"/>
          <w:sz w:val="22"/>
          <w:szCs w:val="22"/>
          <w:lang w:val="lt-LT"/>
        </w:rPr>
        <w:t xml:space="preserve"> infuzji</w:t>
      </w:r>
      <w:r w:rsidR="00071CFE" w:rsidRPr="00741122">
        <w:rPr>
          <w:rFonts w:ascii="Times New Roman" w:eastAsia="Times New Roman" w:hAnsi="Times New Roman" w:cs="Times New Roman"/>
          <w:sz w:val="22"/>
          <w:szCs w:val="22"/>
          <w:lang w:val="lt-LT"/>
        </w:rPr>
        <w:t xml:space="preserve"> i oksaliplatyną podawaną dożylnie (FOLFOX-4).</w:t>
      </w:r>
    </w:p>
    <w:p w14:paraId="3A6CC89C" w14:textId="77777777" w:rsidR="00071CFE" w:rsidRPr="00741122" w:rsidRDefault="00E26C6C" w:rsidP="008326F1">
      <w:pPr>
        <w:numPr>
          <w:ilvl w:val="0"/>
          <w:numId w:val="83"/>
        </w:numPr>
        <w:tabs>
          <w:tab w:val="left" w:pos="54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sz w:val="22"/>
          <w:szCs w:val="22"/>
          <w:lang w:val="lt-LT"/>
        </w:rPr>
        <w:t xml:space="preserve">E3200: </w:t>
      </w:r>
      <w:r w:rsidR="00FB2F1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10 </w:t>
      </w:r>
      <w:r w:rsidR="00071CFE" w:rsidRPr="00741122">
        <w:rPr>
          <w:rFonts w:ascii="Times New Roman" w:eastAsia="Times New Roman" w:hAnsi="Times New Roman" w:cs="Times New Roman"/>
          <w:sz w:val="22"/>
          <w:szCs w:val="22"/>
          <w:lang w:val="lt-LT"/>
        </w:rPr>
        <w:t>mg/kg</w:t>
      </w:r>
      <w:r w:rsidR="004850A9">
        <w:rPr>
          <w:rFonts w:ascii="Times New Roman" w:eastAsia="Times New Roman" w:hAnsi="Times New Roman" w:cs="Times New Roman"/>
          <w:sz w:val="22"/>
          <w:szCs w:val="22"/>
          <w:lang w:val="lt-LT"/>
        </w:rPr>
        <w:t> </w:t>
      </w:r>
      <w:r w:rsidR="00071CFE" w:rsidRPr="00741122">
        <w:rPr>
          <w:rFonts w:ascii="Times New Roman" w:eastAsia="Times New Roman" w:hAnsi="Times New Roman" w:cs="Times New Roman"/>
          <w:sz w:val="22"/>
          <w:szCs w:val="22"/>
          <w:lang w:val="lt-LT"/>
        </w:rPr>
        <w:t>mc. co 2 tygodnie w skojarzeniu leukoworyną i 5-fluorouracylem w bolusie, następnie 5-fluorouracylem w</w:t>
      </w:r>
      <w:r w:rsidR="00CE2844">
        <w:rPr>
          <w:rFonts w:ascii="Times New Roman" w:eastAsia="Times New Roman" w:hAnsi="Times New Roman" w:cs="Times New Roman"/>
          <w:sz w:val="22"/>
          <w:szCs w:val="22"/>
          <w:lang w:val="lt-LT"/>
        </w:rPr>
        <w:t xml:space="preserve"> infuzji</w:t>
      </w:r>
      <w:r w:rsidR="00071CFE" w:rsidRPr="00741122">
        <w:rPr>
          <w:rFonts w:ascii="Times New Roman" w:eastAsia="Times New Roman" w:hAnsi="Times New Roman" w:cs="Times New Roman"/>
          <w:sz w:val="22"/>
          <w:szCs w:val="22"/>
          <w:lang w:val="lt-LT"/>
        </w:rPr>
        <w:t xml:space="preserve"> i oksaliplatyną dożylnie (FOLFOX-4) u pacjentów, którzy nie byli wcześniej leczeni bewacyzumabem.</w:t>
      </w:r>
    </w:p>
    <w:p w14:paraId="7A58CDE7" w14:textId="77777777" w:rsidR="00071CFE" w:rsidRPr="00741122" w:rsidRDefault="00E26C6C" w:rsidP="008326F1">
      <w:pPr>
        <w:numPr>
          <w:ilvl w:val="0"/>
          <w:numId w:val="83"/>
        </w:numPr>
        <w:tabs>
          <w:tab w:val="left" w:pos="54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sz w:val="22"/>
          <w:szCs w:val="22"/>
          <w:lang w:val="lt-LT"/>
        </w:rPr>
        <w:t xml:space="preserve">ML18147: </w:t>
      </w:r>
      <w:r w:rsidR="00FB2F1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5,0 </w:t>
      </w:r>
      <w:r w:rsidR="00071CFE" w:rsidRPr="00741122">
        <w:rPr>
          <w:rFonts w:ascii="Times New Roman" w:eastAsia="Times New Roman" w:hAnsi="Times New Roman" w:cs="Times New Roman"/>
          <w:sz w:val="22"/>
          <w:szCs w:val="22"/>
          <w:lang w:val="lt-LT"/>
        </w:rPr>
        <w:t>mg/kg</w:t>
      </w:r>
      <w:r w:rsidR="004850A9">
        <w:rPr>
          <w:rFonts w:ascii="Times New Roman" w:eastAsia="Times New Roman" w:hAnsi="Times New Roman" w:cs="Times New Roman"/>
          <w:sz w:val="22"/>
          <w:szCs w:val="22"/>
          <w:lang w:val="lt-LT"/>
        </w:rPr>
        <w:t> </w:t>
      </w:r>
      <w:r w:rsidR="00071CFE" w:rsidRPr="00741122">
        <w:rPr>
          <w:rFonts w:ascii="Times New Roman" w:eastAsia="Times New Roman" w:hAnsi="Times New Roman" w:cs="Times New Roman"/>
          <w:sz w:val="22"/>
          <w:szCs w:val="22"/>
          <w:lang w:val="lt-LT"/>
        </w:rPr>
        <w:t>mc</w:t>
      </w:r>
      <w:r w:rsidRPr="00741122">
        <w:rPr>
          <w:rFonts w:ascii="Times New Roman" w:eastAsia="Times New Roman" w:hAnsi="Times New Roman" w:cs="Times New Roman"/>
          <w:sz w:val="22"/>
          <w:szCs w:val="22"/>
          <w:lang w:val="lt-LT"/>
        </w:rPr>
        <w:t xml:space="preserve">. co 2 tygodnie lub </w:t>
      </w:r>
      <w:r w:rsidR="00FB2F16">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7,5 </w:t>
      </w:r>
      <w:r w:rsidR="00071CFE" w:rsidRPr="00741122">
        <w:rPr>
          <w:rFonts w:ascii="Times New Roman" w:eastAsia="Times New Roman" w:hAnsi="Times New Roman" w:cs="Times New Roman"/>
          <w:sz w:val="22"/>
          <w:szCs w:val="22"/>
          <w:lang w:val="lt-LT"/>
        </w:rPr>
        <w:t>mg/kg</w:t>
      </w:r>
      <w:r w:rsidR="004850A9">
        <w:rPr>
          <w:rFonts w:ascii="Times New Roman" w:eastAsia="Times New Roman" w:hAnsi="Times New Roman" w:cs="Times New Roman"/>
          <w:sz w:val="22"/>
          <w:szCs w:val="22"/>
          <w:lang w:val="lt-LT"/>
        </w:rPr>
        <w:t> </w:t>
      </w:r>
      <w:r w:rsidR="00071CFE" w:rsidRPr="00741122">
        <w:rPr>
          <w:rFonts w:ascii="Times New Roman" w:eastAsia="Times New Roman" w:hAnsi="Times New Roman" w:cs="Times New Roman"/>
          <w:sz w:val="22"/>
          <w:szCs w:val="22"/>
          <w:lang w:val="lt-LT"/>
        </w:rPr>
        <w:t>mc. co 3 tygodnie w skojarzeniu z fluoropirymidyną/irynotekanem lub fluoropirymidyną/oksaliplatyną u pacjentów, u których po zastosowaniu bewacyzumabu w leczeniu pierwszego rzutu wystąpiła progresja choroby. Zamiennie stosowano schemat z użyciem irynotekanu lub oksaliplatyny w zależności od tego, który z tych produktów stosowano w pierwszym rzucie.</w:t>
      </w:r>
    </w:p>
    <w:p w14:paraId="3BE010D4" w14:textId="77777777" w:rsidR="00071CFE" w:rsidRPr="00741122" w:rsidRDefault="00071CFE" w:rsidP="001B794B">
      <w:pPr>
        <w:rPr>
          <w:rFonts w:ascii="Times New Roman" w:eastAsia="Times New Roman" w:hAnsi="Times New Roman" w:cs="Times New Roman"/>
          <w:sz w:val="22"/>
          <w:szCs w:val="22"/>
          <w:lang w:val="lt-LT"/>
        </w:rPr>
      </w:pPr>
    </w:p>
    <w:p w14:paraId="1DF25CE0" w14:textId="77777777" w:rsidR="00071CFE" w:rsidRPr="00741122" w:rsidRDefault="00071CFE" w:rsidP="001B794B">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AVF2107g</w:t>
      </w:r>
    </w:p>
    <w:p w14:paraId="75E1B844"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Było to randomizowane badanie kliniczne </w:t>
      </w:r>
      <w:r w:rsidR="004850A9">
        <w:rPr>
          <w:rFonts w:ascii="Times New Roman" w:eastAsia="Times New Roman" w:hAnsi="Times New Roman" w:cs="Times New Roman"/>
          <w:sz w:val="22"/>
          <w:szCs w:val="22"/>
          <w:lang w:val="lt-LT"/>
        </w:rPr>
        <w:t>III</w:t>
      </w:r>
      <w:r w:rsidRPr="00741122">
        <w:rPr>
          <w:rFonts w:ascii="Times New Roman" w:eastAsia="Times New Roman" w:hAnsi="Times New Roman" w:cs="Times New Roman"/>
          <w:sz w:val="22"/>
          <w:szCs w:val="22"/>
          <w:lang w:val="lt-LT"/>
        </w:rPr>
        <w:t xml:space="preserve"> fazy, z podwójnie ślepą próbą i aktywną kontrolą, oceniające zastosowanie </w:t>
      </w:r>
      <w:r w:rsidR="00FB2F16">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 IFL jako leczenia pierwszego rzutu w raku okrężnicy lub odbytnicy z przerzutami. 813 pacjentów zostało losowo przydzielonych do grup otrzymujących IFL + placebo</w:t>
      </w:r>
      <w:r w:rsidR="00E26C6C" w:rsidRPr="00741122">
        <w:rPr>
          <w:rFonts w:ascii="Times New Roman" w:eastAsia="Times New Roman" w:hAnsi="Times New Roman" w:cs="Times New Roman"/>
          <w:sz w:val="22"/>
          <w:szCs w:val="22"/>
          <w:lang w:val="lt-LT"/>
        </w:rPr>
        <w:t xml:space="preserve"> (Ramię 1) lub IFL + </w:t>
      </w:r>
      <w:r w:rsidR="00FB2F16">
        <w:rPr>
          <w:rFonts w:ascii="Times New Roman" w:eastAsia="Times New Roman" w:hAnsi="Times New Roman" w:cs="Times New Roman"/>
          <w:sz w:val="22"/>
          <w:szCs w:val="22"/>
          <w:lang w:val="lt-LT"/>
        </w:rPr>
        <w:t>bewacyzumab</w:t>
      </w:r>
      <w:r w:rsidR="00E26C6C" w:rsidRPr="00741122">
        <w:rPr>
          <w:rFonts w:ascii="Times New Roman" w:eastAsia="Times New Roman" w:hAnsi="Times New Roman" w:cs="Times New Roman"/>
          <w:sz w:val="22"/>
          <w:szCs w:val="22"/>
          <w:lang w:val="lt-LT"/>
        </w:rPr>
        <w:t xml:space="preserve"> (5 </w:t>
      </w:r>
      <w:r w:rsidRPr="00741122">
        <w:rPr>
          <w:rFonts w:ascii="Times New Roman" w:eastAsia="Times New Roman" w:hAnsi="Times New Roman" w:cs="Times New Roman"/>
          <w:sz w:val="22"/>
          <w:szCs w:val="22"/>
          <w:lang w:val="lt-LT"/>
        </w:rPr>
        <w:t>mg/kg</w:t>
      </w:r>
      <w:r w:rsidR="004850A9">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dwa tygodnie, Ramię 2). Trzecia grupa licząca 110 pacjentów otrzymała 5-FU (bolus)/FA + </w:t>
      </w:r>
      <w:r w:rsidR="002602D2">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(Ramię 3). Rekrutację do grupy 3 przerwano, zgodnie z wcześniejszymi ustaleniami, gdy bezpieczeństwo </w:t>
      </w:r>
      <w:r w:rsidR="002602D2">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ze schematem IFL zostało określone i uznane za możliwe do zaakceptowania. Wszystkie rodzaje leczenia były kontynuowane do czasu wystąpienia progresji choroby. Średnia wieku ogółem wynosiła 59,4 lat; u 56,6% pacjentów sprawność według klasyfikacji ECOG wynosiła 0, u 43% osiągała wartość 1, a u 0,4% – wartość 2. 15,5% pacjentów otrzymywało wcześniej radioterapię i 28,4% otrzymywało wcześniej chemioterapię.</w:t>
      </w:r>
    </w:p>
    <w:p w14:paraId="6F670010" w14:textId="77777777" w:rsidR="00071CFE" w:rsidRPr="00741122" w:rsidRDefault="00071CFE" w:rsidP="001B794B">
      <w:pPr>
        <w:rPr>
          <w:rFonts w:ascii="Times New Roman" w:eastAsia="Times New Roman" w:hAnsi="Times New Roman" w:cs="Times New Roman"/>
          <w:sz w:val="22"/>
          <w:szCs w:val="22"/>
          <w:lang w:val="lt-LT"/>
        </w:rPr>
      </w:pPr>
    </w:p>
    <w:p w14:paraId="5D7A4D49"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Głównym kryterium skuteczności w badaniu był całkowity czas przeżycia. Dodanie </w:t>
      </w:r>
      <w:r w:rsidR="002602D2">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do schematu IFL spowodowało statystycznie istotne wydłużenie całkowitego czasu przeżycia, czasu bez progresji choroby oraz całkowitego odsetka odpowiedzi (patrz Tabela 4). Kliniczne korzyści związane z zastosowaniem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mierzone jako wydłużenie całkowitego czasu przeżycia,</w:t>
      </w:r>
      <w:r w:rsidR="00C92850" w:rsidRPr="00741122">
        <w:rPr>
          <w:rFonts w:ascii="Times New Roman" w:eastAsia="Times New Roman" w:hAnsi="Times New Roman" w:cs="Times New Roman"/>
          <w:sz w:val="22"/>
          <w:szCs w:val="22"/>
          <w:lang w:val="lt-LT"/>
        </w:rPr>
        <w:t xml:space="preserve"> </w:t>
      </w:r>
      <w:bookmarkStart w:id="28" w:name="page26"/>
      <w:bookmarkEnd w:id="28"/>
      <w:r w:rsidRPr="00741122">
        <w:rPr>
          <w:rFonts w:ascii="Times New Roman" w:eastAsia="Times New Roman" w:hAnsi="Times New Roman" w:cs="Times New Roman"/>
          <w:sz w:val="22"/>
          <w:szCs w:val="22"/>
          <w:lang w:val="lt-LT"/>
        </w:rPr>
        <w:t>były widoczne we wszystkich opisanych wcześniej podgrupach pacjentów, wyodrębnionych ze względu na wiek, płeć, stopień sprawności, lokalizację pierwotnej zmiany nowotworowej, liczbę narządów objętych procesem chorobowym i czas od pojawienia się przerzutów.</w:t>
      </w:r>
    </w:p>
    <w:p w14:paraId="37F3E3E1" w14:textId="77777777" w:rsidR="00071CFE" w:rsidRPr="00741122" w:rsidRDefault="00071CFE" w:rsidP="001B794B">
      <w:pPr>
        <w:rPr>
          <w:rFonts w:ascii="Times New Roman" w:eastAsia="Times New Roman" w:hAnsi="Times New Roman" w:cs="Times New Roman"/>
          <w:sz w:val="22"/>
          <w:szCs w:val="22"/>
          <w:lang w:val="lt-LT"/>
        </w:rPr>
      </w:pPr>
    </w:p>
    <w:p w14:paraId="2279F9F8" w14:textId="77777777" w:rsidR="00071CFE" w:rsidRPr="00741122" w:rsidRDefault="00071CFE" w:rsidP="001B794B">
      <w:pPr>
        <w:tabs>
          <w:tab w:val="left" w:pos="1200"/>
        </w:tab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Wyniki oceny skuteczności </w:t>
      </w:r>
      <w:r w:rsidR="002602D2">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 chemioterapią IFL zostały przedstawione w Tabeli 4.</w:t>
      </w:r>
    </w:p>
    <w:p w14:paraId="3C7760A8" w14:textId="77777777" w:rsidR="00CF57C6" w:rsidRPr="00741122" w:rsidRDefault="00CF57C6" w:rsidP="001B794B">
      <w:pPr>
        <w:rPr>
          <w:rFonts w:ascii="Times New Roman" w:eastAsia="Times New Roman" w:hAnsi="Times New Roman" w:cs="Times New Roman"/>
          <w:sz w:val="22"/>
          <w:szCs w:val="22"/>
          <w:lang w:val="lt-LT"/>
        </w:rPr>
      </w:pPr>
    </w:p>
    <w:p w14:paraId="4AC3E466" w14:textId="77777777" w:rsidR="00071CFE" w:rsidRPr="00741122" w:rsidRDefault="004D55CB" w:rsidP="001B794B">
      <w:pPr>
        <w:keepNext/>
        <w:tabs>
          <w:tab w:val="left" w:pos="0"/>
        </w:tabs>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lastRenderedPageBreak/>
        <w:t>Tabela 4</w:t>
      </w:r>
      <w:r w:rsidR="004850A9">
        <w:rPr>
          <w:rFonts w:ascii="Times New Roman" w:eastAsia="Times New Roman" w:hAnsi="Times New Roman" w:cs="Times New Roman"/>
          <w:b/>
          <w:sz w:val="22"/>
          <w:szCs w:val="22"/>
          <w:lang w:val="lt-LT"/>
        </w:rPr>
        <w:t>.</w:t>
      </w:r>
      <w:r w:rsidR="00E26C6C" w:rsidRPr="00741122">
        <w:rPr>
          <w:rFonts w:ascii="Times New Roman" w:eastAsia="Times New Roman" w:hAnsi="Times New Roman" w:cs="Times New Roman"/>
          <w:b/>
          <w:sz w:val="22"/>
          <w:szCs w:val="22"/>
          <w:lang w:val="lt-LT"/>
        </w:rPr>
        <w:t xml:space="preserve"> </w:t>
      </w:r>
      <w:r w:rsidR="00071CFE" w:rsidRPr="00741122">
        <w:rPr>
          <w:rFonts w:ascii="Times New Roman" w:eastAsia="Times New Roman" w:hAnsi="Times New Roman" w:cs="Times New Roman"/>
          <w:b/>
          <w:sz w:val="22"/>
          <w:szCs w:val="22"/>
          <w:lang w:val="lt-LT"/>
        </w:rPr>
        <w:t>Wyniki oceny skuteczności dla badania AVF2107g</w:t>
      </w:r>
    </w:p>
    <w:p w14:paraId="581DEEF3" w14:textId="77777777" w:rsidR="00071CFE" w:rsidRPr="001B794B" w:rsidRDefault="00071CFE" w:rsidP="001B794B">
      <w:pPr>
        <w:keepNext/>
        <w:rPr>
          <w:rFonts w:ascii="Times New Roman" w:eastAsia="Times New Roman" w:hAnsi="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0"/>
        <w:gridCol w:w="2580"/>
        <w:gridCol w:w="2600"/>
      </w:tblGrid>
      <w:tr w:rsidR="001778E9" w:rsidRPr="00310BA6" w14:paraId="54CBC094" w14:textId="77777777" w:rsidTr="004D6DAA">
        <w:trPr>
          <w:trHeight w:val="204"/>
          <w:tblHeader/>
        </w:trPr>
        <w:tc>
          <w:tcPr>
            <w:tcW w:w="3540" w:type="dxa"/>
            <w:vMerge w:val="restart"/>
            <w:vAlign w:val="bottom"/>
          </w:tcPr>
          <w:p w14:paraId="0F64CE93" w14:textId="77777777" w:rsidR="001778E9" w:rsidRPr="00310BA6" w:rsidRDefault="001778E9" w:rsidP="00544143">
            <w:pPr>
              <w:keepNext/>
              <w:keepLines/>
              <w:spacing w:line="0" w:lineRule="atLeast"/>
              <w:rPr>
                <w:rFonts w:ascii="Times New Roman" w:eastAsia="Times New Roman" w:hAnsi="Times New Roman" w:cs="Times New Roman"/>
                <w:sz w:val="22"/>
                <w:szCs w:val="22"/>
                <w:lang w:val="lt-LT"/>
              </w:rPr>
            </w:pPr>
          </w:p>
        </w:tc>
        <w:tc>
          <w:tcPr>
            <w:tcW w:w="5180" w:type="dxa"/>
            <w:gridSpan w:val="2"/>
          </w:tcPr>
          <w:p w14:paraId="29559F44" w14:textId="77777777" w:rsidR="001778E9" w:rsidRPr="00626E77" w:rsidRDefault="001778E9" w:rsidP="00310BA6">
            <w:pPr>
              <w:keepNext/>
              <w:keepLines/>
              <w:spacing w:line="0" w:lineRule="atLeast"/>
              <w:ind w:left="80"/>
              <w:jc w:val="center"/>
              <w:rPr>
                <w:rFonts w:ascii="Times New Roman" w:eastAsia="Times New Roman" w:hAnsi="Times New Roman" w:cs="Times New Roman"/>
                <w:b/>
                <w:w w:val="98"/>
                <w:sz w:val="22"/>
                <w:szCs w:val="22"/>
                <w:lang w:val="lt-LT"/>
              </w:rPr>
            </w:pPr>
            <w:r w:rsidRPr="00626E77">
              <w:rPr>
                <w:rFonts w:ascii="Times New Roman" w:eastAsia="Times New Roman" w:hAnsi="Times New Roman" w:cs="Times New Roman"/>
                <w:b/>
                <w:sz w:val="22"/>
                <w:szCs w:val="22"/>
                <w:lang w:val="lt-LT"/>
              </w:rPr>
              <w:t>AVF2107g</w:t>
            </w:r>
          </w:p>
        </w:tc>
      </w:tr>
      <w:tr w:rsidR="001778E9" w:rsidRPr="00310BA6" w14:paraId="593299FD" w14:textId="77777777" w:rsidTr="004D6DAA">
        <w:trPr>
          <w:trHeight w:val="636"/>
          <w:tblHeader/>
        </w:trPr>
        <w:tc>
          <w:tcPr>
            <w:tcW w:w="3540" w:type="dxa"/>
            <w:vMerge/>
            <w:vAlign w:val="bottom"/>
          </w:tcPr>
          <w:p w14:paraId="27A7D58B" w14:textId="77777777" w:rsidR="001778E9" w:rsidRPr="00310BA6" w:rsidRDefault="001778E9" w:rsidP="00544143">
            <w:pPr>
              <w:keepNext/>
              <w:keepLines/>
              <w:spacing w:line="0" w:lineRule="atLeast"/>
              <w:rPr>
                <w:rFonts w:ascii="Times New Roman" w:eastAsia="Times New Roman" w:hAnsi="Times New Roman" w:cs="Times New Roman"/>
                <w:sz w:val="22"/>
                <w:szCs w:val="22"/>
                <w:lang w:val="lt-LT"/>
              </w:rPr>
            </w:pPr>
          </w:p>
        </w:tc>
        <w:tc>
          <w:tcPr>
            <w:tcW w:w="2580" w:type="dxa"/>
            <w:vAlign w:val="center"/>
          </w:tcPr>
          <w:p w14:paraId="6CB7FEEC" w14:textId="77777777" w:rsidR="00544143" w:rsidRPr="00626E77" w:rsidRDefault="001778E9" w:rsidP="006B5DE3">
            <w:pPr>
              <w:keepNext/>
              <w:keepLines/>
              <w:spacing w:line="0" w:lineRule="atLeast"/>
              <w:ind w:left="80"/>
              <w:jc w:val="center"/>
              <w:rPr>
                <w:rFonts w:ascii="Times New Roman" w:eastAsia="Times New Roman" w:hAnsi="Times New Roman" w:cs="Times New Roman"/>
                <w:b/>
                <w:sz w:val="22"/>
                <w:szCs w:val="22"/>
                <w:lang w:val="lt-LT"/>
              </w:rPr>
            </w:pPr>
            <w:r w:rsidRPr="00626E77">
              <w:rPr>
                <w:rFonts w:ascii="Times New Roman" w:eastAsia="Times New Roman" w:hAnsi="Times New Roman" w:cs="Times New Roman"/>
                <w:b/>
                <w:sz w:val="22"/>
                <w:szCs w:val="22"/>
                <w:lang w:val="lt-LT"/>
              </w:rPr>
              <w:t>Ramię 1</w:t>
            </w:r>
          </w:p>
          <w:p w14:paraId="69BBA43C" w14:textId="77777777" w:rsidR="001778E9" w:rsidRPr="00626E77" w:rsidRDefault="001778E9" w:rsidP="006B5DE3">
            <w:pPr>
              <w:keepNext/>
              <w:keepLines/>
              <w:spacing w:line="0" w:lineRule="atLeast"/>
              <w:ind w:left="80"/>
              <w:jc w:val="center"/>
              <w:rPr>
                <w:rFonts w:ascii="Times New Roman" w:eastAsia="Times New Roman" w:hAnsi="Times New Roman" w:cs="Times New Roman"/>
                <w:b/>
                <w:sz w:val="22"/>
                <w:szCs w:val="22"/>
                <w:lang w:val="lt-LT"/>
              </w:rPr>
            </w:pPr>
            <w:r w:rsidRPr="00626E77">
              <w:rPr>
                <w:rFonts w:ascii="Times New Roman" w:eastAsia="Times New Roman" w:hAnsi="Times New Roman" w:cs="Times New Roman"/>
                <w:b/>
                <w:sz w:val="22"/>
                <w:szCs w:val="22"/>
                <w:lang w:val="lt-LT"/>
              </w:rPr>
              <w:t>IFL + placebo</w:t>
            </w:r>
          </w:p>
        </w:tc>
        <w:tc>
          <w:tcPr>
            <w:tcW w:w="2600" w:type="dxa"/>
            <w:vAlign w:val="center"/>
          </w:tcPr>
          <w:p w14:paraId="5E987F6A" w14:textId="77777777" w:rsidR="001778E9" w:rsidRPr="00626E77" w:rsidRDefault="001778E9" w:rsidP="006B5DE3">
            <w:pPr>
              <w:keepNext/>
              <w:keepLines/>
              <w:spacing w:line="0" w:lineRule="atLeast"/>
              <w:ind w:left="80"/>
              <w:jc w:val="center"/>
              <w:rPr>
                <w:rFonts w:ascii="Times New Roman" w:eastAsia="Times New Roman" w:hAnsi="Times New Roman" w:cs="Times New Roman"/>
                <w:b/>
                <w:sz w:val="22"/>
                <w:szCs w:val="22"/>
                <w:lang w:val="lt-LT"/>
              </w:rPr>
            </w:pPr>
            <w:r w:rsidRPr="00626E77">
              <w:rPr>
                <w:rFonts w:ascii="Times New Roman" w:eastAsia="Times New Roman" w:hAnsi="Times New Roman" w:cs="Times New Roman"/>
                <w:b/>
                <w:sz w:val="22"/>
                <w:szCs w:val="22"/>
                <w:lang w:val="lt-LT"/>
              </w:rPr>
              <w:t>Ramię 2</w:t>
            </w:r>
          </w:p>
          <w:p w14:paraId="1B5CFBBF" w14:textId="77777777" w:rsidR="001778E9" w:rsidRPr="00626E77" w:rsidRDefault="001778E9" w:rsidP="002602D2">
            <w:pPr>
              <w:keepNext/>
              <w:keepLines/>
              <w:spacing w:line="0" w:lineRule="atLeast"/>
              <w:ind w:left="80"/>
              <w:jc w:val="center"/>
              <w:rPr>
                <w:rFonts w:ascii="Times New Roman" w:eastAsia="Times New Roman" w:hAnsi="Times New Roman" w:cs="Times New Roman"/>
                <w:b/>
                <w:sz w:val="22"/>
                <w:szCs w:val="22"/>
                <w:lang w:val="lt-LT"/>
              </w:rPr>
            </w:pPr>
            <w:r w:rsidRPr="00626E77">
              <w:rPr>
                <w:rFonts w:ascii="Times New Roman" w:eastAsia="Times New Roman" w:hAnsi="Times New Roman" w:cs="Times New Roman"/>
                <w:b/>
                <w:sz w:val="22"/>
                <w:szCs w:val="22"/>
                <w:lang w:val="lt-LT"/>
              </w:rPr>
              <w:t xml:space="preserve">IFL + </w:t>
            </w:r>
            <w:r w:rsidR="002602D2" w:rsidRPr="00626E77">
              <w:rPr>
                <w:rFonts w:ascii="Times New Roman" w:eastAsia="Times New Roman" w:hAnsi="Times New Roman" w:cs="Times New Roman"/>
                <w:b/>
                <w:sz w:val="22"/>
                <w:szCs w:val="22"/>
                <w:lang w:val="lt-LT"/>
              </w:rPr>
              <w:t>bewacyzumab</w:t>
            </w:r>
            <w:r w:rsidRPr="00626E77">
              <w:rPr>
                <w:rFonts w:ascii="Times New Roman" w:eastAsia="Times New Roman" w:hAnsi="Times New Roman" w:cs="Times New Roman"/>
                <w:b/>
                <w:sz w:val="22"/>
                <w:szCs w:val="22"/>
                <w:vertAlign w:val="superscript"/>
                <w:lang w:val="lt-LT"/>
              </w:rPr>
              <w:t>a</w:t>
            </w:r>
          </w:p>
        </w:tc>
      </w:tr>
      <w:tr w:rsidR="001778E9" w:rsidRPr="00310BA6" w14:paraId="7D3F23F0" w14:textId="77777777" w:rsidTr="00671B0B">
        <w:trPr>
          <w:trHeight w:val="293"/>
        </w:trPr>
        <w:tc>
          <w:tcPr>
            <w:tcW w:w="3540" w:type="dxa"/>
            <w:vAlign w:val="bottom"/>
          </w:tcPr>
          <w:p w14:paraId="054A6351" w14:textId="77777777" w:rsidR="001778E9" w:rsidRPr="00310BA6" w:rsidRDefault="001778E9" w:rsidP="00544143">
            <w:pPr>
              <w:keepNext/>
              <w:keepLines/>
              <w:spacing w:line="0" w:lineRule="atLeast"/>
              <w:ind w:left="80"/>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Liczba pacjentów</w:t>
            </w:r>
          </w:p>
        </w:tc>
        <w:tc>
          <w:tcPr>
            <w:tcW w:w="2580" w:type="dxa"/>
          </w:tcPr>
          <w:p w14:paraId="11D0DD31" w14:textId="77777777" w:rsidR="001778E9" w:rsidRPr="00310BA6" w:rsidRDefault="001778E9" w:rsidP="00544143">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w w:val="96"/>
                <w:sz w:val="22"/>
                <w:szCs w:val="22"/>
                <w:lang w:val="lt-LT"/>
              </w:rPr>
              <w:t>411</w:t>
            </w:r>
          </w:p>
        </w:tc>
        <w:tc>
          <w:tcPr>
            <w:tcW w:w="2600" w:type="dxa"/>
            <w:vAlign w:val="bottom"/>
          </w:tcPr>
          <w:p w14:paraId="14C24E36" w14:textId="77777777" w:rsidR="001778E9" w:rsidRPr="00310BA6" w:rsidRDefault="001778E9" w:rsidP="00544143">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402</w:t>
            </w:r>
          </w:p>
        </w:tc>
      </w:tr>
      <w:tr w:rsidR="001778E9" w:rsidRPr="00310BA6" w14:paraId="4F2FF890" w14:textId="77777777" w:rsidTr="00671B0B">
        <w:trPr>
          <w:trHeight w:val="343"/>
        </w:trPr>
        <w:tc>
          <w:tcPr>
            <w:tcW w:w="8720" w:type="dxa"/>
            <w:gridSpan w:val="3"/>
            <w:vAlign w:val="bottom"/>
          </w:tcPr>
          <w:p w14:paraId="7A52A279" w14:textId="77777777" w:rsidR="001778E9" w:rsidRPr="00310BA6" w:rsidRDefault="001778E9" w:rsidP="00544143">
            <w:pPr>
              <w:keepNext/>
              <w:keepLines/>
              <w:spacing w:line="0" w:lineRule="atLeast"/>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Całkowity czas przeżycia</w:t>
            </w:r>
          </w:p>
        </w:tc>
      </w:tr>
      <w:tr w:rsidR="001778E9" w:rsidRPr="00310BA6" w14:paraId="4BBF5967" w14:textId="77777777" w:rsidTr="00671B0B">
        <w:trPr>
          <w:trHeight w:val="293"/>
        </w:trPr>
        <w:tc>
          <w:tcPr>
            <w:tcW w:w="3540" w:type="dxa"/>
            <w:vAlign w:val="bottom"/>
          </w:tcPr>
          <w:p w14:paraId="7E5F88D8" w14:textId="77777777" w:rsidR="001778E9" w:rsidRPr="00310BA6" w:rsidRDefault="001778E9" w:rsidP="004D6DAA">
            <w:pPr>
              <w:tabs>
                <w:tab w:val="left" w:pos="567"/>
              </w:tabs>
              <w:ind w:left="567"/>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Mediana (w miesiącach)</w:t>
            </w:r>
          </w:p>
        </w:tc>
        <w:tc>
          <w:tcPr>
            <w:tcW w:w="2580" w:type="dxa"/>
          </w:tcPr>
          <w:p w14:paraId="3211D32F" w14:textId="77777777" w:rsidR="001778E9" w:rsidRPr="00310BA6" w:rsidRDefault="001778E9" w:rsidP="00544143">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15,6</w:t>
            </w:r>
          </w:p>
        </w:tc>
        <w:tc>
          <w:tcPr>
            <w:tcW w:w="2600" w:type="dxa"/>
            <w:vAlign w:val="bottom"/>
          </w:tcPr>
          <w:p w14:paraId="70DF90B5" w14:textId="77777777" w:rsidR="001778E9" w:rsidRPr="00310BA6" w:rsidRDefault="001778E9" w:rsidP="00544143">
            <w:pPr>
              <w:keepNext/>
              <w:keepLines/>
              <w:spacing w:line="0" w:lineRule="atLeast"/>
              <w:jc w:val="center"/>
              <w:rPr>
                <w:rFonts w:ascii="Times New Roman" w:eastAsia="Times New Roman" w:hAnsi="Times New Roman" w:cs="Times New Roman"/>
                <w:w w:val="98"/>
                <w:sz w:val="22"/>
                <w:szCs w:val="22"/>
                <w:lang w:val="lt-LT"/>
              </w:rPr>
            </w:pPr>
            <w:r w:rsidRPr="00310BA6">
              <w:rPr>
                <w:rFonts w:ascii="Times New Roman" w:eastAsia="Times New Roman" w:hAnsi="Times New Roman" w:cs="Times New Roman"/>
                <w:w w:val="98"/>
                <w:sz w:val="22"/>
                <w:szCs w:val="22"/>
                <w:lang w:val="lt-LT"/>
              </w:rPr>
              <w:t>20,3</w:t>
            </w:r>
          </w:p>
        </w:tc>
      </w:tr>
      <w:tr w:rsidR="001778E9" w:rsidRPr="00310BA6" w14:paraId="2A45AF0F" w14:textId="77777777" w:rsidTr="00671B0B">
        <w:trPr>
          <w:trHeight w:val="293"/>
        </w:trPr>
        <w:tc>
          <w:tcPr>
            <w:tcW w:w="3540" w:type="dxa"/>
            <w:vAlign w:val="bottom"/>
          </w:tcPr>
          <w:p w14:paraId="06D5A2C2" w14:textId="1ABABAC6" w:rsidR="001778E9" w:rsidRPr="00310BA6" w:rsidRDefault="001778E9" w:rsidP="004D6DAA">
            <w:pPr>
              <w:tabs>
                <w:tab w:val="left" w:pos="567"/>
              </w:tabs>
              <w:ind w:left="567"/>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 xml:space="preserve">95% </w:t>
            </w:r>
            <w:r w:rsidR="001614C2">
              <w:rPr>
                <w:rFonts w:ascii="Times New Roman" w:eastAsia="Times New Roman" w:hAnsi="Times New Roman" w:cs="Times New Roman"/>
                <w:sz w:val="22"/>
                <w:szCs w:val="22"/>
                <w:lang w:val="lt-LT"/>
              </w:rPr>
              <w:t>przedział ufności (</w:t>
            </w:r>
            <w:r w:rsidRPr="00310BA6">
              <w:rPr>
                <w:rFonts w:ascii="Times New Roman" w:eastAsia="Times New Roman" w:hAnsi="Times New Roman" w:cs="Times New Roman"/>
                <w:sz w:val="22"/>
                <w:szCs w:val="22"/>
                <w:lang w:val="lt-LT"/>
              </w:rPr>
              <w:t>CI</w:t>
            </w:r>
            <w:r w:rsidR="001614C2">
              <w:rPr>
                <w:rFonts w:ascii="Times New Roman" w:eastAsia="Times New Roman" w:hAnsi="Times New Roman" w:cs="Times New Roman"/>
                <w:sz w:val="22"/>
                <w:szCs w:val="22"/>
                <w:lang w:val="lt-LT"/>
              </w:rPr>
              <w:t>)</w:t>
            </w:r>
          </w:p>
        </w:tc>
        <w:tc>
          <w:tcPr>
            <w:tcW w:w="2580" w:type="dxa"/>
          </w:tcPr>
          <w:p w14:paraId="4CD193E3" w14:textId="77777777" w:rsidR="001778E9" w:rsidRPr="00310BA6" w:rsidRDefault="001778E9" w:rsidP="00544143">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w w:val="99"/>
                <w:sz w:val="22"/>
                <w:szCs w:val="22"/>
                <w:lang w:val="lt-LT"/>
              </w:rPr>
              <w:t>14,29 – 16,99</w:t>
            </w:r>
          </w:p>
        </w:tc>
        <w:tc>
          <w:tcPr>
            <w:tcW w:w="2600" w:type="dxa"/>
            <w:vAlign w:val="bottom"/>
          </w:tcPr>
          <w:p w14:paraId="1F235A23" w14:textId="77777777" w:rsidR="001778E9" w:rsidRPr="00310BA6" w:rsidRDefault="001778E9" w:rsidP="00544143">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18,46 – 24,18</w:t>
            </w:r>
          </w:p>
        </w:tc>
      </w:tr>
      <w:tr w:rsidR="001778E9" w:rsidRPr="00310BA6" w14:paraId="1FF90E35" w14:textId="77777777" w:rsidTr="006B5DE3">
        <w:trPr>
          <w:trHeight w:val="396"/>
        </w:trPr>
        <w:tc>
          <w:tcPr>
            <w:tcW w:w="3540" w:type="dxa"/>
          </w:tcPr>
          <w:p w14:paraId="4E598AB8" w14:textId="4CD4A9F7" w:rsidR="001778E9" w:rsidRPr="00310BA6" w:rsidRDefault="001778E9" w:rsidP="004D6DAA">
            <w:pPr>
              <w:tabs>
                <w:tab w:val="left" w:pos="567"/>
              </w:tabs>
              <w:ind w:left="567"/>
              <w:rPr>
                <w:rFonts w:ascii="Times New Roman" w:eastAsia="Times New Roman" w:hAnsi="Times New Roman" w:cs="Times New Roman"/>
                <w:sz w:val="22"/>
                <w:szCs w:val="22"/>
                <w:vertAlign w:val="superscript"/>
                <w:lang w:val="lt-LT"/>
              </w:rPr>
            </w:pPr>
            <w:r w:rsidRPr="00310BA6">
              <w:rPr>
                <w:rFonts w:ascii="Times New Roman" w:eastAsia="Times New Roman" w:hAnsi="Times New Roman" w:cs="Times New Roman"/>
                <w:sz w:val="22"/>
                <w:szCs w:val="22"/>
                <w:lang w:val="lt-LT"/>
              </w:rPr>
              <w:t>Współczynnik ryzyka</w:t>
            </w:r>
            <w:r w:rsidR="00100305">
              <w:rPr>
                <w:rFonts w:ascii="Times New Roman" w:eastAsia="Times New Roman" w:hAnsi="Times New Roman" w:cs="Times New Roman"/>
                <w:sz w:val="22"/>
                <w:szCs w:val="22"/>
                <w:lang w:val="lt-LT"/>
              </w:rPr>
              <w:t xml:space="preserve"> (HR)</w:t>
            </w:r>
            <w:r w:rsidRPr="00310BA6">
              <w:rPr>
                <w:rFonts w:ascii="Times New Roman" w:eastAsia="Times New Roman" w:hAnsi="Times New Roman" w:cs="Times New Roman"/>
                <w:sz w:val="22"/>
                <w:szCs w:val="22"/>
                <w:vertAlign w:val="superscript"/>
                <w:lang w:val="lt-LT"/>
              </w:rPr>
              <w:t>b</w:t>
            </w:r>
          </w:p>
        </w:tc>
        <w:tc>
          <w:tcPr>
            <w:tcW w:w="5180" w:type="dxa"/>
            <w:gridSpan w:val="2"/>
          </w:tcPr>
          <w:p w14:paraId="5C2B9E7E" w14:textId="77777777" w:rsidR="00544143" w:rsidRPr="00310BA6" w:rsidRDefault="001778E9" w:rsidP="004D6DAA">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 xml:space="preserve">0,660 </w:t>
            </w:r>
          </w:p>
          <w:p w14:paraId="106C25F6" w14:textId="77777777" w:rsidR="001778E9" w:rsidRPr="00310BA6" w:rsidRDefault="001778E9" w:rsidP="004850A9">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(wartość p</w:t>
            </w:r>
            <w:r w:rsidR="004850A9">
              <w:rPr>
                <w:rFonts w:ascii="Times New Roman" w:eastAsia="Times New Roman" w:hAnsi="Times New Roman" w:cs="Times New Roman"/>
                <w:sz w:val="22"/>
                <w:szCs w:val="22"/>
                <w:lang w:val="lt-LT"/>
              </w:rPr>
              <w:t> </w:t>
            </w:r>
            <w:r w:rsidRPr="00310BA6">
              <w:rPr>
                <w:rFonts w:ascii="Times New Roman" w:eastAsia="Times New Roman" w:hAnsi="Times New Roman" w:cs="Times New Roman"/>
                <w:sz w:val="22"/>
                <w:szCs w:val="22"/>
                <w:lang w:val="lt-LT"/>
              </w:rPr>
              <w:t>=</w:t>
            </w:r>
            <w:r w:rsidR="004850A9">
              <w:rPr>
                <w:rFonts w:ascii="Times New Roman" w:eastAsia="Times New Roman" w:hAnsi="Times New Roman" w:cs="Times New Roman"/>
                <w:sz w:val="22"/>
                <w:szCs w:val="22"/>
                <w:lang w:val="lt-LT"/>
              </w:rPr>
              <w:t> </w:t>
            </w:r>
            <w:r w:rsidRPr="00310BA6">
              <w:rPr>
                <w:rFonts w:ascii="Times New Roman" w:eastAsia="Times New Roman" w:hAnsi="Times New Roman" w:cs="Times New Roman"/>
                <w:sz w:val="22"/>
                <w:szCs w:val="22"/>
                <w:lang w:val="lt-LT"/>
              </w:rPr>
              <w:t>0,00004)</w:t>
            </w:r>
          </w:p>
        </w:tc>
      </w:tr>
      <w:tr w:rsidR="00544143" w:rsidRPr="00310BA6" w14:paraId="723DB76D" w14:textId="77777777" w:rsidTr="00671B0B">
        <w:trPr>
          <w:trHeight w:val="293"/>
        </w:trPr>
        <w:tc>
          <w:tcPr>
            <w:tcW w:w="8720" w:type="dxa"/>
            <w:gridSpan w:val="3"/>
            <w:vAlign w:val="bottom"/>
          </w:tcPr>
          <w:p w14:paraId="30A2D7CE" w14:textId="77777777" w:rsidR="00544143" w:rsidRPr="00310BA6" w:rsidRDefault="00544143" w:rsidP="00D04B83">
            <w:pPr>
              <w:keepNext/>
              <w:keepLines/>
              <w:spacing w:line="0" w:lineRule="atLeast"/>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Czas przeżycia bez progresji</w:t>
            </w:r>
          </w:p>
        </w:tc>
      </w:tr>
      <w:tr w:rsidR="00544143" w:rsidRPr="00310BA6" w14:paraId="7481F9B6" w14:textId="77777777" w:rsidTr="00671B0B">
        <w:trPr>
          <w:trHeight w:val="293"/>
        </w:trPr>
        <w:tc>
          <w:tcPr>
            <w:tcW w:w="3540" w:type="dxa"/>
            <w:vAlign w:val="bottom"/>
          </w:tcPr>
          <w:p w14:paraId="44B2B647" w14:textId="77777777" w:rsidR="00544143" w:rsidRPr="00310BA6" w:rsidRDefault="00544143" w:rsidP="0023471C">
            <w:pPr>
              <w:keepNext/>
              <w:tabs>
                <w:tab w:val="left" w:pos="567"/>
              </w:tabs>
              <w:ind w:left="567"/>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Mediana (w miesiącach)</w:t>
            </w:r>
          </w:p>
        </w:tc>
        <w:tc>
          <w:tcPr>
            <w:tcW w:w="2580" w:type="dxa"/>
          </w:tcPr>
          <w:p w14:paraId="17078801" w14:textId="77777777" w:rsidR="00544143" w:rsidRPr="00310BA6" w:rsidRDefault="00544143" w:rsidP="00D04B83">
            <w:pPr>
              <w:keepNext/>
              <w:keepLines/>
              <w:spacing w:line="0" w:lineRule="atLeast"/>
              <w:jc w:val="center"/>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6,2</w:t>
            </w:r>
          </w:p>
        </w:tc>
        <w:tc>
          <w:tcPr>
            <w:tcW w:w="2600" w:type="dxa"/>
            <w:vAlign w:val="bottom"/>
          </w:tcPr>
          <w:p w14:paraId="16F94969" w14:textId="77777777" w:rsidR="00544143" w:rsidRPr="00310BA6" w:rsidRDefault="00544143" w:rsidP="00175071">
            <w:pPr>
              <w:keepNext/>
              <w:keepLines/>
              <w:spacing w:line="0" w:lineRule="atLeast"/>
              <w:jc w:val="center"/>
              <w:rPr>
                <w:rFonts w:ascii="Times New Roman" w:eastAsia="Times New Roman" w:hAnsi="Times New Roman" w:cs="Times New Roman"/>
                <w:w w:val="98"/>
                <w:sz w:val="22"/>
                <w:szCs w:val="22"/>
                <w:lang w:val="lt-LT"/>
              </w:rPr>
            </w:pPr>
            <w:r w:rsidRPr="00310BA6">
              <w:rPr>
                <w:rFonts w:ascii="Times New Roman" w:eastAsia="Times New Roman" w:hAnsi="Times New Roman" w:cs="Times New Roman"/>
                <w:w w:val="98"/>
                <w:sz w:val="22"/>
                <w:szCs w:val="22"/>
                <w:lang w:val="lt-LT"/>
              </w:rPr>
              <w:t>10,6</w:t>
            </w:r>
          </w:p>
        </w:tc>
      </w:tr>
      <w:tr w:rsidR="00544143" w:rsidRPr="00310BA6" w14:paraId="727F0660" w14:textId="77777777" w:rsidTr="00A06681">
        <w:trPr>
          <w:trHeight w:val="494"/>
        </w:trPr>
        <w:tc>
          <w:tcPr>
            <w:tcW w:w="3540" w:type="dxa"/>
            <w:vAlign w:val="center"/>
          </w:tcPr>
          <w:p w14:paraId="3955C0A4" w14:textId="77777777" w:rsidR="00544143" w:rsidRPr="00310BA6" w:rsidRDefault="00544143" w:rsidP="005F254D">
            <w:pPr>
              <w:keepNext/>
              <w:keepLines/>
              <w:spacing w:line="0" w:lineRule="atLeast"/>
              <w:ind w:left="567"/>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Współczynnik ryzyka</w:t>
            </w:r>
          </w:p>
        </w:tc>
        <w:tc>
          <w:tcPr>
            <w:tcW w:w="5180" w:type="dxa"/>
            <w:gridSpan w:val="2"/>
            <w:vAlign w:val="center"/>
          </w:tcPr>
          <w:p w14:paraId="29CC216E" w14:textId="77777777" w:rsidR="00544143" w:rsidRPr="006B5DE3" w:rsidRDefault="00544143" w:rsidP="006A3D25">
            <w:pPr>
              <w:keepNext/>
              <w:keepLines/>
              <w:spacing w:line="0" w:lineRule="atLeast"/>
              <w:jc w:val="center"/>
              <w:rPr>
                <w:rFonts w:ascii="Times New Roman" w:eastAsia="Times New Roman" w:hAnsi="Times New Roman" w:cs="Times New Roman"/>
                <w:sz w:val="22"/>
                <w:szCs w:val="22"/>
                <w:lang w:val="lt-LT"/>
              </w:rPr>
            </w:pPr>
            <w:r w:rsidRPr="006B5DE3">
              <w:rPr>
                <w:rFonts w:ascii="Times New Roman" w:eastAsia="Times New Roman" w:hAnsi="Times New Roman" w:cs="Times New Roman"/>
                <w:sz w:val="22"/>
                <w:szCs w:val="22"/>
                <w:lang w:val="lt-LT"/>
              </w:rPr>
              <w:t>0,54</w:t>
            </w:r>
          </w:p>
          <w:p w14:paraId="172B483D" w14:textId="77777777" w:rsidR="00544143" w:rsidRPr="00310BA6" w:rsidRDefault="00544143" w:rsidP="004850A9">
            <w:pPr>
              <w:keepNext/>
              <w:keepLines/>
              <w:spacing w:line="0" w:lineRule="atLeast"/>
              <w:jc w:val="center"/>
              <w:rPr>
                <w:rFonts w:ascii="Times New Roman" w:eastAsia="Times New Roman" w:hAnsi="Times New Roman" w:cs="Times New Roman"/>
                <w:w w:val="98"/>
                <w:sz w:val="22"/>
                <w:szCs w:val="22"/>
                <w:lang w:val="lt-LT"/>
              </w:rPr>
            </w:pPr>
            <w:r w:rsidRPr="006B5DE3">
              <w:rPr>
                <w:rFonts w:ascii="Times New Roman" w:eastAsia="Times New Roman" w:hAnsi="Times New Roman" w:cs="Times New Roman"/>
                <w:sz w:val="22"/>
                <w:szCs w:val="22"/>
                <w:lang w:val="lt-LT"/>
              </w:rPr>
              <w:t>(wartość p</w:t>
            </w:r>
            <w:r w:rsidR="004850A9">
              <w:rPr>
                <w:rFonts w:ascii="Times New Roman" w:eastAsia="Times New Roman" w:hAnsi="Times New Roman" w:cs="Times New Roman"/>
                <w:sz w:val="22"/>
                <w:szCs w:val="22"/>
                <w:lang w:val="lt-LT"/>
              </w:rPr>
              <w:t> </w:t>
            </w:r>
            <w:r w:rsidRPr="006B5DE3">
              <w:rPr>
                <w:rFonts w:ascii="Times New Roman" w:eastAsia="Times New Roman" w:hAnsi="Times New Roman" w:cs="Times New Roman"/>
                <w:sz w:val="22"/>
                <w:szCs w:val="22"/>
                <w:lang w:val="lt-LT"/>
              </w:rPr>
              <w:t>&lt;</w:t>
            </w:r>
            <w:r w:rsidR="004850A9">
              <w:rPr>
                <w:rFonts w:ascii="Times New Roman" w:eastAsia="Times New Roman" w:hAnsi="Times New Roman" w:cs="Times New Roman"/>
                <w:sz w:val="22"/>
                <w:szCs w:val="22"/>
                <w:lang w:val="lt-LT"/>
              </w:rPr>
              <w:t> </w:t>
            </w:r>
            <w:r w:rsidRPr="006B5DE3">
              <w:rPr>
                <w:rFonts w:ascii="Times New Roman" w:eastAsia="Times New Roman" w:hAnsi="Times New Roman" w:cs="Times New Roman"/>
                <w:sz w:val="22"/>
                <w:szCs w:val="22"/>
                <w:lang w:val="lt-LT"/>
              </w:rPr>
              <w:t>0,0001)</w:t>
            </w:r>
          </w:p>
        </w:tc>
      </w:tr>
      <w:tr w:rsidR="00544143" w:rsidRPr="00310BA6" w14:paraId="2CA4D504" w14:textId="77777777" w:rsidTr="00671B0B">
        <w:trPr>
          <w:trHeight w:val="296"/>
        </w:trPr>
        <w:tc>
          <w:tcPr>
            <w:tcW w:w="8720" w:type="dxa"/>
            <w:gridSpan w:val="3"/>
            <w:vAlign w:val="bottom"/>
          </w:tcPr>
          <w:p w14:paraId="0E249640" w14:textId="77777777" w:rsidR="00544143" w:rsidRPr="00310BA6" w:rsidRDefault="00544143" w:rsidP="00544143">
            <w:pPr>
              <w:keepNext/>
              <w:keepLines/>
              <w:spacing w:line="0" w:lineRule="atLeast"/>
              <w:rPr>
                <w:rFonts w:ascii="Times New Roman" w:eastAsia="Times New Roman" w:hAnsi="Times New Roman" w:cs="Times New Roman"/>
                <w:sz w:val="22"/>
                <w:szCs w:val="22"/>
                <w:lang w:val="lt-LT"/>
              </w:rPr>
            </w:pPr>
            <w:r w:rsidRPr="00310BA6">
              <w:rPr>
                <w:rFonts w:ascii="Times New Roman" w:eastAsia="Times New Roman" w:hAnsi="Times New Roman" w:cs="Times New Roman"/>
                <w:sz w:val="22"/>
                <w:szCs w:val="22"/>
                <w:lang w:val="lt-LT"/>
              </w:rPr>
              <w:t>Całkowity współczynnik odpowiedzi</w:t>
            </w:r>
          </w:p>
        </w:tc>
      </w:tr>
      <w:tr w:rsidR="009A23EF" w:rsidRPr="009A23EF" w14:paraId="02E8FD12" w14:textId="77777777" w:rsidTr="009A23EF">
        <w:trPr>
          <w:trHeight w:val="296"/>
        </w:trPr>
        <w:tc>
          <w:tcPr>
            <w:tcW w:w="3540" w:type="dxa"/>
            <w:vAlign w:val="bottom"/>
          </w:tcPr>
          <w:p w14:paraId="4A8CC408" w14:textId="77777777" w:rsidR="009A23EF" w:rsidRPr="009A23EF" w:rsidRDefault="009A23EF" w:rsidP="00544143">
            <w:pPr>
              <w:keepNext/>
              <w:keepLines/>
              <w:spacing w:line="0" w:lineRule="atLeast"/>
              <w:ind w:left="360"/>
              <w:rPr>
                <w:rFonts w:ascii="Times New Roman" w:eastAsia="Times New Roman" w:hAnsi="Times New Roman" w:cs="Times New Roman"/>
                <w:sz w:val="22"/>
                <w:szCs w:val="22"/>
                <w:lang w:val="lt-LT"/>
              </w:rPr>
            </w:pPr>
            <w:r w:rsidRPr="009A23EF">
              <w:rPr>
                <w:rFonts w:ascii="Times New Roman" w:eastAsia="Times New Roman" w:hAnsi="Times New Roman" w:cs="Times New Roman"/>
                <w:sz w:val="22"/>
                <w:szCs w:val="22"/>
                <w:lang w:val="lt-LT"/>
              </w:rPr>
              <w:t>Współczynnik (w procentach)</w:t>
            </w:r>
          </w:p>
        </w:tc>
        <w:tc>
          <w:tcPr>
            <w:tcW w:w="2580" w:type="dxa"/>
            <w:vAlign w:val="center"/>
          </w:tcPr>
          <w:p w14:paraId="15494EFC" w14:textId="77777777" w:rsidR="009A23EF" w:rsidRPr="009A23EF" w:rsidRDefault="009A23EF" w:rsidP="009A23EF">
            <w:pPr>
              <w:keepNext/>
              <w:keepLines/>
              <w:spacing w:line="0" w:lineRule="atLeast"/>
              <w:jc w:val="center"/>
              <w:rPr>
                <w:rFonts w:ascii="Times New Roman" w:eastAsia="Times New Roman" w:hAnsi="Times New Roman" w:cs="Times New Roman"/>
                <w:sz w:val="22"/>
                <w:szCs w:val="22"/>
                <w:lang w:val="lt-LT"/>
              </w:rPr>
            </w:pPr>
            <w:r w:rsidRPr="009A23EF">
              <w:rPr>
                <w:rFonts w:ascii="Times New Roman" w:eastAsia="Times New Roman" w:hAnsi="Times New Roman" w:cs="Times New Roman"/>
                <w:sz w:val="22"/>
                <w:szCs w:val="22"/>
                <w:lang w:val="lt-LT"/>
              </w:rPr>
              <w:t>34,8</w:t>
            </w:r>
          </w:p>
        </w:tc>
        <w:tc>
          <w:tcPr>
            <w:tcW w:w="2600" w:type="dxa"/>
            <w:vAlign w:val="center"/>
          </w:tcPr>
          <w:p w14:paraId="3867D87D" w14:textId="77777777" w:rsidR="009A23EF" w:rsidRPr="009A23EF" w:rsidRDefault="009A23EF" w:rsidP="009A23EF">
            <w:pPr>
              <w:keepNext/>
              <w:keepLines/>
              <w:spacing w:line="0" w:lineRule="atLeast"/>
              <w:jc w:val="center"/>
              <w:rPr>
                <w:rFonts w:ascii="Times New Roman" w:eastAsia="Times New Roman" w:hAnsi="Times New Roman" w:cs="Times New Roman"/>
                <w:w w:val="98"/>
                <w:sz w:val="22"/>
                <w:szCs w:val="22"/>
                <w:lang w:val="lt-LT"/>
              </w:rPr>
            </w:pPr>
            <w:r w:rsidRPr="009A23EF">
              <w:rPr>
                <w:rFonts w:ascii="Times New Roman" w:eastAsia="Times New Roman" w:hAnsi="Times New Roman" w:cs="Times New Roman"/>
                <w:sz w:val="22"/>
                <w:szCs w:val="22"/>
                <w:lang w:val="lt-LT"/>
              </w:rPr>
              <w:t>44,8</w:t>
            </w:r>
          </w:p>
        </w:tc>
      </w:tr>
      <w:tr w:rsidR="00071CFE" w:rsidRPr="00310BA6" w14:paraId="1A70E90F" w14:textId="77777777" w:rsidTr="00671B0B">
        <w:trPr>
          <w:trHeight w:val="293"/>
        </w:trPr>
        <w:tc>
          <w:tcPr>
            <w:tcW w:w="3540" w:type="dxa"/>
            <w:vAlign w:val="bottom"/>
          </w:tcPr>
          <w:p w14:paraId="3F413DDB" w14:textId="77777777" w:rsidR="00071CFE" w:rsidRPr="00310BA6" w:rsidRDefault="00071CFE" w:rsidP="00544143">
            <w:pPr>
              <w:keepNext/>
              <w:keepLines/>
              <w:spacing w:line="0" w:lineRule="atLeast"/>
              <w:rPr>
                <w:rFonts w:ascii="Times New Roman" w:eastAsia="Times New Roman" w:hAnsi="Times New Roman" w:cs="Times New Roman"/>
                <w:sz w:val="22"/>
                <w:szCs w:val="22"/>
                <w:lang w:val="lt-LT"/>
              </w:rPr>
            </w:pPr>
          </w:p>
        </w:tc>
        <w:tc>
          <w:tcPr>
            <w:tcW w:w="5180" w:type="dxa"/>
            <w:gridSpan w:val="2"/>
            <w:vAlign w:val="bottom"/>
          </w:tcPr>
          <w:p w14:paraId="44EEDBBE" w14:textId="77777777" w:rsidR="00071CFE" w:rsidRPr="00310BA6" w:rsidRDefault="00071CFE" w:rsidP="00544143">
            <w:pPr>
              <w:keepNext/>
              <w:keepLines/>
              <w:spacing w:line="0" w:lineRule="atLeast"/>
              <w:jc w:val="center"/>
              <w:rPr>
                <w:rFonts w:ascii="Times New Roman" w:eastAsia="Times New Roman" w:hAnsi="Times New Roman" w:cs="Times New Roman"/>
                <w:w w:val="99"/>
                <w:sz w:val="22"/>
                <w:szCs w:val="22"/>
                <w:lang w:val="lt-LT"/>
              </w:rPr>
            </w:pPr>
            <w:r w:rsidRPr="009A23EF">
              <w:rPr>
                <w:rFonts w:ascii="Times New Roman" w:eastAsia="Times New Roman" w:hAnsi="Times New Roman" w:cs="Times New Roman"/>
                <w:sz w:val="22"/>
                <w:szCs w:val="22"/>
                <w:lang w:val="lt-LT"/>
              </w:rPr>
              <w:t>(wartość p</w:t>
            </w:r>
            <w:r w:rsidR="004850A9">
              <w:rPr>
                <w:rFonts w:ascii="Times New Roman" w:eastAsia="Times New Roman" w:hAnsi="Times New Roman" w:cs="Times New Roman"/>
                <w:sz w:val="22"/>
                <w:szCs w:val="22"/>
                <w:lang w:val="lt-LT"/>
              </w:rPr>
              <w:t> </w:t>
            </w:r>
            <w:r w:rsidRPr="009A23EF">
              <w:rPr>
                <w:rFonts w:ascii="Times New Roman" w:eastAsia="Times New Roman" w:hAnsi="Times New Roman" w:cs="Times New Roman"/>
                <w:sz w:val="22"/>
                <w:szCs w:val="22"/>
                <w:lang w:val="lt-LT"/>
              </w:rPr>
              <w:t>=</w:t>
            </w:r>
            <w:r w:rsidR="004850A9">
              <w:rPr>
                <w:rFonts w:ascii="Times New Roman" w:eastAsia="Times New Roman" w:hAnsi="Times New Roman" w:cs="Times New Roman"/>
                <w:sz w:val="22"/>
                <w:szCs w:val="22"/>
                <w:lang w:val="lt-LT"/>
              </w:rPr>
              <w:t> </w:t>
            </w:r>
            <w:r w:rsidRPr="009A23EF">
              <w:rPr>
                <w:rFonts w:ascii="Times New Roman" w:eastAsia="Times New Roman" w:hAnsi="Times New Roman" w:cs="Times New Roman"/>
                <w:sz w:val="22"/>
                <w:szCs w:val="22"/>
                <w:lang w:val="lt-LT"/>
              </w:rPr>
              <w:t>0,0036)</w:t>
            </w:r>
          </w:p>
        </w:tc>
      </w:tr>
    </w:tbl>
    <w:p w14:paraId="78A9A08A" w14:textId="77777777" w:rsidR="00071CFE" w:rsidRPr="00741122" w:rsidRDefault="00071CFE" w:rsidP="00F12C6A">
      <w:pPr>
        <w:numPr>
          <w:ilvl w:val="0"/>
          <w:numId w:val="10"/>
        </w:numPr>
        <w:tabs>
          <w:tab w:val="left" w:pos="0"/>
        </w:tabs>
        <w:ind w:left="567" w:hanging="567"/>
        <w:rPr>
          <w:rFonts w:ascii="Times New Roman" w:eastAsia="Times New Roman" w:hAnsi="Times New Roman"/>
          <w:lang w:val="lt-LT"/>
        </w:rPr>
      </w:pPr>
      <w:r w:rsidRPr="00741122">
        <w:rPr>
          <w:rFonts w:ascii="Times New Roman" w:eastAsia="Times New Roman" w:hAnsi="Times New Roman"/>
          <w:lang w:val="lt-LT"/>
        </w:rPr>
        <w:t>5</w:t>
      </w:r>
      <w:r w:rsidR="00544143" w:rsidRPr="00741122">
        <w:rPr>
          <w:rFonts w:ascii="Times New Roman" w:eastAsia="Times New Roman" w:hAnsi="Times New Roman"/>
          <w:lang w:val="lt-LT"/>
        </w:rPr>
        <w:t> </w:t>
      </w:r>
      <w:r w:rsidRPr="00741122">
        <w:rPr>
          <w:rFonts w:ascii="Times New Roman" w:eastAsia="Times New Roman" w:hAnsi="Times New Roman"/>
          <w:lang w:val="lt-LT"/>
        </w:rPr>
        <w:t>mg/kg</w:t>
      </w:r>
      <w:r w:rsidR="004850A9">
        <w:rPr>
          <w:rFonts w:ascii="Times New Roman" w:eastAsia="Times New Roman" w:hAnsi="Times New Roman"/>
          <w:lang w:val="lt-LT"/>
        </w:rPr>
        <w:t> mc.</w:t>
      </w:r>
      <w:r w:rsidRPr="00741122">
        <w:rPr>
          <w:rFonts w:ascii="Times New Roman" w:eastAsia="Times New Roman" w:hAnsi="Times New Roman"/>
          <w:lang w:val="lt-LT"/>
        </w:rPr>
        <w:t xml:space="preserve"> co 2 tygodnie</w:t>
      </w:r>
    </w:p>
    <w:p w14:paraId="1E80C1E6" w14:textId="77777777" w:rsidR="00071CFE" w:rsidRPr="00741122" w:rsidRDefault="00CE2844" w:rsidP="00F12C6A">
      <w:pPr>
        <w:numPr>
          <w:ilvl w:val="0"/>
          <w:numId w:val="10"/>
        </w:numPr>
        <w:tabs>
          <w:tab w:val="left" w:pos="0"/>
        </w:tabs>
        <w:ind w:left="567" w:hanging="567"/>
        <w:rPr>
          <w:rFonts w:ascii="Times New Roman" w:eastAsia="Times New Roman" w:hAnsi="Times New Roman"/>
          <w:lang w:val="lt-LT"/>
        </w:rPr>
      </w:pPr>
      <w:r>
        <w:rPr>
          <w:rFonts w:ascii="Times New Roman" w:eastAsia="Times New Roman" w:hAnsi="Times New Roman"/>
          <w:lang w:val="lt-LT"/>
        </w:rPr>
        <w:t>w</w:t>
      </w:r>
      <w:r w:rsidR="00071CFE" w:rsidRPr="00741122">
        <w:rPr>
          <w:rFonts w:ascii="Times New Roman" w:eastAsia="Times New Roman" w:hAnsi="Times New Roman"/>
          <w:lang w:val="lt-LT"/>
        </w:rPr>
        <w:t xml:space="preserve"> stosunku do ramienia kontrolnego</w:t>
      </w:r>
    </w:p>
    <w:p w14:paraId="4C9B6075" w14:textId="77777777" w:rsidR="00071CFE" w:rsidRPr="00BE638B" w:rsidRDefault="00071CFE" w:rsidP="00811175">
      <w:pPr>
        <w:rPr>
          <w:rFonts w:ascii="Times New Roman" w:eastAsia="Times New Roman" w:hAnsi="Times New Roman"/>
          <w:sz w:val="22"/>
          <w:lang w:val="lt-LT"/>
        </w:rPr>
      </w:pPr>
    </w:p>
    <w:p w14:paraId="7FD0426A" w14:textId="77777777" w:rsidR="00071CFE" w:rsidRPr="00741122" w:rsidRDefault="00071CFE" w:rsidP="00811175">
      <w:pPr>
        <w:rPr>
          <w:rFonts w:ascii="Times New Roman" w:eastAsia="Times New Roman" w:hAnsi="Times New Roman"/>
          <w:sz w:val="22"/>
          <w:lang w:val="lt-LT"/>
        </w:rPr>
      </w:pPr>
      <w:r w:rsidRPr="00741122">
        <w:rPr>
          <w:rFonts w:ascii="Times New Roman" w:eastAsia="Times New Roman" w:hAnsi="Times New Roman"/>
          <w:sz w:val="22"/>
          <w:lang w:val="lt-LT"/>
        </w:rPr>
        <w:t xml:space="preserve">Wśród 110 pacjentów przydzielonych losowo do Ramienia 3 (5-FU/FA + </w:t>
      </w:r>
      <w:r w:rsidR="002602D2">
        <w:rPr>
          <w:rFonts w:ascii="Times New Roman" w:eastAsia="Times New Roman" w:hAnsi="Times New Roman"/>
          <w:sz w:val="22"/>
          <w:lang w:val="lt-LT"/>
        </w:rPr>
        <w:t>bewacyzumab</w:t>
      </w:r>
      <w:r w:rsidRPr="00741122">
        <w:rPr>
          <w:rFonts w:ascii="Times New Roman" w:eastAsia="Times New Roman" w:hAnsi="Times New Roman"/>
          <w:sz w:val="22"/>
          <w:lang w:val="lt-LT"/>
        </w:rPr>
        <w:t>), przed zamknięciem tego ramienia, mediana całkowitego czasu przeżycia wynosiła 18,3 miesięcy a mediana czasu przeżycia bez progresji choroby – 8,8 miesięcy.</w:t>
      </w:r>
    </w:p>
    <w:p w14:paraId="7390DB82" w14:textId="77777777" w:rsidR="00071CFE" w:rsidRPr="00BE638B" w:rsidRDefault="00071CFE" w:rsidP="00811175">
      <w:pPr>
        <w:rPr>
          <w:rFonts w:ascii="Times New Roman" w:eastAsia="Times New Roman" w:hAnsi="Times New Roman"/>
          <w:sz w:val="22"/>
          <w:lang w:val="lt-LT"/>
        </w:rPr>
      </w:pPr>
    </w:p>
    <w:p w14:paraId="174205F0" w14:textId="77777777" w:rsidR="00071CFE" w:rsidRPr="00741122" w:rsidRDefault="00071CFE" w:rsidP="00811175">
      <w:pPr>
        <w:rPr>
          <w:rFonts w:ascii="Times New Roman" w:eastAsia="Times New Roman" w:hAnsi="Times New Roman"/>
          <w:i/>
          <w:sz w:val="22"/>
          <w:lang w:val="lt-LT"/>
        </w:rPr>
      </w:pPr>
      <w:r w:rsidRPr="00741122">
        <w:rPr>
          <w:rFonts w:ascii="Times New Roman" w:eastAsia="Times New Roman" w:hAnsi="Times New Roman"/>
          <w:i/>
          <w:sz w:val="22"/>
          <w:lang w:val="lt-LT"/>
        </w:rPr>
        <w:t>AVF2192g</w:t>
      </w:r>
    </w:p>
    <w:p w14:paraId="5AEA7777" w14:textId="77777777" w:rsidR="00071CFE" w:rsidRPr="00741122" w:rsidRDefault="00071CFE" w:rsidP="00811175">
      <w:pPr>
        <w:rPr>
          <w:rFonts w:ascii="Times New Roman" w:eastAsia="Times New Roman" w:hAnsi="Times New Roman"/>
          <w:sz w:val="22"/>
          <w:lang w:val="lt-LT"/>
        </w:rPr>
      </w:pPr>
      <w:r w:rsidRPr="00741122">
        <w:rPr>
          <w:rFonts w:ascii="Times New Roman" w:eastAsia="Times New Roman" w:hAnsi="Times New Roman"/>
          <w:sz w:val="22"/>
          <w:lang w:val="lt-LT"/>
        </w:rPr>
        <w:t xml:space="preserve">Było to randomizowane badanie kliniczne </w:t>
      </w:r>
      <w:r w:rsidR="004850A9">
        <w:rPr>
          <w:rFonts w:ascii="Times New Roman" w:eastAsia="Times New Roman" w:hAnsi="Times New Roman"/>
          <w:sz w:val="22"/>
          <w:lang w:val="lt-LT"/>
        </w:rPr>
        <w:t>II</w:t>
      </w:r>
      <w:r w:rsidRPr="00741122">
        <w:rPr>
          <w:rFonts w:ascii="Times New Roman" w:eastAsia="Times New Roman" w:hAnsi="Times New Roman"/>
          <w:sz w:val="22"/>
          <w:lang w:val="lt-LT"/>
        </w:rPr>
        <w:t xml:space="preserve"> fazy, z podwójnie ślepą próbą i aktywną kontrolą, oceniające skuteczność i bezpieczeństwo </w:t>
      </w:r>
      <w:r w:rsidR="002602D2">
        <w:rPr>
          <w:rFonts w:ascii="Times New Roman" w:eastAsia="Times New Roman" w:hAnsi="Times New Roman"/>
          <w:sz w:val="22"/>
          <w:lang w:val="lt-LT"/>
        </w:rPr>
        <w:t>bewacyzumabu</w:t>
      </w:r>
      <w:r w:rsidRPr="00741122">
        <w:rPr>
          <w:rFonts w:ascii="Times New Roman" w:eastAsia="Times New Roman" w:hAnsi="Times New Roman"/>
          <w:sz w:val="22"/>
          <w:lang w:val="lt-LT"/>
        </w:rPr>
        <w:t xml:space="preserve"> w skojarzeniu z 5-FU/FA jako leczenia pierwszego rzutu w raku okrężnicy lub odbytnicy z przerzutami u pacjentów, którzy nie byli optymalnymi kandydatami do leczenia pierwszego rzutu z zastosowaniem irynotekanu. 105 pacjentów zostało losowo przydzielonych do ramienia 5-FU/FA + placebo, a 104 pacjentów do ramien</w:t>
      </w:r>
      <w:r w:rsidR="005274DE" w:rsidRPr="00741122">
        <w:rPr>
          <w:rFonts w:ascii="Times New Roman" w:eastAsia="Times New Roman" w:hAnsi="Times New Roman"/>
          <w:sz w:val="22"/>
          <w:lang w:val="lt-LT"/>
        </w:rPr>
        <w:t xml:space="preserve">ia 5-FU/FA + </w:t>
      </w:r>
      <w:r w:rsidR="002602D2">
        <w:rPr>
          <w:rFonts w:ascii="Times New Roman" w:eastAsia="Times New Roman" w:hAnsi="Times New Roman"/>
          <w:sz w:val="22"/>
          <w:lang w:val="lt-LT"/>
        </w:rPr>
        <w:t>bewacyzumab</w:t>
      </w:r>
      <w:r w:rsidR="005274DE" w:rsidRPr="00741122">
        <w:rPr>
          <w:rFonts w:ascii="Times New Roman" w:eastAsia="Times New Roman" w:hAnsi="Times New Roman"/>
          <w:sz w:val="22"/>
          <w:lang w:val="lt-LT"/>
        </w:rPr>
        <w:t xml:space="preserve"> (5 </w:t>
      </w:r>
      <w:r w:rsidRPr="00741122">
        <w:rPr>
          <w:rFonts w:ascii="Times New Roman" w:eastAsia="Times New Roman" w:hAnsi="Times New Roman"/>
          <w:sz w:val="22"/>
          <w:lang w:val="lt-LT"/>
        </w:rPr>
        <w:t>mg/kg</w:t>
      </w:r>
      <w:r w:rsidR="00CE2844">
        <w:rPr>
          <w:rFonts w:ascii="Times New Roman" w:eastAsia="Times New Roman" w:hAnsi="Times New Roman"/>
          <w:sz w:val="22"/>
          <w:lang w:val="lt-LT"/>
        </w:rPr>
        <w:t> mc.</w:t>
      </w:r>
      <w:r w:rsidRPr="00741122">
        <w:rPr>
          <w:rFonts w:ascii="Times New Roman" w:eastAsia="Times New Roman" w:hAnsi="Times New Roman"/>
          <w:sz w:val="22"/>
          <w:lang w:val="lt-LT"/>
        </w:rPr>
        <w:t>, co dwa tygodnie). Wszystkie rodzaje leczenia były kontynuowane do czasu wystąpienia progresji choroby. Dod</w:t>
      </w:r>
      <w:r w:rsidR="005274DE" w:rsidRPr="00741122">
        <w:rPr>
          <w:rFonts w:ascii="Times New Roman" w:eastAsia="Times New Roman" w:hAnsi="Times New Roman"/>
          <w:sz w:val="22"/>
          <w:lang w:val="lt-LT"/>
        </w:rPr>
        <w:t xml:space="preserve">anie </w:t>
      </w:r>
      <w:r w:rsidR="002602D2">
        <w:rPr>
          <w:rFonts w:ascii="Times New Roman" w:eastAsia="Times New Roman" w:hAnsi="Times New Roman"/>
          <w:sz w:val="22"/>
          <w:lang w:val="lt-LT"/>
        </w:rPr>
        <w:t>bewacyzumabu</w:t>
      </w:r>
      <w:r w:rsidR="005274DE" w:rsidRPr="00741122">
        <w:rPr>
          <w:rFonts w:ascii="Times New Roman" w:eastAsia="Times New Roman" w:hAnsi="Times New Roman"/>
          <w:sz w:val="22"/>
          <w:lang w:val="lt-LT"/>
        </w:rPr>
        <w:t xml:space="preserve"> w dawce 5 </w:t>
      </w:r>
      <w:r w:rsidRPr="00741122">
        <w:rPr>
          <w:rFonts w:ascii="Times New Roman" w:eastAsia="Times New Roman" w:hAnsi="Times New Roman"/>
          <w:sz w:val="22"/>
          <w:lang w:val="lt-LT"/>
        </w:rPr>
        <w:t>mg/kg</w:t>
      </w:r>
      <w:r w:rsidR="00CE2844">
        <w:rPr>
          <w:rFonts w:ascii="Times New Roman" w:eastAsia="Times New Roman" w:hAnsi="Times New Roman"/>
          <w:sz w:val="22"/>
          <w:lang w:val="lt-LT"/>
        </w:rPr>
        <w:t> mc.</w:t>
      </w:r>
      <w:r w:rsidRPr="00741122">
        <w:rPr>
          <w:rFonts w:ascii="Times New Roman" w:eastAsia="Times New Roman" w:hAnsi="Times New Roman"/>
          <w:sz w:val="22"/>
          <w:lang w:val="lt-LT"/>
        </w:rPr>
        <w:t>, co dwa tygodnie do schematu 5-FU/FA prowadziło do uzyskania wyższych obiektywnych współczynników odpowiedzi, znacząco dłuższego czasu przeżycia bez progresji, z tendencją do dłuższego okresu przeżycia w porównaniu z samą chemioterapią 5-FU/FA.</w:t>
      </w:r>
    </w:p>
    <w:p w14:paraId="6FF601AB" w14:textId="77777777" w:rsidR="00071CFE" w:rsidRPr="00741122" w:rsidRDefault="00071CFE" w:rsidP="00811175">
      <w:pPr>
        <w:rPr>
          <w:rFonts w:ascii="Times New Roman" w:eastAsia="Times New Roman" w:hAnsi="Times New Roman" w:cs="Times New Roman"/>
          <w:sz w:val="22"/>
          <w:szCs w:val="22"/>
          <w:lang w:val="lt-LT"/>
        </w:rPr>
      </w:pPr>
    </w:p>
    <w:p w14:paraId="4BAAFD79" w14:textId="77777777" w:rsidR="00071CFE" w:rsidRPr="00741122" w:rsidRDefault="00071CFE" w:rsidP="00811175">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AVF0780g</w:t>
      </w:r>
    </w:p>
    <w:p w14:paraId="79CAEAA3" w14:textId="77777777" w:rsidR="00071CFE" w:rsidRPr="00741122" w:rsidRDefault="00071CFE" w:rsidP="00811175">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Było to randomizowane badanie kliniczne fazy</w:t>
      </w:r>
      <w:r w:rsidR="00F65BDC">
        <w:rPr>
          <w:rFonts w:ascii="Times New Roman" w:eastAsia="Times New Roman" w:hAnsi="Times New Roman" w:cs="Times New Roman"/>
          <w:sz w:val="22"/>
          <w:szCs w:val="22"/>
          <w:lang w:val="lt-LT"/>
        </w:rPr>
        <w:t xml:space="preserve"> II</w:t>
      </w:r>
      <w:r w:rsidRPr="00741122">
        <w:rPr>
          <w:rFonts w:ascii="Times New Roman" w:eastAsia="Times New Roman" w:hAnsi="Times New Roman" w:cs="Times New Roman"/>
          <w:sz w:val="22"/>
          <w:szCs w:val="22"/>
          <w:lang w:val="lt-LT"/>
        </w:rPr>
        <w:t xml:space="preserve">, z jawną próbą i aktywną kontrolą, oceniające zastosowanie </w:t>
      </w:r>
      <w:r w:rsidR="002602D2">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 5-FU/FA jako leczenia pierwszego rzutu w raku okrężnicy lub odbytnicy z przerzutami. Mediana wieku wynosiła 64 lata.19% pacjentów otrzymywało wcześniej chemioterapię i 14% otrzymywało wcześniej radioterapię. 71 pacjentów zostało losowo przydzielonych do grupy otrzymującej 5-FU/FA w postaci </w:t>
      </w:r>
      <w:r w:rsidR="005274DE" w:rsidRPr="00741122">
        <w:rPr>
          <w:rFonts w:ascii="Times New Roman" w:eastAsia="Times New Roman" w:hAnsi="Times New Roman" w:cs="Times New Roman"/>
          <w:sz w:val="22"/>
          <w:szCs w:val="22"/>
          <w:lang w:val="lt-LT"/>
        </w:rPr>
        <w:t xml:space="preserve">bolusu lub 5-FU/FA + </w:t>
      </w:r>
      <w:r w:rsidR="002602D2">
        <w:rPr>
          <w:rFonts w:ascii="Times New Roman" w:eastAsia="Times New Roman" w:hAnsi="Times New Roman" w:cs="Times New Roman"/>
          <w:sz w:val="22"/>
          <w:szCs w:val="22"/>
          <w:lang w:val="lt-LT"/>
        </w:rPr>
        <w:t>bewacyzumab</w:t>
      </w:r>
      <w:r w:rsidR="005274DE" w:rsidRPr="00741122">
        <w:rPr>
          <w:rFonts w:ascii="Times New Roman" w:eastAsia="Times New Roman" w:hAnsi="Times New Roman" w:cs="Times New Roman"/>
          <w:sz w:val="22"/>
          <w:szCs w:val="22"/>
          <w:lang w:val="lt-LT"/>
        </w:rPr>
        <w:t xml:space="preserve"> (5 </w:t>
      </w:r>
      <w:r w:rsidRPr="00741122">
        <w:rPr>
          <w:rFonts w:ascii="Times New Roman" w:eastAsia="Times New Roman" w:hAnsi="Times New Roman" w:cs="Times New Roman"/>
          <w:sz w:val="22"/>
          <w:szCs w:val="22"/>
          <w:lang w:val="lt-LT"/>
        </w:rPr>
        <w:t>mg/kg</w:t>
      </w:r>
      <w:r w:rsidR="005D1030">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dwa tygodnie). Trzecia grupa licząca 33 pacjentów otrzymywała 5-FU/FA (bolus) + </w:t>
      </w:r>
      <w:bookmarkStart w:id="29" w:name="page27"/>
      <w:bookmarkEnd w:id="29"/>
      <w:r w:rsidR="002602D2">
        <w:rPr>
          <w:rFonts w:ascii="Times New Roman" w:eastAsia="Times New Roman" w:hAnsi="Times New Roman" w:cs="Times New Roman"/>
          <w:sz w:val="22"/>
          <w:szCs w:val="22"/>
          <w:lang w:val="lt-LT"/>
        </w:rPr>
        <w:t>bewacyzumab</w:t>
      </w:r>
      <w:r w:rsidR="00C92850" w:rsidRPr="00741122">
        <w:rPr>
          <w:rFonts w:ascii="Times New Roman" w:eastAsia="Times New Roman" w:hAnsi="Times New Roman" w:cs="Times New Roman"/>
          <w:sz w:val="22"/>
          <w:szCs w:val="22"/>
          <w:lang w:val="lt-LT"/>
        </w:rPr>
        <w:t xml:space="preserve"> </w:t>
      </w:r>
      <w:r w:rsidR="005274DE" w:rsidRPr="00741122">
        <w:rPr>
          <w:rFonts w:ascii="Times New Roman" w:eastAsia="Times New Roman" w:hAnsi="Times New Roman" w:cs="Times New Roman"/>
          <w:sz w:val="22"/>
          <w:szCs w:val="22"/>
          <w:lang w:val="lt-LT"/>
        </w:rPr>
        <w:t>(10 </w:t>
      </w:r>
      <w:r w:rsidRPr="00741122">
        <w:rPr>
          <w:rFonts w:ascii="Times New Roman" w:eastAsia="Times New Roman" w:hAnsi="Times New Roman" w:cs="Times New Roman"/>
          <w:sz w:val="22"/>
          <w:szCs w:val="22"/>
          <w:lang w:val="lt-LT"/>
        </w:rPr>
        <w:t>mg/kg</w:t>
      </w:r>
      <w:r w:rsidR="00CE2844">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co dwa tygodnie). Pacjenci byli leczeni do czasu wystąpienia progresji choroby. Głównymi punktami końcowymi badania były: obiektywny współczynnik odpowiedzi i czas przeżycia bez progresji. Dod</w:t>
      </w:r>
      <w:r w:rsidR="005274DE" w:rsidRPr="00741122">
        <w:rPr>
          <w:rFonts w:ascii="Times New Roman" w:eastAsia="Times New Roman" w:hAnsi="Times New Roman" w:cs="Times New Roman"/>
          <w:sz w:val="22"/>
          <w:szCs w:val="22"/>
          <w:lang w:val="lt-LT"/>
        </w:rPr>
        <w:t xml:space="preserve">anie </w:t>
      </w:r>
      <w:r w:rsidR="002602D2">
        <w:rPr>
          <w:rFonts w:ascii="Times New Roman" w:eastAsia="Times New Roman" w:hAnsi="Times New Roman" w:cs="Times New Roman"/>
          <w:sz w:val="22"/>
          <w:szCs w:val="22"/>
          <w:lang w:val="lt-LT"/>
        </w:rPr>
        <w:t>bewacyzumabu</w:t>
      </w:r>
      <w:r w:rsidR="005274DE" w:rsidRPr="00741122">
        <w:rPr>
          <w:rFonts w:ascii="Times New Roman" w:eastAsia="Times New Roman" w:hAnsi="Times New Roman" w:cs="Times New Roman"/>
          <w:sz w:val="22"/>
          <w:szCs w:val="22"/>
          <w:lang w:val="lt-LT"/>
        </w:rPr>
        <w:t xml:space="preserve"> w dawce 5 </w:t>
      </w:r>
      <w:r w:rsidRPr="00741122">
        <w:rPr>
          <w:rFonts w:ascii="Times New Roman" w:eastAsia="Times New Roman" w:hAnsi="Times New Roman" w:cs="Times New Roman"/>
          <w:sz w:val="22"/>
          <w:szCs w:val="22"/>
          <w:lang w:val="lt-LT"/>
        </w:rPr>
        <w:t>mg/kg</w:t>
      </w:r>
      <w:r w:rsidR="005D1030">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dwa tygodnie do schematu 5-FU/FA prowadziło do uzyskania wyższych obiektywnych współczynników odpowiedzi, znacząco dłuższego czasu przeżycia bez progresji, z tendencją do dłuższego okresu przeżycia w porównaniu z samą chemioterapią 5-FU/FA (patrz Tabela</w:t>
      </w:r>
      <w:r w:rsidR="00811175" w:rsidRPr="0074112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5). Wspomniane parametry skuteczności były zgodne z wynikami obserwowanymi w badaniu AVF2107g.</w:t>
      </w:r>
    </w:p>
    <w:p w14:paraId="78986DB1" w14:textId="77777777" w:rsidR="00071CFE" w:rsidRPr="00741122" w:rsidRDefault="00071CFE" w:rsidP="00811175">
      <w:pPr>
        <w:rPr>
          <w:rFonts w:ascii="Times New Roman" w:eastAsia="Times New Roman" w:hAnsi="Times New Roman" w:cs="Times New Roman"/>
          <w:sz w:val="22"/>
          <w:szCs w:val="22"/>
          <w:lang w:val="lt-LT"/>
        </w:rPr>
      </w:pPr>
    </w:p>
    <w:p w14:paraId="0AB51085" w14:textId="77777777" w:rsidR="00071CFE" w:rsidRPr="00741122" w:rsidRDefault="00071CFE" w:rsidP="00811175">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 xml:space="preserve">Dane dotyczące skuteczności uzyskane w badaniach AVF0780g i AVF2192g, oceniających zastosowanie </w:t>
      </w:r>
      <w:r w:rsidR="002602D2">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 chemioterapią 5-FU/FA zostały w skrócie przedstawione w Tabeli 5.</w:t>
      </w:r>
    </w:p>
    <w:p w14:paraId="5F478379" w14:textId="77777777" w:rsidR="00071CFE" w:rsidRPr="00741122" w:rsidRDefault="00071CFE" w:rsidP="00811175">
      <w:pPr>
        <w:rPr>
          <w:rFonts w:ascii="Times New Roman" w:eastAsia="Times New Roman" w:hAnsi="Times New Roman" w:cs="Times New Roman"/>
          <w:sz w:val="22"/>
          <w:szCs w:val="22"/>
          <w:lang w:val="lt-LT"/>
        </w:rPr>
      </w:pPr>
    </w:p>
    <w:p w14:paraId="558BABE5" w14:textId="77777777" w:rsidR="00071CFE" w:rsidRPr="00741122" w:rsidRDefault="00071CFE" w:rsidP="00D91B78">
      <w:pPr>
        <w:keepNext/>
        <w:tabs>
          <w:tab w:val="left" w:pos="1200"/>
        </w:tabs>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Tab</w:t>
      </w:r>
      <w:r w:rsidR="00811175" w:rsidRPr="00741122">
        <w:rPr>
          <w:rFonts w:ascii="Times New Roman" w:eastAsia="Times New Roman" w:hAnsi="Times New Roman" w:cs="Times New Roman"/>
          <w:b/>
          <w:sz w:val="22"/>
          <w:szCs w:val="22"/>
          <w:lang w:val="lt-LT"/>
        </w:rPr>
        <w:t>ela 5</w:t>
      </w:r>
      <w:r w:rsidR="005D1030">
        <w:rPr>
          <w:rFonts w:ascii="Times New Roman" w:eastAsia="Times New Roman" w:hAnsi="Times New Roman" w:cs="Times New Roman"/>
          <w:b/>
          <w:sz w:val="22"/>
          <w:szCs w:val="22"/>
          <w:lang w:val="lt-LT"/>
        </w:rPr>
        <w:t>.</w:t>
      </w:r>
      <w:r w:rsidR="009E7AD1" w:rsidRPr="00741122">
        <w:rPr>
          <w:rFonts w:ascii="Times New Roman" w:eastAsia="Times New Roman" w:hAnsi="Times New Roman" w:cs="Times New Roman"/>
          <w:b/>
          <w:sz w:val="22"/>
          <w:szCs w:val="22"/>
          <w:lang w:val="lt-LT"/>
        </w:rPr>
        <w:t xml:space="preserve"> </w:t>
      </w:r>
      <w:r w:rsidRPr="00741122">
        <w:rPr>
          <w:rFonts w:ascii="Times New Roman" w:eastAsia="Times New Roman" w:hAnsi="Times New Roman" w:cs="Times New Roman"/>
          <w:b/>
          <w:sz w:val="22"/>
          <w:szCs w:val="22"/>
          <w:lang w:val="lt-LT"/>
        </w:rPr>
        <w:t>Wyniki oceny skuteczności dla badań AVF0780g i AVF2192g</w:t>
      </w:r>
    </w:p>
    <w:p w14:paraId="6A4E6274" w14:textId="77777777" w:rsidR="009E7AD1" w:rsidRPr="00741122" w:rsidRDefault="009E7AD1" w:rsidP="00D91B78">
      <w:pPr>
        <w:keepNext/>
        <w:tabs>
          <w:tab w:val="left" w:pos="1200"/>
        </w:tabs>
        <w:rPr>
          <w:rFonts w:ascii="Times New Roman" w:eastAsia="Times New Roman" w:hAnsi="Times New Roman" w:cs="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784"/>
        <w:gridCol w:w="1567"/>
        <w:gridCol w:w="1736"/>
        <w:gridCol w:w="1255"/>
        <w:gridCol w:w="1680"/>
      </w:tblGrid>
      <w:tr w:rsidR="009E7AD1" w:rsidRPr="006B441C" w14:paraId="5FDA39AB" w14:textId="77777777" w:rsidTr="00A230CE">
        <w:trPr>
          <w:trHeight w:val="300"/>
          <w:tblHeader/>
        </w:trPr>
        <w:tc>
          <w:tcPr>
            <w:tcW w:w="1250" w:type="pct"/>
            <w:noWrap/>
            <w:hideMark/>
          </w:tcPr>
          <w:p w14:paraId="5C23FC6B" w14:textId="77777777" w:rsidR="009E7AD1" w:rsidRPr="006B441C" w:rsidRDefault="009E7AD1" w:rsidP="00D91B78">
            <w:pPr>
              <w:keepNext/>
              <w:jc w:val="center"/>
              <w:rPr>
                <w:rFonts w:ascii="Times New Roman" w:hAnsi="Times New Roman" w:cs="Times New Roman"/>
                <w:color w:val="000000"/>
                <w:sz w:val="22"/>
                <w:szCs w:val="22"/>
                <w:lang w:val="lt-LT"/>
              </w:rPr>
            </w:pPr>
          </w:p>
        </w:tc>
        <w:tc>
          <w:tcPr>
            <w:tcW w:w="2183" w:type="pct"/>
            <w:gridSpan w:val="3"/>
            <w:noWrap/>
            <w:hideMark/>
          </w:tcPr>
          <w:p w14:paraId="6B976D82" w14:textId="77777777" w:rsidR="009E7AD1" w:rsidRPr="00D91B78" w:rsidRDefault="009E7AD1" w:rsidP="00D91B78">
            <w:pPr>
              <w:pStyle w:val="Default"/>
              <w:keepNext/>
              <w:jc w:val="center"/>
              <w:rPr>
                <w:b/>
                <w:sz w:val="22"/>
                <w:szCs w:val="22"/>
                <w:lang w:val="lt-LT"/>
              </w:rPr>
            </w:pPr>
            <w:r w:rsidRPr="00D91B78">
              <w:rPr>
                <w:b/>
                <w:sz w:val="22"/>
                <w:szCs w:val="22"/>
                <w:lang w:val="lt-LT"/>
              </w:rPr>
              <w:t>AVF0780g</w:t>
            </w:r>
          </w:p>
        </w:tc>
        <w:tc>
          <w:tcPr>
            <w:tcW w:w="1568" w:type="pct"/>
            <w:gridSpan w:val="2"/>
            <w:noWrap/>
            <w:hideMark/>
          </w:tcPr>
          <w:p w14:paraId="2B510FDC" w14:textId="77777777" w:rsidR="009E7AD1" w:rsidRPr="00D91B78" w:rsidRDefault="009E7AD1" w:rsidP="00D91B78">
            <w:pPr>
              <w:pStyle w:val="Default"/>
              <w:keepNext/>
              <w:jc w:val="center"/>
              <w:rPr>
                <w:b/>
                <w:sz w:val="22"/>
                <w:szCs w:val="22"/>
                <w:lang w:val="lt-LT"/>
              </w:rPr>
            </w:pPr>
            <w:r w:rsidRPr="00D91B78">
              <w:rPr>
                <w:b/>
                <w:sz w:val="22"/>
                <w:szCs w:val="22"/>
                <w:lang w:val="lt-LT"/>
              </w:rPr>
              <w:t>AVF2192g</w:t>
            </w:r>
          </w:p>
        </w:tc>
      </w:tr>
      <w:tr w:rsidR="009E7AD1" w:rsidRPr="006B441C" w14:paraId="498005C8" w14:textId="77777777" w:rsidTr="00A230CE">
        <w:trPr>
          <w:trHeight w:val="629"/>
          <w:tblHeader/>
        </w:trPr>
        <w:tc>
          <w:tcPr>
            <w:tcW w:w="1250" w:type="pct"/>
            <w:noWrap/>
            <w:hideMark/>
          </w:tcPr>
          <w:p w14:paraId="51E351A7" w14:textId="77777777" w:rsidR="009E7AD1" w:rsidRPr="006B441C" w:rsidRDefault="009E7AD1" w:rsidP="00D91B78">
            <w:pPr>
              <w:keepNext/>
              <w:jc w:val="center"/>
              <w:rPr>
                <w:rFonts w:ascii="Times New Roman" w:hAnsi="Times New Roman" w:cs="Times New Roman"/>
                <w:color w:val="000000"/>
                <w:sz w:val="22"/>
                <w:szCs w:val="22"/>
                <w:lang w:val="lt-LT"/>
              </w:rPr>
            </w:pPr>
          </w:p>
        </w:tc>
        <w:tc>
          <w:tcPr>
            <w:tcW w:w="419" w:type="pct"/>
            <w:noWrap/>
            <w:vAlign w:val="center"/>
            <w:hideMark/>
          </w:tcPr>
          <w:p w14:paraId="18C0492A" w14:textId="77777777" w:rsidR="009E7AD1" w:rsidRPr="00D91B78" w:rsidRDefault="009E7AD1" w:rsidP="00D91B78">
            <w:pPr>
              <w:pStyle w:val="Default"/>
              <w:keepNext/>
              <w:jc w:val="center"/>
              <w:rPr>
                <w:b/>
                <w:sz w:val="22"/>
                <w:szCs w:val="22"/>
                <w:lang w:val="lt-LT"/>
              </w:rPr>
            </w:pPr>
            <w:r w:rsidRPr="00D91B78">
              <w:rPr>
                <w:b/>
                <w:sz w:val="22"/>
                <w:szCs w:val="22"/>
                <w:lang w:val="lt-LT"/>
              </w:rPr>
              <w:t>5-FU/FA</w:t>
            </w:r>
          </w:p>
        </w:tc>
        <w:tc>
          <w:tcPr>
            <w:tcW w:w="837" w:type="pct"/>
            <w:noWrap/>
            <w:vAlign w:val="center"/>
            <w:hideMark/>
          </w:tcPr>
          <w:p w14:paraId="23C38D67" w14:textId="77777777" w:rsidR="009E7AD1" w:rsidRPr="00D91B78" w:rsidRDefault="009E7AD1" w:rsidP="00D91B78">
            <w:pPr>
              <w:pStyle w:val="Default"/>
              <w:keepNext/>
              <w:jc w:val="center"/>
              <w:rPr>
                <w:b/>
                <w:sz w:val="22"/>
                <w:szCs w:val="22"/>
                <w:lang w:val="lt-LT"/>
              </w:rPr>
            </w:pPr>
            <w:r w:rsidRPr="00D91B78">
              <w:rPr>
                <w:b/>
                <w:sz w:val="22"/>
                <w:szCs w:val="22"/>
                <w:lang w:val="lt-LT"/>
              </w:rPr>
              <w:t xml:space="preserve">5-FU/FA + </w:t>
            </w:r>
            <w:r w:rsidR="002602D2" w:rsidRPr="00D91B78">
              <w:rPr>
                <w:b/>
                <w:sz w:val="22"/>
                <w:szCs w:val="22"/>
                <w:lang w:val="lt-LT"/>
              </w:rPr>
              <w:t>bewacyzumab</w:t>
            </w:r>
            <w:r w:rsidRPr="00D91B78">
              <w:rPr>
                <w:b/>
                <w:sz w:val="22"/>
                <w:szCs w:val="22"/>
                <w:vertAlign w:val="superscript"/>
                <w:lang w:val="lt-LT"/>
              </w:rPr>
              <w:t>a</w:t>
            </w:r>
          </w:p>
        </w:tc>
        <w:tc>
          <w:tcPr>
            <w:tcW w:w="927" w:type="pct"/>
            <w:noWrap/>
            <w:vAlign w:val="center"/>
            <w:hideMark/>
          </w:tcPr>
          <w:p w14:paraId="2014644A" w14:textId="77777777" w:rsidR="009E7AD1" w:rsidRPr="00D91B78" w:rsidRDefault="009E7AD1" w:rsidP="00D91B78">
            <w:pPr>
              <w:pStyle w:val="Default"/>
              <w:keepNext/>
              <w:jc w:val="center"/>
              <w:rPr>
                <w:b/>
                <w:sz w:val="22"/>
                <w:szCs w:val="22"/>
                <w:lang w:val="lt-LT"/>
              </w:rPr>
            </w:pPr>
            <w:r w:rsidRPr="00D91B78">
              <w:rPr>
                <w:b/>
                <w:sz w:val="22"/>
                <w:szCs w:val="22"/>
                <w:lang w:val="lt-LT"/>
              </w:rPr>
              <w:t xml:space="preserve">5-FU/FA + </w:t>
            </w:r>
            <w:r w:rsidR="002602D2" w:rsidRPr="00D91B78">
              <w:rPr>
                <w:b/>
                <w:sz w:val="22"/>
                <w:szCs w:val="22"/>
                <w:lang w:val="lt-LT"/>
              </w:rPr>
              <w:t>bewacyzumab</w:t>
            </w:r>
            <w:r w:rsidRPr="00D91B78">
              <w:rPr>
                <w:b/>
                <w:sz w:val="22"/>
                <w:szCs w:val="22"/>
                <w:vertAlign w:val="superscript"/>
                <w:lang w:val="lt-LT"/>
              </w:rPr>
              <w:t>b</w:t>
            </w:r>
          </w:p>
        </w:tc>
        <w:tc>
          <w:tcPr>
            <w:tcW w:w="670" w:type="pct"/>
            <w:noWrap/>
            <w:vAlign w:val="center"/>
            <w:hideMark/>
          </w:tcPr>
          <w:p w14:paraId="49582361" w14:textId="77777777" w:rsidR="009E7AD1" w:rsidRPr="00D91B78" w:rsidRDefault="009E7AD1" w:rsidP="00D91B78">
            <w:pPr>
              <w:pStyle w:val="Default"/>
              <w:keepNext/>
              <w:jc w:val="center"/>
              <w:rPr>
                <w:b/>
                <w:sz w:val="22"/>
                <w:szCs w:val="22"/>
                <w:lang w:val="lt-LT"/>
              </w:rPr>
            </w:pPr>
            <w:r w:rsidRPr="00D91B78">
              <w:rPr>
                <w:b/>
                <w:sz w:val="22"/>
                <w:szCs w:val="22"/>
                <w:lang w:val="lt-LT"/>
              </w:rPr>
              <w:t>5-FU/FA + placebo</w:t>
            </w:r>
          </w:p>
        </w:tc>
        <w:tc>
          <w:tcPr>
            <w:tcW w:w="897" w:type="pct"/>
            <w:noWrap/>
            <w:vAlign w:val="center"/>
            <w:hideMark/>
          </w:tcPr>
          <w:p w14:paraId="5552186E" w14:textId="77777777" w:rsidR="009E7AD1" w:rsidRPr="00D91B78" w:rsidRDefault="009E7AD1" w:rsidP="00D91B78">
            <w:pPr>
              <w:pStyle w:val="Default"/>
              <w:keepNext/>
              <w:jc w:val="center"/>
              <w:rPr>
                <w:b/>
                <w:sz w:val="22"/>
                <w:szCs w:val="22"/>
                <w:lang w:val="lt-LT"/>
              </w:rPr>
            </w:pPr>
            <w:r w:rsidRPr="00D91B78">
              <w:rPr>
                <w:b/>
                <w:sz w:val="22"/>
                <w:szCs w:val="22"/>
                <w:lang w:val="lt-LT"/>
              </w:rPr>
              <w:t xml:space="preserve">5-FU/FA + </w:t>
            </w:r>
            <w:r w:rsidR="002602D2" w:rsidRPr="00D91B78">
              <w:rPr>
                <w:b/>
                <w:sz w:val="22"/>
                <w:szCs w:val="22"/>
                <w:lang w:val="lt-LT"/>
              </w:rPr>
              <w:t>bewacyzumab</w:t>
            </w:r>
          </w:p>
        </w:tc>
      </w:tr>
      <w:tr w:rsidR="009E7AD1" w:rsidRPr="006B441C" w14:paraId="41A64B73" w14:textId="77777777" w:rsidTr="00A230CE">
        <w:trPr>
          <w:trHeight w:val="300"/>
        </w:trPr>
        <w:tc>
          <w:tcPr>
            <w:tcW w:w="1250" w:type="pct"/>
            <w:noWrap/>
            <w:hideMark/>
          </w:tcPr>
          <w:p w14:paraId="4F6AB0FB" w14:textId="77777777" w:rsidR="009E7AD1" w:rsidRPr="006B441C" w:rsidRDefault="009E7AD1" w:rsidP="00C4733F">
            <w:pPr>
              <w:pStyle w:val="Default"/>
              <w:rPr>
                <w:sz w:val="22"/>
                <w:szCs w:val="22"/>
                <w:lang w:val="lt-LT"/>
              </w:rPr>
            </w:pPr>
            <w:r w:rsidRPr="006B441C">
              <w:rPr>
                <w:sz w:val="22"/>
                <w:szCs w:val="22"/>
                <w:lang w:val="lt-LT"/>
              </w:rPr>
              <w:t xml:space="preserve">Liczba pacjentów </w:t>
            </w:r>
          </w:p>
        </w:tc>
        <w:tc>
          <w:tcPr>
            <w:tcW w:w="419" w:type="pct"/>
            <w:noWrap/>
            <w:hideMark/>
          </w:tcPr>
          <w:p w14:paraId="4B147988" w14:textId="77777777" w:rsidR="009E7AD1" w:rsidRPr="006B441C" w:rsidRDefault="009E7AD1" w:rsidP="00C4733F">
            <w:pPr>
              <w:pStyle w:val="Default"/>
              <w:jc w:val="center"/>
              <w:rPr>
                <w:sz w:val="22"/>
                <w:szCs w:val="22"/>
                <w:lang w:val="lt-LT"/>
              </w:rPr>
            </w:pPr>
            <w:r w:rsidRPr="006B441C">
              <w:rPr>
                <w:sz w:val="22"/>
                <w:szCs w:val="22"/>
                <w:lang w:val="lt-LT"/>
              </w:rPr>
              <w:t>36</w:t>
            </w:r>
          </w:p>
        </w:tc>
        <w:tc>
          <w:tcPr>
            <w:tcW w:w="837" w:type="pct"/>
            <w:noWrap/>
            <w:hideMark/>
          </w:tcPr>
          <w:p w14:paraId="6B8722E8" w14:textId="77777777" w:rsidR="009E7AD1" w:rsidRPr="006B441C" w:rsidRDefault="009E7AD1" w:rsidP="00C4733F">
            <w:pPr>
              <w:pStyle w:val="Default"/>
              <w:jc w:val="center"/>
              <w:rPr>
                <w:sz w:val="22"/>
                <w:szCs w:val="22"/>
                <w:lang w:val="lt-LT"/>
              </w:rPr>
            </w:pPr>
            <w:r w:rsidRPr="006B441C">
              <w:rPr>
                <w:sz w:val="22"/>
                <w:szCs w:val="22"/>
                <w:lang w:val="lt-LT"/>
              </w:rPr>
              <w:t>35</w:t>
            </w:r>
          </w:p>
        </w:tc>
        <w:tc>
          <w:tcPr>
            <w:tcW w:w="927" w:type="pct"/>
            <w:noWrap/>
            <w:hideMark/>
          </w:tcPr>
          <w:p w14:paraId="3A530994" w14:textId="77777777" w:rsidR="009E7AD1" w:rsidRPr="006B441C" w:rsidRDefault="009E7AD1" w:rsidP="00C4733F">
            <w:pPr>
              <w:pStyle w:val="Default"/>
              <w:jc w:val="center"/>
              <w:rPr>
                <w:sz w:val="22"/>
                <w:szCs w:val="22"/>
                <w:lang w:val="lt-LT"/>
              </w:rPr>
            </w:pPr>
            <w:r w:rsidRPr="006B441C">
              <w:rPr>
                <w:sz w:val="22"/>
                <w:szCs w:val="22"/>
                <w:lang w:val="lt-LT"/>
              </w:rPr>
              <w:t>33</w:t>
            </w:r>
          </w:p>
        </w:tc>
        <w:tc>
          <w:tcPr>
            <w:tcW w:w="670" w:type="pct"/>
            <w:noWrap/>
            <w:hideMark/>
          </w:tcPr>
          <w:p w14:paraId="1EA350CE" w14:textId="77777777" w:rsidR="009E7AD1" w:rsidRPr="006B441C" w:rsidRDefault="009E7AD1" w:rsidP="00C4733F">
            <w:pPr>
              <w:pStyle w:val="Default"/>
              <w:jc w:val="center"/>
              <w:rPr>
                <w:sz w:val="22"/>
                <w:szCs w:val="22"/>
                <w:lang w:val="lt-LT"/>
              </w:rPr>
            </w:pPr>
            <w:r w:rsidRPr="006B441C">
              <w:rPr>
                <w:sz w:val="22"/>
                <w:szCs w:val="22"/>
                <w:lang w:val="lt-LT"/>
              </w:rPr>
              <w:t>105</w:t>
            </w:r>
          </w:p>
        </w:tc>
        <w:tc>
          <w:tcPr>
            <w:tcW w:w="897" w:type="pct"/>
            <w:noWrap/>
            <w:hideMark/>
          </w:tcPr>
          <w:p w14:paraId="7A5FA0BC" w14:textId="77777777" w:rsidR="009E7AD1" w:rsidRPr="006B441C" w:rsidRDefault="009E7AD1" w:rsidP="00C4733F">
            <w:pPr>
              <w:pStyle w:val="Default"/>
              <w:jc w:val="center"/>
              <w:rPr>
                <w:sz w:val="22"/>
                <w:szCs w:val="22"/>
                <w:lang w:val="lt-LT"/>
              </w:rPr>
            </w:pPr>
            <w:r w:rsidRPr="006B441C">
              <w:rPr>
                <w:sz w:val="22"/>
                <w:szCs w:val="22"/>
                <w:lang w:val="lt-LT"/>
              </w:rPr>
              <w:t>104</w:t>
            </w:r>
          </w:p>
        </w:tc>
      </w:tr>
      <w:tr w:rsidR="009E7AD1" w:rsidRPr="006B441C" w14:paraId="338A32C7" w14:textId="77777777" w:rsidTr="00A230CE">
        <w:trPr>
          <w:trHeight w:val="300"/>
        </w:trPr>
        <w:tc>
          <w:tcPr>
            <w:tcW w:w="5000" w:type="pct"/>
            <w:gridSpan w:val="6"/>
            <w:noWrap/>
            <w:hideMark/>
          </w:tcPr>
          <w:p w14:paraId="23A95E0F" w14:textId="77777777" w:rsidR="009E7AD1" w:rsidRPr="006B441C" w:rsidRDefault="009E7AD1" w:rsidP="00C4733F">
            <w:pPr>
              <w:pStyle w:val="Default"/>
              <w:rPr>
                <w:sz w:val="22"/>
                <w:szCs w:val="22"/>
                <w:lang w:val="lt-LT"/>
              </w:rPr>
            </w:pPr>
            <w:r w:rsidRPr="006B441C">
              <w:rPr>
                <w:sz w:val="22"/>
                <w:szCs w:val="22"/>
                <w:lang w:val="lt-LT"/>
              </w:rPr>
              <w:t xml:space="preserve">Całkowity czas przeżycia </w:t>
            </w:r>
          </w:p>
        </w:tc>
      </w:tr>
      <w:tr w:rsidR="009E7AD1" w:rsidRPr="006B441C" w14:paraId="45984630" w14:textId="77777777" w:rsidTr="00A230CE">
        <w:trPr>
          <w:trHeight w:val="300"/>
        </w:trPr>
        <w:tc>
          <w:tcPr>
            <w:tcW w:w="1250" w:type="pct"/>
            <w:noWrap/>
            <w:hideMark/>
          </w:tcPr>
          <w:p w14:paraId="57CAC127" w14:textId="77777777" w:rsidR="009E7AD1" w:rsidRPr="006B441C" w:rsidRDefault="009E7AD1" w:rsidP="004B3DB3">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Mediana (w miesiącach) </w:t>
            </w:r>
          </w:p>
        </w:tc>
        <w:tc>
          <w:tcPr>
            <w:tcW w:w="419" w:type="pct"/>
            <w:noWrap/>
            <w:hideMark/>
          </w:tcPr>
          <w:p w14:paraId="1860CC3D" w14:textId="77777777" w:rsidR="009E7AD1" w:rsidRPr="006B441C" w:rsidRDefault="009E7AD1" w:rsidP="00C4733F">
            <w:pPr>
              <w:pStyle w:val="Default"/>
              <w:jc w:val="center"/>
              <w:rPr>
                <w:sz w:val="22"/>
                <w:szCs w:val="22"/>
                <w:lang w:val="lt-LT"/>
              </w:rPr>
            </w:pPr>
            <w:r w:rsidRPr="006B441C">
              <w:rPr>
                <w:sz w:val="22"/>
                <w:szCs w:val="22"/>
                <w:lang w:val="lt-LT"/>
              </w:rPr>
              <w:t>13,6</w:t>
            </w:r>
          </w:p>
        </w:tc>
        <w:tc>
          <w:tcPr>
            <w:tcW w:w="837" w:type="pct"/>
            <w:noWrap/>
            <w:hideMark/>
          </w:tcPr>
          <w:p w14:paraId="5487F62F" w14:textId="77777777" w:rsidR="009E7AD1" w:rsidRPr="006B441C" w:rsidRDefault="009E7AD1" w:rsidP="00C4733F">
            <w:pPr>
              <w:pStyle w:val="Default"/>
              <w:jc w:val="center"/>
              <w:rPr>
                <w:sz w:val="22"/>
                <w:szCs w:val="22"/>
                <w:lang w:val="lt-LT"/>
              </w:rPr>
            </w:pPr>
            <w:r w:rsidRPr="006B441C">
              <w:rPr>
                <w:sz w:val="22"/>
                <w:szCs w:val="22"/>
                <w:lang w:val="lt-LT"/>
              </w:rPr>
              <w:t>17,7</w:t>
            </w:r>
          </w:p>
        </w:tc>
        <w:tc>
          <w:tcPr>
            <w:tcW w:w="927" w:type="pct"/>
            <w:noWrap/>
            <w:hideMark/>
          </w:tcPr>
          <w:p w14:paraId="7EFC417C" w14:textId="77777777" w:rsidR="009E7AD1" w:rsidRPr="006B441C" w:rsidRDefault="009E7AD1" w:rsidP="00C4733F">
            <w:pPr>
              <w:pStyle w:val="Default"/>
              <w:jc w:val="center"/>
              <w:rPr>
                <w:sz w:val="22"/>
                <w:szCs w:val="22"/>
                <w:lang w:val="lt-LT"/>
              </w:rPr>
            </w:pPr>
            <w:r w:rsidRPr="006B441C">
              <w:rPr>
                <w:sz w:val="22"/>
                <w:szCs w:val="22"/>
                <w:lang w:val="lt-LT"/>
              </w:rPr>
              <w:t>15,2</w:t>
            </w:r>
          </w:p>
        </w:tc>
        <w:tc>
          <w:tcPr>
            <w:tcW w:w="670" w:type="pct"/>
            <w:noWrap/>
            <w:hideMark/>
          </w:tcPr>
          <w:p w14:paraId="2E693F23" w14:textId="77777777" w:rsidR="009E7AD1" w:rsidRPr="006B441C" w:rsidRDefault="009E7AD1" w:rsidP="00C4733F">
            <w:pPr>
              <w:pStyle w:val="Default"/>
              <w:jc w:val="center"/>
              <w:rPr>
                <w:sz w:val="22"/>
                <w:szCs w:val="22"/>
                <w:lang w:val="lt-LT"/>
              </w:rPr>
            </w:pPr>
            <w:r w:rsidRPr="006B441C">
              <w:rPr>
                <w:sz w:val="22"/>
                <w:szCs w:val="22"/>
                <w:lang w:val="lt-LT"/>
              </w:rPr>
              <w:t>12,9</w:t>
            </w:r>
          </w:p>
        </w:tc>
        <w:tc>
          <w:tcPr>
            <w:tcW w:w="897" w:type="pct"/>
            <w:noWrap/>
            <w:hideMark/>
          </w:tcPr>
          <w:p w14:paraId="16A7FCC1" w14:textId="77777777" w:rsidR="009E7AD1" w:rsidRPr="006B441C" w:rsidRDefault="009E7AD1" w:rsidP="00C4733F">
            <w:pPr>
              <w:pStyle w:val="Default"/>
              <w:jc w:val="center"/>
              <w:rPr>
                <w:sz w:val="22"/>
                <w:szCs w:val="22"/>
                <w:lang w:val="lt-LT"/>
              </w:rPr>
            </w:pPr>
            <w:r w:rsidRPr="006B441C">
              <w:rPr>
                <w:sz w:val="22"/>
                <w:szCs w:val="22"/>
                <w:lang w:val="lt-LT"/>
              </w:rPr>
              <w:t>16,6</w:t>
            </w:r>
          </w:p>
        </w:tc>
      </w:tr>
      <w:tr w:rsidR="009E7AD1" w:rsidRPr="006B441C" w14:paraId="161C257F" w14:textId="77777777" w:rsidTr="00A230CE">
        <w:trPr>
          <w:trHeight w:val="300"/>
        </w:trPr>
        <w:tc>
          <w:tcPr>
            <w:tcW w:w="1250" w:type="pct"/>
            <w:noWrap/>
            <w:hideMark/>
          </w:tcPr>
          <w:p w14:paraId="7DC9839D" w14:textId="77777777" w:rsidR="009E7AD1" w:rsidRPr="006B441C" w:rsidRDefault="009E7AD1" w:rsidP="004B3DB3">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95% CI </w:t>
            </w:r>
          </w:p>
        </w:tc>
        <w:tc>
          <w:tcPr>
            <w:tcW w:w="419" w:type="pct"/>
            <w:noWrap/>
            <w:hideMark/>
          </w:tcPr>
          <w:p w14:paraId="36CB189E" w14:textId="77777777" w:rsidR="009E7AD1" w:rsidRPr="006B441C" w:rsidRDefault="009E7AD1" w:rsidP="00C4733F">
            <w:pPr>
              <w:jc w:val="center"/>
              <w:rPr>
                <w:rFonts w:ascii="Times New Roman" w:hAnsi="Times New Roman" w:cs="Times New Roman"/>
                <w:color w:val="000000"/>
                <w:sz w:val="22"/>
                <w:szCs w:val="22"/>
                <w:lang w:val="lt-LT"/>
              </w:rPr>
            </w:pPr>
          </w:p>
        </w:tc>
        <w:tc>
          <w:tcPr>
            <w:tcW w:w="837" w:type="pct"/>
            <w:noWrap/>
            <w:hideMark/>
          </w:tcPr>
          <w:p w14:paraId="287C4588" w14:textId="77777777" w:rsidR="009E7AD1" w:rsidRPr="006B441C" w:rsidRDefault="009E7AD1" w:rsidP="00C4733F">
            <w:pPr>
              <w:jc w:val="center"/>
              <w:rPr>
                <w:rFonts w:ascii="Times New Roman" w:hAnsi="Times New Roman" w:cs="Times New Roman"/>
                <w:color w:val="000000"/>
                <w:sz w:val="22"/>
                <w:szCs w:val="22"/>
                <w:lang w:val="lt-LT"/>
              </w:rPr>
            </w:pPr>
          </w:p>
        </w:tc>
        <w:tc>
          <w:tcPr>
            <w:tcW w:w="927" w:type="pct"/>
            <w:noWrap/>
            <w:hideMark/>
          </w:tcPr>
          <w:p w14:paraId="42844DF8" w14:textId="77777777" w:rsidR="009E7AD1" w:rsidRPr="006B441C" w:rsidRDefault="009E7AD1" w:rsidP="00C4733F">
            <w:pPr>
              <w:jc w:val="center"/>
              <w:rPr>
                <w:rFonts w:ascii="Times New Roman" w:hAnsi="Times New Roman" w:cs="Times New Roman"/>
                <w:color w:val="000000"/>
                <w:sz w:val="22"/>
                <w:szCs w:val="22"/>
                <w:lang w:val="lt-LT"/>
              </w:rPr>
            </w:pPr>
          </w:p>
        </w:tc>
        <w:tc>
          <w:tcPr>
            <w:tcW w:w="670" w:type="pct"/>
            <w:noWrap/>
            <w:hideMark/>
          </w:tcPr>
          <w:p w14:paraId="68AFFB95" w14:textId="77777777" w:rsidR="009E7AD1" w:rsidRPr="006B441C" w:rsidRDefault="009E7AD1" w:rsidP="00C4733F">
            <w:pPr>
              <w:pStyle w:val="Default"/>
              <w:jc w:val="center"/>
              <w:rPr>
                <w:sz w:val="22"/>
                <w:szCs w:val="22"/>
                <w:lang w:val="lt-LT"/>
              </w:rPr>
            </w:pPr>
            <w:r w:rsidRPr="006B441C">
              <w:rPr>
                <w:sz w:val="22"/>
                <w:szCs w:val="22"/>
                <w:lang w:val="lt-LT"/>
              </w:rPr>
              <w:t>10,35 - 16,95</w:t>
            </w:r>
          </w:p>
        </w:tc>
        <w:tc>
          <w:tcPr>
            <w:tcW w:w="897" w:type="pct"/>
            <w:noWrap/>
            <w:hideMark/>
          </w:tcPr>
          <w:p w14:paraId="425370D3" w14:textId="77777777" w:rsidR="009E7AD1" w:rsidRPr="006B441C" w:rsidRDefault="009E7AD1" w:rsidP="00C4733F">
            <w:pPr>
              <w:pStyle w:val="Default"/>
              <w:jc w:val="center"/>
              <w:rPr>
                <w:sz w:val="22"/>
                <w:szCs w:val="22"/>
                <w:lang w:val="lt-LT"/>
              </w:rPr>
            </w:pPr>
            <w:r w:rsidRPr="006B441C">
              <w:rPr>
                <w:sz w:val="22"/>
                <w:szCs w:val="22"/>
                <w:lang w:val="lt-LT"/>
              </w:rPr>
              <w:t>13,63 - 19,32</w:t>
            </w:r>
          </w:p>
        </w:tc>
      </w:tr>
      <w:tr w:rsidR="009E7AD1" w:rsidRPr="006B441C" w14:paraId="0D4B5CD2" w14:textId="77777777" w:rsidTr="00A230CE">
        <w:trPr>
          <w:trHeight w:val="300"/>
        </w:trPr>
        <w:tc>
          <w:tcPr>
            <w:tcW w:w="1250" w:type="pct"/>
            <w:noWrap/>
            <w:hideMark/>
          </w:tcPr>
          <w:p w14:paraId="50D7409E" w14:textId="77777777" w:rsidR="009E7AD1" w:rsidRPr="006B441C" w:rsidRDefault="009E7AD1" w:rsidP="004B3DB3">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Współczynnik ryzyka</w:t>
            </w:r>
            <w:r w:rsidRPr="006B441C">
              <w:rPr>
                <w:rFonts w:ascii="Times New Roman" w:hAnsi="Times New Roman" w:cs="Times New Roman"/>
                <w:sz w:val="22"/>
                <w:szCs w:val="22"/>
                <w:vertAlign w:val="superscript"/>
                <w:lang w:val="lt-LT"/>
              </w:rPr>
              <w:t>c</w:t>
            </w:r>
            <w:r w:rsidRPr="006B441C">
              <w:rPr>
                <w:rFonts w:ascii="Times New Roman" w:hAnsi="Times New Roman" w:cs="Times New Roman"/>
                <w:sz w:val="22"/>
                <w:szCs w:val="22"/>
                <w:lang w:val="lt-LT"/>
              </w:rPr>
              <w:t xml:space="preserve"> </w:t>
            </w:r>
          </w:p>
        </w:tc>
        <w:tc>
          <w:tcPr>
            <w:tcW w:w="419" w:type="pct"/>
            <w:noWrap/>
            <w:hideMark/>
          </w:tcPr>
          <w:p w14:paraId="6CD6D22D" w14:textId="77777777" w:rsidR="009E7AD1" w:rsidRPr="006B441C" w:rsidRDefault="009E7AD1" w:rsidP="00C4733F">
            <w:pPr>
              <w:jc w:val="center"/>
              <w:rPr>
                <w:rFonts w:ascii="Times New Roman" w:hAnsi="Times New Roman" w:cs="Times New Roman"/>
                <w:color w:val="000000"/>
                <w:sz w:val="22"/>
                <w:szCs w:val="22"/>
                <w:lang w:val="lt-LT"/>
              </w:rPr>
            </w:pPr>
            <w:r w:rsidRPr="006B441C">
              <w:rPr>
                <w:rFonts w:ascii="Times New Roman" w:hAnsi="Times New Roman" w:cs="Times New Roman"/>
                <w:sz w:val="22"/>
                <w:szCs w:val="22"/>
                <w:lang w:val="lt-LT"/>
              </w:rPr>
              <w:t>-</w:t>
            </w:r>
          </w:p>
        </w:tc>
        <w:tc>
          <w:tcPr>
            <w:tcW w:w="837" w:type="pct"/>
            <w:noWrap/>
            <w:hideMark/>
          </w:tcPr>
          <w:p w14:paraId="0849EDF4" w14:textId="77777777" w:rsidR="009E7AD1" w:rsidRPr="006B441C" w:rsidRDefault="009E7AD1" w:rsidP="00C4733F">
            <w:pPr>
              <w:pStyle w:val="Default"/>
              <w:jc w:val="center"/>
              <w:rPr>
                <w:sz w:val="22"/>
                <w:szCs w:val="22"/>
                <w:lang w:val="lt-LT"/>
              </w:rPr>
            </w:pPr>
            <w:r w:rsidRPr="006B441C">
              <w:rPr>
                <w:sz w:val="22"/>
                <w:szCs w:val="22"/>
                <w:lang w:val="lt-LT"/>
              </w:rPr>
              <w:t>0,52</w:t>
            </w:r>
          </w:p>
        </w:tc>
        <w:tc>
          <w:tcPr>
            <w:tcW w:w="927" w:type="pct"/>
            <w:noWrap/>
            <w:hideMark/>
          </w:tcPr>
          <w:p w14:paraId="173A68CF" w14:textId="77777777" w:rsidR="009E7AD1" w:rsidRPr="006B441C" w:rsidRDefault="009E7AD1" w:rsidP="00C4733F">
            <w:pPr>
              <w:pStyle w:val="Default"/>
              <w:jc w:val="center"/>
              <w:rPr>
                <w:sz w:val="22"/>
                <w:szCs w:val="22"/>
                <w:lang w:val="lt-LT"/>
              </w:rPr>
            </w:pPr>
            <w:r w:rsidRPr="006B441C">
              <w:rPr>
                <w:sz w:val="22"/>
                <w:szCs w:val="22"/>
                <w:lang w:val="lt-LT"/>
              </w:rPr>
              <w:t>1,01</w:t>
            </w:r>
          </w:p>
        </w:tc>
        <w:tc>
          <w:tcPr>
            <w:tcW w:w="670" w:type="pct"/>
            <w:noWrap/>
            <w:hideMark/>
          </w:tcPr>
          <w:p w14:paraId="36D38565" w14:textId="77777777" w:rsidR="009E7AD1" w:rsidRPr="006B441C" w:rsidRDefault="009E7AD1" w:rsidP="00C4733F">
            <w:pPr>
              <w:jc w:val="center"/>
              <w:rPr>
                <w:rFonts w:ascii="Times New Roman" w:hAnsi="Times New Roman" w:cs="Times New Roman"/>
                <w:color w:val="000000"/>
                <w:sz w:val="22"/>
                <w:szCs w:val="22"/>
                <w:lang w:val="lt-LT"/>
              </w:rPr>
            </w:pPr>
          </w:p>
        </w:tc>
        <w:tc>
          <w:tcPr>
            <w:tcW w:w="897" w:type="pct"/>
            <w:noWrap/>
            <w:hideMark/>
          </w:tcPr>
          <w:p w14:paraId="6BB1565F" w14:textId="77777777" w:rsidR="009E7AD1" w:rsidRPr="006B441C" w:rsidRDefault="009E7AD1" w:rsidP="00C4733F">
            <w:pPr>
              <w:pStyle w:val="Default"/>
              <w:jc w:val="center"/>
              <w:rPr>
                <w:sz w:val="22"/>
                <w:szCs w:val="22"/>
                <w:lang w:val="lt-LT"/>
              </w:rPr>
            </w:pPr>
            <w:r w:rsidRPr="006B441C">
              <w:rPr>
                <w:sz w:val="22"/>
                <w:szCs w:val="22"/>
                <w:lang w:val="lt-LT"/>
              </w:rPr>
              <w:t>0,79</w:t>
            </w:r>
          </w:p>
        </w:tc>
      </w:tr>
      <w:tr w:rsidR="009E7AD1" w:rsidRPr="006B441C" w14:paraId="69113319" w14:textId="77777777" w:rsidTr="00A230CE">
        <w:trPr>
          <w:trHeight w:val="300"/>
        </w:trPr>
        <w:tc>
          <w:tcPr>
            <w:tcW w:w="1250" w:type="pct"/>
            <w:noWrap/>
            <w:hideMark/>
          </w:tcPr>
          <w:p w14:paraId="1F34A3C1" w14:textId="77777777" w:rsidR="009E7AD1" w:rsidRPr="006B441C" w:rsidRDefault="009E7AD1" w:rsidP="004B3DB3">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Wartość p </w:t>
            </w:r>
          </w:p>
        </w:tc>
        <w:tc>
          <w:tcPr>
            <w:tcW w:w="419" w:type="pct"/>
            <w:noWrap/>
            <w:hideMark/>
          </w:tcPr>
          <w:p w14:paraId="417AF72F" w14:textId="77777777" w:rsidR="009E7AD1" w:rsidRPr="006B441C" w:rsidRDefault="009E7AD1" w:rsidP="00C4733F">
            <w:pPr>
              <w:jc w:val="center"/>
              <w:rPr>
                <w:rFonts w:ascii="Times New Roman" w:hAnsi="Times New Roman" w:cs="Times New Roman"/>
                <w:color w:val="000000"/>
                <w:sz w:val="22"/>
                <w:szCs w:val="22"/>
                <w:lang w:val="lt-LT"/>
              </w:rPr>
            </w:pPr>
          </w:p>
        </w:tc>
        <w:tc>
          <w:tcPr>
            <w:tcW w:w="837" w:type="pct"/>
            <w:noWrap/>
            <w:hideMark/>
          </w:tcPr>
          <w:p w14:paraId="25699846" w14:textId="77777777" w:rsidR="009E7AD1" w:rsidRPr="006B441C" w:rsidRDefault="009E7AD1" w:rsidP="00C4733F">
            <w:pPr>
              <w:pStyle w:val="Default"/>
              <w:jc w:val="center"/>
              <w:rPr>
                <w:sz w:val="22"/>
                <w:szCs w:val="22"/>
                <w:lang w:val="lt-LT"/>
              </w:rPr>
            </w:pPr>
            <w:r w:rsidRPr="006B441C">
              <w:rPr>
                <w:sz w:val="22"/>
                <w:szCs w:val="22"/>
                <w:lang w:val="lt-LT"/>
              </w:rPr>
              <w:t>0,073</w:t>
            </w:r>
          </w:p>
        </w:tc>
        <w:tc>
          <w:tcPr>
            <w:tcW w:w="927" w:type="pct"/>
            <w:noWrap/>
            <w:hideMark/>
          </w:tcPr>
          <w:p w14:paraId="5F0372DF" w14:textId="77777777" w:rsidR="009E7AD1" w:rsidRPr="006B441C" w:rsidRDefault="009E7AD1" w:rsidP="00C4733F">
            <w:pPr>
              <w:pStyle w:val="Default"/>
              <w:jc w:val="center"/>
              <w:rPr>
                <w:sz w:val="22"/>
                <w:szCs w:val="22"/>
                <w:lang w:val="lt-LT"/>
              </w:rPr>
            </w:pPr>
            <w:r w:rsidRPr="006B441C">
              <w:rPr>
                <w:sz w:val="22"/>
                <w:szCs w:val="22"/>
                <w:lang w:val="lt-LT"/>
              </w:rPr>
              <w:t>0,978</w:t>
            </w:r>
          </w:p>
        </w:tc>
        <w:tc>
          <w:tcPr>
            <w:tcW w:w="670" w:type="pct"/>
            <w:noWrap/>
            <w:hideMark/>
          </w:tcPr>
          <w:p w14:paraId="225AACC1" w14:textId="77777777" w:rsidR="009E7AD1" w:rsidRPr="006B441C" w:rsidRDefault="009E7AD1" w:rsidP="00C4733F">
            <w:pPr>
              <w:jc w:val="center"/>
              <w:rPr>
                <w:rFonts w:ascii="Times New Roman" w:hAnsi="Times New Roman" w:cs="Times New Roman"/>
                <w:color w:val="000000"/>
                <w:sz w:val="22"/>
                <w:szCs w:val="22"/>
                <w:lang w:val="lt-LT"/>
              </w:rPr>
            </w:pPr>
          </w:p>
        </w:tc>
        <w:tc>
          <w:tcPr>
            <w:tcW w:w="897" w:type="pct"/>
            <w:noWrap/>
            <w:hideMark/>
          </w:tcPr>
          <w:p w14:paraId="0BA2367E" w14:textId="77777777" w:rsidR="009E7AD1" w:rsidRPr="006B441C" w:rsidRDefault="009E7AD1" w:rsidP="00C4733F">
            <w:pPr>
              <w:pStyle w:val="Default"/>
              <w:jc w:val="center"/>
              <w:rPr>
                <w:sz w:val="22"/>
                <w:szCs w:val="22"/>
                <w:lang w:val="lt-LT"/>
              </w:rPr>
            </w:pPr>
            <w:r w:rsidRPr="006B441C">
              <w:rPr>
                <w:sz w:val="22"/>
                <w:szCs w:val="22"/>
                <w:lang w:val="lt-LT"/>
              </w:rPr>
              <w:t>0,16</w:t>
            </w:r>
          </w:p>
        </w:tc>
      </w:tr>
      <w:tr w:rsidR="009E7AD1" w:rsidRPr="006B441C" w14:paraId="275F3658" w14:textId="77777777" w:rsidTr="00A230CE">
        <w:trPr>
          <w:trHeight w:val="300"/>
        </w:trPr>
        <w:tc>
          <w:tcPr>
            <w:tcW w:w="5000" w:type="pct"/>
            <w:gridSpan w:val="6"/>
            <w:noWrap/>
            <w:hideMark/>
          </w:tcPr>
          <w:p w14:paraId="53E2302E" w14:textId="77777777" w:rsidR="009E7AD1" w:rsidRPr="006B441C" w:rsidRDefault="009E7AD1" w:rsidP="00C4733F">
            <w:pPr>
              <w:pStyle w:val="Default"/>
              <w:rPr>
                <w:sz w:val="22"/>
                <w:szCs w:val="22"/>
                <w:lang w:val="lt-LT"/>
              </w:rPr>
            </w:pPr>
            <w:r w:rsidRPr="006B441C">
              <w:rPr>
                <w:sz w:val="22"/>
                <w:szCs w:val="22"/>
                <w:lang w:val="lt-LT"/>
              </w:rPr>
              <w:t xml:space="preserve">Czas przeżycia bez progresji </w:t>
            </w:r>
          </w:p>
        </w:tc>
      </w:tr>
      <w:tr w:rsidR="009E7AD1" w:rsidRPr="006B441C" w14:paraId="4DFAC1F9" w14:textId="77777777" w:rsidTr="00A230CE">
        <w:trPr>
          <w:trHeight w:val="300"/>
        </w:trPr>
        <w:tc>
          <w:tcPr>
            <w:tcW w:w="1250" w:type="pct"/>
            <w:noWrap/>
            <w:hideMark/>
          </w:tcPr>
          <w:p w14:paraId="0AB49B73" w14:textId="77777777" w:rsidR="009E7AD1" w:rsidRPr="006B441C" w:rsidRDefault="009E7AD1" w:rsidP="004B3DB3">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Mediana (w miesiącach) </w:t>
            </w:r>
          </w:p>
        </w:tc>
        <w:tc>
          <w:tcPr>
            <w:tcW w:w="419" w:type="pct"/>
            <w:noWrap/>
            <w:hideMark/>
          </w:tcPr>
          <w:p w14:paraId="4DBC3736" w14:textId="77777777" w:rsidR="009E7AD1" w:rsidRPr="006B441C" w:rsidRDefault="009E7AD1" w:rsidP="00C4733F">
            <w:pPr>
              <w:pStyle w:val="Default"/>
              <w:jc w:val="center"/>
              <w:rPr>
                <w:sz w:val="22"/>
                <w:szCs w:val="22"/>
                <w:lang w:val="lt-LT"/>
              </w:rPr>
            </w:pPr>
            <w:r w:rsidRPr="006B441C">
              <w:rPr>
                <w:sz w:val="22"/>
                <w:szCs w:val="22"/>
                <w:lang w:val="lt-LT"/>
              </w:rPr>
              <w:t>5,2</w:t>
            </w:r>
          </w:p>
        </w:tc>
        <w:tc>
          <w:tcPr>
            <w:tcW w:w="837" w:type="pct"/>
            <w:noWrap/>
            <w:hideMark/>
          </w:tcPr>
          <w:p w14:paraId="489EE171" w14:textId="77777777" w:rsidR="009E7AD1" w:rsidRPr="006B441C" w:rsidRDefault="009E7AD1" w:rsidP="00C4733F">
            <w:pPr>
              <w:pStyle w:val="Default"/>
              <w:jc w:val="center"/>
              <w:rPr>
                <w:sz w:val="22"/>
                <w:szCs w:val="22"/>
                <w:lang w:val="lt-LT"/>
              </w:rPr>
            </w:pPr>
            <w:r w:rsidRPr="006B441C">
              <w:rPr>
                <w:sz w:val="22"/>
                <w:szCs w:val="22"/>
                <w:lang w:val="lt-LT"/>
              </w:rPr>
              <w:t>9,0</w:t>
            </w:r>
          </w:p>
        </w:tc>
        <w:tc>
          <w:tcPr>
            <w:tcW w:w="927" w:type="pct"/>
            <w:noWrap/>
            <w:hideMark/>
          </w:tcPr>
          <w:p w14:paraId="123B8931" w14:textId="77777777" w:rsidR="009E7AD1" w:rsidRPr="006B441C" w:rsidRDefault="009E7AD1" w:rsidP="00C4733F">
            <w:pPr>
              <w:pStyle w:val="Default"/>
              <w:jc w:val="center"/>
              <w:rPr>
                <w:sz w:val="22"/>
                <w:szCs w:val="22"/>
                <w:lang w:val="lt-LT"/>
              </w:rPr>
            </w:pPr>
            <w:r w:rsidRPr="006B441C">
              <w:rPr>
                <w:sz w:val="22"/>
                <w:szCs w:val="22"/>
                <w:lang w:val="lt-LT"/>
              </w:rPr>
              <w:t>7,2</w:t>
            </w:r>
          </w:p>
        </w:tc>
        <w:tc>
          <w:tcPr>
            <w:tcW w:w="670" w:type="pct"/>
            <w:noWrap/>
            <w:hideMark/>
          </w:tcPr>
          <w:p w14:paraId="110AC7D0" w14:textId="77777777" w:rsidR="009E7AD1" w:rsidRPr="006B441C" w:rsidRDefault="009E7AD1" w:rsidP="00C4733F">
            <w:pPr>
              <w:pStyle w:val="Default"/>
              <w:jc w:val="center"/>
              <w:rPr>
                <w:sz w:val="22"/>
                <w:szCs w:val="22"/>
                <w:lang w:val="lt-LT"/>
              </w:rPr>
            </w:pPr>
            <w:r w:rsidRPr="006B441C">
              <w:rPr>
                <w:sz w:val="22"/>
                <w:szCs w:val="22"/>
                <w:lang w:val="lt-LT"/>
              </w:rPr>
              <w:t>5,5</w:t>
            </w:r>
          </w:p>
        </w:tc>
        <w:tc>
          <w:tcPr>
            <w:tcW w:w="897" w:type="pct"/>
            <w:noWrap/>
            <w:hideMark/>
          </w:tcPr>
          <w:p w14:paraId="65A03414" w14:textId="77777777" w:rsidR="009E7AD1" w:rsidRPr="006B441C" w:rsidRDefault="009E7AD1" w:rsidP="00C4733F">
            <w:pPr>
              <w:pStyle w:val="Default"/>
              <w:jc w:val="center"/>
              <w:rPr>
                <w:sz w:val="22"/>
                <w:szCs w:val="22"/>
                <w:lang w:val="lt-LT"/>
              </w:rPr>
            </w:pPr>
            <w:r w:rsidRPr="006B441C">
              <w:rPr>
                <w:sz w:val="22"/>
                <w:szCs w:val="22"/>
                <w:lang w:val="lt-LT"/>
              </w:rPr>
              <w:t>9,2</w:t>
            </w:r>
          </w:p>
        </w:tc>
      </w:tr>
      <w:tr w:rsidR="009E7AD1" w:rsidRPr="006B441C" w14:paraId="0F57EDC7" w14:textId="77777777" w:rsidTr="00A230CE">
        <w:trPr>
          <w:trHeight w:val="300"/>
        </w:trPr>
        <w:tc>
          <w:tcPr>
            <w:tcW w:w="1250" w:type="pct"/>
            <w:noWrap/>
            <w:hideMark/>
          </w:tcPr>
          <w:p w14:paraId="27F05E13" w14:textId="77777777" w:rsidR="009E7AD1" w:rsidRPr="006B441C" w:rsidRDefault="009E7AD1" w:rsidP="004B3DB3">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Współczynnik ryzyka</w:t>
            </w:r>
          </w:p>
        </w:tc>
        <w:tc>
          <w:tcPr>
            <w:tcW w:w="419" w:type="pct"/>
          </w:tcPr>
          <w:p w14:paraId="4B55D8F7" w14:textId="77777777" w:rsidR="009E7AD1" w:rsidRPr="006B441C" w:rsidRDefault="009E7AD1" w:rsidP="00C4733F">
            <w:pPr>
              <w:jc w:val="center"/>
              <w:rPr>
                <w:rFonts w:ascii="Times New Roman" w:hAnsi="Times New Roman" w:cs="Times New Roman"/>
                <w:color w:val="000000"/>
                <w:sz w:val="22"/>
                <w:szCs w:val="22"/>
                <w:lang w:val="lt-LT"/>
              </w:rPr>
            </w:pPr>
          </w:p>
        </w:tc>
        <w:tc>
          <w:tcPr>
            <w:tcW w:w="837" w:type="pct"/>
            <w:noWrap/>
            <w:hideMark/>
          </w:tcPr>
          <w:p w14:paraId="3771624F" w14:textId="77777777" w:rsidR="009E7AD1" w:rsidRPr="006B441C" w:rsidRDefault="009E7AD1" w:rsidP="00C4733F">
            <w:pPr>
              <w:pStyle w:val="Default"/>
              <w:jc w:val="center"/>
              <w:rPr>
                <w:sz w:val="22"/>
                <w:szCs w:val="22"/>
                <w:lang w:val="lt-LT"/>
              </w:rPr>
            </w:pPr>
            <w:r w:rsidRPr="006B441C">
              <w:rPr>
                <w:sz w:val="22"/>
                <w:szCs w:val="22"/>
                <w:lang w:val="lt-LT"/>
              </w:rPr>
              <w:t>0,44</w:t>
            </w:r>
          </w:p>
        </w:tc>
        <w:tc>
          <w:tcPr>
            <w:tcW w:w="927" w:type="pct"/>
            <w:noWrap/>
            <w:hideMark/>
          </w:tcPr>
          <w:p w14:paraId="13D53DBB" w14:textId="77777777" w:rsidR="009E7AD1" w:rsidRPr="006B441C" w:rsidRDefault="009E7AD1" w:rsidP="00C4733F">
            <w:pPr>
              <w:pStyle w:val="Default"/>
              <w:jc w:val="center"/>
              <w:rPr>
                <w:sz w:val="22"/>
                <w:szCs w:val="22"/>
                <w:lang w:val="lt-LT"/>
              </w:rPr>
            </w:pPr>
            <w:r w:rsidRPr="006B441C">
              <w:rPr>
                <w:sz w:val="22"/>
                <w:szCs w:val="22"/>
                <w:lang w:val="lt-LT"/>
              </w:rPr>
              <w:t>0,69</w:t>
            </w:r>
          </w:p>
        </w:tc>
        <w:tc>
          <w:tcPr>
            <w:tcW w:w="670" w:type="pct"/>
            <w:noWrap/>
            <w:hideMark/>
          </w:tcPr>
          <w:p w14:paraId="76ADD7EB" w14:textId="77777777" w:rsidR="009E7AD1" w:rsidRPr="006B441C" w:rsidRDefault="009E7AD1" w:rsidP="00C4733F">
            <w:pPr>
              <w:jc w:val="center"/>
              <w:rPr>
                <w:rFonts w:ascii="Times New Roman" w:hAnsi="Times New Roman" w:cs="Times New Roman"/>
                <w:color w:val="000000"/>
                <w:sz w:val="22"/>
                <w:szCs w:val="22"/>
                <w:lang w:val="lt-LT"/>
              </w:rPr>
            </w:pPr>
          </w:p>
        </w:tc>
        <w:tc>
          <w:tcPr>
            <w:tcW w:w="897" w:type="pct"/>
            <w:noWrap/>
            <w:hideMark/>
          </w:tcPr>
          <w:p w14:paraId="064139ED" w14:textId="77777777" w:rsidR="009E7AD1" w:rsidRPr="006B441C" w:rsidRDefault="009E7AD1" w:rsidP="00C4733F">
            <w:pPr>
              <w:pStyle w:val="Default"/>
              <w:jc w:val="center"/>
              <w:rPr>
                <w:sz w:val="22"/>
                <w:szCs w:val="22"/>
                <w:lang w:val="lt-LT"/>
              </w:rPr>
            </w:pPr>
            <w:r w:rsidRPr="006B441C">
              <w:rPr>
                <w:sz w:val="22"/>
                <w:szCs w:val="22"/>
                <w:lang w:val="lt-LT"/>
              </w:rPr>
              <w:t>0,5</w:t>
            </w:r>
          </w:p>
        </w:tc>
      </w:tr>
      <w:tr w:rsidR="009E7AD1" w:rsidRPr="006B441C" w14:paraId="43A2C13C" w14:textId="77777777" w:rsidTr="00A230CE">
        <w:trPr>
          <w:trHeight w:val="300"/>
        </w:trPr>
        <w:tc>
          <w:tcPr>
            <w:tcW w:w="1250" w:type="pct"/>
            <w:noWrap/>
            <w:hideMark/>
          </w:tcPr>
          <w:p w14:paraId="3B499301" w14:textId="77777777" w:rsidR="009E7AD1" w:rsidRPr="006B441C" w:rsidRDefault="009E7AD1" w:rsidP="004B3DB3">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Wartość p </w:t>
            </w:r>
          </w:p>
        </w:tc>
        <w:tc>
          <w:tcPr>
            <w:tcW w:w="419" w:type="pct"/>
            <w:noWrap/>
            <w:hideMark/>
          </w:tcPr>
          <w:p w14:paraId="1099718C" w14:textId="77777777" w:rsidR="009E7AD1" w:rsidRPr="006B441C" w:rsidRDefault="009E7AD1" w:rsidP="00C4733F">
            <w:pPr>
              <w:jc w:val="center"/>
              <w:rPr>
                <w:rFonts w:ascii="Times New Roman" w:hAnsi="Times New Roman" w:cs="Times New Roman"/>
                <w:color w:val="000000"/>
                <w:sz w:val="22"/>
                <w:szCs w:val="22"/>
                <w:lang w:val="lt-LT"/>
              </w:rPr>
            </w:pPr>
            <w:r w:rsidRPr="006B441C">
              <w:rPr>
                <w:rFonts w:ascii="Times New Roman" w:hAnsi="Times New Roman" w:cs="Times New Roman"/>
                <w:sz w:val="22"/>
                <w:szCs w:val="22"/>
                <w:lang w:val="lt-LT"/>
              </w:rPr>
              <w:t>-</w:t>
            </w:r>
          </w:p>
        </w:tc>
        <w:tc>
          <w:tcPr>
            <w:tcW w:w="837" w:type="pct"/>
            <w:noWrap/>
            <w:hideMark/>
          </w:tcPr>
          <w:p w14:paraId="69A5B5B7" w14:textId="77777777" w:rsidR="009E7AD1" w:rsidRPr="006B441C" w:rsidRDefault="009E7AD1" w:rsidP="00C4733F">
            <w:pPr>
              <w:pStyle w:val="Default"/>
              <w:jc w:val="center"/>
              <w:rPr>
                <w:sz w:val="22"/>
                <w:szCs w:val="22"/>
                <w:lang w:val="lt-LT"/>
              </w:rPr>
            </w:pPr>
            <w:r w:rsidRPr="006B441C">
              <w:rPr>
                <w:sz w:val="22"/>
                <w:szCs w:val="22"/>
                <w:lang w:val="lt-LT"/>
              </w:rPr>
              <w:t>0,0049</w:t>
            </w:r>
          </w:p>
        </w:tc>
        <w:tc>
          <w:tcPr>
            <w:tcW w:w="927" w:type="pct"/>
            <w:noWrap/>
            <w:hideMark/>
          </w:tcPr>
          <w:p w14:paraId="15390D9E" w14:textId="77777777" w:rsidR="009E7AD1" w:rsidRPr="006B441C" w:rsidRDefault="009E7AD1" w:rsidP="00C4733F">
            <w:pPr>
              <w:pStyle w:val="Default"/>
              <w:jc w:val="center"/>
              <w:rPr>
                <w:sz w:val="22"/>
                <w:szCs w:val="22"/>
                <w:lang w:val="lt-LT"/>
              </w:rPr>
            </w:pPr>
            <w:r w:rsidRPr="006B441C">
              <w:rPr>
                <w:sz w:val="22"/>
                <w:szCs w:val="22"/>
                <w:lang w:val="lt-LT"/>
              </w:rPr>
              <w:t>0,217</w:t>
            </w:r>
          </w:p>
        </w:tc>
        <w:tc>
          <w:tcPr>
            <w:tcW w:w="670" w:type="pct"/>
            <w:noWrap/>
            <w:hideMark/>
          </w:tcPr>
          <w:p w14:paraId="48CC1B99" w14:textId="77777777" w:rsidR="009E7AD1" w:rsidRPr="006B441C" w:rsidRDefault="009E7AD1" w:rsidP="00C4733F">
            <w:pPr>
              <w:jc w:val="center"/>
              <w:rPr>
                <w:rFonts w:ascii="Times New Roman" w:hAnsi="Times New Roman" w:cs="Times New Roman"/>
                <w:color w:val="000000"/>
                <w:sz w:val="22"/>
                <w:szCs w:val="22"/>
                <w:lang w:val="lt-LT"/>
              </w:rPr>
            </w:pPr>
          </w:p>
        </w:tc>
        <w:tc>
          <w:tcPr>
            <w:tcW w:w="897" w:type="pct"/>
            <w:noWrap/>
            <w:hideMark/>
          </w:tcPr>
          <w:p w14:paraId="594B9512" w14:textId="77777777" w:rsidR="009E7AD1" w:rsidRPr="006B441C" w:rsidRDefault="009E7AD1" w:rsidP="00C4733F">
            <w:pPr>
              <w:pStyle w:val="Default"/>
              <w:jc w:val="center"/>
              <w:rPr>
                <w:sz w:val="22"/>
                <w:szCs w:val="22"/>
                <w:lang w:val="lt-LT"/>
              </w:rPr>
            </w:pPr>
            <w:r w:rsidRPr="006B441C">
              <w:rPr>
                <w:sz w:val="22"/>
                <w:szCs w:val="22"/>
                <w:lang w:val="lt-LT"/>
              </w:rPr>
              <w:t>0,0002</w:t>
            </w:r>
          </w:p>
        </w:tc>
      </w:tr>
      <w:tr w:rsidR="009E7AD1" w:rsidRPr="006B441C" w14:paraId="71D1E80F" w14:textId="77777777" w:rsidTr="00A230CE">
        <w:trPr>
          <w:trHeight w:val="300"/>
        </w:trPr>
        <w:tc>
          <w:tcPr>
            <w:tcW w:w="5000" w:type="pct"/>
            <w:gridSpan w:val="6"/>
            <w:noWrap/>
            <w:hideMark/>
          </w:tcPr>
          <w:p w14:paraId="55DBF1A3" w14:textId="77777777" w:rsidR="009E7AD1" w:rsidRPr="006B441C" w:rsidRDefault="009E7AD1" w:rsidP="00C4733F">
            <w:pPr>
              <w:pStyle w:val="Default"/>
              <w:rPr>
                <w:sz w:val="22"/>
                <w:szCs w:val="22"/>
                <w:lang w:val="lt-LT"/>
              </w:rPr>
            </w:pPr>
            <w:r w:rsidRPr="006B441C">
              <w:rPr>
                <w:sz w:val="22"/>
                <w:szCs w:val="22"/>
                <w:lang w:val="lt-LT"/>
              </w:rPr>
              <w:t xml:space="preserve">Całkowity współczynnik odpowiedzi </w:t>
            </w:r>
          </w:p>
        </w:tc>
      </w:tr>
      <w:tr w:rsidR="009E7AD1" w:rsidRPr="006B441C" w14:paraId="475681EE" w14:textId="77777777" w:rsidTr="00A230CE">
        <w:trPr>
          <w:trHeight w:val="300"/>
        </w:trPr>
        <w:tc>
          <w:tcPr>
            <w:tcW w:w="1250" w:type="pct"/>
            <w:noWrap/>
            <w:hideMark/>
          </w:tcPr>
          <w:p w14:paraId="1CC06C3B" w14:textId="77777777" w:rsidR="009E7AD1" w:rsidRPr="006B441C" w:rsidRDefault="009E7AD1" w:rsidP="0022759B">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Współczynnik (w procentach) </w:t>
            </w:r>
          </w:p>
        </w:tc>
        <w:tc>
          <w:tcPr>
            <w:tcW w:w="419" w:type="pct"/>
            <w:noWrap/>
            <w:hideMark/>
          </w:tcPr>
          <w:p w14:paraId="1D04D2C0" w14:textId="77777777" w:rsidR="009E7AD1" w:rsidRPr="006B441C" w:rsidRDefault="009E7AD1" w:rsidP="00C4733F">
            <w:pPr>
              <w:pStyle w:val="Default"/>
              <w:jc w:val="center"/>
              <w:rPr>
                <w:sz w:val="22"/>
                <w:szCs w:val="22"/>
                <w:lang w:val="lt-LT"/>
              </w:rPr>
            </w:pPr>
            <w:r w:rsidRPr="006B441C">
              <w:rPr>
                <w:sz w:val="22"/>
                <w:szCs w:val="22"/>
                <w:lang w:val="lt-LT"/>
              </w:rPr>
              <w:t>16,7</w:t>
            </w:r>
          </w:p>
        </w:tc>
        <w:tc>
          <w:tcPr>
            <w:tcW w:w="837" w:type="pct"/>
            <w:noWrap/>
            <w:hideMark/>
          </w:tcPr>
          <w:p w14:paraId="5D15D5E2" w14:textId="77777777" w:rsidR="009E7AD1" w:rsidRPr="006B441C" w:rsidRDefault="009E7AD1" w:rsidP="00C4733F">
            <w:pPr>
              <w:pStyle w:val="Default"/>
              <w:jc w:val="center"/>
              <w:rPr>
                <w:sz w:val="22"/>
                <w:szCs w:val="22"/>
                <w:lang w:val="lt-LT"/>
              </w:rPr>
            </w:pPr>
            <w:r w:rsidRPr="006B441C">
              <w:rPr>
                <w:sz w:val="22"/>
                <w:szCs w:val="22"/>
                <w:lang w:val="lt-LT"/>
              </w:rPr>
              <w:t>40,0</w:t>
            </w:r>
          </w:p>
        </w:tc>
        <w:tc>
          <w:tcPr>
            <w:tcW w:w="927" w:type="pct"/>
            <w:noWrap/>
            <w:hideMark/>
          </w:tcPr>
          <w:p w14:paraId="29BB198B" w14:textId="77777777" w:rsidR="009E7AD1" w:rsidRPr="006B441C" w:rsidRDefault="009E7AD1" w:rsidP="00C4733F">
            <w:pPr>
              <w:pStyle w:val="Default"/>
              <w:jc w:val="center"/>
              <w:rPr>
                <w:sz w:val="22"/>
                <w:szCs w:val="22"/>
                <w:lang w:val="lt-LT"/>
              </w:rPr>
            </w:pPr>
            <w:r w:rsidRPr="006B441C">
              <w:rPr>
                <w:sz w:val="22"/>
                <w:szCs w:val="22"/>
                <w:lang w:val="lt-LT"/>
              </w:rPr>
              <w:t>24,2</w:t>
            </w:r>
          </w:p>
        </w:tc>
        <w:tc>
          <w:tcPr>
            <w:tcW w:w="670" w:type="pct"/>
            <w:noWrap/>
            <w:hideMark/>
          </w:tcPr>
          <w:p w14:paraId="09CFA631" w14:textId="77777777" w:rsidR="009E7AD1" w:rsidRPr="006B441C" w:rsidRDefault="009E7AD1" w:rsidP="00C4733F">
            <w:pPr>
              <w:pStyle w:val="Default"/>
              <w:jc w:val="center"/>
              <w:rPr>
                <w:sz w:val="22"/>
                <w:szCs w:val="22"/>
                <w:lang w:val="lt-LT"/>
              </w:rPr>
            </w:pPr>
            <w:r w:rsidRPr="006B441C">
              <w:rPr>
                <w:sz w:val="22"/>
                <w:szCs w:val="22"/>
                <w:lang w:val="lt-LT"/>
              </w:rPr>
              <w:t>15,2</w:t>
            </w:r>
          </w:p>
        </w:tc>
        <w:tc>
          <w:tcPr>
            <w:tcW w:w="897" w:type="pct"/>
            <w:noWrap/>
            <w:hideMark/>
          </w:tcPr>
          <w:p w14:paraId="7E275E38" w14:textId="77777777" w:rsidR="009E7AD1" w:rsidRPr="006B441C" w:rsidRDefault="009E7AD1" w:rsidP="00C4733F">
            <w:pPr>
              <w:pStyle w:val="Default"/>
              <w:jc w:val="center"/>
              <w:rPr>
                <w:sz w:val="22"/>
                <w:szCs w:val="22"/>
                <w:lang w:val="lt-LT"/>
              </w:rPr>
            </w:pPr>
            <w:r w:rsidRPr="006B441C">
              <w:rPr>
                <w:sz w:val="22"/>
                <w:szCs w:val="22"/>
                <w:lang w:val="lt-LT"/>
              </w:rPr>
              <w:t>26</w:t>
            </w:r>
          </w:p>
        </w:tc>
      </w:tr>
      <w:tr w:rsidR="009E7AD1" w:rsidRPr="006B441C" w14:paraId="62C2F09A" w14:textId="77777777" w:rsidTr="00A230CE">
        <w:trPr>
          <w:trHeight w:val="300"/>
        </w:trPr>
        <w:tc>
          <w:tcPr>
            <w:tcW w:w="1250" w:type="pct"/>
            <w:noWrap/>
            <w:hideMark/>
          </w:tcPr>
          <w:p w14:paraId="5CC35D67" w14:textId="181A73DA" w:rsidR="009E7AD1" w:rsidRPr="006B441C" w:rsidRDefault="009E7AD1" w:rsidP="0022759B">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95% </w:t>
            </w:r>
            <w:r w:rsidR="00B15C82">
              <w:rPr>
                <w:rFonts w:ascii="Times New Roman" w:hAnsi="Times New Roman" w:cs="Times New Roman"/>
                <w:sz w:val="22"/>
                <w:szCs w:val="22"/>
                <w:lang w:val="lt-LT"/>
              </w:rPr>
              <w:t>CI</w:t>
            </w:r>
            <w:r w:rsidRPr="006B441C">
              <w:rPr>
                <w:rFonts w:ascii="Times New Roman" w:hAnsi="Times New Roman" w:cs="Times New Roman"/>
                <w:sz w:val="22"/>
                <w:szCs w:val="22"/>
                <w:lang w:val="lt-LT"/>
              </w:rPr>
              <w:t xml:space="preserve"> </w:t>
            </w:r>
          </w:p>
        </w:tc>
        <w:tc>
          <w:tcPr>
            <w:tcW w:w="419" w:type="pct"/>
            <w:noWrap/>
            <w:hideMark/>
          </w:tcPr>
          <w:p w14:paraId="4DE31F5E" w14:textId="77777777" w:rsidR="009E7AD1" w:rsidRPr="006B441C" w:rsidRDefault="009E7AD1" w:rsidP="00C4733F">
            <w:pPr>
              <w:pStyle w:val="Default"/>
              <w:jc w:val="center"/>
              <w:rPr>
                <w:sz w:val="22"/>
                <w:szCs w:val="22"/>
                <w:lang w:val="lt-LT"/>
              </w:rPr>
            </w:pPr>
            <w:r w:rsidRPr="006B441C">
              <w:rPr>
                <w:sz w:val="22"/>
                <w:szCs w:val="22"/>
                <w:lang w:val="lt-LT"/>
              </w:rPr>
              <w:t>7,0 – 33,5</w:t>
            </w:r>
          </w:p>
        </w:tc>
        <w:tc>
          <w:tcPr>
            <w:tcW w:w="837" w:type="pct"/>
            <w:noWrap/>
            <w:hideMark/>
          </w:tcPr>
          <w:p w14:paraId="1D374905" w14:textId="77777777" w:rsidR="009E7AD1" w:rsidRPr="006B441C" w:rsidRDefault="009E7AD1" w:rsidP="00C4733F">
            <w:pPr>
              <w:pStyle w:val="Default"/>
              <w:jc w:val="center"/>
              <w:rPr>
                <w:sz w:val="22"/>
                <w:szCs w:val="22"/>
                <w:lang w:val="lt-LT"/>
              </w:rPr>
            </w:pPr>
            <w:r w:rsidRPr="006B441C">
              <w:rPr>
                <w:sz w:val="22"/>
                <w:szCs w:val="22"/>
                <w:lang w:val="lt-LT"/>
              </w:rPr>
              <w:t>24,4 – 57,8</w:t>
            </w:r>
          </w:p>
        </w:tc>
        <w:tc>
          <w:tcPr>
            <w:tcW w:w="927" w:type="pct"/>
            <w:noWrap/>
            <w:hideMark/>
          </w:tcPr>
          <w:p w14:paraId="6CF8FF8F" w14:textId="77777777" w:rsidR="009E7AD1" w:rsidRPr="006B441C" w:rsidRDefault="009E7AD1" w:rsidP="00C4733F">
            <w:pPr>
              <w:pStyle w:val="Default"/>
              <w:jc w:val="center"/>
              <w:rPr>
                <w:sz w:val="22"/>
                <w:szCs w:val="22"/>
                <w:lang w:val="lt-LT"/>
              </w:rPr>
            </w:pPr>
            <w:r w:rsidRPr="006B441C">
              <w:rPr>
                <w:sz w:val="22"/>
                <w:szCs w:val="22"/>
                <w:lang w:val="lt-LT"/>
              </w:rPr>
              <w:t>11,7 – 42,6</w:t>
            </w:r>
          </w:p>
        </w:tc>
        <w:tc>
          <w:tcPr>
            <w:tcW w:w="670" w:type="pct"/>
            <w:noWrap/>
            <w:hideMark/>
          </w:tcPr>
          <w:p w14:paraId="2770FA60" w14:textId="77777777" w:rsidR="009E7AD1" w:rsidRPr="006B441C" w:rsidRDefault="009E7AD1" w:rsidP="00C4733F">
            <w:pPr>
              <w:pStyle w:val="Default"/>
              <w:jc w:val="center"/>
              <w:rPr>
                <w:sz w:val="22"/>
                <w:szCs w:val="22"/>
                <w:lang w:val="lt-LT"/>
              </w:rPr>
            </w:pPr>
            <w:r w:rsidRPr="006B441C">
              <w:rPr>
                <w:sz w:val="22"/>
                <w:szCs w:val="22"/>
                <w:lang w:val="lt-LT"/>
              </w:rPr>
              <w:t>9,2 – 23,9</w:t>
            </w:r>
          </w:p>
        </w:tc>
        <w:tc>
          <w:tcPr>
            <w:tcW w:w="897" w:type="pct"/>
            <w:noWrap/>
            <w:hideMark/>
          </w:tcPr>
          <w:p w14:paraId="3441FE3B" w14:textId="77777777" w:rsidR="009E7AD1" w:rsidRPr="006B441C" w:rsidRDefault="009E7AD1" w:rsidP="00C4733F">
            <w:pPr>
              <w:pStyle w:val="Default"/>
              <w:jc w:val="center"/>
              <w:rPr>
                <w:sz w:val="22"/>
                <w:szCs w:val="22"/>
                <w:lang w:val="lt-LT"/>
              </w:rPr>
            </w:pPr>
            <w:r w:rsidRPr="006B441C">
              <w:rPr>
                <w:sz w:val="22"/>
                <w:szCs w:val="22"/>
                <w:lang w:val="lt-LT"/>
              </w:rPr>
              <w:t>18,1 – 35,6</w:t>
            </w:r>
          </w:p>
        </w:tc>
      </w:tr>
      <w:tr w:rsidR="009E7AD1" w:rsidRPr="006B441C" w14:paraId="5EC9FD7E" w14:textId="77777777" w:rsidTr="00A230CE">
        <w:trPr>
          <w:trHeight w:val="300"/>
        </w:trPr>
        <w:tc>
          <w:tcPr>
            <w:tcW w:w="1250" w:type="pct"/>
            <w:noWrap/>
            <w:hideMark/>
          </w:tcPr>
          <w:p w14:paraId="6B95359C" w14:textId="77777777" w:rsidR="009E7AD1" w:rsidRPr="006B441C" w:rsidRDefault="009E7AD1" w:rsidP="0022759B">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Wartość p </w:t>
            </w:r>
          </w:p>
        </w:tc>
        <w:tc>
          <w:tcPr>
            <w:tcW w:w="419" w:type="pct"/>
            <w:noWrap/>
            <w:hideMark/>
          </w:tcPr>
          <w:p w14:paraId="56369091" w14:textId="77777777" w:rsidR="009E7AD1" w:rsidRPr="006B441C" w:rsidRDefault="009E7AD1" w:rsidP="00C4733F">
            <w:pPr>
              <w:jc w:val="center"/>
              <w:rPr>
                <w:rFonts w:ascii="Times New Roman" w:hAnsi="Times New Roman" w:cs="Times New Roman"/>
                <w:color w:val="000000"/>
                <w:sz w:val="22"/>
                <w:szCs w:val="22"/>
                <w:lang w:val="lt-LT"/>
              </w:rPr>
            </w:pPr>
          </w:p>
        </w:tc>
        <w:tc>
          <w:tcPr>
            <w:tcW w:w="837" w:type="pct"/>
            <w:noWrap/>
            <w:hideMark/>
          </w:tcPr>
          <w:p w14:paraId="0654DDED" w14:textId="77777777" w:rsidR="009E7AD1" w:rsidRPr="006B441C" w:rsidRDefault="009E7AD1" w:rsidP="00C4733F">
            <w:pPr>
              <w:pStyle w:val="Default"/>
              <w:jc w:val="center"/>
              <w:rPr>
                <w:sz w:val="22"/>
                <w:szCs w:val="22"/>
                <w:lang w:val="lt-LT"/>
              </w:rPr>
            </w:pPr>
            <w:r w:rsidRPr="006B441C">
              <w:rPr>
                <w:sz w:val="22"/>
                <w:szCs w:val="22"/>
                <w:lang w:val="lt-LT"/>
              </w:rPr>
              <w:t>0,029</w:t>
            </w:r>
          </w:p>
        </w:tc>
        <w:tc>
          <w:tcPr>
            <w:tcW w:w="927" w:type="pct"/>
            <w:noWrap/>
            <w:hideMark/>
          </w:tcPr>
          <w:p w14:paraId="00D27903" w14:textId="77777777" w:rsidR="009E7AD1" w:rsidRPr="006B441C" w:rsidRDefault="009E7AD1" w:rsidP="00C4733F">
            <w:pPr>
              <w:pStyle w:val="Default"/>
              <w:jc w:val="center"/>
              <w:rPr>
                <w:sz w:val="22"/>
                <w:szCs w:val="22"/>
                <w:lang w:val="lt-LT"/>
              </w:rPr>
            </w:pPr>
            <w:r w:rsidRPr="006B441C">
              <w:rPr>
                <w:sz w:val="22"/>
                <w:szCs w:val="22"/>
                <w:lang w:val="lt-LT"/>
              </w:rPr>
              <w:t>0,43</w:t>
            </w:r>
          </w:p>
        </w:tc>
        <w:tc>
          <w:tcPr>
            <w:tcW w:w="670" w:type="pct"/>
            <w:noWrap/>
            <w:hideMark/>
          </w:tcPr>
          <w:p w14:paraId="25790623" w14:textId="77777777" w:rsidR="009E7AD1" w:rsidRPr="006B441C" w:rsidRDefault="009E7AD1" w:rsidP="00C4733F">
            <w:pPr>
              <w:jc w:val="center"/>
              <w:rPr>
                <w:rFonts w:ascii="Times New Roman" w:hAnsi="Times New Roman" w:cs="Times New Roman"/>
                <w:color w:val="000000"/>
                <w:sz w:val="22"/>
                <w:szCs w:val="22"/>
                <w:lang w:val="lt-LT"/>
              </w:rPr>
            </w:pPr>
          </w:p>
        </w:tc>
        <w:tc>
          <w:tcPr>
            <w:tcW w:w="897" w:type="pct"/>
            <w:noWrap/>
            <w:hideMark/>
          </w:tcPr>
          <w:p w14:paraId="2EED4056" w14:textId="77777777" w:rsidR="009E7AD1" w:rsidRPr="006B441C" w:rsidRDefault="009E7AD1" w:rsidP="00C4733F">
            <w:pPr>
              <w:pStyle w:val="Default"/>
              <w:jc w:val="center"/>
              <w:rPr>
                <w:sz w:val="22"/>
                <w:szCs w:val="22"/>
                <w:lang w:val="lt-LT"/>
              </w:rPr>
            </w:pPr>
            <w:r w:rsidRPr="006B441C">
              <w:rPr>
                <w:sz w:val="22"/>
                <w:szCs w:val="22"/>
                <w:lang w:val="lt-LT"/>
              </w:rPr>
              <w:t>0,055</w:t>
            </w:r>
          </w:p>
        </w:tc>
      </w:tr>
      <w:tr w:rsidR="009E7AD1" w:rsidRPr="006B441C" w14:paraId="7C7309B8" w14:textId="77777777" w:rsidTr="00A230CE">
        <w:trPr>
          <w:trHeight w:val="300"/>
        </w:trPr>
        <w:tc>
          <w:tcPr>
            <w:tcW w:w="5000" w:type="pct"/>
            <w:gridSpan w:val="6"/>
            <w:noWrap/>
            <w:hideMark/>
          </w:tcPr>
          <w:p w14:paraId="060EAF98" w14:textId="77777777" w:rsidR="009E7AD1" w:rsidRPr="006B441C" w:rsidRDefault="009E7AD1" w:rsidP="00C4733F">
            <w:pPr>
              <w:pStyle w:val="Default"/>
              <w:rPr>
                <w:sz w:val="22"/>
                <w:szCs w:val="22"/>
                <w:lang w:val="lt-LT"/>
              </w:rPr>
            </w:pPr>
            <w:r w:rsidRPr="006B441C">
              <w:rPr>
                <w:sz w:val="22"/>
                <w:szCs w:val="22"/>
                <w:lang w:val="lt-LT"/>
              </w:rPr>
              <w:t xml:space="preserve">Czas trwania odpowiedzi </w:t>
            </w:r>
          </w:p>
        </w:tc>
      </w:tr>
      <w:tr w:rsidR="009E7AD1" w:rsidRPr="006B441C" w14:paraId="29C1B0FE" w14:textId="77777777" w:rsidTr="00A230CE">
        <w:trPr>
          <w:trHeight w:val="300"/>
        </w:trPr>
        <w:tc>
          <w:tcPr>
            <w:tcW w:w="1250" w:type="pct"/>
            <w:noWrap/>
            <w:hideMark/>
          </w:tcPr>
          <w:p w14:paraId="6448DE30" w14:textId="77777777" w:rsidR="009E7AD1" w:rsidRPr="006B441C" w:rsidRDefault="009E7AD1" w:rsidP="0003038D">
            <w:pPr>
              <w:keepNext/>
              <w:tabs>
                <w:tab w:val="left" w:pos="567"/>
              </w:tabs>
              <w:ind w:left="567"/>
              <w:rPr>
                <w:rFonts w:ascii="Times New Roman" w:hAnsi="Times New Roman" w:cs="Times New Roman"/>
                <w:sz w:val="22"/>
                <w:szCs w:val="22"/>
                <w:lang w:val="lt-LT"/>
              </w:rPr>
            </w:pPr>
            <w:r w:rsidRPr="006B441C">
              <w:rPr>
                <w:rFonts w:ascii="Times New Roman" w:hAnsi="Times New Roman" w:cs="Times New Roman"/>
                <w:sz w:val="22"/>
                <w:szCs w:val="22"/>
                <w:lang w:val="lt-LT"/>
              </w:rPr>
              <w:t xml:space="preserve">Mediana (w miesiącach) </w:t>
            </w:r>
          </w:p>
        </w:tc>
        <w:tc>
          <w:tcPr>
            <w:tcW w:w="419" w:type="pct"/>
            <w:noWrap/>
            <w:hideMark/>
          </w:tcPr>
          <w:p w14:paraId="5A80CB80" w14:textId="77777777" w:rsidR="009E7AD1" w:rsidRPr="006B441C" w:rsidRDefault="009E7AD1" w:rsidP="00C4733F">
            <w:pPr>
              <w:pStyle w:val="Default"/>
              <w:jc w:val="center"/>
              <w:rPr>
                <w:sz w:val="22"/>
                <w:szCs w:val="22"/>
                <w:lang w:val="lt-LT"/>
              </w:rPr>
            </w:pPr>
            <w:r w:rsidRPr="006B441C">
              <w:rPr>
                <w:sz w:val="22"/>
                <w:szCs w:val="22"/>
                <w:lang w:val="lt-LT"/>
              </w:rPr>
              <w:t>NO</w:t>
            </w:r>
          </w:p>
        </w:tc>
        <w:tc>
          <w:tcPr>
            <w:tcW w:w="837" w:type="pct"/>
            <w:noWrap/>
            <w:hideMark/>
          </w:tcPr>
          <w:p w14:paraId="1A0BD534" w14:textId="77777777" w:rsidR="009E7AD1" w:rsidRPr="006B441C" w:rsidRDefault="009E7AD1" w:rsidP="00C4733F">
            <w:pPr>
              <w:pStyle w:val="Default"/>
              <w:jc w:val="center"/>
              <w:rPr>
                <w:sz w:val="22"/>
                <w:szCs w:val="22"/>
                <w:lang w:val="lt-LT"/>
              </w:rPr>
            </w:pPr>
            <w:r w:rsidRPr="006B441C">
              <w:rPr>
                <w:sz w:val="22"/>
                <w:szCs w:val="22"/>
                <w:lang w:val="lt-LT"/>
              </w:rPr>
              <w:t>9,3</w:t>
            </w:r>
          </w:p>
        </w:tc>
        <w:tc>
          <w:tcPr>
            <w:tcW w:w="927" w:type="pct"/>
            <w:noWrap/>
            <w:hideMark/>
          </w:tcPr>
          <w:p w14:paraId="52FEEE5A" w14:textId="77777777" w:rsidR="009E7AD1" w:rsidRPr="006B441C" w:rsidRDefault="009E7AD1" w:rsidP="00C4733F">
            <w:pPr>
              <w:pStyle w:val="Default"/>
              <w:jc w:val="center"/>
              <w:rPr>
                <w:sz w:val="22"/>
                <w:szCs w:val="22"/>
                <w:lang w:val="lt-LT"/>
              </w:rPr>
            </w:pPr>
            <w:r w:rsidRPr="006B441C">
              <w:rPr>
                <w:sz w:val="22"/>
                <w:szCs w:val="22"/>
                <w:lang w:val="lt-LT"/>
              </w:rPr>
              <w:t>5,0</w:t>
            </w:r>
          </w:p>
        </w:tc>
        <w:tc>
          <w:tcPr>
            <w:tcW w:w="670" w:type="pct"/>
            <w:noWrap/>
            <w:hideMark/>
          </w:tcPr>
          <w:p w14:paraId="190AD0F5" w14:textId="77777777" w:rsidR="009E7AD1" w:rsidRPr="006B441C" w:rsidRDefault="009E7AD1" w:rsidP="00C4733F">
            <w:pPr>
              <w:pStyle w:val="Default"/>
              <w:jc w:val="center"/>
              <w:rPr>
                <w:sz w:val="22"/>
                <w:szCs w:val="22"/>
                <w:lang w:val="lt-LT"/>
              </w:rPr>
            </w:pPr>
            <w:r w:rsidRPr="006B441C">
              <w:rPr>
                <w:sz w:val="22"/>
                <w:szCs w:val="22"/>
                <w:lang w:val="lt-LT"/>
              </w:rPr>
              <w:t>6,8</w:t>
            </w:r>
          </w:p>
        </w:tc>
        <w:tc>
          <w:tcPr>
            <w:tcW w:w="897" w:type="pct"/>
            <w:noWrap/>
            <w:hideMark/>
          </w:tcPr>
          <w:p w14:paraId="4EFF0DD0" w14:textId="77777777" w:rsidR="009E7AD1" w:rsidRPr="006B441C" w:rsidRDefault="009E7AD1" w:rsidP="00C4733F">
            <w:pPr>
              <w:pStyle w:val="Default"/>
              <w:jc w:val="center"/>
              <w:rPr>
                <w:sz w:val="22"/>
                <w:szCs w:val="22"/>
                <w:lang w:val="lt-LT"/>
              </w:rPr>
            </w:pPr>
            <w:r w:rsidRPr="006B441C">
              <w:rPr>
                <w:sz w:val="22"/>
                <w:szCs w:val="22"/>
                <w:lang w:val="lt-LT"/>
              </w:rPr>
              <w:t>9,2</w:t>
            </w:r>
          </w:p>
        </w:tc>
      </w:tr>
      <w:tr w:rsidR="009E7AD1" w:rsidRPr="006B441C" w14:paraId="4720AB9F" w14:textId="77777777" w:rsidTr="00A230CE">
        <w:trPr>
          <w:trHeight w:val="371"/>
        </w:trPr>
        <w:tc>
          <w:tcPr>
            <w:tcW w:w="1250" w:type="pct"/>
            <w:noWrap/>
            <w:hideMark/>
          </w:tcPr>
          <w:p w14:paraId="06AFBE3E" w14:textId="77777777" w:rsidR="009E7AD1" w:rsidRPr="006B441C" w:rsidRDefault="009E7AD1" w:rsidP="0003038D">
            <w:pPr>
              <w:keepNext/>
              <w:tabs>
                <w:tab w:val="left" w:pos="567"/>
              </w:tabs>
              <w:ind w:left="567"/>
              <w:rPr>
                <w:rFonts w:ascii="Times New Roman" w:hAnsi="Times New Roman" w:cs="Times New Roman"/>
                <w:color w:val="000000"/>
                <w:sz w:val="22"/>
                <w:szCs w:val="22"/>
                <w:lang w:val="lt-LT"/>
              </w:rPr>
            </w:pPr>
            <w:r w:rsidRPr="006B441C">
              <w:rPr>
                <w:rFonts w:ascii="Times New Roman" w:hAnsi="Times New Roman" w:cs="Times New Roman"/>
                <w:sz w:val="22"/>
                <w:szCs w:val="22"/>
                <w:lang w:val="lt-LT"/>
              </w:rPr>
              <w:t>25-75 percentyl (w miesiącach)</w:t>
            </w:r>
          </w:p>
        </w:tc>
        <w:tc>
          <w:tcPr>
            <w:tcW w:w="419" w:type="pct"/>
            <w:noWrap/>
            <w:hideMark/>
          </w:tcPr>
          <w:p w14:paraId="1F220C52" w14:textId="77777777" w:rsidR="009E7AD1" w:rsidRPr="006B441C" w:rsidRDefault="009E7AD1" w:rsidP="00811175">
            <w:pPr>
              <w:pStyle w:val="Default"/>
              <w:jc w:val="center"/>
              <w:rPr>
                <w:sz w:val="22"/>
                <w:szCs w:val="22"/>
                <w:lang w:val="lt-LT"/>
              </w:rPr>
            </w:pPr>
            <w:r w:rsidRPr="006B441C">
              <w:rPr>
                <w:sz w:val="22"/>
                <w:szCs w:val="22"/>
                <w:lang w:val="lt-LT"/>
              </w:rPr>
              <w:t>5,5 - NO</w:t>
            </w:r>
          </w:p>
        </w:tc>
        <w:tc>
          <w:tcPr>
            <w:tcW w:w="837" w:type="pct"/>
            <w:noWrap/>
            <w:hideMark/>
          </w:tcPr>
          <w:p w14:paraId="783F5750" w14:textId="77777777" w:rsidR="009E7AD1" w:rsidRPr="006B441C" w:rsidRDefault="009E7AD1" w:rsidP="00811175">
            <w:pPr>
              <w:pStyle w:val="Default"/>
              <w:jc w:val="center"/>
              <w:rPr>
                <w:sz w:val="22"/>
                <w:szCs w:val="22"/>
                <w:lang w:val="lt-LT"/>
              </w:rPr>
            </w:pPr>
            <w:r w:rsidRPr="006B441C">
              <w:rPr>
                <w:sz w:val="22"/>
                <w:szCs w:val="22"/>
                <w:lang w:val="lt-LT"/>
              </w:rPr>
              <w:t>6,1 - NO</w:t>
            </w:r>
          </w:p>
        </w:tc>
        <w:tc>
          <w:tcPr>
            <w:tcW w:w="927" w:type="pct"/>
            <w:noWrap/>
            <w:hideMark/>
          </w:tcPr>
          <w:p w14:paraId="31059ABD" w14:textId="77777777" w:rsidR="009E7AD1" w:rsidRPr="006B441C" w:rsidRDefault="009E7AD1" w:rsidP="00811175">
            <w:pPr>
              <w:pStyle w:val="Default"/>
              <w:jc w:val="center"/>
              <w:rPr>
                <w:sz w:val="22"/>
                <w:szCs w:val="22"/>
                <w:lang w:val="lt-LT"/>
              </w:rPr>
            </w:pPr>
            <w:r w:rsidRPr="006B441C">
              <w:rPr>
                <w:sz w:val="22"/>
                <w:szCs w:val="22"/>
                <w:lang w:val="lt-LT"/>
              </w:rPr>
              <w:t>3,8 – 7,8</w:t>
            </w:r>
          </w:p>
        </w:tc>
        <w:tc>
          <w:tcPr>
            <w:tcW w:w="670" w:type="pct"/>
            <w:noWrap/>
            <w:hideMark/>
          </w:tcPr>
          <w:p w14:paraId="3F0E161C" w14:textId="77777777" w:rsidR="009E7AD1" w:rsidRPr="006B441C" w:rsidRDefault="009E7AD1" w:rsidP="00811175">
            <w:pPr>
              <w:pStyle w:val="Default"/>
              <w:jc w:val="center"/>
              <w:rPr>
                <w:sz w:val="22"/>
                <w:szCs w:val="22"/>
                <w:lang w:val="lt-LT"/>
              </w:rPr>
            </w:pPr>
            <w:r w:rsidRPr="006B441C">
              <w:rPr>
                <w:sz w:val="22"/>
                <w:szCs w:val="22"/>
                <w:lang w:val="lt-LT"/>
              </w:rPr>
              <w:t>5,59 – 9,17</w:t>
            </w:r>
          </w:p>
        </w:tc>
        <w:tc>
          <w:tcPr>
            <w:tcW w:w="897" w:type="pct"/>
            <w:noWrap/>
            <w:hideMark/>
          </w:tcPr>
          <w:p w14:paraId="1A72F4A9" w14:textId="77777777" w:rsidR="009E7AD1" w:rsidRPr="006B441C" w:rsidRDefault="009E7AD1" w:rsidP="00811175">
            <w:pPr>
              <w:pStyle w:val="Default"/>
              <w:jc w:val="center"/>
              <w:rPr>
                <w:sz w:val="22"/>
                <w:szCs w:val="22"/>
                <w:lang w:val="lt-LT"/>
              </w:rPr>
            </w:pPr>
            <w:r w:rsidRPr="006B441C">
              <w:rPr>
                <w:sz w:val="22"/>
                <w:szCs w:val="22"/>
                <w:lang w:val="lt-LT"/>
              </w:rPr>
              <w:t>5,88 – 13,01</w:t>
            </w:r>
          </w:p>
        </w:tc>
      </w:tr>
    </w:tbl>
    <w:p w14:paraId="4B64BD64" w14:textId="77777777" w:rsidR="00071CFE" w:rsidRPr="00741122" w:rsidRDefault="009E7AD1" w:rsidP="00F12C6A">
      <w:pPr>
        <w:numPr>
          <w:ilvl w:val="0"/>
          <w:numId w:val="11"/>
        </w:numPr>
        <w:tabs>
          <w:tab w:val="left" w:pos="0"/>
        </w:tabs>
        <w:ind w:left="567" w:hanging="567"/>
        <w:rPr>
          <w:rFonts w:ascii="Times New Roman" w:eastAsia="Times New Roman" w:hAnsi="Times New Roman"/>
          <w:lang w:val="lt-LT"/>
        </w:rPr>
      </w:pPr>
      <w:r w:rsidRPr="00741122">
        <w:rPr>
          <w:rFonts w:ascii="Times New Roman" w:eastAsia="Times New Roman" w:hAnsi="Times New Roman"/>
          <w:lang w:val="lt-LT"/>
        </w:rPr>
        <w:t>5 </w:t>
      </w:r>
      <w:r w:rsidR="00071CFE" w:rsidRPr="00741122">
        <w:rPr>
          <w:rFonts w:ascii="Times New Roman" w:eastAsia="Times New Roman" w:hAnsi="Times New Roman"/>
          <w:lang w:val="lt-LT"/>
        </w:rPr>
        <w:t>mg/kg</w:t>
      </w:r>
      <w:r w:rsidR="005D1030">
        <w:rPr>
          <w:rFonts w:ascii="Times New Roman" w:eastAsia="Times New Roman" w:hAnsi="Times New Roman"/>
          <w:lang w:val="lt-LT"/>
        </w:rPr>
        <w:t> mc.</w:t>
      </w:r>
      <w:r w:rsidR="00071CFE" w:rsidRPr="00741122">
        <w:rPr>
          <w:rFonts w:ascii="Times New Roman" w:eastAsia="Times New Roman" w:hAnsi="Times New Roman"/>
          <w:lang w:val="lt-LT"/>
        </w:rPr>
        <w:t xml:space="preserve"> co 2 tygodnie</w:t>
      </w:r>
    </w:p>
    <w:p w14:paraId="72C27BDE" w14:textId="77777777" w:rsidR="00071CFE" w:rsidRPr="00741122" w:rsidRDefault="009E7AD1" w:rsidP="00F12C6A">
      <w:pPr>
        <w:numPr>
          <w:ilvl w:val="0"/>
          <w:numId w:val="11"/>
        </w:numPr>
        <w:tabs>
          <w:tab w:val="left" w:pos="0"/>
        </w:tabs>
        <w:ind w:left="567" w:hanging="567"/>
        <w:rPr>
          <w:rFonts w:ascii="Times New Roman" w:eastAsia="Times New Roman" w:hAnsi="Times New Roman"/>
          <w:lang w:val="lt-LT"/>
        </w:rPr>
      </w:pPr>
      <w:r w:rsidRPr="00741122">
        <w:rPr>
          <w:rFonts w:ascii="Times New Roman" w:eastAsia="Times New Roman" w:hAnsi="Times New Roman"/>
          <w:lang w:val="lt-LT"/>
        </w:rPr>
        <w:t>10 </w:t>
      </w:r>
      <w:r w:rsidR="00071CFE" w:rsidRPr="00741122">
        <w:rPr>
          <w:rFonts w:ascii="Times New Roman" w:eastAsia="Times New Roman" w:hAnsi="Times New Roman"/>
          <w:lang w:val="lt-LT"/>
        </w:rPr>
        <w:t>mg/kg</w:t>
      </w:r>
      <w:r w:rsidR="005D1030">
        <w:rPr>
          <w:rFonts w:ascii="Times New Roman" w:eastAsia="Times New Roman" w:hAnsi="Times New Roman"/>
          <w:lang w:val="lt-LT"/>
        </w:rPr>
        <w:t> mc.</w:t>
      </w:r>
      <w:r w:rsidR="00071CFE" w:rsidRPr="00741122">
        <w:rPr>
          <w:rFonts w:ascii="Times New Roman" w:eastAsia="Times New Roman" w:hAnsi="Times New Roman"/>
          <w:lang w:val="lt-LT"/>
        </w:rPr>
        <w:t xml:space="preserve"> co 2 tygodnie</w:t>
      </w:r>
    </w:p>
    <w:p w14:paraId="2A16EBFC" w14:textId="77777777" w:rsidR="00837FA8" w:rsidRPr="00741122" w:rsidRDefault="00CE2844" w:rsidP="00F12C6A">
      <w:pPr>
        <w:numPr>
          <w:ilvl w:val="0"/>
          <w:numId w:val="11"/>
        </w:numPr>
        <w:tabs>
          <w:tab w:val="left" w:pos="0"/>
        </w:tabs>
        <w:ind w:left="567" w:hanging="567"/>
        <w:rPr>
          <w:rFonts w:ascii="Times New Roman" w:eastAsia="Times New Roman" w:hAnsi="Times New Roman"/>
          <w:lang w:val="lt-LT"/>
        </w:rPr>
      </w:pPr>
      <w:r>
        <w:rPr>
          <w:rFonts w:ascii="Times New Roman" w:eastAsia="Times New Roman" w:hAnsi="Times New Roman"/>
          <w:lang w:val="lt-LT"/>
        </w:rPr>
        <w:t>w</w:t>
      </w:r>
      <w:r w:rsidR="00837FA8" w:rsidRPr="00741122">
        <w:rPr>
          <w:rFonts w:ascii="Times New Roman" w:eastAsia="Times New Roman" w:hAnsi="Times New Roman"/>
          <w:lang w:val="lt-LT"/>
        </w:rPr>
        <w:t xml:space="preserve"> stosunku do ramienia kontrolnego</w:t>
      </w:r>
    </w:p>
    <w:p w14:paraId="4C67F199" w14:textId="77777777" w:rsidR="00071CFE" w:rsidRPr="00741122" w:rsidRDefault="00071CFE" w:rsidP="00811175">
      <w:pPr>
        <w:tabs>
          <w:tab w:val="left" w:pos="709"/>
        </w:tabs>
        <w:rPr>
          <w:rFonts w:ascii="Times New Roman" w:eastAsia="Times New Roman" w:hAnsi="Times New Roman"/>
          <w:lang w:val="lt-LT"/>
        </w:rPr>
      </w:pPr>
      <w:r w:rsidRPr="00741122">
        <w:rPr>
          <w:rFonts w:ascii="Times New Roman" w:eastAsia="Times New Roman" w:hAnsi="Times New Roman"/>
          <w:lang w:val="lt-LT"/>
        </w:rPr>
        <w:t>NO – nie osiągnięto</w:t>
      </w:r>
    </w:p>
    <w:p w14:paraId="4AAC4642" w14:textId="77777777" w:rsidR="00712B66" w:rsidRPr="00741122" w:rsidRDefault="00712B66" w:rsidP="00811175">
      <w:pPr>
        <w:rPr>
          <w:rFonts w:ascii="Times New Roman" w:eastAsia="Times New Roman" w:hAnsi="Times New Roman" w:cs="Times New Roman"/>
          <w:sz w:val="22"/>
          <w:szCs w:val="22"/>
          <w:lang w:val="lt-LT"/>
        </w:rPr>
      </w:pPr>
    </w:p>
    <w:p w14:paraId="4E103D59" w14:textId="77777777" w:rsidR="00071CFE" w:rsidRPr="00741122" w:rsidRDefault="00811175" w:rsidP="00811175">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NO16966</w:t>
      </w:r>
    </w:p>
    <w:p w14:paraId="600E6455" w14:textId="77777777" w:rsidR="00071CFE" w:rsidRPr="00741122" w:rsidRDefault="00071CFE" w:rsidP="00811175">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Było to randomizowane badanie kliniczne III fazy z podwójnie ślepą próbą (dla bewacyzumabu) dotyczące stosowani</w:t>
      </w:r>
      <w:r w:rsidR="00837FA8" w:rsidRPr="00741122">
        <w:rPr>
          <w:rFonts w:ascii="Times New Roman" w:eastAsia="Times New Roman" w:hAnsi="Times New Roman" w:cs="Times New Roman"/>
          <w:sz w:val="22"/>
          <w:szCs w:val="22"/>
          <w:lang w:val="lt-LT"/>
        </w:rPr>
        <w:t xml:space="preserve">a </w:t>
      </w:r>
      <w:r w:rsidR="00FD4CDA">
        <w:rPr>
          <w:rFonts w:ascii="Times New Roman" w:eastAsia="Times New Roman" w:hAnsi="Times New Roman" w:cs="Times New Roman"/>
          <w:sz w:val="22"/>
          <w:szCs w:val="22"/>
          <w:lang w:val="lt-LT"/>
        </w:rPr>
        <w:t>bewacyzumabu</w:t>
      </w:r>
      <w:r w:rsidR="00837FA8" w:rsidRPr="00741122">
        <w:rPr>
          <w:rFonts w:ascii="Times New Roman" w:eastAsia="Times New Roman" w:hAnsi="Times New Roman" w:cs="Times New Roman"/>
          <w:sz w:val="22"/>
          <w:szCs w:val="22"/>
          <w:lang w:val="lt-LT"/>
        </w:rPr>
        <w:t xml:space="preserve"> w dawce 7,5 </w:t>
      </w:r>
      <w:r w:rsidRPr="00741122">
        <w:rPr>
          <w:rFonts w:ascii="Times New Roman" w:eastAsia="Times New Roman" w:hAnsi="Times New Roman" w:cs="Times New Roman"/>
          <w:sz w:val="22"/>
          <w:szCs w:val="22"/>
          <w:lang w:val="lt-LT"/>
        </w:rPr>
        <w:t>mg/kg</w:t>
      </w:r>
      <w:r w:rsidR="005D1030">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w skojarzeniu z kapecytabiną podawaną doustnie i oksaliplatyną iv. (XELOX), w schemacie dawkowan</w:t>
      </w:r>
      <w:r w:rsidR="00837FA8" w:rsidRPr="00741122">
        <w:rPr>
          <w:rFonts w:ascii="Times New Roman" w:eastAsia="Times New Roman" w:hAnsi="Times New Roman" w:cs="Times New Roman"/>
          <w:sz w:val="22"/>
          <w:szCs w:val="22"/>
          <w:lang w:val="lt-LT"/>
        </w:rPr>
        <w:t>ia co 3 tygodnie; lub w dawce 5 </w:t>
      </w:r>
      <w:r w:rsidRPr="00741122">
        <w:rPr>
          <w:rFonts w:ascii="Times New Roman" w:eastAsia="Times New Roman" w:hAnsi="Times New Roman" w:cs="Times New Roman"/>
          <w:sz w:val="22"/>
          <w:szCs w:val="22"/>
          <w:lang w:val="lt-LT"/>
        </w:rPr>
        <w:t>mg/kg</w:t>
      </w:r>
      <w:r w:rsidR="005D1030">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w skojarzeniu z leukoworyną i 5-fluorouracylem w bolusie, a następnie 5-fluorouracyl w</w:t>
      </w:r>
      <w:r w:rsidR="00C240AA" w:rsidRPr="00C240AA">
        <w:rPr>
          <w:rFonts w:ascii="Times New Roman" w:eastAsia="Times New Roman" w:hAnsi="Times New Roman" w:cs="Times New Roman"/>
          <w:sz w:val="22"/>
          <w:szCs w:val="22"/>
          <w:lang w:val="lt-LT"/>
        </w:rPr>
        <w:t xml:space="preserve"> </w:t>
      </w:r>
      <w:r w:rsidR="00C240AA">
        <w:rPr>
          <w:rFonts w:ascii="Times New Roman" w:eastAsia="Times New Roman" w:hAnsi="Times New Roman" w:cs="Times New Roman"/>
          <w:sz w:val="22"/>
          <w:szCs w:val="22"/>
          <w:lang w:val="lt-LT"/>
        </w:rPr>
        <w:t>infuzji</w:t>
      </w:r>
      <w:r w:rsidR="00C240AA"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i oksaliplatyna iv. (FOLFOX-4), w schemacie dawkowania co 2 tygodnie. Badanie składało się z dwóch części: początkowo pacjentów przydzielano losowo do dwóch grup terapeutycznych: XELOX oraz FOLFOX-4, nie stosując przy tym ślepej próby (część I), a następnie przydzielano ich do czterech grup terapeutycznych: XELOX + placebo, FOLFOX-4 + placebo, XELOX + </w:t>
      </w:r>
      <w:r w:rsidR="00FD4CDA">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w:t>
      </w:r>
      <w:r w:rsidR="00837FA8"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FOLFOX-4 + </w:t>
      </w:r>
      <w:r w:rsidR="00FD4CDA">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(część II, prowadzona w schemacie 2</w:t>
      </w:r>
      <w:r w:rsidR="005D1030">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x</w:t>
      </w:r>
      <w:r w:rsidR="005D1030">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2). W części II stosowano zasadę podwójnie ślepej próby w odniesieniu do </w:t>
      </w:r>
      <w:r w:rsidR="00FD4CDA">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w:t>
      </w:r>
    </w:p>
    <w:p w14:paraId="232C0B64" w14:textId="77777777" w:rsidR="00071CFE" w:rsidRPr="00741122" w:rsidRDefault="00071CFE" w:rsidP="00811175">
      <w:pPr>
        <w:rPr>
          <w:rFonts w:ascii="Times New Roman" w:eastAsia="Times New Roman" w:hAnsi="Times New Roman" w:cs="Times New Roman"/>
          <w:sz w:val="22"/>
          <w:szCs w:val="22"/>
          <w:lang w:val="lt-LT"/>
        </w:rPr>
      </w:pPr>
    </w:p>
    <w:p w14:paraId="6BBDAE21" w14:textId="77777777" w:rsidR="00071CFE" w:rsidRPr="00741122" w:rsidRDefault="00071CFE" w:rsidP="00811175">
      <w:pPr>
        <w:rPr>
          <w:rFonts w:ascii="Times New Roman" w:eastAsia="Times New Roman" w:hAnsi="Times New Roman" w:cs="Times New Roman"/>
          <w:sz w:val="22"/>
          <w:szCs w:val="22"/>
          <w:lang w:val="lt-LT"/>
        </w:rPr>
      </w:pPr>
      <w:bookmarkStart w:id="30" w:name="page28"/>
      <w:bookmarkEnd w:id="30"/>
      <w:r w:rsidRPr="00741122">
        <w:rPr>
          <w:rFonts w:ascii="Times New Roman" w:eastAsia="Times New Roman" w:hAnsi="Times New Roman" w:cs="Times New Roman"/>
          <w:sz w:val="22"/>
          <w:szCs w:val="22"/>
          <w:lang w:val="lt-LT"/>
        </w:rPr>
        <w:t>W drugiej części badania do każdej z 4 grup przydzielono ok. 350 osób.</w:t>
      </w:r>
    </w:p>
    <w:p w14:paraId="66CE07AB" w14:textId="77777777" w:rsidR="00071CFE" w:rsidRPr="00741122" w:rsidRDefault="00071CFE" w:rsidP="00811175">
      <w:pPr>
        <w:rPr>
          <w:rFonts w:ascii="Times New Roman" w:eastAsia="Times New Roman" w:hAnsi="Times New Roman" w:cs="Times New Roman"/>
          <w:sz w:val="22"/>
          <w:szCs w:val="22"/>
          <w:lang w:val="lt-LT"/>
        </w:rPr>
      </w:pPr>
    </w:p>
    <w:p w14:paraId="090929AE" w14:textId="77777777" w:rsidR="00071CFE" w:rsidRPr="00741122" w:rsidRDefault="00811175" w:rsidP="00B21C6D">
      <w:pPr>
        <w:keepNext/>
        <w:tabs>
          <w:tab w:val="left" w:pos="1121"/>
        </w:tabs>
        <w:rPr>
          <w:rFonts w:ascii="Times New Roman" w:eastAsia="Times New Roman" w:hAnsi="Times New Roman"/>
          <w:b/>
          <w:sz w:val="22"/>
          <w:szCs w:val="22"/>
          <w:lang w:val="lt-LT"/>
        </w:rPr>
      </w:pPr>
      <w:r w:rsidRPr="00741122">
        <w:rPr>
          <w:rFonts w:ascii="Times New Roman" w:eastAsia="Times New Roman" w:hAnsi="Times New Roman"/>
          <w:b/>
          <w:sz w:val="22"/>
          <w:szCs w:val="22"/>
          <w:lang w:val="lt-LT"/>
        </w:rPr>
        <w:lastRenderedPageBreak/>
        <w:t>Tabela 6</w:t>
      </w:r>
      <w:r w:rsidR="00C240AA">
        <w:rPr>
          <w:rFonts w:ascii="Times New Roman" w:eastAsia="Times New Roman" w:hAnsi="Times New Roman"/>
          <w:b/>
          <w:sz w:val="22"/>
          <w:szCs w:val="22"/>
          <w:lang w:val="lt-LT"/>
        </w:rPr>
        <w:t>.</w:t>
      </w:r>
      <w:r w:rsidR="00236BFF" w:rsidRPr="00741122">
        <w:rPr>
          <w:rFonts w:ascii="Times New Roman" w:eastAsia="Times New Roman" w:hAnsi="Times New Roman"/>
          <w:b/>
          <w:sz w:val="22"/>
          <w:szCs w:val="22"/>
          <w:lang w:val="lt-LT"/>
        </w:rPr>
        <w:t xml:space="preserve"> </w:t>
      </w:r>
      <w:r w:rsidR="00071CFE" w:rsidRPr="00741122">
        <w:rPr>
          <w:rFonts w:ascii="Times New Roman" w:eastAsia="Times New Roman" w:hAnsi="Times New Roman"/>
          <w:b/>
          <w:sz w:val="22"/>
          <w:szCs w:val="22"/>
          <w:lang w:val="lt-LT"/>
        </w:rPr>
        <w:t>Schematy leczenia w badaniu NO16966 (rak okrężnicy lub odbytnicy z przerzutami)</w:t>
      </w:r>
    </w:p>
    <w:p w14:paraId="3F90A3AB" w14:textId="77777777" w:rsidR="00071CFE" w:rsidRPr="00741122" w:rsidRDefault="00071CFE" w:rsidP="00B21C6D">
      <w:pPr>
        <w:keepNext/>
        <w:rPr>
          <w:rFonts w:ascii="Times New Roman" w:eastAsia="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3"/>
        <w:gridCol w:w="1401"/>
        <w:gridCol w:w="1906"/>
        <w:gridCol w:w="4542"/>
      </w:tblGrid>
      <w:tr w:rsidR="00EA578F" w:rsidRPr="00AD3F88" w14:paraId="13450FE7" w14:textId="77777777" w:rsidTr="00F533B1">
        <w:trPr>
          <w:trHeight w:val="248"/>
          <w:tblHeader/>
        </w:trPr>
        <w:tc>
          <w:tcPr>
            <w:tcW w:w="885" w:type="pct"/>
            <w:noWrap/>
            <w:vAlign w:val="bottom"/>
          </w:tcPr>
          <w:p w14:paraId="2AE3BE73" w14:textId="77777777" w:rsidR="00EA578F" w:rsidRPr="00261A5A" w:rsidRDefault="00EA578F" w:rsidP="00B21C6D">
            <w:pPr>
              <w:keepNext/>
              <w:rPr>
                <w:rFonts w:ascii="Times New Roman" w:eastAsia="Times New Roman" w:hAnsi="Times New Roman" w:cs="Times New Roman"/>
                <w:sz w:val="22"/>
                <w:szCs w:val="22"/>
                <w:lang w:val="pl-PL"/>
              </w:rPr>
            </w:pPr>
          </w:p>
        </w:tc>
        <w:tc>
          <w:tcPr>
            <w:tcW w:w="898" w:type="pct"/>
            <w:tcBorders>
              <w:bottom w:val="single" w:sz="4" w:space="0" w:color="auto"/>
            </w:tcBorders>
            <w:noWrap/>
          </w:tcPr>
          <w:p w14:paraId="7E0E07C2" w14:textId="77777777" w:rsidR="00EA578F" w:rsidRPr="00096BA7" w:rsidRDefault="00EA578F" w:rsidP="00B21C6D">
            <w:pPr>
              <w:keepNext/>
              <w:jc w:val="center"/>
              <w:rPr>
                <w:rFonts w:ascii="Times New Roman" w:eastAsia="Times New Roman" w:hAnsi="Times New Roman" w:cs="Times New Roman"/>
                <w:b/>
                <w:sz w:val="22"/>
                <w:szCs w:val="22"/>
                <w:lang w:val="en-GB"/>
              </w:rPr>
            </w:pPr>
            <w:proofErr w:type="spellStart"/>
            <w:r w:rsidRPr="00096BA7">
              <w:rPr>
                <w:rFonts w:ascii="Times New Roman" w:eastAsia="Times New Roman" w:hAnsi="Times New Roman" w:cs="Times New Roman"/>
                <w:b/>
                <w:sz w:val="22"/>
                <w:szCs w:val="22"/>
                <w:lang w:val="en-GB"/>
              </w:rPr>
              <w:t>Leczenie</w:t>
            </w:r>
            <w:proofErr w:type="spellEnd"/>
          </w:p>
        </w:tc>
        <w:tc>
          <w:tcPr>
            <w:tcW w:w="1536" w:type="pct"/>
            <w:tcBorders>
              <w:bottom w:val="single" w:sz="4" w:space="0" w:color="auto"/>
            </w:tcBorders>
            <w:noWrap/>
          </w:tcPr>
          <w:p w14:paraId="7B4C9057" w14:textId="77777777" w:rsidR="00EA578F" w:rsidRPr="00096BA7" w:rsidRDefault="00EA578F" w:rsidP="00B21C6D">
            <w:pPr>
              <w:keepNext/>
              <w:jc w:val="center"/>
              <w:rPr>
                <w:rFonts w:ascii="Times New Roman" w:eastAsia="Times New Roman" w:hAnsi="Times New Roman" w:cs="Times New Roman"/>
                <w:b/>
                <w:sz w:val="22"/>
                <w:szCs w:val="22"/>
                <w:lang w:val="en-GB"/>
              </w:rPr>
            </w:pPr>
            <w:proofErr w:type="spellStart"/>
            <w:r w:rsidRPr="00096BA7">
              <w:rPr>
                <w:rFonts w:ascii="Times New Roman" w:eastAsia="Times New Roman" w:hAnsi="Times New Roman" w:cs="Times New Roman"/>
                <w:b/>
                <w:sz w:val="22"/>
                <w:szCs w:val="22"/>
                <w:lang w:val="en-GB"/>
              </w:rPr>
              <w:t>Dawka</w:t>
            </w:r>
            <w:proofErr w:type="spellEnd"/>
            <w:r w:rsidRPr="00096BA7">
              <w:rPr>
                <w:rFonts w:ascii="Times New Roman" w:eastAsia="Times New Roman" w:hAnsi="Times New Roman" w:cs="Times New Roman"/>
                <w:b/>
                <w:sz w:val="22"/>
                <w:szCs w:val="22"/>
                <w:lang w:val="en-GB"/>
              </w:rPr>
              <w:t xml:space="preserve"> </w:t>
            </w:r>
            <w:proofErr w:type="spellStart"/>
            <w:r w:rsidRPr="00096BA7">
              <w:rPr>
                <w:rFonts w:ascii="Times New Roman" w:eastAsia="Times New Roman" w:hAnsi="Times New Roman" w:cs="Times New Roman"/>
                <w:b/>
                <w:sz w:val="22"/>
                <w:szCs w:val="22"/>
                <w:lang w:val="en-GB"/>
              </w:rPr>
              <w:t>początkowa</w:t>
            </w:r>
            <w:proofErr w:type="spellEnd"/>
          </w:p>
        </w:tc>
        <w:tc>
          <w:tcPr>
            <w:tcW w:w="1682" w:type="pct"/>
            <w:tcBorders>
              <w:bottom w:val="single" w:sz="4" w:space="0" w:color="auto"/>
            </w:tcBorders>
            <w:noWrap/>
          </w:tcPr>
          <w:p w14:paraId="434A44FA" w14:textId="77777777" w:rsidR="00EA578F" w:rsidRPr="00096BA7" w:rsidRDefault="00F77695" w:rsidP="00B21C6D">
            <w:pPr>
              <w:keepNext/>
              <w:jc w:val="center"/>
              <w:rPr>
                <w:rFonts w:ascii="Times New Roman" w:eastAsia="Times New Roman" w:hAnsi="Times New Roman" w:cs="Times New Roman"/>
                <w:b/>
                <w:sz w:val="22"/>
                <w:szCs w:val="22"/>
                <w:lang w:val="en-GB"/>
              </w:rPr>
            </w:pPr>
            <w:proofErr w:type="spellStart"/>
            <w:r w:rsidRPr="00096BA7">
              <w:rPr>
                <w:rFonts w:ascii="Times New Roman" w:eastAsia="Times New Roman" w:hAnsi="Times New Roman" w:cs="Times New Roman"/>
                <w:b/>
                <w:sz w:val="22"/>
                <w:szCs w:val="22"/>
                <w:lang w:val="en-GB"/>
              </w:rPr>
              <w:t>Schemat</w:t>
            </w:r>
            <w:proofErr w:type="spellEnd"/>
          </w:p>
        </w:tc>
      </w:tr>
      <w:tr w:rsidR="00EA578F" w:rsidRPr="00AD3F88" w14:paraId="1BB908BD" w14:textId="77777777" w:rsidTr="00F533B1">
        <w:trPr>
          <w:trHeight w:val="408"/>
        </w:trPr>
        <w:tc>
          <w:tcPr>
            <w:tcW w:w="885" w:type="pct"/>
            <w:vMerge w:val="restart"/>
            <w:noWrap/>
          </w:tcPr>
          <w:p w14:paraId="5B7FC5AB" w14:textId="77777777" w:rsidR="00F77695" w:rsidRPr="00AD3F88" w:rsidRDefault="00F77695" w:rsidP="00B21C6D">
            <w:pPr>
              <w:keepNext/>
              <w:ind w:left="113"/>
              <w:rPr>
                <w:rFonts w:ascii="Times New Roman" w:eastAsia="Times New Roman" w:hAnsi="Times New Roman" w:cs="Times New Roman"/>
                <w:sz w:val="22"/>
                <w:szCs w:val="22"/>
                <w:lang w:val="en-GB"/>
              </w:rPr>
            </w:pPr>
            <w:r w:rsidRPr="00AD3F88">
              <w:rPr>
                <w:rFonts w:ascii="Times New Roman" w:eastAsia="Times New Roman" w:hAnsi="Times New Roman" w:cs="Times New Roman"/>
                <w:sz w:val="22"/>
                <w:szCs w:val="22"/>
                <w:lang w:val="en-GB"/>
              </w:rPr>
              <w:t>FOLFOX-4</w:t>
            </w:r>
          </w:p>
          <w:p w14:paraId="4FCF062A" w14:textId="77777777" w:rsidR="00F77695" w:rsidRPr="00AD3F88" w:rsidRDefault="00F77695" w:rsidP="00B21C6D">
            <w:pPr>
              <w:keepNext/>
              <w:ind w:left="113"/>
              <w:rPr>
                <w:rFonts w:ascii="Times New Roman" w:eastAsia="Times New Roman" w:hAnsi="Times New Roman" w:cs="Times New Roman"/>
                <w:sz w:val="22"/>
                <w:szCs w:val="22"/>
                <w:lang w:val="en-GB"/>
              </w:rPr>
            </w:pPr>
            <w:proofErr w:type="spellStart"/>
            <w:r w:rsidRPr="00AD3F88">
              <w:rPr>
                <w:rFonts w:ascii="Times New Roman" w:eastAsia="Times New Roman" w:hAnsi="Times New Roman" w:cs="Times New Roman"/>
                <w:sz w:val="22"/>
                <w:szCs w:val="22"/>
                <w:lang w:val="en-GB"/>
              </w:rPr>
              <w:t>lub</w:t>
            </w:r>
            <w:proofErr w:type="spellEnd"/>
          </w:p>
          <w:p w14:paraId="542C5951" w14:textId="77777777" w:rsidR="00EA578F" w:rsidRPr="00AD3F88" w:rsidRDefault="00F77695" w:rsidP="00B21C6D">
            <w:pPr>
              <w:keepNext/>
              <w:ind w:left="113"/>
              <w:rPr>
                <w:rFonts w:ascii="Times New Roman" w:eastAsia="Times New Roman" w:hAnsi="Times New Roman" w:cs="Times New Roman"/>
                <w:sz w:val="22"/>
                <w:szCs w:val="22"/>
                <w:lang w:val="en-GB"/>
              </w:rPr>
            </w:pPr>
            <w:r w:rsidRPr="00AD3F88">
              <w:rPr>
                <w:rFonts w:ascii="Times New Roman" w:eastAsia="Times New Roman" w:hAnsi="Times New Roman" w:cs="Times New Roman"/>
                <w:sz w:val="22"/>
                <w:szCs w:val="22"/>
                <w:lang w:val="en-GB"/>
              </w:rPr>
              <w:t xml:space="preserve">FOLFOX-4 + </w:t>
            </w:r>
            <w:r w:rsidR="006A36B9">
              <w:rPr>
                <w:rFonts w:ascii="Times New Roman" w:eastAsia="Times New Roman" w:hAnsi="Times New Roman" w:cs="Times New Roman"/>
                <w:sz w:val="22"/>
                <w:szCs w:val="22"/>
                <w:lang w:val="lt-LT"/>
              </w:rPr>
              <w:t>bewacyzumab</w:t>
            </w:r>
          </w:p>
        </w:tc>
        <w:tc>
          <w:tcPr>
            <w:tcW w:w="898" w:type="pct"/>
            <w:tcBorders>
              <w:bottom w:val="nil"/>
            </w:tcBorders>
            <w:noWrap/>
          </w:tcPr>
          <w:p w14:paraId="446B4D05" w14:textId="77777777" w:rsidR="00EA578F" w:rsidRPr="00AD3F88" w:rsidRDefault="00F77695" w:rsidP="00B21C6D">
            <w:pPr>
              <w:keepNext/>
              <w:ind w:left="113"/>
              <w:rPr>
                <w:rFonts w:ascii="Times New Roman" w:eastAsia="Times New Roman" w:hAnsi="Times New Roman" w:cs="Times New Roman"/>
                <w:sz w:val="22"/>
                <w:szCs w:val="22"/>
                <w:lang w:val="en-GB"/>
              </w:rPr>
            </w:pPr>
            <w:proofErr w:type="spellStart"/>
            <w:r w:rsidRPr="00AD3F88">
              <w:rPr>
                <w:rFonts w:ascii="Times New Roman" w:eastAsia="Times New Roman" w:hAnsi="Times New Roman" w:cs="Times New Roman"/>
                <w:sz w:val="22"/>
                <w:szCs w:val="22"/>
                <w:lang w:val="en-GB"/>
              </w:rPr>
              <w:t>oksaliplatyna</w:t>
            </w:r>
            <w:proofErr w:type="spellEnd"/>
          </w:p>
        </w:tc>
        <w:tc>
          <w:tcPr>
            <w:tcW w:w="1536" w:type="pct"/>
            <w:tcBorders>
              <w:bottom w:val="nil"/>
            </w:tcBorders>
            <w:noWrap/>
          </w:tcPr>
          <w:p w14:paraId="6376956D" w14:textId="77777777" w:rsidR="00EA578F" w:rsidRPr="00261A5A" w:rsidRDefault="00983A92" w:rsidP="00B21C6D">
            <w:pPr>
              <w:keepNext/>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85</w:t>
            </w:r>
            <w:r w:rsidR="00C240AA">
              <w:rPr>
                <w:rFonts w:ascii="Times New Roman" w:eastAsia="Times New Roman" w:hAnsi="Times New Roman" w:cs="Times New Roman"/>
                <w:sz w:val="22"/>
                <w:szCs w:val="22"/>
                <w:lang w:val="pl-PL"/>
              </w:rPr>
              <w:t> </w:t>
            </w:r>
            <w:r w:rsidR="00F77695" w:rsidRPr="00261A5A">
              <w:rPr>
                <w:rFonts w:ascii="Times New Roman" w:eastAsia="Times New Roman" w:hAnsi="Times New Roman" w:cs="Times New Roman"/>
                <w:sz w:val="22"/>
                <w:szCs w:val="22"/>
                <w:lang w:val="pl-PL"/>
              </w:rPr>
              <w:t>mg/m</w:t>
            </w:r>
            <w:r w:rsidR="00F77695" w:rsidRPr="00261A5A">
              <w:rPr>
                <w:rFonts w:ascii="Times New Roman" w:eastAsia="Times New Roman" w:hAnsi="Times New Roman" w:cs="Times New Roman"/>
                <w:sz w:val="22"/>
                <w:szCs w:val="22"/>
                <w:vertAlign w:val="superscript"/>
                <w:lang w:val="pl-PL"/>
              </w:rPr>
              <w:t>2</w:t>
            </w:r>
            <w:r w:rsidR="00F77695" w:rsidRPr="00261A5A">
              <w:rPr>
                <w:rFonts w:ascii="Times New Roman" w:eastAsia="Times New Roman" w:hAnsi="Times New Roman" w:cs="Times New Roman"/>
                <w:sz w:val="22"/>
                <w:szCs w:val="22"/>
                <w:lang w:val="pl-PL"/>
              </w:rPr>
              <w:t xml:space="preserve"> </w:t>
            </w:r>
            <w:r w:rsidR="00F77695" w:rsidRPr="00E77ACE">
              <w:rPr>
                <w:rFonts w:ascii="Times New Roman" w:eastAsia="Times New Roman" w:hAnsi="Times New Roman" w:cs="Times New Roman"/>
                <w:i/>
                <w:sz w:val="22"/>
                <w:szCs w:val="22"/>
                <w:lang w:val="pl-PL"/>
              </w:rPr>
              <w:t>iv</w:t>
            </w:r>
            <w:r w:rsidR="00F77695" w:rsidRPr="00C240AA">
              <w:rPr>
                <w:rFonts w:ascii="Times New Roman" w:eastAsia="Times New Roman" w:hAnsi="Times New Roman" w:cs="Times New Roman"/>
                <w:sz w:val="22"/>
                <w:szCs w:val="22"/>
                <w:lang w:val="pl-PL"/>
              </w:rPr>
              <w:t>.</w:t>
            </w:r>
            <w:r w:rsidR="00F77695" w:rsidRPr="00261A5A">
              <w:rPr>
                <w:rFonts w:ascii="Times New Roman" w:eastAsia="Times New Roman" w:hAnsi="Times New Roman" w:cs="Times New Roman"/>
                <w:sz w:val="22"/>
                <w:szCs w:val="22"/>
                <w:lang w:val="pl-PL"/>
              </w:rPr>
              <w:t xml:space="preserve"> przez 2 godz.</w:t>
            </w:r>
          </w:p>
        </w:tc>
        <w:tc>
          <w:tcPr>
            <w:tcW w:w="1682" w:type="pct"/>
            <w:tcBorders>
              <w:bottom w:val="nil"/>
            </w:tcBorders>
            <w:noWrap/>
          </w:tcPr>
          <w:p w14:paraId="574F63EB" w14:textId="77777777" w:rsidR="00EA578F" w:rsidRPr="00AD3F88" w:rsidRDefault="00AD3F88" w:rsidP="00B21C6D">
            <w:pPr>
              <w:keepNext/>
              <w:ind w:left="113"/>
              <w:rPr>
                <w:rFonts w:ascii="Times New Roman" w:eastAsia="Times New Roman" w:hAnsi="Times New Roman" w:cs="Times New Roman"/>
                <w:sz w:val="22"/>
                <w:szCs w:val="22"/>
                <w:lang w:val="en-GB"/>
              </w:rPr>
            </w:pPr>
            <w:proofErr w:type="spellStart"/>
            <w:r w:rsidRPr="00AD3F88">
              <w:rPr>
                <w:rFonts w:ascii="Times New Roman" w:eastAsia="Times New Roman" w:hAnsi="Times New Roman" w:cs="Times New Roman"/>
                <w:sz w:val="22"/>
                <w:szCs w:val="22"/>
                <w:lang w:val="en-GB"/>
              </w:rPr>
              <w:t>oksaliplatyna</w:t>
            </w:r>
            <w:proofErr w:type="spellEnd"/>
            <w:r w:rsidRPr="00AD3F88">
              <w:rPr>
                <w:rFonts w:ascii="Times New Roman" w:eastAsia="Times New Roman" w:hAnsi="Times New Roman" w:cs="Times New Roman"/>
                <w:sz w:val="22"/>
                <w:szCs w:val="22"/>
                <w:lang w:val="en-GB"/>
              </w:rPr>
              <w:t xml:space="preserve"> w </w:t>
            </w:r>
            <w:proofErr w:type="spellStart"/>
            <w:r w:rsidRPr="00AD3F88">
              <w:rPr>
                <w:rFonts w:ascii="Times New Roman" w:eastAsia="Times New Roman" w:hAnsi="Times New Roman" w:cs="Times New Roman"/>
                <w:sz w:val="22"/>
                <w:szCs w:val="22"/>
                <w:lang w:val="en-GB"/>
              </w:rPr>
              <w:t>dniu</w:t>
            </w:r>
            <w:proofErr w:type="spellEnd"/>
            <w:r w:rsidRPr="00AD3F88">
              <w:rPr>
                <w:rFonts w:ascii="Times New Roman" w:eastAsia="Times New Roman" w:hAnsi="Times New Roman" w:cs="Times New Roman"/>
                <w:sz w:val="22"/>
                <w:szCs w:val="22"/>
                <w:lang w:val="en-GB"/>
              </w:rPr>
              <w:t xml:space="preserve"> 1.</w:t>
            </w:r>
          </w:p>
        </w:tc>
      </w:tr>
      <w:tr w:rsidR="00EA578F" w:rsidRPr="00AD3F88" w14:paraId="612FF699" w14:textId="77777777" w:rsidTr="00F533B1">
        <w:trPr>
          <w:trHeight w:val="408"/>
        </w:trPr>
        <w:tc>
          <w:tcPr>
            <w:tcW w:w="885" w:type="pct"/>
            <w:vMerge/>
            <w:noWrap/>
          </w:tcPr>
          <w:p w14:paraId="2490F063" w14:textId="77777777" w:rsidR="00EA578F" w:rsidRPr="00AD3F88" w:rsidRDefault="00EA578F" w:rsidP="00B21C6D">
            <w:pPr>
              <w:keepNext/>
              <w:rPr>
                <w:rFonts w:ascii="Times New Roman" w:eastAsia="Times New Roman" w:hAnsi="Times New Roman" w:cs="Times New Roman"/>
                <w:sz w:val="22"/>
                <w:szCs w:val="22"/>
                <w:lang w:val="en-GB"/>
              </w:rPr>
            </w:pPr>
          </w:p>
        </w:tc>
        <w:tc>
          <w:tcPr>
            <w:tcW w:w="898" w:type="pct"/>
            <w:tcBorders>
              <w:top w:val="nil"/>
              <w:bottom w:val="nil"/>
            </w:tcBorders>
            <w:noWrap/>
          </w:tcPr>
          <w:p w14:paraId="6762C281" w14:textId="77777777" w:rsidR="00EA578F" w:rsidRPr="00AD3F88" w:rsidRDefault="00F77695" w:rsidP="00B21C6D">
            <w:pPr>
              <w:keepNext/>
              <w:ind w:left="113"/>
              <w:rPr>
                <w:rFonts w:ascii="Times New Roman" w:eastAsia="Times New Roman" w:hAnsi="Times New Roman" w:cs="Times New Roman"/>
                <w:sz w:val="22"/>
                <w:szCs w:val="22"/>
                <w:lang w:val="en-GB"/>
              </w:rPr>
            </w:pPr>
            <w:proofErr w:type="spellStart"/>
            <w:r w:rsidRPr="00AD3F88">
              <w:rPr>
                <w:rFonts w:ascii="Times New Roman" w:eastAsia="Times New Roman" w:hAnsi="Times New Roman" w:cs="Times New Roman"/>
                <w:sz w:val="22"/>
                <w:szCs w:val="22"/>
                <w:lang w:val="en-GB"/>
              </w:rPr>
              <w:t>leukoworyna</w:t>
            </w:r>
            <w:proofErr w:type="spellEnd"/>
          </w:p>
        </w:tc>
        <w:tc>
          <w:tcPr>
            <w:tcW w:w="1536" w:type="pct"/>
            <w:tcBorders>
              <w:top w:val="nil"/>
              <w:bottom w:val="nil"/>
            </w:tcBorders>
            <w:noWrap/>
          </w:tcPr>
          <w:p w14:paraId="52CCC613" w14:textId="77777777" w:rsidR="00F77695" w:rsidRPr="0023471C" w:rsidRDefault="00983A92" w:rsidP="00B21C6D">
            <w:pPr>
              <w:pStyle w:val="Default"/>
              <w:keepNext/>
              <w:ind w:left="113"/>
              <w:rPr>
                <w:sz w:val="22"/>
                <w:szCs w:val="22"/>
                <w:lang w:val="pl-PL"/>
              </w:rPr>
            </w:pPr>
            <w:r w:rsidRPr="0023471C">
              <w:rPr>
                <w:sz w:val="22"/>
                <w:szCs w:val="22"/>
                <w:lang w:val="pl-PL"/>
              </w:rPr>
              <w:t>200</w:t>
            </w:r>
            <w:r w:rsidR="00C240AA" w:rsidRPr="0023471C">
              <w:rPr>
                <w:sz w:val="22"/>
                <w:szCs w:val="22"/>
                <w:lang w:val="pl-PL"/>
              </w:rPr>
              <w:t> </w:t>
            </w:r>
            <w:r w:rsidR="00F77695" w:rsidRPr="0023471C">
              <w:rPr>
                <w:sz w:val="22"/>
                <w:szCs w:val="22"/>
                <w:lang w:val="pl-PL"/>
              </w:rPr>
              <w:t>mg/m</w:t>
            </w:r>
            <w:r w:rsidR="00F77695" w:rsidRPr="0023471C">
              <w:rPr>
                <w:sz w:val="22"/>
                <w:szCs w:val="22"/>
                <w:vertAlign w:val="superscript"/>
                <w:lang w:val="pl-PL"/>
              </w:rPr>
              <w:t>2</w:t>
            </w:r>
            <w:r w:rsidR="00F77695" w:rsidRPr="0023471C">
              <w:rPr>
                <w:sz w:val="22"/>
                <w:szCs w:val="22"/>
                <w:lang w:val="pl-PL"/>
              </w:rPr>
              <w:t xml:space="preserve"> </w:t>
            </w:r>
            <w:r w:rsidR="00F77695" w:rsidRPr="00E77ACE">
              <w:rPr>
                <w:i/>
                <w:iCs/>
                <w:sz w:val="22"/>
                <w:szCs w:val="22"/>
                <w:lang w:val="pl-PL"/>
              </w:rPr>
              <w:t>iv</w:t>
            </w:r>
            <w:r w:rsidR="00F77695" w:rsidRPr="0023471C">
              <w:rPr>
                <w:sz w:val="22"/>
                <w:szCs w:val="22"/>
                <w:lang w:val="pl-PL"/>
              </w:rPr>
              <w:t xml:space="preserve">. przez 2 godz </w:t>
            </w:r>
          </w:p>
          <w:p w14:paraId="14D7A05F" w14:textId="77777777" w:rsidR="00EA578F" w:rsidRPr="0023471C" w:rsidRDefault="00EA578F" w:rsidP="00B21C6D">
            <w:pPr>
              <w:keepNext/>
              <w:ind w:left="113"/>
              <w:rPr>
                <w:rFonts w:ascii="Times New Roman" w:eastAsia="Times New Roman" w:hAnsi="Times New Roman" w:cs="Times New Roman"/>
                <w:sz w:val="22"/>
                <w:szCs w:val="22"/>
                <w:lang w:val="pl-PL"/>
              </w:rPr>
            </w:pPr>
          </w:p>
        </w:tc>
        <w:tc>
          <w:tcPr>
            <w:tcW w:w="1682" w:type="pct"/>
            <w:tcBorders>
              <w:top w:val="nil"/>
              <w:bottom w:val="nil"/>
            </w:tcBorders>
            <w:noWrap/>
          </w:tcPr>
          <w:p w14:paraId="2F300B58" w14:textId="77777777" w:rsidR="00EA578F" w:rsidRPr="00AD3F88" w:rsidRDefault="00AD3F88" w:rsidP="00B21C6D">
            <w:pPr>
              <w:keepNext/>
              <w:ind w:left="113"/>
              <w:rPr>
                <w:rFonts w:ascii="Times New Roman" w:eastAsia="Times New Roman" w:hAnsi="Times New Roman" w:cs="Times New Roman"/>
                <w:sz w:val="22"/>
                <w:szCs w:val="22"/>
                <w:lang w:val="en-GB"/>
              </w:rPr>
            </w:pPr>
            <w:proofErr w:type="spellStart"/>
            <w:r w:rsidRPr="00AD3F88">
              <w:rPr>
                <w:rFonts w:ascii="Times New Roman" w:eastAsia="Times New Roman" w:hAnsi="Times New Roman" w:cs="Times New Roman"/>
                <w:sz w:val="22"/>
                <w:szCs w:val="22"/>
                <w:lang w:val="en-GB"/>
              </w:rPr>
              <w:t>leukoworyna</w:t>
            </w:r>
            <w:proofErr w:type="spellEnd"/>
            <w:r w:rsidRPr="00AD3F88">
              <w:rPr>
                <w:rFonts w:ascii="Times New Roman" w:eastAsia="Times New Roman" w:hAnsi="Times New Roman" w:cs="Times New Roman"/>
                <w:sz w:val="22"/>
                <w:szCs w:val="22"/>
                <w:lang w:val="en-GB"/>
              </w:rPr>
              <w:t xml:space="preserve"> w </w:t>
            </w:r>
            <w:proofErr w:type="spellStart"/>
            <w:r w:rsidRPr="00AD3F88">
              <w:rPr>
                <w:rFonts w:ascii="Times New Roman" w:eastAsia="Times New Roman" w:hAnsi="Times New Roman" w:cs="Times New Roman"/>
                <w:sz w:val="22"/>
                <w:szCs w:val="22"/>
                <w:lang w:val="en-GB"/>
              </w:rPr>
              <w:t>dniu</w:t>
            </w:r>
            <w:proofErr w:type="spellEnd"/>
            <w:r w:rsidRPr="00AD3F88">
              <w:rPr>
                <w:rFonts w:ascii="Times New Roman" w:eastAsia="Times New Roman" w:hAnsi="Times New Roman" w:cs="Times New Roman"/>
                <w:sz w:val="22"/>
                <w:szCs w:val="22"/>
                <w:lang w:val="en-GB"/>
              </w:rPr>
              <w:t xml:space="preserve"> 1. </w:t>
            </w:r>
            <w:proofErr w:type="spellStart"/>
            <w:r w:rsidRPr="00AD3F88">
              <w:rPr>
                <w:rFonts w:ascii="Times New Roman" w:eastAsia="Times New Roman" w:hAnsi="Times New Roman" w:cs="Times New Roman"/>
                <w:sz w:val="22"/>
                <w:szCs w:val="22"/>
                <w:lang w:val="en-GB"/>
              </w:rPr>
              <w:t>i</w:t>
            </w:r>
            <w:proofErr w:type="spellEnd"/>
            <w:r w:rsidRPr="00AD3F88">
              <w:rPr>
                <w:rFonts w:ascii="Times New Roman" w:eastAsia="Times New Roman" w:hAnsi="Times New Roman" w:cs="Times New Roman"/>
                <w:sz w:val="22"/>
                <w:szCs w:val="22"/>
                <w:lang w:val="en-GB"/>
              </w:rPr>
              <w:t xml:space="preserve"> 2.</w:t>
            </w:r>
          </w:p>
        </w:tc>
      </w:tr>
      <w:tr w:rsidR="00EA578F" w:rsidRPr="008C2A94" w14:paraId="743A8304" w14:textId="77777777" w:rsidTr="00F533B1">
        <w:trPr>
          <w:trHeight w:val="510"/>
        </w:trPr>
        <w:tc>
          <w:tcPr>
            <w:tcW w:w="885" w:type="pct"/>
            <w:vMerge/>
            <w:noWrap/>
          </w:tcPr>
          <w:p w14:paraId="08143E4D" w14:textId="77777777" w:rsidR="00EA578F" w:rsidRPr="00AD3F88" w:rsidRDefault="00EA578F" w:rsidP="00B21C6D">
            <w:pPr>
              <w:keepNext/>
              <w:rPr>
                <w:rFonts w:ascii="Times New Roman" w:eastAsia="Times New Roman" w:hAnsi="Times New Roman" w:cs="Times New Roman"/>
                <w:sz w:val="22"/>
                <w:szCs w:val="22"/>
                <w:lang w:val="en-GB"/>
              </w:rPr>
            </w:pPr>
          </w:p>
        </w:tc>
        <w:tc>
          <w:tcPr>
            <w:tcW w:w="898" w:type="pct"/>
            <w:tcBorders>
              <w:top w:val="nil"/>
            </w:tcBorders>
            <w:noWrap/>
          </w:tcPr>
          <w:p w14:paraId="0BA6C6F9" w14:textId="77777777" w:rsidR="00EA578F" w:rsidRPr="00AD3F88" w:rsidRDefault="00F77695" w:rsidP="00B21C6D">
            <w:pPr>
              <w:keepNext/>
              <w:ind w:left="113"/>
              <w:rPr>
                <w:rFonts w:ascii="Times New Roman" w:eastAsia="Times New Roman" w:hAnsi="Times New Roman" w:cs="Times New Roman"/>
                <w:sz w:val="22"/>
                <w:szCs w:val="22"/>
                <w:lang w:val="en-GB"/>
              </w:rPr>
            </w:pPr>
            <w:r w:rsidRPr="00AD3F88">
              <w:rPr>
                <w:rFonts w:ascii="Times New Roman" w:eastAsia="Times New Roman" w:hAnsi="Times New Roman" w:cs="Times New Roman"/>
                <w:sz w:val="22"/>
                <w:szCs w:val="22"/>
                <w:lang w:val="en-GB"/>
              </w:rPr>
              <w:t>5-fluorouracyl</w:t>
            </w:r>
          </w:p>
        </w:tc>
        <w:tc>
          <w:tcPr>
            <w:tcW w:w="1536" w:type="pct"/>
            <w:tcBorders>
              <w:top w:val="nil"/>
            </w:tcBorders>
            <w:noWrap/>
          </w:tcPr>
          <w:p w14:paraId="182BFE60" w14:textId="77777777" w:rsidR="004F113B" w:rsidRPr="00261A5A" w:rsidRDefault="00983A92" w:rsidP="00B21C6D">
            <w:pPr>
              <w:keepNext/>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400</w:t>
            </w:r>
            <w:r w:rsidR="00C240AA">
              <w:rPr>
                <w:rFonts w:ascii="Times New Roman" w:eastAsia="Times New Roman" w:hAnsi="Times New Roman" w:cs="Times New Roman"/>
                <w:sz w:val="22"/>
                <w:szCs w:val="22"/>
                <w:lang w:val="pl-PL"/>
              </w:rPr>
              <w:t> </w:t>
            </w:r>
            <w:r w:rsidR="004F113B" w:rsidRPr="00261A5A">
              <w:rPr>
                <w:rFonts w:ascii="Times New Roman" w:eastAsia="Times New Roman" w:hAnsi="Times New Roman" w:cs="Times New Roman"/>
                <w:sz w:val="22"/>
                <w:szCs w:val="22"/>
                <w:lang w:val="pl-PL"/>
              </w:rPr>
              <w:t>mg/m</w:t>
            </w:r>
            <w:r w:rsidR="004F113B" w:rsidRPr="00261A5A">
              <w:rPr>
                <w:rFonts w:ascii="Times New Roman" w:eastAsia="Times New Roman" w:hAnsi="Times New Roman" w:cs="Times New Roman"/>
                <w:sz w:val="22"/>
                <w:szCs w:val="22"/>
                <w:vertAlign w:val="superscript"/>
                <w:lang w:val="pl-PL"/>
              </w:rPr>
              <w:t>2</w:t>
            </w:r>
            <w:r w:rsidR="004F113B" w:rsidRPr="00261A5A">
              <w:rPr>
                <w:rFonts w:ascii="Times New Roman" w:eastAsia="Times New Roman" w:hAnsi="Times New Roman" w:cs="Times New Roman"/>
                <w:sz w:val="22"/>
                <w:szCs w:val="22"/>
                <w:lang w:val="pl-PL"/>
              </w:rPr>
              <w:t xml:space="preserve"> </w:t>
            </w:r>
            <w:r w:rsidR="004F113B" w:rsidRPr="00E77ACE">
              <w:rPr>
                <w:rFonts w:ascii="Times New Roman" w:eastAsia="Times New Roman" w:hAnsi="Times New Roman" w:cs="Times New Roman"/>
                <w:i/>
                <w:sz w:val="22"/>
                <w:szCs w:val="22"/>
                <w:lang w:val="pl-PL"/>
              </w:rPr>
              <w:t>iv</w:t>
            </w:r>
            <w:r w:rsidR="00626025" w:rsidRPr="00C240AA">
              <w:rPr>
                <w:rFonts w:ascii="Times New Roman" w:eastAsia="Times New Roman" w:hAnsi="Times New Roman" w:cs="Times New Roman"/>
                <w:sz w:val="22"/>
                <w:szCs w:val="22"/>
                <w:lang w:val="pl-PL"/>
              </w:rPr>
              <w:t>.</w:t>
            </w:r>
            <w:r w:rsidR="00626025" w:rsidRPr="00261A5A">
              <w:rPr>
                <w:rFonts w:ascii="Times New Roman" w:eastAsia="Times New Roman" w:hAnsi="Times New Roman" w:cs="Times New Roman"/>
                <w:sz w:val="22"/>
                <w:szCs w:val="22"/>
                <w:lang w:val="pl-PL"/>
              </w:rPr>
              <w:t xml:space="preserve"> w bolusie.</w:t>
            </w:r>
          </w:p>
          <w:p w14:paraId="6ACA5A07" w14:textId="77777777" w:rsidR="00EA578F" w:rsidRPr="00261A5A" w:rsidRDefault="004F113B" w:rsidP="00B21C6D">
            <w:pPr>
              <w:keepNext/>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600</w:t>
            </w:r>
            <w:r w:rsidR="00C240AA">
              <w:rPr>
                <w:rFonts w:ascii="Times New Roman" w:eastAsia="Times New Roman" w:hAnsi="Times New Roman" w:cs="Times New Roman"/>
                <w:sz w:val="22"/>
                <w:szCs w:val="22"/>
                <w:lang w:val="pl-PL"/>
              </w:rPr>
              <w:t> </w:t>
            </w:r>
            <w:r w:rsidRPr="00261A5A">
              <w:rPr>
                <w:rFonts w:ascii="Times New Roman" w:eastAsia="Times New Roman" w:hAnsi="Times New Roman" w:cs="Times New Roman"/>
                <w:sz w:val="22"/>
                <w:szCs w:val="22"/>
                <w:lang w:val="pl-PL"/>
              </w:rPr>
              <w:t>mg/m</w:t>
            </w:r>
            <w:r w:rsidRPr="00261A5A">
              <w:rPr>
                <w:rFonts w:ascii="Times New Roman" w:eastAsia="Times New Roman" w:hAnsi="Times New Roman" w:cs="Times New Roman"/>
                <w:sz w:val="22"/>
                <w:szCs w:val="22"/>
                <w:vertAlign w:val="superscript"/>
                <w:lang w:val="pl-PL"/>
              </w:rPr>
              <w:t>2</w:t>
            </w:r>
            <w:r w:rsidRPr="00261A5A">
              <w:rPr>
                <w:rFonts w:ascii="Times New Roman" w:eastAsia="Times New Roman" w:hAnsi="Times New Roman" w:cs="Times New Roman"/>
                <w:sz w:val="22"/>
                <w:szCs w:val="22"/>
                <w:lang w:val="pl-PL"/>
              </w:rPr>
              <w:t xml:space="preserve"> </w:t>
            </w:r>
            <w:r w:rsidRPr="00E77ACE">
              <w:rPr>
                <w:rFonts w:ascii="Times New Roman" w:eastAsia="Times New Roman" w:hAnsi="Times New Roman" w:cs="Times New Roman"/>
                <w:i/>
                <w:sz w:val="22"/>
                <w:szCs w:val="22"/>
                <w:lang w:val="pl-PL"/>
              </w:rPr>
              <w:t>iv</w:t>
            </w:r>
            <w:r w:rsidRPr="00C240AA">
              <w:rPr>
                <w:rFonts w:ascii="Times New Roman" w:eastAsia="Times New Roman" w:hAnsi="Times New Roman" w:cs="Times New Roman"/>
                <w:sz w:val="22"/>
                <w:szCs w:val="22"/>
                <w:lang w:val="pl-PL"/>
              </w:rPr>
              <w:t>.</w:t>
            </w:r>
            <w:r w:rsidRPr="00261A5A">
              <w:rPr>
                <w:rFonts w:ascii="Times New Roman" w:eastAsia="Times New Roman" w:hAnsi="Times New Roman" w:cs="Times New Roman"/>
                <w:sz w:val="22"/>
                <w:szCs w:val="22"/>
                <w:lang w:val="pl-PL"/>
              </w:rPr>
              <w:t xml:space="preserve"> przez 22 godz.</w:t>
            </w:r>
          </w:p>
        </w:tc>
        <w:tc>
          <w:tcPr>
            <w:tcW w:w="1682" w:type="pct"/>
            <w:tcBorders>
              <w:top w:val="nil"/>
            </w:tcBorders>
            <w:noWrap/>
          </w:tcPr>
          <w:p w14:paraId="6FEC9E60" w14:textId="77777777" w:rsidR="00AD3F88" w:rsidRPr="00261A5A" w:rsidRDefault="00AD3F88" w:rsidP="00B21C6D">
            <w:pPr>
              <w:keepNext/>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 xml:space="preserve">5-fluorouracyl </w:t>
            </w:r>
            <w:r w:rsidRPr="00E77ACE">
              <w:rPr>
                <w:rFonts w:ascii="Times New Roman" w:eastAsia="Times New Roman" w:hAnsi="Times New Roman" w:cs="Times New Roman"/>
                <w:i/>
                <w:sz w:val="22"/>
                <w:szCs w:val="22"/>
                <w:lang w:val="pl-PL"/>
              </w:rPr>
              <w:t>iv</w:t>
            </w:r>
            <w:r w:rsidRPr="00261A5A">
              <w:rPr>
                <w:rFonts w:ascii="Times New Roman" w:eastAsia="Times New Roman" w:hAnsi="Times New Roman" w:cs="Times New Roman"/>
                <w:sz w:val="22"/>
                <w:szCs w:val="22"/>
                <w:lang w:val="pl-PL"/>
              </w:rPr>
              <w:t xml:space="preserve">. w </w:t>
            </w:r>
          </w:p>
          <w:p w14:paraId="6384AF00" w14:textId="77777777" w:rsidR="00EA578F" w:rsidRPr="00261A5A" w:rsidRDefault="00AD3F88" w:rsidP="00B21C6D">
            <w:pPr>
              <w:keepNext/>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bolusie / w</w:t>
            </w:r>
            <w:r w:rsidR="00C240AA">
              <w:rPr>
                <w:rFonts w:ascii="Times New Roman" w:eastAsia="Times New Roman" w:hAnsi="Times New Roman" w:cs="Times New Roman"/>
                <w:sz w:val="22"/>
                <w:szCs w:val="22"/>
                <w:lang w:val="lt-LT"/>
              </w:rPr>
              <w:t xml:space="preserve"> infuzji</w:t>
            </w:r>
            <w:r w:rsidR="00C240AA" w:rsidRPr="00741122">
              <w:rPr>
                <w:rFonts w:ascii="Times New Roman" w:eastAsia="Times New Roman" w:hAnsi="Times New Roman" w:cs="Times New Roman"/>
                <w:sz w:val="22"/>
                <w:szCs w:val="22"/>
                <w:lang w:val="lt-LT"/>
              </w:rPr>
              <w:t xml:space="preserve"> </w:t>
            </w:r>
            <w:r w:rsidRPr="00261A5A">
              <w:rPr>
                <w:rFonts w:ascii="Times New Roman" w:eastAsia="Times New Roman" w:hAnsi="Times New Roman" w:cs="Times New Roman"/>
                <w:sz w:val="22"/>
                <w:szCs w:val="22"/>
                <w:lang w:val="pl-PL"/>
              </w:rPr>
              <w:t>w dniu 1. i 2.</w:t>
            </w:r>
          </w:p>
        </w:tc>
      </w:tr>
      <w:tr w:rsidR="00EA578F" w:rsidRPr="00FD7F9C" w14:paraId="3AE935B3" w14:textId="77777777" w:rsidTr="00F533B1">
        <w:trPr>
          <w:trHeight w:val="300"/>
        </w:trPr>
        <w:tc>
          <w:tcPr>
            <w:tcW w:w="885" w:type="pct"/>
            <w:vMerge/>
            <w:noWrap/>
          </w:tcPr>
          <w:p w14:paraId="03C11F80" w14:textId="77777777" w:rsidR="00EA578F" w:rsidRPr="00261A5A" w:rsidRDefault="00EA578F" w:rsidP="00EA578F">
            <w:pPr>
              <w:rPr>
                <w:rFonts w:ascii="Times New Roman" w:eastAsia="Times New Roman" w:hAnsi="Times New Roman" w:cs="Times New Roman"/>
                <w:sz w:val="22"/>
                <w:szCs w:val="22"/>
                <w:lang w:val="pl-PL"/>
              </w:rPr>
            </w:pPr>
          </w:p>
        </w:tc>
        <w:tc>
          <w:tcPr>
            <w:tcW w:w="898" w:type="pct"/>
            <w:tcBorders>
              <w:bottom w:val="single" w:sz="4" w:space="0" w:color="auto"/>
            </w:tcBorders>
            <w:noWrap/>
          </w:tcPr>
          <w:p w14:paraId="22E22C78" w14:textId="77777777" w:rsidR="00EA578F" w:rsidRPr="00AD3F88" w:rsidRDefault="007456F0" w:rsidP="007456F0">
            <w:pPr>
              <w:ind w:left="113"/>
              <w:rPr>
                <w:rFonts w:ascii="Times New Roman" w:eastAsia="Times New Roman" w:hAnsi="Times New Roman" w:cs="Times New Roman"/>
                <w:sz w:val="22"/>
                <w:szCs w:val="22"/>
                <w:lang w:val="en-GB"/>
              </w:rPr>
            </w:pPr>
            <w:r w:rsidRPr="00AD3F88">
              <w:rPr>
                <w:rFonts w:ascii="Times New Roman" w:eastAsia="Times New Roman" w:hAnsi="Times New Roman" w:cs="Times New Roman"/>
                <w:sz w:val="22"/>
                <w:szCs w:val="22"/>
                <w:lang w:val="en-GB"/>
              </w:rPr>
              <w:t xml:space="preserve">placebo </w:t>
            </w:r>
            <w:proofErr w:type="spellStart"/>
            <w:r w:rsidRPr="00AD3F88">
              <w:rPr>
                <w:rFonts w:ascii="Times New Roman" w:eastAsia="Times New Roman" w:hAnsi="Times New Roman" w:cs="Times New Roman"/>
                <w:sz w:val="22"/>
                <w:szCs w:val="22"/>
                <w:lang w:val="en-GB"/>
              </w:rPr>
              <w:t>lub</w:t>
            </w:r>
            <w:proofErr w:type="spellEnd"/>
            <w:r w:rsidRPr="00AD3F88">
              <w:rPr>
                <w:rFonts w:ascii="Times New Roman" w:eastAsia="Times New Roman" w:hAnsi="Times New Roman" w:cs="Times New Roman"/>
                <w:sz w:val="22"/>
                <w:szCs w:val="22"/>
                <w:lang w:val="en-GB"/>
              </w:rPr>
              <w:t xml:space="preserve"> </w:t>
            </w:r>
            <w:r w:rsidR="006A36B9">
              <w:rPr>
                <w:rFonts w:ascii="Times New Roman" w:eastAsia="Times New Roman" w:hAnsi="Times New Roman" w:cs="Times New Roman"/>
                <w:sz w:val="22"/>
                <w:szCs w:val="22"/>
                <w:lang w:val="lt-LT"/>
              </w:rPr>
              <w:t>bewacyzumab</w:t>
            </w:r>
          </w:p>
        </w:tc>
        <w:tc>
          <w:tcPr>
            <w:tcW w:w="1536" w:type="pct"/>
            <w:tcBorders>
              <w:bottom w:val="single" w:sz="4" w:space="0" w:color="auto"/>
            </w:tcBorders>
            <w:noWrap/>
          </w:tcPr>
          <w:p w14:paraId="59D0CF8F" w14:textId="77777777" w:rsidR="00EA578F" w:rsidRPr="00261A5A" w:rsidRDefault="00983A92" w:rsidP="00C240AA">
            <w:pPr>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5</w:t>
            </w:r>
            <w:r w:rsidR="00C240AA">
              <w:rPr>
                <w:rFonts w:ascii="Times New Roman" w:eastAsia="Times New Roman" w:hAnsi="Times New Roman" w:cs="Times New Roman"/>
                <w:sz w:val="22"/>
                <w:szCs w:val="22"/>
                <w:lang w:val="pl-PL"/>
              </w:rPr>
              <w:t> </w:t>
            </w:r>
            <w:r w:rsidR="007456F0" w:rsidRPr="00261A5A">
              <w:rPr>
                <w:rFonts w:ascii="Times New Roman" w:eastAsia="Times New Roman" w:hAnsi="Times New Roman" w:cs="Times New Roman"/>
                <w:sz w:val="22"/>
                <w:szCs w:val="22"/>
                <w:lang w:val="pl-PL"/>
              </w:rPr>
              <w:t>mg/kg</w:t>
            </w:r>
            <w:r w:rsidR="005D1030">
              <w:rPr>
                <w:rFonts w:ascii="Times New Roman" w:eastAsia="Times New Roman" w:hAnsi="Times New Roman" w:cs="Times New Roman"/>
                <w:sz w:val="22"/>
                <w:szCs w:val="22"/>
                <w:lang w:val="pl-PL"/>
              </w:rPr>
              <w:t> mc</w:t>
            </w:r>
            <w:r w:rsidR="005D1030" w:rsidRPr="00C240AA">
              <w:rPr>
                <w:rFonts w:ascii="Times New Roman" w:eastAsia="Times New Roman" w:hAnsi="Times New Roman" w:cs="Times New Roman"/>
                <w:sz w:val="22"/>
                <w:szCs w:val="22"/>
                <w:lang w:val="pl-PL"/>
              </w:rPr>
              <w:t>.</w:t>
            </w:r>
            <w:r w:rsidR="007456F0" w:rsidRPr="00C240AA">
              <w:rPr>
                <w:rFonts w:ascii="Times New Roman" w:eastAsia="Times New Roman" w:hAnsi="Times New Roman" w:cs="Times New Roman"/>
                <w:sz w:val="22"/>
                <w:szCs w:val="22"/>
                <w:lang w:val="pl-PL"/>
              </w:rPr>
              <w:t xml:space="preserve"> </w:t>
            </w:r>
            <w:r w:rsidR="007456F0" w:rsidRPr="00E77ACE">
              <w:rPr>
                <w:rFonts w:ascii="Times New Roman" w:eastAsia="Times New Roman" w:hAnsi="Times New Roman" w:cs="Times New Roman"/>
                <w:i/>
                <w:sz w:val="22"/>
                <w:szCs w:val="22"/>
                <w:lang w:val="pl-PL"/>
              </w:rPr>
              <w:t>iv</w:t>
            </w:r>
            <w:r w:rsidR="007456F0" w:rsidRPr="00C240AA">
              <w:rPr>
                <w:rFonts w:ascii="Times New Roman" w:eastAsia="Times New Roman" w:hAnsi="Times New Roman" w:cs="Times New Roman"/>
                <w:sz w:val="22"/>
                <w:szCs w:val="22"/>
                <w:lang w:val="pl-PL"/>
              </w:rPr>
              <w:t>.</w:t>
            </w:r>
            <w:r w:rsidR="007456F0" w:rsidRPr="00261A5A">
              <w:rPr>
                <w:rFonts w:ascii="Times New Roman" w:eastAsia="Times New Roman" w:hAnsi="Times New Roman" w:cs="Times New Roman"/>
                <w:sz w:val="22"/>
                <w:szCs w:val="22"/>
                <w:lang w:val="pl-PL"/>
              </w:rPr>
              <w:t xml:space="preserve"> przez 30-90 min.</w:t>
            </w:r>
          </w:p>
        </w:tc>
        <w:tc>
          <w:tcPr>
            <w:tcW w:w="1682" w:type="pct"/>
            <w:tcBorders>
              <w:bottom w:val="single" w:sz="4" w:space="0" w:color="auto"/>
            </w:tcBorders>
            <w:noWrap/>
          </w:tcPr>
          <w:p w14:paraId="3AB7843B" w14:textId="77777777" w:rsidR="006C3C3F" w:rsidRPr="00261A5A" w:rsidRDefault="007456F0" w:rsidP="007456F0">
            <w:pPr>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dzień 1., przed rozpo</w:t>
            </w:r>
            <w:r w:rsidR="006C3C3F" w:rsidRPr="00261A5A">
              <w:rPr>
                <w:rFonts w:ascii="Times New Roman" w:eastAsia="Times New Roman" w:hAnsi="Times New Roman" w:cs="Times New Roman"/>
                <w:sz w:val="22"/>
                <w:szCs w:val="22"/>
                <w:lang w:val="pl-PL"/>
              </w:rPr>
              <w:t>częciem chemioterapii FOLFOX-4,</w:t>
            </w:r>
          </w:p>
          <w:p w14:paraId="2D5898C3" w14:textId="77777777" w:rsidR="00EA578F" w:rsidRPr="00FD7F9C" w:rsidRDefault="007456F0" w:rsidP="007456F0">
            <w:pPr>
              <w:ind w:left="113"/>
              <w:rPr>
                <w:rFonts w:ascii="Times New Roman" w:eastAsia="Times New Roman" w:hAnsi="Times New Roman" w:cs="Times New Roman"/>
                <w:sz w:val="22"/>
                <w:szCs w:val="22"/>
                <w:lang w:val="pl-PL"/>
              </w:rPr>
            </w:pPr>
            <w:r w:rsidRPr="00FD7F9C">
              <w:rPr>
                <w:rFonts w:ascii="Times New Roman" w:eastAsia="Times New Roman" w:hAnsi="Times New Roman" w:cs="Times New Roman"/>
                <w:sz w:val="22"/>
                <w:szCs w:val="22"/>
                <w:lang w:val="pl-PL"/>
              </w:rPr>
              <w:t>co 2 tygodnie</w:t>
            </w:r>
          </w:p>
        </w:tc>
      </w:tr>
      <w:tr w:rsidR="00327680" w:rsidRPr="00261A5A" w14:paraId="48F9DD49" w14:textId="77777777" w:rsidTr="00F533B1">
        <w:trPr>
          <w:trHeight w:val="419"/>
        </w:trPr>
        <w:tc>
          <w:tcPr>
            <w:tcW w:w="885" w:type="pct"/>
            <w:vMerge w:val="restart"/>
            <w:noWrap/>
          </w:tcPr>
          <w:p w14:paraId="1FBDEB19" w14:textId="77777777" w:rsidR="00327680" w:rsidRPr="00FD7F9C" w:rsidRDefault="00327680" w:rsidP="004B65DC">
            <w:pPr>
              <w:ind w:left="113"/>
              <w:rPr>
                <w:rFonts w:ascii="Times New Roman" w:eastAsia="Times New Roman" w:hAnsi="Times New Roman" w:cs="Times New Roman"/>
                <w:sz w:val="22"/>
                <w:szCs w:val="22"/>
                <w:lang w:val="pl-PL"/>
              </w:rPr>
            </w:pPr>
            <w:r w:rsidRPr="00FD7F9C">
              <w:rPr>
                <w:rFonts w:ascii="Times New Roman" w:eastAsia="Times New Roman" w:hAnsi="Times New Roman" w:cs="Times New Roman"/>
                <w:sz w:val="22"/>
                <w:szCs w:val="22"/>
                <w:lang w:val="pl-PL"/>
              </w:rPr>
              <w:t>XELOX</w:t>
            </w:r>
          </w:p>
          <w:p w14:paraId="53F0D41B" w14:textId="77777777" w:rsidR="00327680" w:rsidRPr="00FD7F9C" w:rsidRDefault="00327680" w:rsidP="004B65DC">
            <w:pPr>
              <w:ind w:left="113"/>
              <w:rPr>
                <w:rFonts w:ascii="Times New Roman" w:eastAsia="Times New Roman" w:hAnsi="Times New Roman" w:cs="Times New Roman"/>
                <w:sz w:val="22"/>
                <w:szCs w:val="22"/>
                <w:lang w:val="pl-PL"/>
              </w:rPr>
            </w:pPr>
            <w:r w:rsidRPr="00FD7F9C">
              <w:rPr>
                <w:rFonts w:ascii="Times New Roman" w:eastAsia="Times New Roman" w:hAnsi="Times New Roman" w:cs="Times New Roman"/>
                <w:sz w:val="22"/>
                <w:szCs w:val="22"/>
                <w:lang w:val="pl-PL"/>
              </w:rPr>
              <w:t>lub</w:t>
            </w:r>
          </w:p>
          <w:p w14:paraId="5905E839" w14:textId="77777777" w:rsidR="00327680" w:rsidRPr="00FD7F9C" w:rsidRDefault="00327680" w:rsidP="004B65DC">
            <w:pPr>
              <w:ind w:left="113"/>
              <w:rPr>
                <w:rFonts w:ascii="Times New Roman" w:eastAsia="Times New Roman" w:hAnsi="Times New Roman" w:cs="Times New Roman"/>
                <w:sz w:val="22"/>
                <w:szCs w:val="22"/>
                <w:lang w:val="pl-PL"/>
              </w:rPr>
            </w:pPr>
            <w:r w:rsidRPr="00FD7F9C">
              <w:rPr>
                <w:rFonts w:ascii="Times New Roman" w:eastAsia="Times New Roman" w:hAnsi="Times New Roman" w:cs="Times New Roman"/>
                <w:sz w:val="22"/>
                <w:szCs w:val="22"/>
                <w:lang w:val="pl-PL"/>
              </w:rPr>
              <w:t xml:space="preserve">XELOX+ </w:t>
            </w:r>
            <w:r w:rsidR="006A36B9">
              <w:rPr>
                <w:rFonts w:ascii="Times New Roman" w:eastAsia="Times New Roman" w:hAnsi="Times New Roman" w:cs="Times New Roman"/>
                <w:sz w:val="22"/>
                <w:szCs w:val="22"/>
                <w:lang w:val="lt-LT"/>
              </w:rPr>
              <w:t>bewacyzumab</w:t>
            </w:r>
          </w:p>
        </w:tc>
        <w:tc>
          <w:tcPr>
            <w:tcW w:w="898" w:type="pct"/>
            <w:tcBorders>
              <w:bottom w:val="nil"/>
            </w:tcBorders>
            <w:noWrap/>
          </w:tcPr>
          <w:p w14:paraId="52AAB96F" w14:textId="77777777" w:rsidR="00327680" w:rsidRPr="00FD7F9C" w:rsidRDefault="00327680" w:rsidP="004B65DC">
            <w:pPr>
              <w:ind w:left="113"/>
              <w:rPr>
                <w:rFonts w:ascii="Times New Roman" w:eastAsia="Times New Roman" w:hAnsi="Times New Roman" w:cs="Times New Roman"/>
                <w:sz w:val="22"/>
                <w:szCs w:val="22"/>
                <w:lang w:val="pl-PL"/>
              </w:rPr>
            </w:pPr>
            <w:r w:rsidRPr="00FD7F9C">
              <w:rPr>
                <w:rFonts w:ascii="Times New Roman" w:eastAsia="Times New Roman" w:hAnsi="Times New Roman" w:cs="Times New Roman"/>
                <w:sz w:val="22"/>
                <w:szCs w:val="22"/>
                <w:lang w:val="pl-PL"/>
              </w:rPr>
              <w:t>oksaliplatyna</w:t>
            </w:r>
          </w:p>
        </w:tc>
        <w:tc>
          <w:tcPr>
            <w:tcW w:w="1536" w:type="pct"/>
            <w:tcBorders>
              <w:bottom w:val="nil"/>
            </w:tcBorders>
            <w:noWrap/>
          </w:tcPr>
          <w:p w14:paraId="7A98B249" w14:textId="77777777" w:rsidR="00327680" w:rsidRPr="00261A5A" w:rsidRDefault="00327680" w:rsidP="00C240AA">
            <w:pPr>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130</w:t>
            </w:r>
            <w:r w:rsidR="00C240AA">
              <w:rPr>
                <w:rFonts w:ascii="Times New Roman" w:eastAsia="Times New Roman" w:hAnsi="Times New Roman" w:cs="Times New Roman"/>
                <w:sz w:val="22"/>
                <w:szCs w:val="22"/>
                <w:lang w:val="pl-PL"/>
              </w:rPr>
              <w:t> </w:t>
            </w:r>
            <w:r w:rsidRPr="00261A5A">
              <w:rPr>
                <w:rFonts w:ascii="Times New Roman" w:eastAsia="Times New Roman" w:hAnsi="Times New Roman" w:cs="Times New Roman"/>
                <w:sz w:val="22"/>
                <w:szCs w:val="22"/>
                <w:lang w:val="pl-PL"/>
              </w:rPr>
              <w:t>mg/m</w:t>
            </w:r>
            <w:r w:rsidRPr="00261A5A">
              <w:rPr>
                <w:rFonts w:ascii="Times New Roman" w:eastAsia="Times New Roman" w:hAnsi="Times New Roman" w:cs="Times New Roman"/>
                <w:sz w:val="22"/>
                <w:szCs w:val="22"/>
                <w:vertAlign w:val="superscript"/>
                <w:lang w:val="pl-PL"/>
              </w:rPr>
              <w:t>2</w:t>
            </w:r>
            <w:r w:rsidRPr="00261A5A">
              <w:rPr>
                <w:rFonts w:ascii="Times New Roman" w:eastAsia="Times New Roman" w:hAnsi="Times New Roman" w:cs="Times New Roman"/>
                <w:sz w:val="22"/>
                <w:szCs w:val="22"/>
                <w:lang w:val="pl-PL"/>
              </w:rPr>
              <w:t xml:space="preserve"> </w:t>
            </w:r>
            <w:r w:rsidRPr="00E77ACE">
              <w:rPr>
                <w:rFonts w:ascii="Times New Roman" w:eastAsia="Times New Roman" w:hAnsi="Times New Roman" w:cs="Times New Roman"/>
                <w:i/>
                <w:sz w:val="22"/>
                <w:szCs w:val="22"/>
                <w:lang w:val="pl-PL"/>
              </w:rPr>
              <w:t>iv</w:t>
            </w:r>
            <w:r w:rsidRPr="00C240AA">
              <w:rPr>
                <w:rFonts w:ascii="Times New Roman" w:eastAsia="Times New Roman" w:hAnsi="Times New Roman" w:cs="Times New Roman"/>
                <w:sz w:val="22"/>
                <w:szCs w:val="22"/>
                <w:lang w:val="pl-PL"/>
              </w:rPr>
              <w:t>.</w:t>
            </w:r>
            <w:r w:rsidRPr="00261A5A">
              <w:rPr>
                <w:rFonts w:ascii="Times New Roman" w:eastAsia="Times New Roman" w:hAnsi="Times New Roman" w:cs="Times New Roman"/>
                <w:sz w:val="22"/>
                <w:szCs w:val="22"/>
                <w:lang w:val="pl-PL"/>
              </w:rPr>
              <w:t xml:space="preserve"> przez 2 godz.</w:t>
            </w:r>
          </w:p>
        </w:tc>
        <w:tc>
          <w:tcPr>
            <w:tcW w:w="1682" w:type="pct"/>
            <w:tcBorders>
              <w:bottom w:val="nil"/>
            </w:tcBorders>
            <w:noWrap/>
          </w:tcPr>
          <w:p w14:paraId="4EFC87FD" w14:textId="77777777" w:rsidR="00327680" w:rsidRPr="00261A5A" w:rsidRDefault="00096BA7" w:rsidP="00096BA7">
            <w:pPr>
              <w:ind w:left="113"/>
              <w:rPr>
                <w:rFonts w:ascii="Times New Roman" w:eastAsia="Times New Roman" w:hAnsi="Times New Roman" w:cs="Times New Roman"/>
                <w:sz w:val="22"/>
                <w:szCs w:val="22"/>
                <w:lang w:val="pl-PL"/>
              </w:rPr>
            </w:pPr>
            <w:r>
              <w:rPr>
                <w:rFonts w:ascii="Times New Roman" w:eastAsia="Times New Roman" w:hAnsi="Times New Roman" w:cs="Times New Roman"/>
                <w:sz w:val="22"/>
                <w:szCs w:val="22"/>
                <w:lang w:val="pl-PL"/>
              </w:rPr>
              <w:t>oksaliplatyna w dniu 1.</w:t>
            </w:r>
          </w:p>
        </w:tc>
      </w:tr>
      <w:tr w:rsidR="00327680" w:rsidRPr="008C2A94" w14:paraId="0474109C" w14:textId="77777777" w:rsidTr="00F533B1">
        <w:trPr>
          <w:trHeight w:val="615"/>
        </w:trPr>
        <w:tc>
          <w:tcPr>
            <w:tcW w:w="885" w:type="pct"/>
            <w:vMerge/>
            <w:noWrap/>
          </w:tcPr>
          <w:p w14:paraId="34AB1455" w14:textId="77777777" w:rsidR="00327680" w:rsidRPr="00261A5A" w:rsidRDefault="00327680" w:rsidP="00EA578F">
            <w:pPr>
              <w:rPr>
                <w:rFonts w:ascii="Times New Roman" w:eastAsia="Times New Roman" w:hAnsi="Times New Roman" w:cs="Times New Roman"/>
                <w:sz w:val="22"/>
                <w:szCs w:val="22"/>
                <w:lang w:val="pl-PL"/>
              </w:rPr>
            </w:pPr>
          </w:p>
        </w:tc>
        <w:tc>
          <w:tcPr>
            <w:tcW w:w="898" w:type="pct"/>
            <w:tcBorders>
              <w:top w:val="nil"/>
            </w:tcBorders>
            <w:noWrap/>
          </w:tcPr>
          <w:p w14:paraId="2237E06A" w14:textId="77777777" w:rsidR="00327680" w:rsidRPr="00AD3F88" w:rsidRDefault="00327680" w:rsidP="004B65DC">
            <w:pPr>
              <w:ind w:left="113"/>
              <w:rPr>
                <w:rFonts w:ascii="Times New Roman" w:eastAsia="Times New Roman" w:hAnsi="Times New Roman" w:cs="Times New Roman"/>
                <w:sz w:val="22"/>
                <w:szCs w:val="22"/>
                <w:lang w:val="en-GB"/>
              </w:rPr>
            </w:pPr>
            <w:proofErr w:type="spellStart"/>
            <w:r w:rsidRPr="00AD3F88">
              <w:rPr>
                <w:rFonts w:ascii="Times New Roman" w:eastAsia="Times New Roman" w:hAnsi="Times New Roman" w:cs="Times New Roman"/>
                <w:sz w:val="22"/>
                <w:szCs w:val="22"/>
                <w:lang w:val="en-GB"/>
              </w:rPr>
              <w:t>kapecytabina</w:t>
            </w:r>
            <w:proofErr w:type="spellEnd"/>
          </w:p>
        </w:tc>
        <w:tc>
          <w:tcPr>
            <w:tcW w:w="1536" w:type="pct"/>
            <w:tcBorders>
              <w:top w:val="nil"/>
            </w:tcBorders>
            <w:noWrap/>
          </w:tcPr>
          <w:p w14:paraId="54A90CB0" w14:textId="77777777" w:rsidR="00327680" w:rsidRPr="00261A5A" w:rsidRDefault="00327680" w:rsidP="00C240AA">
            <w:pPr>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1000</w:t>
            </w:r>
            <w:r w:rsidR="00C240AA">
              <w:rPr>
                <w:rFonts w:ascii="Times New Roman" w:eastAsia="Times New Roman" w:hAnsi="Times New Roman" w:cs="Times New Roman"/>
                <w:sz w:val="22"/>
                <w:szCs w:val="22"/>
                <w:lang w:val="pl-PL"/>
              </w:rPr>
              <w:t> </w:t>
            </w:r>
            <w:r w:rsidRPr="00261A5A">
              <w:rPr>
                <w:rFonts w:ascii="Times New Roman" w:eastAsia="Times New Roman" w:hAnsi="Times New Roman" w:cs="Times New Roman"/>
                <w:sz w:val="22"/>
                <w:szCs w:val="22"/>
                <w:lang w:val="pl-PL"/>
              </w:rPr>
              <w:t>mg/m</w:t>
            </w:r>
            <w:r w:rsidRPr="00261A5A">
              <w:rPr>
                <w:rFonts w:ascii="Times New Roman" w:eastAsia="Times New Roman" w:hAnsi="Times New Roman" w:cs="Times New Roman"/>
                <w:sz w:val="22"/>
                <w:szCs w:val="22"/>
                <w:vertAlign w:val="superscript"/>
                <w:lang w:val="pl-PL"/>
              </w:rPr>
              <w:t>2</w:t>
            </w:r>
            <w:r w:rsidRPr="00261A5A">
              <w:rPr>
                <w:rFonts w:ascii="Times New Roman" w:eastAsia="Times New Roman" w:hAnsi="Times New Roman" w:cs="Times New Roman"/>
                <w:sz w:val="22"/>
                <w:szCs w:val="22"/>
                <w:lang w:val="pl-PL"/>
              </w:rPr>
              <w:t xml:space="preserve"> doustnie 2 razy na dobę</w:t>
            </w:r>
          </w:p>
        </w:tc>
        <w:tc>
          <w:tcPr>
            <w:tcW w:w="1682" w:type="pct"/>
            <w:tcBorders>
              <w:top w:val="nil"/>
            </w:tcBorders>
            <w:noWrap/>
          </w:tcPr>
          <w:p w14:paraId="74588F08" w14:textId="77777777" w:rsidR="00327680" w:rsidRPr="00261A5A" w:rsidRDefault="00096BA7" w:rsidP="00327680">
            <w:pPr>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kapecytabina doustnie 2 razy na dobę przez 2 tygodnie (następnie 1 tydzień bez leczenia)</w:t>
            </w:r>
          </w:p>
        </w:tc>
      </w:tr>
      <w:tr w:rsidR="00EA578F" w:rsidRPr="008C2A94" w14:paraId="7DD27E6D" w14:textId="77777777" w:rsidTr="00F533B1">
        <w:trPr>
          <w:trHeight w:val="300"/>
        </w:trPr>
        <w:tc>
          <w:tcPr>
            <w:tcW w:w="885" w:type="pct"/>
            <w:vMerge/>
            <w:noWrap/>
            <w:vAlign w:val="bottom"/>
          </w:tcPr>
          <w:p w14:paraId="73ADD6F5" w14:textId="77777777" w:rsidR="00EA578F" w:rsidRPr="00261A5A" w:rsidRDefault="00EA578F" w:rsidP="00EA578F">
            <w:pPr>
              <w:rPr>
                <w:rFonts w:ascii="Times New Roman" w:eastAsia="Times New Roman" w:hAnsi="Times New Roman" w:cs="Times New Roman"/>
                <w:sz w:val="22"/>
                <w:szCs w:val="22"/>
                <w:lang w:val="pl-PL"/>
              </w:rPr>
            </w:pPr>
          </w:p>
        </w:tc>
        <w:tc>
          <w:tcPr>
            <w:tcW w:w="898" w:type="pct"/>
            <w:noWrap/>
          </w:tcPr>
          <w:p w14:paraId="6F1C6E3C" w14:textId="77777777" w:rsidR="00EA578F" w:rsidRPr="00AD3F88" w:rsidRDefault="00983A92" w:rsidP="004B65DC">
            <w:pPr>
              <w:ind w:left="113"/>
              <w:rPr>
                <w:rFonts w:ascii="Times New Roman" w:eastAsia="Times New Roman" w:hAnsi="Times New Roman" w:cs="Times New Roman"/>
                <w:sz w:val="22"/>
                <w:szCs w:val="22"/>
                <w:lang w:val="en-GB"/>
              </w:rPr>
            </w:pPr>
            <w:r w:rsidRPr="00AD3F88">
              <w:rPr>
                <w:rFonts w:ascii="Times New Roman" w:eastAsia="Times New Roman" w:hAnsi="Times New Roman" w:cs="Times New Roman"/>
                <w:sz w:val="22"/>
                <w:szCs w:val="22"/>
                <w:lang w:val="en-GB"/>
              </w:rPr>
              <w:t xml:space="preserve">placebo </w:t>
            </w:r>
            <w:proofErr w:type="spellStart"/>
            <w:r w:rsidRPr="00AD3F88">
              <w:rPr>
                <w:rFonts w:ascii="Times New Roman" w:eastAsia="Times New Roman" w:hAnsi="Times New Roman" w:cs="Times New Roman"/>
                <w:sz w:val="22"/>
                <w:szCs w:val="22"/>
                <w:lang w:val="en-GB"/>
              </w:rPr>
              <w:t>lub</w:t>
            </w:r>
            <w:proofErr w:type="spellEnd"/>
            <w:r w:rsidRPr="00AD3F88">
              <w:rPr>
                <w:rFonts w:ascii="Times New Roman" w:eastAsia="Times New Roman" w:hAnsi="Times New Roman" w:cs="Times New Roman"/>
                <w:sz w:val="22"/>
                <w:szCs w:val="22"/>
                <w:lang w:val="en-GB"/>
              </w:rPr>
              <w:t xml:space="preserve"> </w:t>
            </w:r>
            <w:r w:rsidR="006A36B9">
              <w:rPr>
                <w:rFonts w:ascii="Times New Roman" w:eastAsia="Times New Roman" w:hAnsi="Times New Roman" w:cs="Times New Roman"/>
                <w:sz w:val="22"/>
                <w:szCs w:val="22"/>
                <w:lang w:val="lt-LT"/>
              </w:rPr>
              <w:t>bewacyzumab</w:t>
            </w:r>
          </w:p>
        </w:tc>
        <w:tc>
          <w:tcPr>
            <w:tcW w:w="1536" w:type="pct"/>
            <w:noWrap/>
          </w:tcPr>
          <w:p w14:paraId="30BDF01B" w14:textId="77777777" w:rsidR="00EA578F" w:rsidRPr="00261A5A" w:rsidRDefault="00983A92" w:rsidP="00C240AA">
            <w:pPr>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7,5</w:t>
            </w:r>
            <w:r w:rsidR="00C240AA">
              <w:rPr>
                <w:rFonts w:ascii="Times New Roman" w:eastAsia="Times New Roman" w:hAnsi="Times New Roman" w:cs="Times New Roman"/>
                <w:sz w:val="22"/>
                <w:szCs w:val="22"/>
                <w:lang w:val="pl-PL"/>
              </w:rPr>
              <w:t> </w:t>
            </w:r>
            <w:r w:rsidRPr="00261A5A">
              <w:rPr>
                <w:rFonts w:ascii="Times New Roman" w:eastAsia="Times New Roman" w:hAnsi="Times New Roman" w:cs="Times New Roman"/>
                <w:sz w:val="22"/>
                <w:szCs w:val="22"/>
                <w:lang w:val="pl-PL"/>
              </w:rPr>
              <w:t>mg/kg</w:t>
            </w:r>
            <w:r w:rsidR="005D1030">
              <w:rPr>
                <w:rFonts w:ascii="Times New Roman" w:eastAsia="Times New Roman" w:hAnsi="Times New Roman" w:cs="Times New Roman"/>
                <w:sz w:val="22"/>
                <w:szCs w:val="22"/>
                <w:lang w:val="pl-PL"/>
              </w:rPr>
              <w:t> mc.</w:t>
            </w:r>
            <w:r w:rsidRPr="00261A5A">
              <w:rPr>
                <w:rFonts w:ascii="Times New Roman" w:eastAsia="Times New Roman" w:hAnsi="Times New Roman" w:cs="Times New Roman"/>
                <w:sz w:val="22"/>
                <w:szCs w:val="22"/>
                <w:lang w:val="pl-PL"/>
              </w:rPr>
              <w:t xml:space="preserve"> </w:t>
            </w:r>
            <w:r w:rsidRPr="00E77ACE">
              <w:rPr>
                <w:rFonts w:ascii="Times New Roman" w:eastAsia="Times New Roman" w:hAnsi="Times New Roman" w:cs="Times New Roman"/>
                <w:i/>
                <w:sz w:val="22"/>
                <w:szCs w:val="22"/>
                <w:lang w:val="pl-PL"/>
              </w:rPr>
              <w:t>iv</w:t>
            </w:r>
            <w:r w:rsidRPr="00C240AA">
              <w:rPr>
                <w:rFonts w:ascii="Times New Roman" w:eastAsia="Times New Roman" w:hAnsi="Times New Roman" w:cs="Times New Roman"/>
                <w:sz w:val="22"/>
                <w:szCs w:val="22"/>
                <w:lang w:val="pl-PL"/>
              </w:rPr>
              <w:t>.</w:t>
            </w:r>
            <w:r w:rsidRPr="00261A5A">
              <w:rPr>
                <w:rFonts w:ascii="Times New Roman" w:eastAsia="Times New Roman" w:hAnsi="Times New Roman" w:cs="Times New Roman"/>
                <w:sz w:val="22"/>
                <w:szCs w:val="22"/>
                <w:lang w:val="pl-PL"/>
              </w:rPr>
              <w:t xml:space="preserve"> przez 30-90 min.</w:t>
            </w:r>
          </w:p>
        </w:tc>
        <w:tc>
          <w:tcPr>
            <w:tcW w:w="1682" w:type="pct"/>
            <w:noWrap/>
          </w:tcPr>
          <w:p w14:paraId="01B0FC7A" w14:textId="77777777" w:rsidR="00EA578F" w:rsidRPr="00261A5A" w:rsidRDefault="00C41546" w:rsidP="004B65DC">
            <w:pPr>
              <w:ind w:left="113"/>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dzień 1., przed rozpoczęciem chemioterapii XELOX, co 3 tygodnie</w:t>
            </w:r>
          </w:p>
        </w:tc>
      </w:tr>
      <w:tr w:rsidR="00EA578F" w:rsidRPr="008C2A94" w14:paraId="03352AB8" w14:textId="77777777" w:rsidTr="00F533B1">
        <w:trPr>
          <w:trHeight w:val="300"/>
        </w:trPr>
        <w:tc>
          <w:tcPr>
            <w:tcW w:w="5000" w:type="pct"/>
            <w:gridSpan w:val="4"/>
            <w:noWrap/>
            <w:vAlign w:val="bottom"/>
          </w:tcPr>
          <w:p w14:paraId="0F491EF4" w14:textId="77777777" w:rsidR="00EA578F" w:rsidRPr="00261A5A" w:rsidRDefault="00C41546" w:rsidP="00C41546">
            <w:pPr>
              <w:rPr>
                <w:rFonts w:ascii="Times New Roman" w:eastAsia="Times New Roman" w:hAnsi="Times New Roman" w:cs="Times New Roman"/>
                <w:sz w:val="22"/>
                <w:szCs w:val="22"/>
                <w:lang w:val="pl-PL"/>
              </w:rPr>
            </w:pPr>
            <w:r w:rsidRPr="00261A5A">
              <w:rPr>
                <w:rFonts w:ascii="Times New Roman" w:eastAsia="Times New Roman" w:hAnsi="Times New Roman" w:cs="Times New Roman"/>
                <w:sz w:val="22"/>
                <w:szCs w:val="22"/>
                <w:lang w:val="pl-PL"/>
              </w:rPr>
              <w:t xml:space="preserve">5- fluorouracyl: wstrzyknięcie </w:t>
            </w:r>
            <w:r w:rsidRPr="00E77ACE">
              <w:rPr>
                <w:rFonts w:ascii="Times New Roman" w:eastAsia="Times New Roman" w:hAnsi="Times New Roman" w:cs="Times New Roman"/>
                <w:i/>
                <w:sz w:val="22"/>
                <w:szCs w:val="22"/>
                <w:lang w:val="pl-PL"/>
              </w:rPr>
              <w:t>iv.</w:t>
            </w:r>
            <w:r w:rsidRPr="00261A5A">
              <w:rPr>
                <w:rFonts w:ascii="Times New Roman" w:eastAsia="Times New Roman" w:hAnsi="Times New Roman" w:cs="Times New Roman"/>
                <w:sz w:val="22"/>
                <w:szCs w:val="22"/>
                <w:lang w:val="pl-PL"/>
              </w:rPr>
              <w:t xml:space="preserve"> w bolusie natychmiast po podaniu leukoworyny</w:t>
            </w:r>
          </w:p>
        </w:tc>
      </w:tr>
    </w:tbl>
    <w:p w14:paraId="29B4918A" w14:textId="77777777" w:rsidR="00071CFE" w:rsidRPr="00741122" w:rsidRDefault="00071CFE" w:rsidP="00811175">
      <w:pPr>
        <w:rPr>
          <w:rFonts w:ascii="Times New Roman" w:eastAsia="Times New Roman" w:hAnsi="Times New Roman" w:cs="Times New Roman"/>
          <w:sz w:val="22"/>
          <w:szCs w:val="22"/>
          <w:lang w:val="lt-LT"/>
        </w:rPr>
      </w:pPr>
    </w:p>
    <w:p w14:paraId="0F40138F" w14:textId="77777777" w:rsidR="00071CFE" w:rsidRPr="00741122" w:rsidRDefault="00071CFE" w:rsidP="00811175">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badaniu tym pierwszorzędowym parametrem skuteczności był czas przeżycia bez progresji. Badanie miało dwa główne cele: wykazanie, że schemat chemioterapii XELOX nie jest gorszy od FOLFOX-4 oraz wykazanie przewagi leczenia </w:t>
      </w:r>
      <w:r w:rsidR="006A36B9">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w skojarzeniu z chemioterapią FOLFOX-4 lub XELOX w stosunku do leczenia samą chemioterapią. Oba główne cele badania zostały osiągnięte:</w:t>
      </w:r>
    </w:p>
    <w:p w14:paraId="283B16D0" w14:textId="77777777" w:rsidR="00071CFE" w:rsidRPr="00741122" w:rsidRDefault="00071CFE" w:rsidP="00811175">
      <w:pPr>
        <w:rPr>
          <w:rFonts w:ascii="Times New Roman" w:eastAsia="Times New Roman" w:hAnsi="Times New Roman" w:cs="Times New Roman"/>
          <w:sz w:val="22"/>
          <w:szCs w:val="22"/>
          <w:lang w:val="lt-LT"/>
        </w:rPr>
      </w:pPr>
    </w:p>
    <w:p w14:paraId="7DE6F66F" w14:textId="77777777" w:rsidR="00071CFE" w:rsidRPr="00741122" w:rsidRDefault="00071CFE" w:rsidP="00F12C6A">
      <w:pPr>
        <w:numPr>
          <w:ilvl w:val="0"/>
          <w:numId w:val="12"/>
        </w:numPr>
        <w:tabs>
          <w:tab w:val="left" w:pos="54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badaniu wykazano, że schemat chemioterapii XELOX nie jest gorszy od schematu chemioterapii FOLFOX-4 na podstawie ogólnego porównania przeżycia bez progresji oraz całkowitego przeżycia pacjentów spełniających kryteria włączenia, należących do populacji „per protocol”.</w:t>
      </w:r>
    </w:p>
    <w:p w14:paraId="20890E77" w14:textId="70B3FA1D" w:rsidR="00071CFE" w:rsidRPr="00741122" w:rsidRDefault="00071CFE" w:rsidP="00F12C6A">
      <w:pPr>
        <w:numPr>
          <w:ilvl w:val="0"/>
          <w:numId w:val="12"/>
        </w:numPr>
        <w:tabs>
          <w:tab w:val="left" w:pos="54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Na podstawie ogólnego porównania przeżycia bez progresji w badanej populacji ITT („intention to treat”) wykazano przewagę ramion, w których stosowano </w:t>
      </w:r>
      <w:r w:rsidR="006A36B9">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stosunku do ramion z samą chemioterapią (</w:t>
      </w:r>
      <w:r w:rsidR="00E27D75">
        <w:rPr>
          <w:rFonts w:ascii="Times New Roman" w:eastAsia="Times New Roman" w:hAnsi="Times New Roman" w:cs="Times New Roman"/>
          <w:sz w:val="22"/>
          <w:szCs w:val="22"/>
          <w:lang w:val="lt-LT"/>
        </w:rPr>
        <w:t xml:space="preserve">patrz </w:t>
      </w:r>
      <w:r w:rsidRPr="00741122">
        <w:rPr>
          <w:rFonts w:ascii="Times New Roman" w:eastAsia="Times New Roman" w:hAnsi="Times New Roman" w:cs="Times New Roman"/>
          <w:sz w:val="22"/>
          <w:szCs w:val="22"/>
          <w:lang w:val="lt-LT"/>
        </w:rPr>
        <w:t>tabela 7).</w:t>
      </w:r>
    </w:p>
    <w:p w14:paraId="44FCB4BC" w14:textId="77777777" w:rsidR="00071CFE" w:rsidRPr="00741122" w:rsidRDefault="00071CFE" w:rsidP="00811175">
      <w:pPr>
        <w:rPr>
          <w:rFonts w:ascii="Times New Roman" w:eastAsia="Times New Roman" w:hAnsi="Times New Roman" w:cs="Times New Roman"/>
          <w:sz w:val="22"/>
          <w:szCs w:val="22"/>
          <w:lang w:val="lt-LT"/>
        </w:rPr>
      </w:pPr>
    </w:p>
    <w:p w14:paraId="2DAE7168" w14:textId="77777777" w:rsidR="00071CFE" w:rsidRPr="00741122" w:rsidRDefault="00071CFE" w:rsidP="00811175">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Wtórne analizy PFS (przeżycia bez progresji) oparte na ocenie odpowiedzi w czasie leczenia</w:t>
      </w:r>
      <w:r w:rsidR="00E51B0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potwierdziły istotną klinicznie przewagę </w:t>
      </w:r>
      <w:r w:rsidR="006A36B9">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zakresie korzyści klinicznych</w:t>
      </w:r>
      <w:r w:rsidR="00E51B0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(analizy przedstawione w tabeli 7). Analizy zbiorcze również wykazały istotne statystycznie korzyści.</w:t>
      </w:r>
    </w:p>
    <w:p w14:paraId="184165D8" w14:textId="77777777" w:rsidR="00071CFE" w:rsidRPr="00741122" w:rsidRDefault="00071CFE" w:rsidP="00811175">
      <w:pPr>
        <w:rPr>
          <w:rFonts w:ascii="Times New Roman" w:eastAsia="Times New Roman" w:hAnsi="Times New Roman" w:cs="Times New Roman"/>
          <w:sz w:val="22"/>
          <w:szCs w:val="22"/>
          <w:lang w:val="lt-LT"/>
        </w:rPr>
      </w:pPr>
    </w:p>
    <w:p w14:paraId="1FECD8C0" w14:textId="77777777" w:rsidR="00071CFE" w:rsidRPr="00741122" w:rsidRDefault="00811175" w:rsidP="007C0024">
      <w:pPr>
        <w:tabs>
          <w:tab w:val="left" w:pos="0"/>
          <w:tab w:val="left" w:pos="993"/>
        </w:tabs>
        <w:rPr>
          <w:rFonts w:ascii="Times New Roman" w:eastAsia="Times New Roman" w:hAnsi="Times New Roman" w:cs="Times New Roman"/>
          <w:b/>
          <w:sz w:val="22"/>
          <w:szCs w:val="22"/>
          <w:lang w:val="lt-LT"/>
        </w:rPr>
      </w:pPr>
      <w:bookmarkStart w:id="31" w:name="page29"/>
      <w:bookmarkEnd w:id="31"/>
      <w:r w:rsidRPr="00741122">
        <w:rPr>
          <w:rFonts w:ascii="Times New Roman" w:eastAsia="Times New Roman" w:hAnsi="Times New Roman" w:cs="Times New Roman"/>
          <w:b/>
          <w:sz w:val="22"/>
          <w:szCs w:val="22"/>
          <w:lang w:val="lt-LT"/>
        </w:rPr>
        <w:t>Tabela 7</w:t>
      </w:r>
      <w:r w:rsidR="005D1030">
        <w:rPr>
          <w:rFonts w:ascii="Times New Roman" w:eastAsia="Times New Roman" w:hAnsi="Times New Roman" w:cs="Times New Roman"/>
          <w:b/>
          <w:sz w:val="22"/>
          <w:szCs w:val="22"/>
          <w:lang w:val="lt-LT"/>
        </w:rPr>
        <w:t>.</w:t>
      </w:r>
      <w:r w:rsidR="00E51B02" w:rsidRPr="00741122">
        <w:rPr>
          <w:rFonts w:ascii="Times New Roman" w:eastAsia="Times New Roman" w:hAnsi="Times New Roman" w:cs="Times New Roman"/>
          <w:b/>
          <w:sz w:val="22"/>
          <w:szCs w:val="22"/>
          <w:lang w:val="lt-LT"/>
        </w:rPr>
        <w:t xml:space="preserve"> </w:t>
      </w:r>
      <w:r w:rsidR="00071CFE" w:rsidRPr="00741122">
        <w:rPr>
          <w:rFonts w:ascii="Times New Roman" w:eastAsia="Times New Roman" w:hAnsi="Times New Roman" w:cs="Times New Roman"/>
          <w:b/>
          <w:sz w:val="22"/>
          <w:szCs w:val="22"/>
          <w:lang w:val="lt-LT"/>
        </w:rPr>
        <w:t>Wartości głównych parametrów skuteczności dla analizy przewagi leku (populacja ITT, badanie NO16966)</w:t>
      </w:r>
    </w:p>
    <w:p w14:paraId="5C4409F3" w14:textId="77777777" w:rsidR="0055761A" w:rsidRPr="00741122" w:rsidRDefault="0055761A" w:rsidP="007C0024">
      <w:pPr>
        <w:tabs>
          <w:tab w:val="left" w:pos="0"/>
          <w:tab w:val="left" w:pos="993"/>
        </w:tabs>
        <w:rPr>
          <w:rFonts w:ascii="Times New Roman" w:eastAsia="Times New Roman" w:hAnsi="Times New Roman" w:cs="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90"/>
        <w:gridCol w:w="1804"/>
        <w:gridCol w:w="1669"/>
        <w:gridCol w:w="1399"/>
      </w:tblGrid>
      <w:tr w:rsidR="004968B1" w:rsidRPr="00A72DB0" w14:paraId="3779D055" w14:textId="77777777" w:rsidTr="00F533B1">
        <w:trPr>
          <w:trHeight w:val="300"/>
          <w:tblHeader/>
        </w:trPr>
        <w:tc>
          <w:tcPr>
            <w:tcW w:w="1812" w:type="pct"/>
            <w:noWrap/>
          </w:tcPr>
          <w:p w14:paraId="393EA511" w14:textId="77777777" w:rsidR="004968B1" w:rsidRPr="0023471C" w:rsidRDefault="008854CA" w:rsidP="007C0024">
            <w:pPr>
              <w:pStyle w:val="Default"/>
              <w:rPr>
                <w:b/>
                <w:sz w:val="22"/>
                <w:szCs w:val="22"/>
                <w:lang w:val="lt-LT"/>
              </w:rPr>
            </w:pPr>
            <w:r w:rsidRPr="0023471C">
              <w:rPr>
                <w:b/>
                <w:sz w:val="22"/>
                <w:szCs w:val="22"/>
                <w:lang w:val="lt-LT"/>
              </w:rPr>
              <w:t>Punkt końcowy (miesiące)</w:t>
            </w:r>
          </w:p>
        </w:tc>
        <w:tc>
          <w:tcPr>
            <w:tcW w:w="1159" w:type="pct"/>
            <w:noWrap/>
            <w:hideMark/>
          </w:tcPr>
          <w:p w14:paraId="334F4555" w14:textId="77777777" w:rsidR="00A72DB0" w:rsidRPr="0023471C" w:rsidRDefault="00A72DB0" w:rsidP="007C0024">
            <w:pPr>
              <w:pStyle w:val="Default"/>
              <w:jc w:val="center"/>
              <w:rPr>
                <w:b/>
                <w:sz w:val="22"/>
                <w:szCs w:val="22"/>
                <w:lang w:val="lt-LT"/>
              </w:rPr>
            </w:pPr>
            <w:r w:rsidRPr="0023471C">
              <w:rPr>
                <w:b/>
                <w:sz w:val="22"/>
                <w:szCs w:val="22"/>
                <w:lang w:val="lt-LT"/>
              </w:rPr>
              <w:t>FOLFOX-4</w:t>
            </w:r>
          </w:p>
          <w:p w14:paraId="0323A4A6" w14:textId="77777777" w:rsidR="00707D69" w:rsidRPr="0023471C" w:rsidRDefault="004968B1" w:rsidP="007C0024">
            <w:pPr>
              <w:pStyle w:val="Default"/>
              <w:jc w:val="center"/>
              <w:rPr>
                <w:b/>
                <w:sz w:val="22"/>
                <w:szCs w:val="22"/>
                <w:lang w:val="lt-LT"/>
              </w:rPr>
            </w:pPr>
            <w:r w:rsidRPr="0023471C">
              <w:rPr>
                <w:b/>
                <w:sz w:val="22"/>
                <w:szCs w:val="22"/>
                <w:lang w:val="lt-LT"/>
              </w:rPr>
              <w:t xml:space="preserve">lub XELOX </w:t>
            </w:r>
          </w:p>
          <w:p w14:paraId="097034D2" w14:textId="77777777" w:rsidR="00707D69" w:rsidRPr="0023471C" w:rsidRDefault="00707D69" w:rsidP="007C0024">
            <w:pPr>
              <w:pStyle w:val="Default"/>
              <w:jc w:val="center"/>
              <w:rPr>
                <w:b/>
                <w:sz w:val="22"/>
                <w:szCs w:val="22"/>
                <w:lang w:val="lt-LT"/>
              </w:rPr>
            </w:pPr>
            <w:r w:rsidRPr="0023471C">
              <w:rPr>
                <w:b/>
                <w:sz w:val="22"/>
                <w:szCs w:val="22"/>
                <w:lang w:val="lt-LT"/>
              </w:rPr>
              <w:t>+ placebo</w:t>
            </w:r>
          </w:p>
          <w:p w14:paraId="30A71ED4" w14:textId="77777777" w:rsidR="004968B1" w:rsidRPr="00A72DB0" w:rsidRDefault="004968B1" w:rsidP="007C0024">
            <w:pPr>
              <w:pStyle w:val="Default"/>
              <w:jc w:val="center"/>
              <w:rPr>
                <w:sz w:val="22"/>
                <w:szCs w:val="22"/>
                <w:lang w:val="lt-LT"/>
              </w:rPr>
            </w:pPr>
            <w:r w:rsidRPr="0023471C">
              <w:rPr>
                <w:b/>
                <w:sz w:val="22"/>
                <w:szCs w:val="22"/>
                <w:lang w:val="lt-LT"/>
              </w:rPr>
              <w:t>(n = 701)</w:t>
            </w:r>
          </w:p>
        </w:tc>
        <w:tc>
          <w:tcPr>
            <w:tcW w:w="1087" w:type="pct"/>
            <w:noWrap/>
            <w:hideMark/>
          </w:tcPr>
          <w:p w14:paraId="165680E0" w14:textId="77777777" w:rsidR="00707D69" w:rsidRPr="0023471C" w:rsidRDefault="00707D69" w:rsidP="007C0024">
            <w:pPr>
              <w:pStyle w:val="Default"/>
              <w:jc w:val="center"/>
              <w:rPr>
                <w:b/>
                <w:sz w:val="22"/>
                <w:szCs w:val="22"/>
                <w:lang w:val="lt-LT"/>
              </w:rPr>
            </w:pPr>
            <w:r w:rsidRPr="0023471C">
              <w:rPr>
                <w:b/>
                <w:sz w:val="22"/>
                <w:szCs w:val="22"/>
                <w:lang w:val="lt-LT"/>
              </w:rPr>
              <w:t>FOLFOX-4</w:t>
            </w:r>
          </w:p>
          <w:p w14:paraId="0F9AE21D" w14:textId="77777777" w:rsidR="00707D69" w:rsidRPr="0023471C" w:rsidRDefault="004968B1" w:rsidP="007C0024">
            <w:pPr>
              <w:pStyle w:val="Default"/>
              <w:jc w:val="center"/>
              <w:rPr>
                <w:b/>
                <w:sz w:val="22"/>
                <w:szCs w:val="22"/>
                <w:lang w:val="lt-LT"/>
              </w:rPr>
            </w:pPr>
            <w:r w:rsidRPr="0023471C">
              <w:rPr>
                <w:b/>
                <w:sz w:val="22"/>
                <w:szCs w:val="22"/>
                <w:lang w:val="lt-LT"/>
              </w:rPr>
              <w:t xml:space="preserve">lub XELOX+ </w:t>
            </w:r>
          </w:p>
          <w:p w14:paraId="43E12E5E" w14:textId="77777777" w:rsidR="004968B1" w:rsidRPr="0023471C" w:rsidRDefault="004968B1" w:rsidP="007C0024">
            <w:pPr>
              <w:pStyle w:val="Default"/>
              <w:jc w:val="center"/>
              <w:rPr>
                <w:b/>
                <w:sz w:val="22"/>
                <w:szCs w:val="22"/>
                <w:lang w:val="lt-LT"/>
              </w:rPr>
            </w:pPr>
            <w:r w:rsidRPr="0023471C">
              <w:rPr>
                <w:b/>
                <w:sz w:val="22"/>
                <w:szCs w:val="22"/>
                <w:lang w:val="lt-LT"/>
              </w:rPr>
              <w:t>bewacyzumab</w:t>
            </w:r>
          </w:p>
          <w:p w14:paraId="30BC9458" w14:textId="77777777" w:rsidR="004968B1" w:rsidRPr="0023471C" w:rsidRDefault="004968B1" w:rsidP="007C0024">
            <w:pPr>
              <w:jc w:val="center"/>
              <w:rPr>
                <w:rFonts w:ascii="Times New Roman" w:hAnsi="Times New Roman" w:cs="Times New Roman"/>
                <w:b/>
                <w:color w:val="000000"/>
                <w:sz w:val="22"/>
                <w:szCs w:val="22"/>
                <w:lang w:val="lt-LT"/>
              </w:rPr>
            </w:pPr>
            <w:r w:rsidRPr="0023471C">
              <w:rPr>
                <w:rFonts w:ascii="Times New Roman" w:hAnsi="Times New Roman" w:cs="Times New Roman"/>
                <w:b/>
                <w:sz w:val="22"/>
                <w:szCs w:val="22"/>
                <w:lang w:val="lt-LT"/>
              </w:rPr>
              <w:t>(n = 699)</w:t>
            </w:r>
          </w:p>
        </w:tc>
        <w:tc>
          <w:tcPr>
            <w:tcW w:w="942" w:type="pct"/>
            <w:noWrap/>
            <w:hideMark/>
          </w:tcPr>
          <w:p w14:paraId="4D93BB00" w14:textId="77777777" w:rsidR="004968B1" w:rsidRPr="0023471C" w:rsidRDefault="004968B1" w:rsidP="007C0024">
            <w:pPr>
              <w:pStyle w:val="Default"/>
              <w:jc w:val="center"/>
              <w:rPr>
                <w:b/>
                <w:sz w:val="22"/>
                <w:szCs w:val="22"/>
                <w:lang w:val="lt-LT"/>
              </w:rPr>
            </w:pPr>
            <w:r w:rsidRPr="0023471C">
              <w:rPr>
                <w:b/>
                <w:sz w:val="22"/>
                <w:szCs w:val="22"/>
                <w:lang w:val="lt-LT"/>
              </w:rPr>
              <w:t>Wartość p</w:t>
            </w:r>
          </w:p>
        </w:tc>
      </w:tr>
      <w:tr w:rsidR="004968B1" w:rsidRPr="00A72DB0" w14:paraId="6CA455BF" w14:textId="77777777" w:rsidTr="00F533B1">
        <w:trPr>
          <w:trHeight w:val="421"/>
        </w:trPr>
        <w:tc>
          <w:tcPr>
            <w:tcW w:w="5000" w:type="pct"/>
            <w:gridSpan w:val="4"/>
            <w:noWrap/>
            <w:vAlign w:val="center"/>
            <w:hideMark/>
          </w:tcPr>
          <w:p w14:paraId="573A24D8" w14:textId="77777777" w:rsidR="004968B1" w:rsidRPr="00A72DB0" w:rsidRDefault="004968B1" w:rsidP="007C0024">
            <w:pPr>
              <w:pStyle w:val="Default"/>
              <w:ind w:left="57"/>
              <w:rPr>
                <w:sz w:val="22"/>
                <w:szCs w:val="22"/>
                <w:lang w:val="lt-LT"/>
              </w:rPr>
            </w:pPr>
            <w:r w:rsidRPr="00A72DB0">
              <w:rPr>
                <w:sz w:val="22"/>
                <w:szCs w:val="22"/>
                <w:lang w:val="lt-LT"/>
              </w:rPr>
              <w:t>Pierwszorzędowy punkt końcowy</w:t>
            </w:r>
          </w:p>
        </w:tc>
      </w:tr>
      <w:tr w:rsidR="004968B1" w:rsidRPr="00A72DB0" w14:paraId="16CDF63F" w14:textId="77777777" w:rsidTr="00F533B1">
        <w:trPr>
          <w:trHeight w:val="291"/>
        </w:trPr>
        <w:tc>
          <w:tcPr>
            <w:tcW w:w="1812" w:type="pct"/>
            <w:noWrap/>
            <w:vAlign w:val="center"/>
            <w:hideMark/>
          </w:tcPr>
          <w:p w14:paraId="777A7413" w14:textId="77777777" w:rsidR="004968B1" w:rsidRPr="00A72DB0" w:rsidRDefault="004968B1" w:rsidP="007C0024">
            <w:pPr>
              <w:tabs>
                <w:tab w:val="left" w:pos="567"/>
              </w:tabs>
              <w:ind w:left="567"/>
              <w:rPr>
                <w:rFonts w:ascii="Times New Roman" w:hAnsi="Times New Roman" w:cs="Times New Roman"/>
                <w:sz w:val="22"/>
                <w:szCs w:val="22"/>
                <w:lang w:val="lt-LT"/>
              </w:rPr>
            </w:pPr>
            <w:r w:rsidRPr="00A72DB0">
              <w:rPr>
                <w:rFonts w:ascii="Times New Roman" w:hAnsi="Times New Roman" w:cs="Times New Roman"/>
                <w:sz w:val="22"/>
                <w:szCs w:val="22"/>
                <w:lang w:val="lt-LT"/>
              </w:rPr>
              <w:t>Mediana PFS**</w:t>
            </w:r>
          </w:p>
        </w:tc>
        <w:tc>
          <w:tcPr>
            <w:tcW w:w="1159" w:type="pct"/>
            <w:noWrap/>
            <w:vAlign w:val="center"/>
            <w:hideMark/>
          </w:tcPr>
          <w:p w14:paraId="2FC3E820" w14:textId="77777777" w:rsidR="004968B1" w:rsidRPr="00A72DB0" w:rsidRDefault="004968B1" w:rsidP="007C0024">
            <w:pPr>
              <w:pStyle w:val="Default"/>
              <w:jc w:val="center"/>
              <w:rPr>
                <w:sz w:val="22"/>
                <w:szCs w:val="22"/>
                <w:lang w:val="lt-LT"/>
              </w:rPr>
            </w:pPr>
            <w:r w:rsidRPr="00A72DB0">
              <w:rPr>
                <w:sz w:val="22"/>
                <w:szCs w:val="22"/>
                <w:lang w:val="lt-LT"/>
              </w:rPr>
              <w:t>8,0</w:t>
            </w:r>
          </w:p>
        </w:tc>
        <w:tc>
          <w:tcPr>
            <w:tcW w:w="1087" w:type="pct"/>
            <w:noWrap/>
            <w:vAlign w:val="center"/>
            <w:hideMark/>
          </w:tcPr>
          <w:p w14:paraId="09ACEAC5" w14:textId="77777777" w:rsidR="004968B1" w:rsidRPr="00A72DB0" w:rsidRDefault="004968B1" w:rsidP="007C0024">
            <w:pPr>
              <w:pStyle w:val="Default"/>
              <w:jc w:val="center"/>
              <w:rPr>
                <w:sz w:val="22"/>
                <w:szCs w:val="22"/>
                <w:lang w:val="lt-LT"/>
              </w:rPr>
            </w:pPr>
            <w:r w:rsidRPr="00A72DB0">
              <w:rPr>
                <w:sz w:val="22"/>
                <w:szCs w:val="22"/>
                <w:lang w:val="lt-LT"/>
              </w:rPr>
              <w:t>9,4</w:t>
            </w:r>
          </w:p>
        </w:tc>
        <w:tc>
          <w:tcPr>
            <w:tcW w:w="942" w:type="pct"/>
            <w:noWrap/>
            <w:vAlign w:val="center"/>
            <w:hideMark/>
          </w:tcPr>
          <w:p w14:paraId="49B7448F" w14:textId="77777777" w:rsidR="004968B1" w:rsidRPr="00A72DB0" w:rsidRDefault="004968B1" w:rsidP="007C0024">
            <w:pPr>
              <w:pStyle w:val="Default"/>
              <w:jc w:val="center"/>
              <w:rPr>
                <w:sz w:val="22"/>
                <w:szCs w:val="22"/>
                <w:lang w:val="lt-LT"/>
              </w:rPr>
            </w:pPr>
            <w:r w:rsidRPr="00A72DB0">
              <w:rPr>
                <w:sz w:val="22"/>
                <w:szCs w:val="22"/>
                <w:lang w:val="lt-LT"/>
              </w:rPr>
              <w:t>0,0023</w:t>
            </w:r>
          </w:p>
        </w:tc>
      </w:tr>
      <w:tr w:rsidR="004968B1" w:rsidRPr="00A72DB0" w14:paraId="0291C32E" w14:textId="77777777" w:rsidTr="00F533B1">
        <w:trPr>
          <w:trHeight w:val="419"/>
        </w:trPr>
        <w:tc>
          <w:tcPr>
            <w:tcW w:w="1812" w:type="pct"/>
            <w:noWrap/>
            <w:vAlign w:val="center"/>
            <w:hideMark/>
          </w:tcPr>
          <w:p w14:paraId="766C8F9F" w14:textId="77777777" w:rsidR="004968B1" w:rsidRPr="00A72DB0" w:rsidRDefault="004968B1" w:rsidP="007C0024">
            <w:pPr>
              <w:tabs>
                <w:tab w:val="left" w:pos="567"/>
              </w:tabs>
              <w:ind w:left="567"/>
              <w:rPr>
                <w:rFonts w:ascii="Times New Roman" w:hAnsi="Times New Roman" w:cs="Times New Roman"/>
                <w:sz w:val="22"/>
                <w:szCs w:val="22"/>
                <w:lang w:val="lt-LT"/>
              </w:rPr>
            </w:pPr>
            <w:r w:rsidRPr="00A72DB0">
              <w:rPr>
                <w:rFonts w:ascii="Times New Roman" w:hAnsi="Times New Roman" w:cs="Times New Roman"/>
                <w:sz w:val="22"/>
                <w:szCs w:val="22"/>
                <w:lang w:val="lt-LT"/>
              </w:rPr>
              <w:t>Współczynnik ryzyka (97,5% CI)</w:t>
            </w:r>
            <w:r w:rsidRPr="00A72DB0">
              <w:rPr>
                <w:rFonts w:ascii="Times New Roman" w:hAnsi="Times New Roman" w:cs="Times New Roman"/>
                <w:sz w:val="22"/>
                <w:szCs w:val="22"/>
                <w:vertAlign w:val="superscript"/>
                <w:lang w:val="lt-LT"/>
              </w:rPr>
              <w:t>a</w:t>
            </w:r>
          </w:p>
        </w:tc>
        <w:tc>
          <w:tcPr>
            <w:tcW w:w="2246" w:type="pct"/>
            <w:gridSpan w:val="2"/>
            <w:noWrap/>
            <w:vAlign w:val="center"/>
            <w:hideMark/>
          </w:tcPr>
          <w:p w14:paraId="3DCEC491" w14:textId="77777777" w:rsidR="004968B1" w:rsidRPr="00A72DB0" w:rsidRDefault="004968B1" w:rsidP="002F4083">
            <w:pPr>
              <w:pStyle w:val="Default"/>
              <w:jc w:val="center"/>
              <w:rPr>
                <w:sz w:val="22"/>
                <w:szCs w:val="22"/>
                <w:lang w:val="lt-LT"/>
              </w:rPr>
            </w:pPr>
            <w:r w:rsidRPr="00A72DB0">
              <w:rPr>
                <w:sz w:val="22"/>
                <w:szCs w:val="22"/>
                <w:lang w:val="lt-LT"/>
              </w:rPr>
              <w:t>0,83 (0,72–0,95)</w:t>
            </w:r>
          </w:p>
        </w:tc>
        <w:tc>
          <w:tcPr>
            <w:tcW w:w="942" w:type="pct"/>
            <w:noWrap/>
            <w:vAlign w:val="center"/>
            <w:hideMark/>
          </w:tcPr>
          <w:p w14:paraId="4057C79E" w14:textId="77777777" w:rsidR="004968B1" w:rsidRPr="00A72DB0" w:rsidRDefault="004968B1" w:rsidP="007C0024">
            <w:pPr>
              <w:jc w:val="center"/>
              <w:rPr>
                <w:rFonts w:ascii="Times New Roman" w:hAnsi="Times New Roman" w:cs="Times New Roman"/>
                <w:color w:val="000000"/>
                <w:sz w:val="22"/>
                <w:szCs w:val="22"/>
                <w:lang w:val="lt-LT"/>
              </w:rPr>
            </w:pPr>
          </w:p>
        </w:tc>
      </w:tr>
      <w:tr w:rsidR="004968B1" w:rsidRPr="00A72DB0" w14:paraId="79C383BF" w14:textId="77777777" w:rsidTr="00F533B1">
        <w:trPr>
          <w:trHeight w:val="411"/>
        </w:trPr>
        <w:tc>
          <w:tcPr>
            <w:tcW w:w="5000" w:type="pct"/>
            <w:gridSpan w:val="4"/>
            <w:noWrap/>
            <w:vAlign w:val="center"/>
            <w:hideMark/>
          </w:tcPr>
          <w:p w14:paraId="2CF979D4" w14:textId="77777777" w:rsidR="004968B1" w:rsidRPr="00A72DB0" w:rsidRDefault="004968B1" w:rsidP="00254E67">
            <w:pPr>
              <w:pStyle w:val="Default"/>
              <w:keepNext/>
              <w:ind w:left="57"/>
              <w:rPr>
                <w:sz w:val="22"/>
                <w:szCs w:val="22"/>
                <w:lang w:val="lt-LT"/>
              </w:rPr>
            </w:pPr>
            <w:r w:rsidRPr="00A72DB0">
              <w:rPr>
                <w:sz w:val="22"/>
                <w:szCs w:val="22"/>
                <w:lang w:val="lt-LT"/>
              </w:rPr>
              <w:lastRenderedPageBreak/>
              <w:t>Drugorzędowe punkty końcowe</w:t>
            </w:r>
          </w:p>
        </w:tc>
      </w:tr>
      <w:tr w:rsidR="004968B1" w:rsidRPr="00A72DB0" w14:paraId="7D73608D" w14:textId="77777777" w:rsidTr="00F533B1">
        <w:trPr>
          <w:trHeight w:val="417"/>
        </w:trPr>
        <w:tc>
          <w:tcPr>
            <w:tcW w:w="1812" w:type="pct"/>
            <w:noWrap/>
            <w:hideMark/>
          </w:tcPr>
          <w:p w14:paraId="5CA21D09" w14:textId="77777777" w:rsidR="004968B1" w:rsidRPr="00A72DB0" w:rsidRDefault="004968B1" w:rsidP="00707D69">
            <w:pPr>
              <w:keepNext/>
              <w:tabs>
                <w:tab w:val="left" w:pos="567"/>
              </w:tabs>
              <w:ind w:left="567"/>
              <w:rPr>
                <w:rFonts w:ascii="Times New Roman" w:hAnsi="Times New Roman" w:cs="Times New Roman"/>
                <w:sz w:val="22"/>
                <w:szCs w:val="22"/>
                <w:lang w:val="lt-LT"/>
              </w:rPr>
            </w:pPr>
            <w:r w:rsidRPr="00A72DB0">
              <w:rPr>
                <w:rFonts w:ascii="Times New Roman" w:hAnsi="Times New Roman" w:cs="Times New Roman"/>
                <w:sz w:val="22"/>
                <w:szCs w:val="22"/>
                <w:lang w:val="lt-LT"/>
              </w:rPr>
              <w:t>Mediana PFS (w trakcie leczenia)**</w:t>
            </w:r>
          </w:p>
        </w:tc>
        <w:tc>
          <w:tcPr>
            <w:tcW w:w="1159" w:type="pct"/>
            <w:noWrap/>
            <w:vAlign w:val="center"/>
            <w:hideMark/>
          </w:tcPr>
          <w:p w14:paraId="5240DCC7" w14:textId="77777777" w:rsidR="004968B1" w:rsidRPr="00A72DB0" w:rsidRDefault="004968B1" w:rsidP="00254E67">
            <w:pPr>
              <w:pStyle w:val="Default"/>
              <w:jc w:val="center"/>
              <w:rPr>
                <w:sz w:val="22"/>
                <w:szCs w:val="22"/>
                <w:lang w:val="lt-LT"/>
              </w:rPr>
            </w:pPr>
            <w:r w:rsidRPr="00A72DB0">
              <w:rPr>
                <w:sz w:val="22"/>
                <w:szCs w:val="22"/>
                <w:lang w:val="lt-LT"/>
              </w:rPr>
              <w:t>7,9</w:t>
            </w:r>
          </w:p>
        </w:tc>
        <w:tc>
          <w:tcPr>
            <w:tcW w:w="1087" w:type="pct"/>
            <w:noWrap/>
            <w:vAlign w:val="center"/>
            <w:hideMark/>
          </w:tcPr>
          <w:p w14:paraId="1D629776" w14:textId="77777777" w:rsidR="004968B1" w:rsidRPr="00A72DB0" w:rsidRDefault="004968B1" w:rsidP="00254E67">
            <w:pPr>
              <w:pStyle w:val="Default"/>
              <w:jc w:val="center"/>
              <w:rPr>
                <w:sz w:val="22"/>
                <w:szCs w:val="22"/>
                <w:lang w:val="lt-LT"/>
              </w:rPr>
            </w:pPr>
            <w:r w:rsidRPr="00A72DB0">
              <w:rPr>
                <w:sz w:val="22"/>
                <w:szCs w:val="22"/>
                <w:lang w:val="lt-LT"/>
              </w:rPr>
              <w:t>10,4</w:t>
            </w:r>
          </w:p>
        </w:tc>
        <w:tc>
          <w:tcPr>
            <w:tcW w:w="942" w:type="pct"/>
            <w:noWrap/>
            <w:vAlign w:val="center"/>
            <w:hideMark/>
          </w:tcPr>
          <w:p w14:paraId="6A59432F" w14:textId="77777777" w:rsidR="004968B1" w:rsidRPr="00A72DB0" w:rsidRDefault="004968B1" w:rsidP="009042ED">
            <w:pPr>
              <w:pStyle w:val="Default"/>
              <w:jc w:val="center"/>
              <w:rPr>
                <w:sz w:val="22"/>
                <w:szCs w:val="22"/>
                <w:lang w:val="lt-LT"/>
              </w:rPr>
            </w:pPr>
            <w:r w:rsidRPr="00A72DB0">
              <w:rPr>
                <w:sz w:val="22"/>
                <w:szCs w:val="22"/>
                <w:lang w:val="lt-LT"/>
              </w:rPr>
              <w:t>&lt;</w:t>
            </w:r>
            <w:r w:rsidR="009042ED">
              <w:rPr>
                <w:sz w:val="22"/>
                <w:szCs w:val="22"/>
                <w:lang w:val="lt-LT"/>
              </w:rPr>
              <w:t> </w:t>
            </w:r>
            <w:r w:rsidRPr="00A72DB0">
              <w:rPr>
                <w:sz w:val="22"/>
                <w:szCs w:val="22"/>
                <w:lang w:val="lt-LT"/>
              </w:rPr>
              <w:t>0,0001</w:t>
            </w:r>
          </w:p>
        </w:tc>
      </w:tr>
      <w:tr w:rsidR="004968B1" w:rsidRPr="00A72DB0" w14:paraId="62452C11" w14:textId="77777777" w:rsidTr="00F533B1">
        <w:trPr>
          <w:trHeight w:val="424"/>
        </w:trPr>
        <w:tc>
          <w:tcPr>
            <w:tcW w:w="1812" w:type="pct"/>
            <w:noWrap/>
            <w:hideMark/>
          </w:tcPr>
          <w:p w14:paraId="4E4BF270" w14:textId="77777777" w:rsidR="004968B1" w:rsidRPr="00A72DB0" w:rsidRDefault="004968B1" w:rsidP="00707D69">
            <w:pPr>
              <w:keepNext/>
              <w:tabs>
                <w:tab w:val="left" w:pos="567"/>
              </w:tabs>
              <w:ind w:left="567"/>
              <w:rPr>
                <w:rFonts w:ascii="Times New Roman" w:hAnsi="Times New Roman" w:cs="Times New Roman"/>
                <w:sz w:val="22"/>
                <w:szCs w:val="22"/>
                <w:lang w:val="lt-LT"/>
              </w:rPr>
            </w:pPr>
            <w:r w:rsidRPr="00A72DB0">
              <w:rPr>
                <w:rFonts w:ascii="Times New Roman" w:hAnsi="Times New Roman" w:cs="Times New Roman"/>
                <w:sz w:val="22"/>
                <w:szCs w:val="22"/>
                <w:lang w:val="lt-LT"/>
              </w:rPr>
              <w:t>Współczynnik ryzyka (97,5% CI)</w:t>
            </w:r>
          </w:p>
        </w:tc>
        <w:tc>
          <w:tcPr>
            <w:tcW w:w="2246" w:type="pct"/>
            <w:gridSpan w:val="2"/>
            <w:noWrap/>
            <w:vAlign w:val="center"/>
            <w:hideMark/>
          </w:tcPr>
          <w:p w14:paraId="52A09E35" w14:textId="77777777" w:rsidR="004968B1" w:rsidRPr="00A72DB0" w:rsidRDefault="004968B1" w:rsidP="00254E67">
            <w:pPr>
              <w:pStyle w:val="Default"/>
              <w:jc w:val="center"/>
              <w:rPr>
                <w:sz w:val="22"/>
                <w:szCs w:val="22"/>
                <w:lang w:val="lt-LT"/>
              </w:rPr>
            </w:pPr>
            <w:r w:rsidRPr="00A72DB0">
              <w:rPr>
                <w:sz w:val="22"/>
                <w:szCs w:val="22"/>
                <w:lang w:val="lt-LT"/>
              </w:rPr>
              <w:t>0,63 (0,52-0,75)</w:t>
            </w:r>
          </w:p>
        </w:tc>
        <w:tc>
          <w:tcPr>
            <w:tcW w:w="942" w:type="pct"/>
          </w:tcPr>
          <w:p w14:paraId="76E24A31" w14:textId="77777777" w:rsidR="004968B1" w:rsidRPr="00A72DB0" w:rsidRDefault="004968B1" w:rsidP="0055761A">
            <w:pPr>
              <w:keepNext/>
              <w:jc w:val="center"/>
              <w:rPr>
                <w:rFonts w:ascii="Times New Roman" w:hAnsi="Times New Roman" w:cs="Times New Roman"/>
                <w:color w:val="000000"/>
                <w:sz w:val="22"/>
                <w:szCs w:val="22"/>
                <w:lang w:val="lt-LT"/>
              </w:rPr>
            </w:pPr>
          </w:p>
        </w:tc>
      </w:tr>
      <w:tr w:rsidR="004968B1" w:rsidRPr="00A72DB0" w14:paraId="480D9EB4" w14:textId="77777777" w:rsidTr="00F533B1">
        <w:trPr>
          <w:trHeight w:val="422"/>
        </w:trPr>
        <w:tc>
          <w:tcPr>
            <w:tcW w:w="1812" w:type="pct"/>
            <w:noWrap/>
            <w:hideMark/>
          </w:tcPr>
          <w:p w14:paraId="12B8622B" w14:textId="77777777" w:rsidR="004968B1" w:rsidRPr="00A72DB0" w:rsidRDefault="004968B1" w:rsidP="00FB0DB0">
            <w:pPr>
              <w:pStyle w:val="Default"/>
              <w:keepNext/>
              <w:ind w:left="57"/>
              <w:rPr>
                <w:sz w:val="22"/>
                <w:szCs w:val="22"/>
                <w:lang w:val="lt-LT"/>
              </w:rPr>
            </w:pPr>
            <w:r w:rsidRPr="00A72DB0">
              <w:rPr>
                <w:sz w:val="22"/>
                <w:szCs w:val="22"/>
                <w:lang w:val="lt-LT"/>
              </w:rPr>
              <w:t>Całkowity odsetek odpowiedzi (ocena badacza)**</w:t>
            </w:r>
          </w:p>
        </w:tc>
        <w:tc>
          <w:tcPr>
            <w:tcW w:w="1159" w:type="pct"/>
            <w:noWrap/>
            <w:vAlign w:val="center"/>
            <w:hideMark/>
          </w:tcPr>
          <w:p w14:paraId="469AC4DE" w14:textId="77777777" w:rsidR="004968B1" w:rsidRPr="00A72DB0" w:rsidRDefault="004968B1" w:rsidP="00254E67">
            <w:pPr>
              <w:pStyle w:val="Default"/>
              <w:jc w:val="center"/>
              <w:rPr>
                <w:sz w:val="22"/>
                <w:szCs w:val="22"/>
                <w:lang w:val="lt-LT"/>
              </w:rPr>
            </w:pPr>
            <w:r w:rsidRPr="00A72DB0">
              <w:rPr>
                <w:sz w:val="22"/>
                <w:szCs w:val="22"/>
                <w:lang w:val="lt-LT"/>
              </w:rPr>
              <w:t>49,2%</w:t>
            </w:r>
          </w:p>
        </w:tc>
        <w:tc>
          <w:tcPr>
            <w:tcW w:w="1087" w:type="pct"/>
            <w:noWrap/>
            <w:vAlign w:val="center"/>
            <w:hideMark/>
          </w:tcPr>
          <w:p w14:paraId="3A7F49CC" w14:textId="77777777" w:rsidR="004968B1" w:rsidRPr="00A72DB0" w:rsidRDefault="004968B1" w:rsidP="00254E67">
            <w:pPr>
              <w:pStyle w:val="Default"/>
              <w:jc w:val="center"/>
              <w:rPr>
                <w:sz w:val="22"/>
                <w:szCs w:val="22"/>
                <w:lang w:val="lt-LT"/>
              </w:rPr>
            </w:pPr>
            <w:r w:rsidRPr="00A72DB0">
              <w:rPr>
                <w:sz w:val="22"/>
                <w:szCs w:val="22"/>
                <w:lang w:val="lt-LT"/>
              </w:rPr>
              <w:t>46,5%</w:t>
            </w:r>
          </w:p>
        </w:tc>
        <w:tc>
          <w:tcPr>
            <w:tcW w:w="942" w:type="pct"/>
            <w:noWrap/>
            <w:vAlign w:val="center"/>
            <w:hideMark/>
          </w:tcPr>
          <w:p w14:paraId="403EE616" w14:textId="77777777" w:rsidR="004968B1" w:rsidRPr="00A72DB0" w:rsidRDefault="004968B1" w:rsidP="00254E67">
            <w:pPr>
              <w:keepNext/>
              <w:jc w:val="center"/>
              <w:rPr>
                <w:rFonts w:ascii="Times New Roman" w:hAnsi="Times New Roman" w:cs="Times New Roman"/>
                <w:color w:val="000000"/>
                <w:sz w:val="22"/>
                <w:szCs w:val="22"/>
                <w:lang w:val="lt-LT"/>
              </w:rPr>
            </w:pPr>
          </w:p>
        </w:tc>
      </w:tr>
      <w:tr w:rsidR="004968B1" w:rsidRPr="00A72DB0" w14:paraId="313C2995" w14:textId="77777777" w:rsidTr="00F533B1">
        <w:trPr>
          <w:trHeight w:val="425"/>
        </w:trPr>
        <w:tc>
          <w:tcPr>
            <w:tcW w:w="1812" w:type="pct"/>
            <w:noWrap/>
            <w:hideMark/>
          </w:tcPr>
          <w:p w14:paraId="4D8E2885" w14:textId="77777777" w:rsidR="004968B1" w:rsidRPr="00A72DB0" w:rsidRDefault="004968B1" w:rsidP="00707D69">
            <w:pPr>
              <w:keepNext/>
              <w:tabs>
                <w:tab w:val="left" w:pos="567"/>
              </w:tabs>
              <w:ind w:left="567"/>
              <w:rPr>
                <w:rFonts w:ascii="Times New Roman" w:hAnsi="Times New Roman" w:cs="Times New Roman"/>
                <w:sz w:val="22"/>
                <w:szCs w:val="22"/>
                <w:lang w:val="lt-LT"/>
              </w:rPr>
            </w:pPr>
            <w:r w:rsidRPr="00A72DB0">
              <w:rPr>
                <w:rFonts w:ascii="Times New Roman" w:hAnsi="Times New Roman" w:cs="Times New Roman"/>
                <w:sz w:val="22"/>
                <w:szCs w:val="22"/>
                <w:lang w:val="lt-LT"/>
              </w:rPr>
              <w:t>Mediana całkowitego przeżycia*</w:t>
            </w:r>
          </w:p>
        </w:tc>
        <w:tc>
          <w:tcPr>
            <w:tcW w:w="1159" w:type="pct"/>
            <w:noWrap/>
            <w:vAlign w:val="center"/>
            <w:hideMark/>
          </w:tcPr>
          <w:p w14:paraId="61B55AF2" w14:textId="77777777" w:rsidR="004968B1" w:rsidRPr="00A72DB0" w:rsidRDefault="004968B1" w:rsidP="00254E67">
            <w:pPr>
              <w:pStyle w:val="Default"/>
              <w:jc w:val="center"/>
              <w:rPr>
                <w:sz w:val="22"/>
                <w:szCs w:val="22"/>
                <w:lang w:val="lt-LT"/>
              </w:rPr>
            </w:pPr>
            <w:r w:rsidRPr="00A72DB0">
              <w:rPr>
                <w:sz w:val="22"/>
                <w:szCs w:val="22"/>
                <w:lang w:val="lt-LT"/>
              </w:rPr>
              <w:t>19,9</w:t>
            </w:r>
          </w:p>
        </w:tc>
        <w:tc>
          <w:tcPr>
            <w:tcW w:w="1087" w:type="pct"/>
            <w:noWrap/>
            <w:vAlign w:val="center"/>
            <w:hideMark/>
          </w:tcPr>
          <w:p w14:paraId="056ECD96" w14:textId="77777777" w:rsidR="004968B1" w:rsidRPr="00A72DB0" w:rsidRDefault="004968B1" w:rsidP="00254E67">
            <w:pPr>
              <w:pStyle w:val="Default"/>
              <w:jc w:val="center"/>
              <w:rPr>
                <w:sz w:val="22"/>
                <w:szCs w:val="22"/>
                <w:lang w:val="lt-LT"/>
              </w:rPr>
            </w:pPr>
            <w:r w:rsidRPr="00A72DB0">
              <w:rPr>
                <w:sz w:val="22"/>
                <w:szCs w:val="22"/>
                <w:lang w:val="lt-LT"/>
              </w:rPr>
              <w:t>21,2</w:t>
            </w:r>
          </w:p>
        </w:tc>
        <w:tc>
          <w:tcPr>
            <w:tcW w:w="942" w:type="pct"/>
            <w:noWrap/>
            <w:vAlign w:val="center"/>
            <w:hideMark/>
          </w:tcPr>
          <w:p w14:paraId="06D1948A" w14:textId="77777777" w:rsidR="004968B1" w:rsidRPr="00A72DB0" w:rsidRDefault="004968B1" w:rsidP="00254E67">
            <w:pPr>
              <w:pStyle w:val="Default"/>
              <w:jc w:val="center"/>
              <w:rPr>
                <w:sz w:val="22"/>
                <w:szCs w:val="22"/>
                <w:lang w:val="lt-LT"/>
              </w:rPr>
            </w:pPr>
            <w:r w:rsidRPr="00A72DB0">
              <w:rPr>
                <w:sz w:val="22"/>
                <w:szCs w:val="22"/>
                <w:lang w:val="lt-LT"/>
              </w:rPr>
              <w:t>0,0769</w:t>
            </w:r>
          </w:p>
        </w:tc>
      </w:tr>
      <w:tr w:rsidR="004968B1" w:rsidRPr="00A72DB0" w14:paraId="06631D5C" w14:textId="77777777" w:rsidTr="00F533B1">
        <w:trPr>
          <w:trHeight w:val="275"/>
        </w:trPr>
        <w:tc>
          <w:tcPr>
            <w:tcW w:w="1812" w:type="pct"/>
            <w:noWrap/>
            <w:hideMark/>
          </w:tcPr>
          <w:p w14:paraId="6C13FC7D" w14:textId="77777777" w:rsidR="004968B1" w:rsidRPr="00A72DB0" w:rsidRDefault="004968B1" w:rsidP="00707D69">
            <w:pPr>
              <w:keepNext/>
              <w:tabs>
                <w:tab w:val="left" w:pos="567"/>
              </w:tabs>
              <w:ind w:left="567"/>
              <w:rPr>
                <w:rFonts w:ascii="Times New Roman" w:hAnsi="Times New Roman" w:cs="Times New Roman"/>
                <w:sz w:val="22"/>
                <w:szCs w:val="22"/>
                <w:lang w:val="lt-LT"/>
              </w:rPr>
            </w:pPr>
            <w:r w:rsidRPr="00A72DB0">
              <w:rPr>
                <w:rFonts w:ascii="Times New Roman" w:hAnsi="Times New Roman" w:cs="Times New Roman"/>
                <w:sz w:val="22"/>
                <w:szCs w:val="22"/>
                <w:lang w:val="lt-LT"/>
              </w:rPr>
              <w:t>Współczynnik ryzyka (97,5% CI)</w:t>
            </w:r>
          </w:p>
        </w:tc>
        <w:tc>
          <w:tcPr>
            <w:tcW w:w="2246" w:type="pct"/>
            <w:gridSpan w:val="2"/>
            <w:noWrap/>
            <w:vAlign w:val="center"/>
            <w:hideMark/>
          </w:tcPr>
          <w:p w14:paraId="55CA2C90" w14:textId="77777777" w:rsidR="004968B1" w:rsidRPr="00A72DB0" w:rsidRDefault="004968B1" w:rsidP="00254E67">
            <w:pPr>
              <w:pStyle w:val="Default"/>
              <w:jc w:val="center"/>
              <w:rPr>
                <w:sz w:val="22"/>
                <w:szCs w:val="22"/>
                <w:lang w:val="lt-LT"/>
              </w:rPr>
            </w:pPr>
            <w:r w:rsidRPr="00A72DB0">
              <w:rPr>
                <w:sz w:val="22"/>
                <w:szCs w:val="22"/>
                <w:lang w:val="lt-LT"/>
              </w:rPr>
              <w:t>0,89 (0,76-1,03)</w:t>
            </w:r>
          </w:p>
        </w:tc>
        <w:tc>
          <w:tcPr>
            <w:tcW w:w="942" w:type="pct"/>
            <w:noWrap/>
            <w:hideMark/>
          </w:tcPr>
          <w:p w14:paraId="481C728B" w14:textId="77777777" w:rsidR="004968B1" w:rsidRPr="00A72DB0" w:rsidRDefault="004968B1" w:rsidP="0055761A">
            <w:pPr>
              <w:keepNext/>
              <w:jc w:val="center"/>
              <w:rPr>
                <w:rFonts w:ascii="Times New Roman" w:hAnsi="Times New Roman" w:cs="Times New Roman"/>
                <w:color w:val="000000"/>
                <w:sz w:val="22"/>
                <w:szCs w:val="22"/>
                <w:lang w:val="lt-LT"/>
              </w:rPr>
            </w:pPr>
          </w:p>
        </w:tc>
      </w:tr>
    </w:tbl>
    <w:p w14:paraId="236A0440" w14:textId="77777777" w:rsidR="00F60025" w:rsidRPr="00741122" w:rsidRDefault="00BB541F" w:rsidP="00955BB0">
      <w:pPr>
        <w:tabs>
          <w:tab w:val="left" w:pos="567"/>
        </w:tabs>
        <w:ind w:left="567" w:hanging="567"/>
        <w:rPr>
          <w:rFonts w:ascii="Times New Roman" w:eastAsia="Times New Roman" w:hAnsi="Times New Roman"/>
          <w:lang w:val="lt-LT"/>
        </w:rPr>
      </w:pPr>
      <w:r w:rsidRPr="00741122">
        <w:rPr>
          <w:rFonts w:ascii="Times New Roman" w:eastAsia="Times New Roman" w:hAnsi="Times New Roman"/>
          <w:lang w:val="lt-LT"/>
        </w:rPr>
        <w:t>*</w:t>
      </w:r>
      <w:r w:rsidRPr="00741122">
        <w:rPr>
          <w:rFonts w:ascii="Times New Roman" w:eastAsia="Times New Roman" w:hAnsi="Times New Roman"/>
          <w:lang w:val="lt-LT"/>
        </w:rPr>
        <w:tab/>
      </w:r>
      <w:r w:rsidR="00071CFE" w:rsidRPr="00741122">
        <w:rPr>
          <w:rFonts w:ascii="Times New Roman" w:eastAsia="Times New Roman" w:hAnsi="Times New Roman"/>
          <w:lang w:val="lt-LT"/>
        </w:rPr>
        <w:t>Analiza całkowitego przeżycia, ustalana na podstawie parametrów klinicznych z dnia 31 stycznia 2007 r.</w:t>
      </w:r>
    </w:p>
    <w:p w14:paraId="3531DD13" w14:textId="77777777" w:rsidR="00F60025" w:rsidRPr="00741122" w:rsidRDefault="00BB541F" w:rsidP="00955BB0">
      <w:pPr>
        <w:tabs>
          <w:tab w:val="left" w:pos="567"/>
        </w:tabs>
        <w:ind w:left="567" w:hanging="567"/>
        <w:rPr>
          <w:rFonts w:ascii="Times New Roman" w:eastAsia="Times New Roman" w:hAnsi="Times New Roman"/>
          <w:sz w:val="22"/>
          <w:lang w:val="lt-LT"/>
        </w:rPr>
      </w:pPr>
      <w:r w:rsidRPr="00741122">
        <w:rPr>
          <w:rFonts w:ascii="Times New Roman" w:eastAsia="Times New Roman" w:hAnsi="Times New Roman"/>
          <w:lang w:val="lt-LT"/>
        </w:rPr>
        <w:t>**</w:t>
      </w:r>
      <w:r w:rsidRPr="00741122">
        <w:rPr>
          <w:rFonts w:ascii="Times New Roman" w:eastAsia="Times New Roman" w:hAnsi="Times New Roman"/>
          <w:lang w:val="lt-LT"/>
        </w:rPr>
        <w:tab/>
      </w:r>
      <w:r w:rsidR="00071CFE" w:rsidRPr="00741122">
        <w:rPr>
          <w:rFonts w:ascii="Times New Roman" w:eastAsia="Times New Roman" w:hAnsi="Times New Roman"/>
          <w:lang w:val="lt-LT"/>
        </w:rPr>
        <w:t>Analiza pierwszorazowa ustalana na podstawie parametrów klinicznych z dnia 31 stycznia 2006 r.</w:t>
      </w:r>
    </w:p>
    <w:p w14:paraId="54FAE2DD" w14:textId="77777777" w:rsidR="00071CFE" w:rsidRPr="00741122" w:rsidRDefault="00BB541F" w:rsidP="00955BB0">
      <w:pPr>
        <w:tabs>
          <w:tab w:val="left" w:pos="567"/>
        </w:tabs>
        <w:ind w:left="567" w:hanging="567"/>
        <w:rPr>
          <w:rFonts w:ascii="Times New Roman" w:eastAsia="Times New Roman" w:hAnsi="Times New Roman"/>
          <w:sz w:val="22"/>
          <w:lang w:val="lt-LT"/>
        </w:rPr>
      </w:pPr>
      <w:r w:rsidRPr="00741122">
        <w:rPr>
          <w:rFonts w:ascii="Times New Roman" w:eastAsia="Times New Roman" w:hAnsi="Times New Roman"/>
          <w:vertAlign w:val="superscript"/>
          <w:lang w:val="lt-LT"/>
        </w:rPr>
        <w:t>a</w:t>
      </w:r>
      <w:r w:rsidRPr="00741122">
        <w:rPr>
          <w:rFonts w:ascii="Times New Roman" w:eastAsia="Times New Roman" w:hAnsi="Times New Roman"/>
          <w:lang w:val="lt-LT"/>
        </w:rPr>
        <w:tab/>
      </w:r>
      <w:r w:rsidR="00071CFE" w:rsidRPr="00741122">
        <w:rPr>
          <w:rFonts w:ascii="Times New Roman" w:eastAsia="Times New Roman" w:hAnsi="Times New Roman"/>
          <w:lang w:val="lt-LT"/>
        </w:rPr>
        <w:t xml:space="preserve">w porównaniu </w:t>
      </w:r>
      <w:r w:rsidR="00E73886">
        <w:rPr>
          <w:rFonts w:ascii="Times New Roman" w:eastAsia="Times New Roman" w:hAnsi="Times New Roman"/>
          <w:lang w:val="lt-LT"/>
        </w:rPr>
        <w:t>z</w:t>
      </w:r>
      <w:r w:rsidR="00071CFE" w:rsidRPr="00741122">
        <w:rPr>
          <w:rFonts w:ascii="Times New Roman" w:eastAsia="Times New Roman" w:hAnsi="Times New Roman"/>
          <w:lang w:val="lt-LT"/>
        </w:rPr>
        <w:t xml:space="preserve"> grup</w:t>
      </w:r>
      <w:r w:rsidR="00E73886">
        <w:rPr>
          <w:rFonts w:ascii="Times New Roman" w:eastAsia="Times New Roman" w:hAnsi="Times New Roman"/>
          <w:lang w:val="lt-LT"/>
        </w:rPr>
        <w:t>ą</w:t>
      </w:r>
      <w:r w:rsidR="00071CFE" w:rsidRPr="00741122">
        <w:rPr>
          <w:rFonts w:ascii="Times New Roman" w:eastAsia="Times New Roman" w:hAnsi="Times New Roman"/>
          <w:lang w:val="lt-LT"/>
        </w:rPr>
        <w:t xml:space="preserve"> kontroln</w:t>
      </w:r>
      <w:r w:rsidR="00E73886">
        <w:rPr>
          <w:rFonts w:ascii="Times New Roman" w:eastAsia="Times New Roman" w:hAnsi="Times New Roman"/>
          <w:lang w:val="lt-LT"/>
        </w:rPr>
        <w:t>ą</w:t>
      </w:r>
    </w:p>
    <w:p w14:paraId="37DE24A2" w14:textId="77777777" w:rsidR="00071CFE" w:rsidRPr="00741122" w:rsidRDefault="00071CFE" w:rsidP="00D520D0">
      <w:pPr>
        <w:rPr>
          <w:rFonts w:ascii="Times New Roman" w:eastAsia="Times New Roman" w:hAnsi="Times New Roman" w:cs="Times New Roman"/>
          <w:sz w:val="22"/>
          <w:szCs w:val="22"/>
          <w:lang w:val="lt-LT"/>
        </w:rPr>
      </w:pPr>
    </w:p>
    <w:p w14:paraId="6030275A" w14:textId="77777777" w:rsidR="00071CFE" w:rsidRPr="00741122" w:rsidRDefault="00071CFE" w:rsidP="00D520D0">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podgrupie pacjentów leczonych według schematu FOLFOX mediana czasu przeżycia bez progresji choroby (PFS) wyniosła 8,6 miesiąca w ramieniu otrzymującym placebo oraz 9,4 miesiąca w ramieniu otrzymującym bewacyzumab, HR</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0,89, 97,5% CI</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[0,73; 1,08]; p</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0,1871, podczas gdy w podgrupie pacjentów leczonych według schematu XELOX wartości te wynosiły odpowiednio 7,4 vs. 9,3 miesiąca, HR</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0,77, 97,5% CI</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[0,63; 0,94]; p</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0,0026.</w:t>
      </w:r>
    </w:p>
    <w:p w14:paraId="326292FE" w14:textId="77777777" w:rsidR="00071CFE" w:rsidRPr="00741122" w:rsidRDefault="00071CFE" w:rsidP="00D520D0">
      <w:pPr>
        <w:rPr>
          <w:rFonts w:ascii="Times New Roman" w:eastAsia="Times New Roman" w:hAnsi="Times New Roman" w:cs="Times New Roman"/>
          <w:sz w:val="22"/>
          <w:szCs w:val="22"/>
          <w:lang w:val="lt-LT"/>
        </w:rPr>
      </w:pPr>
    </w:p>
    <w:p w14:paraId="0AADF850" w14:textId="77777777" w:rsidR="00071CFE" w:rsidRPr="00741122" w:rsidRDefault="00071CFE" w:rsidP="00D520D0">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podgrupie pacjentów leczonych według schematu FOLFOX mediana całkowitego czasu przeżycia (OS) wyniosła 20,3 miesiąca w ramieniu otrzymującym placebo oraz 21,2 mies. w ramieniu otrzymującym bewacyzumab, HR</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0,94, 97,5% CI</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042E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[0,75; 1,16]; p</w:t>
      </w:r>
      <w:r w:rsidR="00CE4E7F">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CE4E7F">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0,4937, podczas gdy w podgrupie pacjentów leczonych według schematu XELOX wartości te wynosiły odpowiednio 19,2 vs. 21,4 miesiąca, HR</w:t>
      </w:r>
      <w:r w:rsidR="00CE4E7F">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CE4E7F">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0,84, 97,5% CI</w:t>
      </w:r>
      <w:r w:rsidR="00CE4E7F">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CE4E7F">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[0,68; 1,04]; p</w:t>
      </w:r>
      <w:r w:rsidR="00CE4E7F">
        <w:rPr>
          <w:rFonts w:ascii="Times New Roman" w:eastAsia="Times New Roman" w:hAnsi="Times New Roman" w:cs="Times New Roman"/>
          <w:sz w:val="22"/>
          <w:szCs w:val="22"/>
          <w:lang w:val="lt-LT"/>
        </w:rPr>
        <w:t> </w:t>
      </w:r>
      <w:r w:rsidRPr="00F02B22">
        <w:rPr>
          <w:rFonts w:ascii="Times New Roman" w:eastAsia="Times New Roman" w:hAnsi="Times New Roman" w:cs="Times New Roman"/>
          <w:sz w:val="22"/>
          <w:szCs w:val="22"/>
          <w:lang w:val="lt-LT"/>
        </w:rPr>
        <w:t>=</w:t>
      </w:r>
      <w:r w:rsidR="00CE4E7F" w:rsidRPr="00F02B22">
        <w:rPr>
          <w:rFonts w:ascii="Times New Roman" w:eastAsia="Times New Roman" w:hAnsi="Times New Roman" w:cs="Times New Roman"/>
          <w:sz w:val="22"/>
          <w:szCs w:val="22"/>
          <w:lang w:val="lt-LT"/>
        </w:rPr>
        <w:t> </w:t>
      </w:r>
      <w:r w:rsidRPr="00F02B22">
        <w:rPr>
          <w:rFonts w:ascii="Times New Roman" w:eastAsia="Times New Roman" w:hAnsi="Times New Roman" w:cs="Times New Roman"/>
          <w:sz w:val="22"/>
          <w:szCs w:val="22"/>
          <w:lang w:val="lt-LT"/>
        </w:rPr>
        <w:t>0,0698.</w:t>
      </w:r>
    </w:p>
    <w:p w14:paraId="4F1BC6F7" w14:textId="77777777" w:rsidR="00071CFE" w:rsidRPr="00741122" w:rsidRDefault="00071CFE" w:rsidP="00D520D0">
      <w:pPr>
        <w:rPr>
          <w:rFonts w:ascii="Times New Roman" w:eastAsia="Times New Roman" w:hAnsi="Times New Roman" w:cs="Times New Roman"/>
          <w:sz w:val="22"/>
          <w:szCs w:val="22"/>
          <w:lang w:val="lt-LT"/>
        </w:rPr>
      </w:pPr>
    </w:p>
    <w:p w14:paraId="77ACCA84" w14:textId="49DB3960" w:rsidR="00071CFE" w:rsidRPr="00741122" w:rsidRDefault="00071CFE" w:rsidP="00712B66">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ECOG E3200</w:t>
      </w:r>
    </w:p>
    <w:p w14:paraId="3AE23386" w14:textId="77777777" w:rsidR="00071CFE" w:rsidRPr="00741122" w:rsidRDefault="00071CFE" w:rsidP="00712B66">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Było to otwarte, randomizowane badanie III fazy z grupą kontrolną otrzymującą aktywny lek, dotyczące stosowania </w:t>
      </w:r>
      <w:r w:rsidR="00DC6A61">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dawce 10</w:t>
      </w:r>
      <w:r w:rsidR="0076036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mg/kg</w:t>
      </w:r>
      <w:r w:rsidR="00E73886">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w skojarzeniu z leukoworyną,</w:t>
      </w:r>
      <w:r w:rsidR="00BB541F"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5-fluorouracylem (początkowo w bolusie, następnie </w:t>
      </w:r>
      <w:r w:rsidR="00CE4E7F">
        <w:rPr>
          <w:rFonts w:ascii="Times New Roman" w:eastAsia="Times New Roman" w:hAnsi="Times New Roman" w:cs="Times New Roman"/>
          <w:sz w:val="22"/>
          <w:szCs w:val="22"/>
          <w:lang w:val="lt-LT"/>
        </w:rPr>
        <w:t>w infuzji</w:t>
      </w:r>
      <w:r w:rsidRPr="00741122">
        <w:rPr>
          <w:rFonts w:ascii="Times New Roman" w:eastAsia="Times New Roman" w:hAnsi="Times New Roman" w:cs="Times New Roman"/>
          <w:sz w:val="22"/>
          <w:szCs w:val="22"/>
          <w:lang w:val="lt-LT"/>
        </w:rPr>
        <w:t>) oraz oksaliplatyną iv. (FOLFOX-4) w schemacie dawkowania co 2 tygodnie u uprzednio leczonych pacjentów (leczenie drugiego rzutu) z zaawansowanym rakiem okrężnicy lub odbytnicy. W ramionach badania, w których stosowana była chemioterapia, w ramach cyklu FOLFOX-4 stosowano takie same dawki leków i takie same schematy dawkowania jak w badaniu NO16966 (przedstawione w tabeli 6).</w:t>
      </w:r>
    </w:p>
    <w:p w14:paraId="12DF620A" w14:textId="77777777" w:rsidR="00071CFE" w:rsidRPr="00741122" w:rsidRDefault="00071CFE" w:rsidP="00712B66">
      <w:pPr>
        <w:rPr>
          <w:rFonts w:ascii="Times New Roman" w:eastAsia="Times New Roman" w:hAnsi="Times New Roman" w:cs="Times New Roman"/>
          <w:sz w:val="22"/>
          <w:szCs w:val="22"/>
          <w:lang w:val="lt-LT"/>
        </w:rPr>
      </w:pPr>
    </w:p>
    <w:p w14:paraId="1EC0E29E" w14:textId="77777777" w:rsidR="00071CFE" w:rsidRPr="00741122" w:rsidRDefault="00071CFE" w:rsidP="00712B66">
      <w:pPr>
        <w:rPr>
          <w:rFonts w:ascii="Times New Roman" w:eastAsia="Times New Roman" w:hAnsi="Times New Roman" w:cs="Times New Roman"/>
          <w:sz w:val="22"/>
          <w:szCs w:val="22"/>
          <w:lang w:val="lt-LT"/>
        </w:rPr>
      </w:pPr>
      <w:r w:rsidRPr="00741122">
        <w:rPr>
          <w:rFonts w:ascii="Times New Roman" w:eastAsia="Times New Roman" w:hAnsi="Times New Roman"/>
          <w:sz w:val="22"/>
          <w:szCs w:val="22"/>
          <w:lang w:val="lt-LT"/>
        </w:rPr>
        <w:t xml:space="preserve">W badaniu tym pierwszorzędowym parametrem skuteczności było całkowity czas przeżycia, definiowany jako czas od randomizacji do zgonu z dowolnej przyczyny. Osiemset dwudziestu dziewięciu pacjentów losowo przydzielono do grup leczenia (292 pacjentów – FOLFOX-4; 293 – </w:t>
      </w:r>
      <w:r w:rsidR="00DC6A61">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 FOLFOX-4; 244 – </w:t>
      </w:r>
      <w:r w:rsidR="00DC6A61">
        <w:rPr>
          <w:rFonts w:ascii="Times New Roman" w:eastAsia="Times New Roman" w:hAnsi="Times New Roman"/>
          <w:sz w:val="22"/>
          <w:szCs w:val="22"/>
          <w:lang w:val="lt-LT"/>
        </w:rPr>
        <w:t>bewacyzumab</w:t>
      </w:r>
      <w:r w:rsidRPr="00741122">
        <w:rPr>
          <w:rFonts w:ascii="Times New Roman" w:eastAsia="Times New Roman" w:hAnsi="Times New Roman"/>
          <w:sz w:val="22"/>
          <w:szCs w:val="22"/>
          <w:lang w:val="lt-LT"/>
        </w:rPr>
        <w:t xml:space="preserve"> w monoterapii). Dołączenie </w:t>
      </w:r>
      <w:r w:rsidR="00DC6A61">
        <w:rPr>
          <w:rFonts w:ascii="Times New Roman" w:eastAsia="Times New Roman" w:hAnsi="Times New Roman"/>
          <w:sz w:val="22"/>
          <w:szCs w:val="22"/>
          <w:lang w:val="lt-LT"/>
        </w:rPr>
        <w:t>bewacyzumabu</w:t>
      </w:r>
      <w:r w:rsidRPr="00741122">
        <w:rPr>
          <w:rFonts w:ascii="Times New Roman" w:eastAsia="Times New Roman" w:hAnsi="Times New Roman"/>
          <w:sz w:val="22"/>
          <w:szCs w:val="22"/>
          <w:lang w:val="lt-LT"/>
        </w:rPr>
        <w:t xml:space="preserve"> do schematu leczenia FOLFOX-4 powodowało statystycznie </w:t>
      </w:r>
      <w:r w:rsidR="008409C7">
        <w:rPr>
          <w:rFonts w:ascii="Times New Roman" w:eastAsia="Times New Roman" w:hAnsi="Times New Roman"/>
          <w:sz w:val="22"/>
          <w:szCs w:val="22"/>
          <w:lang w:val="lt-LT"/>
        </w:rPr>
        <w:t xml:space="preserve">istotne </w:t>
      </w:r>
      <w:r w:rsidRPr="00741122">
        <w:rPr>
          <w:rFonts w:ascii="Times New Roman" w:eastAsia="Times New Roman" w:hAnsi="Times New Roman"/>
          <w:sz w:val="22"/>
          <w:szCs w:val="22"/>
          <w:lang w:val="lt-LT"/>
        </w:rPr>
        <w:t>wydłużenie przeżycia.</w:t>
      </w:r>
      <w:r w:rsidRPr="00741122">
        <w:rPr>
          <w:rFonts w:ascii="Times New Roman" w:eastAsia="Times New Roman" w:hAnsi="Times New Roman"/>
          <w:sz w:val="21"/>
          <w:lang w:val="lt-LT"/>
        </w:rPr>
        <w:t xml:space="preserve"> </w:t>
      </w:r>
      <w:r w:rsidRPr="00741122">
        <w:rPr>
          <w:rFonts w:ascii="Times New Roman" w:eastAsia="Times New Roman" w:hAnsi="Times New Roman" w:cs="Times New Roman"/>
          <w:sz w:val="22"/>
          <w:szCs w:val="22"/>
          <w:lang w:val="lt-LT"/>
        </w:rPr>
        <w:t>Ponadto</w:t>
      </w:r>
      <w:bookmarkStart w:id="32" w:name="page30"/>
      <w:bookmarkEnd w:id="32"/>
      <w:r w:rsidR="00BB541F"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zaobserwowano istotną statystycznie poprawę w zakresie przeżycia bez progresji i odsetka obiektywnych odpowiedzi na leczenie (patrz tabela 8).</w:t>
      </w:r>
    </w:p>
    <w:p w14:paraId="68C277BA" w14:textId="77777777" w:rsidR="00071CFE" w:rsidRPr="00741122" w:rsidRDefault="00071CFE" w:rsidP="00712B66">
      <w:pPr>
        <w:rPr>
          <w:rFonts w:ascii="Times New Roman" w:eastAsia="Times New Roman" w:hAnsi="Times New Roman" w:cs="Times New Roman"/>
          <w:sz w:val="22"/>
          <w:szCs w:val="22"/>
          <w:lang w:val="lt-LT"/>
        </w:rPr>
      </w:pPr>
    </w:p>
    <w:p w14:paraId="0777FA7B" w14:textId="77777777" w:rsidR="00071CFE" w:rsidRPr="00741122" w:rsidRDefault="00BB541F" w:rsidP="00D520D0">
      <w:pPr>
        <w:keepNext/>
        <w:tabs>
          <w:tab w:val="left" w:pos="1120"/>
        </w:tabs>
        <w:rPr>
          <w:rFonts w:ascii="Times New Roman" w:eastAsia="Times New Roman" w:hAnsi="Times New Roman"/>
          <w:b/>
          <w:sz w:val="22"/>
          <w:szCs w:val="22"/>
          <w:lang w:val="lt-LT"/>
        </w:rPr>
      </w:pPr>
      <w:r w:rsidRPr="00741122">
        <w:rPr>
          <w:rFonts w:ascii="Times New Roman" w:eastAsia="Times New Roman" w:hAnsi="Times New Roman"/>
          <w:b/>
          <w:sz w:val="22"/>
          <w:szCs w:val="22"/>
          <w:lang w:val="lt-LT"/>
        </w:rPr>
        <w:lastRenderedPageBreak/>
        <w:t>Tabela</w:t>
      </w:r>
      <w:r w:rsidR="00D520D0" w:rsidRPr="00741122">
        <w:rPr>
          <w:rFonts w:ascii="Times New Roman" w:eastAsia="Times New Roman" w:hAnsi="Times New Roman"/>
          <w:b/>
          <w:sz w:val="22"/>
          <w:szCs w:val="22"/>
          <w:lang w:val="lt-LT"/>
        </w:rPr>
        <w:t xml:space="preserve"> 8</w:t>
      </w:r>
      <w:r w:rsidR="00E73886">
        <w:rPr>
          <w:rFonts w:ascii="Times New Roman" w:eastAsia="Times New Roman" w:hAnsi="Times New Roman"/>
          <w:b/>
          <w:sz w:val="22"/>
          <w:szCs w:val="22"/>
          <w:lang w:val="lt-LT"/>
        </w:rPr>
        <w:t>.</w:t>
      </w:r>
      <w:r w:rsidRPr="00741122">
        <w:rPr>
          <w:rFonts w:ascii="Times New Roman" w:eastAsia="Times New Roman" w:hAnsi="Times New Roman"/>
          <w:b/>
          <w:sz w:val="22"/>
          <w:szCs w:val="22"/>
          <w:lang w:val="lt-LT"/>
        </w:rPr>
        <w:t xml:space="preserve"> </w:t>
      </w:r>
      <w:r w:rsidR="00071CFE" w:rsidRPr="00741122">
        <w:rPr>
          <w:rFonts w:ascii="Times New Roman" w:eastAsia="Times New Roman" w:hAnsi="Times New Roman"/>
          <w:b/>
          <w:sz w:val="22"/>
          <w:szCs w:val="22"/>
          <w:lang w:val="lt-LT"/>
        </w:rPr>
        <w:t>Wartości parametrów skuteczności dla badania E3200</w:t>
      </w:r>
    </w:p>
    <w:p w14:paraId="20D10758" w14:textId="77777777" w:rsidR="00071CFE" w:rsidRPr="00741122" w:rsidRDefault="00071CFE" w:rsidP="00D520D0">
      <w:pPr>
        <w:keepNext/>
        <w:rPr>
          <w:rFonts w:ascii="Times New Roman" w:eastAsia="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79"/>
        <w:gridCol w:w="2805"/>
        <w:gridCol w:w="2678"/>
      </w:tblGrid>
      <w:tr w:rsidR="009614D1" w:rsidRPr="00741122" w14:paraId="2F1D3C4F" w14:textId="77777777" w:rsidTr="00F533B1">
        <w:trPr>
          <w:trHeight w:val="390"/>
        </w:trPr>
        <w:tc>
          <w:tcPr>
            <w:tcW w:w="2072" w:type="pct"/>
            <w:vMerge w:val="restart"/>
            <w:vAlign w:val="center"/>
          </w:tcPr>
          <w:p w14:paraId="0E137976" w14:textId="77777777" w:rsidR="009614D1" w:rsidRPr="00741122" w:rsidRDefault="009614D1" w:rsidP="00784C65">
            <w:pPr>
              <w:keepNext/>
              <w:spacing w:line="0" w:lineRule="atLeast"/>
              <w:rPr>
                <w:rFonts w:ascii="Times New Roman" w:eastAsia="Times New Roman" w:hAnsi="Times New Roman"/>
                <w:sz w:val="22"/>
                <w:szCs w:val="22"/>
                <w:lang w:val="lt-LT"/>
              </w:rPr>
            </w:pPr>
          </w:p>
        </w:tc>
        <w:tc>
          <w:tcPr>
            <w:tcW w:w="2928" w:type="pct"/>
            <w:gridSpan w:val="2"/>
          </w:tcPr>
          <w:p w14:paraId="1C276A14" w14:textId="77777777" w:rsidR="009614D1" w:rsidRPr="00FD7F9C" w:rsidRDefault="009614D1" w:rsidP="00D520D0">
            <w:pPr>
              <w:keepNext/>
              <w:spacing w:line="0" w:lineRule="atLeast"/>
              <w:ind w:right="1593"/>
              <w:jc w:val="center"/>
              <w:rPr>
                <w:rFonts w:ascii="Times New Roman" w:eastAsia="Times New Roman" w:hAnsi="Times New Roman"/>
                <w:b/>
                <w:sz w:val="22"/>
                <w:szCs w:val="22"/>
                <w:lang w:val="lt-LT"/>
              </w:rPr>
            </w:pPr>
            <w:r w:rsidRPr="00FD7F9C">
              <w:rPr>
                <w:rFonts w:ascii="Times New Roman" w:eastAsia="Times New Roman" w:hAnsi="Times New Roman"/>
                <w:b/>
                <w:sz w:val="22"/>
                <w:szCs w:val="22"/>
                <w:lang w:val="lt-LT"/>
              </w:rPr>
              <w:t>E3200</w:t>
            </w:r>
          </w:p>
        </w:tc>
      </w:tr>
      <w:tr w:rsidR="009614D1" w:rsidRPr="00741122" w14:paraId="3B99C829" w14:textId="77777777" w:rsidTr="00F533B1">
        <w:trPr>
          <w:trHeight w:val="601"/>
        </w:trPr>
        <w:tc>
          <w:tcPr>
            <w:tcW w:w="2072" w:type="pct"/>
            <w:vMerge/>
            <w:vAlign w:val="center"/>
          </w:tcPr>
          <w:p w14:paraId="0F9F81A3" w14:textId="77777777" w:rsidR="009614D1" w:rsidRPr="00741122" w:rsidRDefault="009614D1" w:rsidP="00784C65">
            <w:pPr>
              <w:keepNext/>
              <w:spacing w:line="0" w:lineRule="atLeast"/>
              <w:rPr>
                <w:rFonts w:ascii="Times New Roman" w:eastAsia="Times New Roman" w:hAnsi="Times New Roman"/>
                <w:sz w:val="22"/>
                <w:szCs w:val="22"/>
                <w:lang w:val="lt-LT"/>
              </w:rPr>
            </w:pPr>
          </w:p>
        </w:tc>
        <w:tc>
          <w:tcPr>
            <w:tcW w:w="1498" w:type="pct"/>
          </w:tcPr>
          <w:p w14:paraId="753D0302" w14:textId="77777777" w:rsidR="009614D1" w:rsidRPr="0023471C" w:rsidRDefault="009614D1" w:rsidP="00D520D0">
            <w:pPr>
              <w:keepNext/>
              <w:spacing w:line="0" w:lineRule="atLeast"/>
              <w:jc w:val="center"/>
              <w:rPr>
                <w:rFonts w:ascii="Times New Roman" w:eastAsia="Times New Roman" w:hAnsi="Times New Roman"/>
                <w:b/>
                <w:sz w:val="22"/>
                <w:szCs w:val="22"/>
                <w:lang w:val="lt-LT"/>
              </w:rPr>
            </w:pPr>
            <w:r w:rsidRPr="0023471C">
              <w:rPr>
                <w:rFonts w:ascii="Times New Roman" w:eastAsia="Times New Roman" w:hAnsi="Times New Roman"/>
                <w:b/>
                <w:sz w:val="22"/>
                <w:szCs w:val="22"/>
                <w:lang w:val="lt-LT"/>
              </w:rPr>
              <w:t>FOLFOX-4</w:t>
            </w:r>
          </w:p>
        </w:tc>
        <w:tc>
          <w:tcPr>
            <w:tcW w:w="1429" w:type="pct"/>
          </w:tcPr>
          <w:p w14:paraId="40A957CA" w14:textId="77777777" w:rsidR="009614D1" w:rsidRPr="00FD7F9C" w:rsidRDefault="009614D1" w:rsidP="00DC6A61">
            <w:pPr>
              <w:keepNext/>
              <w:spacing w:line="0" w:lineRule="atLeast"/>
              <w:jc w:val="center"/>
              <w:rPr>
                <w:rFonts w:ascii="Times New Roman" w:eastAsia="Times New Roman" w:hAnsi="Times New Roman"/>
                <w:b/>
                <w:sz w:val="22"/>
                <w:szCs w:val="22"/>
                <w:lang w:val="lt-LT"/>
              </w:rPr>
            </w:pPr>
            <w:r w:rsidRPr="00FD7F9C">
              <w:rPr>
                <w:rFonts w:ascii="Times New Roman" w:eastAsia="Times New Roman" w:hAnsi="Times New Roman"/>
                <w:b/>
                <w:sz w:val="22"/>
                <w:szCs w:val="22"/>
                <w:lang w:val="lt-LT"/>
              </w:rPr>
              <w:t xml:space="preserve">FOLFOX-4+ </w:t>
            </w:r>
            <w:r w:rsidR="00DC6A61" w:rsidRPr="00FD7F9C">
              <w:rPr>
                <w:rFonts w:ascii="Times New Roman" w:eastAsia="Times New Roman" w:hAnsi="Times New Roman"/>
                <w:b/>
                <w:sz w:val="22"/>
                <w:szCs w:val="22"/>
                <w:lang w:val="lt-LT"/>
              </w:rPr>
              <w:t>bewacyzumab</w:t>
            </w:r>
            <w:r w:rsidRPr="00FD7F9C">
              <w:rPr>
                <w:rFonts w:ascii="Times New Roman" w:eastAsia="Times New Roman" w:hAnsi="Times New Roman"/>
                <w:b/>
                <w:sz w:val="22"/>
                <w:szCs w:val="22"/>
                <w:vertAlign w:val="superscript"/>
                <w:lang w:val="lt-LT"/>
              </w:rPr>
              <w:t>a</w:t>
            </w:r>
          </w:p>
        </w:tc>
      </w:tr>
      <w:tr w:rsidR="009614D1" w:rsidRPr="00741122" w14:paraId="2F3EC0DE" w14:textId="77777777" w:rsidTr="00F533B1">
        <w:trPr>
          <w:trHeight w:val="305"/>
        </w:trPr>
        <w:tc>
          <w:tcPr>
            <w:tcW w:w="2072" w:type="pct"/>
            <w:vAlign w:val="center"/>
          </w:tcPr>
          <w:p w14:paraId="15A09654" w14:textId="77777777" w:rsidR="009614D1" w:rsidRPr="00741122" w:rsidRDefault="009614D1" w:rsidP="00784C65">
            <w:pPr>
              <w:keepNext/>
              <w:spacing w:line="0" w:lineRule="atLeast"/>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Liczba pacjentów</w:t>
            </w:r>
          </w:p>
        </w:tc>
        <w:tc>
          <w:tcPr>
            <w:tcW w:w="1498" w:type="pct"/>
          </w:tcPr>
          <w:p w14:paraId="4CB3C84A" w14:textId="77777777" w:rsidR="009614D1" w:rsidRPr="00741122" w:rsidRDefault="009614D1" w:rsidP="00D520D0">
            <w:pPr>
              <w:keepNext/>
              <w:spacing w:line="0" w:lineRule="atLeast"/>
              <w:jc w:val="center"/>
              <w:rPr>
                <w:rFonts w:ascii="Times New Roman" w:eastAsia="Times New Roman" w:hAnsi="Times New Roman"/>
                <w:sz w:val="22"/>
                <w:szCs w:val="22"/>
                <w:lang w:val="lt-LT"/>
              </w:rPr>
            </w:pPr>
            <w:r w:rsidRPr="00EB3CE2">
              <w:rPr>
                <w:rFonts w:ascii="Times New Roman" w:eastAsia="Times New Roman" w:hAnsi="Times New Roman"/>
                <w:sz w:val="22"/>
                <w:szCs w:val="22"/>
                <w:lang w:val="lt-LT"/>
              </w:rPr>
              <w:t>292</w:t>
            </w:r>
          </w:p>
        </w:tc>
        <w:tc>
          <w:tcPr>
            <w:tcW w:w="1429" w:type="pct"/>
          </w:tcPr>
          <w:p w14:paraId="2817AC6E" w14:textId="77777777" w:rsidR="009614D1" w:rsidRPr="00741122" w:rsidRDefault="009614D1" w:rsidP="00D520D0">
            <w:pPr>
              <w:keepNext/>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293</w:t>
            </w:r>
          </w:p>
        </w:tc>
      </w:tr>
      <w:tr w:rsidR="009614D1" w:rsidRPr="00741122" w14:paraId="7DD5248A" w14:textId="77777777" w:rsidTr="00F533B1">
        <w:trPr>
          <w:trHeight w:val="296"/>
        </w:trPr>
        <w:tc>
          <w:tcPr>
            <w:tcW w:w="5000" w:type="pct"/>
            <w:gridSpan w:val="3"/>
            <w:vAlign w:val="center"/>
          </w:tcPr>
          <w:p w14:paraId="1579D460" w14:textId="77777777" w:rsidR="009614D1" w:rsidRPr="00741122" w:rsidRDefault="009614D1" w:rsidP="00784C65">
            <w:pPr>
              <w:keepNext/>
              <w:spacing w:line="0" w:lineRule="atLeast"/>
              <w:ind w:left="5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Całkowite przeżycie</w:t>
            </w:r>
          </w:p>
        </w:tc>
      </w:tr>
      <w:tr w:rsidR="009614D1" w:rsidRPr="00741122" w14:paraId="632B2615" w14:textId="77777777" w:rsidTr="00F533B1">
        <w:trPr>
          <w:trHeight w:val="296"/>
        </w:trPr>
        <w:tc>
          <w:tcPr>
            <w:tcW w:w="2072" w:type="pct"/>
            <w:vAlign w:val="center"/>
          </w:tcPr>
          <w:p w14:paraId="74E7AEC7" w14:textId="77777777" w:rsidR="009614D1" w:rsidRPr="00741122" w:rsidRDefault="009614D1" w:rsidP="00784C65">
            <w:pPr>
              <w:spacing w:line="0" w:lineRule="atLeast"/>
              <w:ind w:left="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Mediana (miesiące)</w:t>
            </w:r>
          </w:p>
        </w:tc>
        <w:tc>
          <w:tcPr>
            <w:tcW w:w="1498" w:type="pct"/>
          </w:tcPr>
          <w:p w14:paraId="7728F0D1" w14:textId="77777777" w:rsidR="009614D1" w:rsidRPr="00741122" w:rsidRDefault="009614D1" w:rsidP="00046A09">
            <w:pPr>
              <w:keepNext/>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10,8</w:t>
            </w:r>
          </w:p>
        </w:tc>
        <w:tc>
          <w:tcPr>
            <w:tcW w:w="1429" w:type="pct"/>
          </w:tcPr>
          <w:p w14:paraId="78AB6ABF" w14:textId="77777777" w:rsidR="009614D1" w:rsidRPr="00046A09" w:rsidRDefault="009614D1" w:rsidP="00046A09">
            <w:pPr>
              <w:keepNext/>
              <w:spacing w:line="0" w:lineRule="atLeast"/>
              <w:jc w:val="center"/>
              <w:rPr>
                <w:rFonts w:ascii="Times New Roman" w:eastAsia="Times New Roman" w:hAnsi="Times New Roman"/>
                <w:sz w:val="22"/>
                <w:szCs w:val="22"/>
                <w:lang w:val="lt-LT"/>
              </w:rPr>
            </w:pPr>
            <w:r w:rsidRPr="00046A09">
              <w:rPr>
                <w:rFonts w:ascii="Times New Roman" w:eastAsia="Times New Roman" w:hAnsi="Times New Roman"/>
                <w:sz w:val="22"/>
                <w:szCs w:val="22"/>
                <w:lang w:val="lt-LT"/>
              </w:rPr>
              <w:t>13,0</w:t>
            </w:r>
          </w:p>
        </w:tc>
      </w:tr>
      <w:tr w:rsidR="009614D1" w:rsidRPr="00741122" w14:paraId="286D4652" w14:textId="77777777" w:rsidTr="00F533B1">
        <w:trPr>
          <w:trHeight w:val="298"/>
        </w:trPr>
        <w:tc>
          <w:tcPr>
            <w:tcW w:w="2072" w:type="pct"/>
            <w:vAlign w:val="center"/>
          </w:tcPr>
          <w:p w14:paraId="0960E7D9" w14:textId="77777777" w:rsidR="009614D1" w:rsidRPr="00741122" w:rsidRDefault="009614D1" w:rsidP="00784C65">
            <w:pPr>
              <w:spacing w:line="0" w:lineRule="atLeast"/>
              <w:ind w:left="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95% CI</w:t>
            </w:r>
          </w:p>
        </w:tc>
        <w:tc>
          <w:tcPr>
            <w:tcW w:w="1498" w:type="pct"/>
          </w:tcPr>
          <w:p w14:paraId="65AB18BE" w14:textId="77777777" w:rsidR="009614D1" w:rsidRPr="00741122" w:rsidRDefault="009614D1" w:rsidP="009614D1">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w w:val="99"/>
                <w:sz w:val="22"/>
                <w:szCs w:val="22"/>
                <w:lang w:val="lt-LT"/>
              </w:rPr>
              <w:t>10,12 – 11,86</w:t>
            </w:r>
          </w:p>
        </w:tc>
        <w:tc>
          <w:tcPr>
            <w:tcW w:w="1429" w:type="pct"/>
          </w:tcPr>
          <w:p w14:paraId="6FE1119A" w14:textId="77777777" w:rsidR="009614D1" w:rsidRPr="00741122" w:rsidRDefault="009614D1" w:rsidP="009614D1">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12,09 – 14,03</w:t>
            </w:r>
          </w:p>
        </w:tc>
      </w:tr>
      <w:tr w:rsidR="009614D1" w:rsidRPr="00741122" w14:paraId="27D6EC30" w14:textId="77777777" w:rsidTr="00F533B1">
        <w:trPr>
          <w:trHeight w:val="606"/>
        </w:trPr>
        <w:tc>
          <w:tcPr>
            <w:tcW w:w="2072" w:type="pct"/>
          </w:tcPr>
          <w:p w14:paraId="032F778F" w14:textId="77777777" w:rsidR="009614D1" w:rsidRPr="00784C65" w:rsidRDefault="009614D1" w:rsidP="006D7470">
            <w:pPr>
              <w:spacing w:line="0" w:lineRule="atLeast"/>
              <w:ind w:left="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Współczynnik ryzyka</w:t>
            </w:r>
            <w:r w:rsidRPr="00784C65">
              <w:rPr>
                <w:rFonts w:ascii="Times New Roman" w:eastAsia="Times New Roman" w:hAnsi="Times New Roman"/>
                <w:sz w:val="22"/>
                <w:szCs w:val="22"/>
                <w:vertAlign w:val="superscript"/>
                <w:lang w:val="lt-LT"/>
              </w:rPr>
              <w:t>b</w:t>
            </w:r>
          </w:p>
        </w:tc>
        <w:tc>
          <w:tcPr>
            <w:tcW w:w="2928" w:type="pct"/>
            <w:gridSpan w:val="2"/>
          </w:tcPr>
          <w:p w14:paraId="4F0A4C2A" w14:textId="77777777" w:rsidR="009614D1" w:rsidRPr="00741122" w:rsidRDefault="009614D1" w:rsidP="006D7470">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0,751</w:t>
            </w:r>
          </w:p>
          <w:p w14:paraId="5918CF56" w14:textId="77777777" w:rsidR="009614D1" w:rsidRPr="00741122" w:rsidRDefault="009614D1" w:rsidP="00375043">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(wartość p</w:t>
            </w:r>
            <w:r w:rsidR="00375043">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w:t>
            </w:r>
            <w:r w:rsidR="00375043">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0,0012)</w:t>
            </w:r>
          </w:p>
        </w:tc>
      </w:tr>
      <w:tr w:rsidR="009614D1" w:rsidRPr="00741122" w14:paraId="6F340C0C" w14:textId="77777777" w:rsidTr="00F533B1">
        <w:trPr>
          <w:trHeight w:val="351"/>
        </w:trPr>
        <w:tc>
          <w:tcPr>
            <w:tcW w:w="5000" w:type="pct"/>
            <w:gridSpan w:val="3"/>
            <w:vAlign w:val="center"/>
          </w:tcPr>
          <w:p w14:paraId="7B2FAE06" w14:textId="77777777" w:rsidR="009614D1" w:rsidRPr="00741122" w:rsidRDefault="009614D1" w:rsidP="00784C65">
            <w:pPr>
              <w:spacing w:line="0" w:lineRule="atLeast"/>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Przeżycie bez progresji</w:t>
            </w:r>
          </w:p>
        </w:tc>
      </w:tr>
      <w:tr w:rsidR="009614D1" w:rsidRPr="00741122" w14:paraId="1B263C5C" w14:textId="77777777" w:rsidTr="00F533B1">
        <w:trPr>
          <w:trHeight w:val="351"/>
        </w:trPr>
        <w:tc>
          <w:tcPr>
            <w:tcW w:w="2072" w:type="pct"/>
            <w:vAlign w:val="center"/>
          </w:tcPr>
          <w:p w14:paraId="3ABF098B" w14:textId="77777777" w:rsidR="009614D1" w:rsidRPr="00741122" w:rsidRDefault="009614D1" w:rsidP="006D7470">
            <w:pPr>
              <w:spacing w:line="0" w:lineRule="atLeast"/>
              <w:ind w:left="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Mediana (miesiące)</w:t>
            </w:r>
          </w:p>
        </w:tc>
        <w:tc>
          <w:tcPr>
            <w:tcW w:w="1498" w:type="pct"/>
            <w:vAlign w:val="center"/>
          </w:tcPr>
          <w:p w14:paraId="4DDDE39A" w14:textId="77777777" w:rsidR="009614D1" w:rsidRPr="00741122" w:rsidRDefault="009614D1" w:rsidP="00EB3CE2">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4,5</w:t>
            </w:r>
          </w:p>
        </w:tc>
        <w:tc>
          <w:tcPr>
            <w:tcW w:w="1429" w:type="pct"/>
            <w:vAlign w:val="center"/>
          </w:tcPr>
          <w:p w14:paraId="54715712" w14:textId="77777777" w:rsidR="009614D1" w:rsidRPr="00741122" w:rsidRDefault="009614D1" w:rsidP="00EB3CE2">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7,5</w:t>
            </w:r>
          </w:p>
        </w:tc>
      </w:tr>
      <w:tr w:rsidR="009614D1" w:rsidRPr="00741122" w14:paraId="18DE0B36" w14:textId="77777777" w:rsidTr="00F533B1">
        <w:trPr>
          <w:trHeight w:val="658"/>
        </w:trPr>
        <w:tc>
          <w:tcPr>
            <w:tcW w:w="2072" w:type="pct"/>
          </w:tcPr>
          <w:p w14:paraId="24E661B3" w14:textId="77777777" w:rsidR="009614D1" w:rsidRPr="00741122" w:rsidRDefault="009614D1" w:rsidP="00F02B22">
            <w:pPr>
              <w:spacing w:line="0" w:lineRule="atLeast"/>
              <w:ind w:left="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Współczynnik ryzyka</w:t>
            </w:r>
          </w:p>
        </w:tc>
        <w:tc>
          <w:tcPr>
            <w:tcW w:w="2928" w:type="pct"/>
            <w:gridSpan w:val="2"/>
          </w:tcPr>
          <w:p w14:paraId="353EE66C" w14:textId="77777777" w:rsidR="009614D1" w:rsidRPr="00741122" w:rsidRDefault="009614D1" w:rsidP="00EB3CE2">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0,518</w:t>
            </w:r>
          </w:p>
          <w:p w14:paraId="491A8145" w14:textId="77777777" w:rsidR="009614D1" w:rsidRPr="00741122" w:rsidRDefault="009614D1" w:rsidP="00375043">
            <w:pPr>
              <w:spacing w:line="0" w:lineRule="atLeast"/>
              <w:jc w:val="cente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(wartość p</w:t>
            </w:r>
            <w:r w:rsidR="00375043">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&lt;</w:t>
            </w:r>
            <w:r w:rsidR="00375043">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0,0001)</w:t>
            </w:r>
          </w:p>
        </w:tc>
      </w:tr>
      <w:tr w:rsidR="009614D1" w:rsidRPr="00C70451" w14:paraId="32A2DBF8" w14:textId="77777777" w:rsidTr="00F533B1">
        <w:trPr>
          <w:trHeight w:val="351"/>
        </w:trPr>
        <w:tc>
          <w:tcPr>
            <w:tcW w:w="5000" w:type="pct"/>
            <w:gridSpan w:val="3"/>
            <w:vAlign w:val="center"/>
          </w:tcPr>
          <w:p w14:paraId="1960D39D" w14:textId="77777777" w:rsidR="009614D1" w:rsidRPr="00741122" w:rsidRDefault="009614D1" w:rsidP="00784C65">
            <w:pPr>
              <w:spacing w:line="0" w:lineRule="atLeast"/>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Odsetek obiektywnych odpowiedzi na leczenie</w:t>
            </w:r>
          </w:p>
        </w:tc>
      </w:tr>
      <w:tr w:rsidR="009614D1" w:rsidRPr="00741122" w14:paraId="4F6BDE57" w14:textId="77777777" w:rsidTr="00F533B1">
        <w:trPr>
          <w:trHeight w:val="351"/>
        </w:trPr>
        <w:tc>
          <w:tcPr>
            <w:tcW w:w="2072" w:type="pct"/>
            <w:vAlign w:val="center"/>
          </w:tcPr>
          <w:p w14:paraId="2CDD79D5" w14:textId="77777777" w:rsidR="009614D1" w:rsidRPr="00741122" w:rsidRDefault="009614D1" w:rsidP="00EB3CE2">
            <w:pPr>
              <w:spacing w:line="0" w:lineRule="atLeast"/>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Odsetek</w:t>
            </w:r>
          </w:p>
        </w:tc>
        <w:tc>
          <w:tcPr>
            <w:tcW w:w="1498" w:type="pct"/>
            <w:vAlign w:val="center"/>
          </w:tcPr>
          <w:p w14:paraId="4797B7D2" w14:textId="77777777" w:rsidR="009614D1" w:rsidRPr="00741122" w:rsidRDefault="009614D1" w:rsidP="00EB3CE2">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8,6%</w:t>
            </w:r>
          </w:p>
        </w:tc>
        <w:tc>
          <w:tcPr>
            <w:tcW w:w="1429" w:type="pct"/>
            <w:vAlign w:val="center"/>
          </w:tcPr>
          <w:p w14:paraId="2273CC28" w14:textId="77777777" w:rsidR="009614D1" w:rsidRPr="00741122" w:rsidRDefault="009614D1" w:rsidP="00EB3CE2">
            <w:pPr>
              <w:spacing w:line="0" w:lineRule="atLeast"/>
              <w:jc w:val="center"/>
              <w:rPr>
                <w:rFonts w:ascii="Times New Roman" w:eastAsia="Times New Roman" w:hAnsi="Times New Roman" w:cs="Times New Roman"/>
                <w:w w:val="98"/>
                <w:sz w:val="22"/>
                <w:szCs w:val="22"/>
                <w:lang w:val="lt-LT"/>
              </w:rPr>
            </w:pPr>
            <w:r w:rsidRPr="00741122">
              <w:rPr>
                <w:rFonts w:ascii="Times New Roman" w:eastAsia="Times New Roman" w:hAnsi="Times New Roman" w:cs="Times New Roman"/>
                <w:w w:val="98"/>
                <w:sz w:val="22"/>
                <w:szCs w:val="22"/>
                <w:lang w:val="lt-LT"/>
              </w:rPr>
              <w:t>22,2%</w:t>
            </w:r>
          </w:p>
        </w:tc>
      </w:tr>
      <w:tr w:rsidR="00071CFE" w:rsidRPr="00741122" w14:paraId="4EDC1DEB" w14:textId="77777777" w:rsidTr="00F533B1">
        <w:trPr>
          <w:trHeight w:val="296"/>
        </w:trPr>
        <w:tc>
          <w:tcPr>
            <w:tcW w:w="2072" w:type="pct"/>
            <w:vAlign w:val="center"/>
          </w:tcPr>
          <w:p w14:paraId="783D9834" w14:textId="77777777" w:rsidR="00071CFE" w:rsidRPr="00741122" w:rsidRDefault="00071CFE" w:rsidP="00784C65">
            <w:pPr>
              <w:spacing w:line="0" w:lineRule="atLeast"/>
              <w:rPr>
                <w:rFonts w:ascii="Times New Roman" w:eastAsia="Times New Roman" w:hAnsi="Times New Roman" w:cs="Times New Roman"/>
                <w:sz w:val="22"/>
                <w:szCs w:val="22"/>
                <w:lang w:val="lt-LT"/>
              </w:rPr>
            </w:pPr>
          </w:p>
        </w:tc>
        <w:tc>
          <w:tcPr>
            <w:tcW w:w="2928" w:type="pct"/>
            <w:gridSpan w:val="2"/>
          </w:tcPr>
          <w:p w14:paraId="6E04F29B" w14:textId="77777777" w:rsidR="00071CFE" w:rsidRPr="00741122" w:rsidRDefault="00071CFE" w:rsidP="00375043">
            <w:pPr>
              <w:spacing w:line="0" w:lineRule="atLeast"/>
              <w:ind w:left="1060"/>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(wartość p</w:t>
            </w:r>
            <w:r w:rsidR="00375043">
              <w:rPr>
                <w:rFonts w:ascii="Times New Roman" w:eastAsia="Times New Roman" w:hAnsi="Times New Roman" w:cs="Times New Roman"/>
                <w:sz w:val="22"/>
                <w:szCs w:val="22"/>
                <w:lang w:val="lt-LT"/>
              </w:rPr>
              <w:t> </w:t>
            </w:r>
            <w:r w:rsidRPr="00741122">
              <w:rPr>
                <w:rFonts w:ascii="Times New Roman" w:eastAsia="Arial" w:hAnsi="Times New Roman" w:cs="Times New Roman"/>
                <w:sz w:val="22"/>
                <w:szCs w:val="22"/>
                <w:lang w:val="lt-LT"/>
              </w:rPr>
              <w:t>&lt;</w:t>
            </w:r>
            <w:r w:rsidR="0037504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0,0001)</w:t>
            </w:r>
          </w:p>
        </w:tc>
      </w:tr>
    </w:tbl>
    <w:p w14:paraId="6D7492B7" w14:textId="77777777" w:rsidR="00071CFE" w:rsidRPr="00741122" w:rsidRDefault="00D520D0" w:rsidP="002E35A7">
      <w:pPr>
        <w:numPr>
          <w:ilvl w:val="0"/>
          <w:numId w:val="13"/>
        </w:numPr>
        <w:tabs>
          <w:tab w:val="left" w:pos="520"/>
        </w:tabs>
        <w:ind w:left="567" w:hanging="567"/>
        <w:rPr>
          <w:rFonts w:ascii="Times New Roman" w:eastAsia="Times New Roman" w:hAnsi="Times New Roman"/>
          <w:lang w:val="lt-LT"/>
        </w:rPr>
      </w:pPr>
      <w:r w:rsidRPr="00741122">
        <w:rPr>
          <w:rFonts w:ascii="Times New Roman" w:eastAsia="Times New Roman" w:hAnsi="Times New Roman"/>
          <w:lang w:val="lt-LT"/>
        </w:rPr>
        <w:t>10 </w:t>
      </w:r>
      <w:r w:rsidR="00071CFE" w:rsidRPr="00741122">
        <w:rPr>
          <w:rFonts w:ascii="Times New Roman" w:eastAsia="Times New Roman" w:hAnsi="Times New Roman"/>
          <w:lang w:val="lt-LT"/>
        </w:rPr>
        <w:t>mg/kg</w:t>
      </w:r>
      <w:r w:rsidR="00E73886">
        <w:rPr>
          <w:rFonts w:ascii="Times New Roman" w:eastAsia="Times New Roman" w:hAnsi="Times New Roman"/>
          <w:lang w:val="lt-LT"/>
        </w:rPr>
        <w:t> mc.</w:t>
      </w:r>
      <w:r w:rsidR="00071CFE" w:rsidRPr="00741122">
        <w:rPr>
          <w:rFonts w:ascii="Times New Roman" w:eastAsia="Times New Roman" w:hAnsi="Times New Roman"/>
          <w:lang w:val="lt-LT"/>
        </w:rPr>
        <w:t xml:space="preserve"> co 2 tygodnie</w:t>
      </w:r>
    </w:p>
    <w:p w14:paraId="2C2D6839" w14:textId="77777777" w:rsidR="00071CFE" w:rsidRPr="00741122" w:rsidRDefault="00071CFE" w:rsidP="002E35A7">
      <w:pPr>
        <w:numPr>
          <w:ilvl w:val="0"/>
          <w:numId w:val="13"/>
        </w:numPr>
        <w:tabs>
          <w:tab w:val="left" w:pos="540"/>
        </w:tabs>
        <w:ind w:left="567" w:hanging="567"/>
        <w:rPr>
          <w:rFonts w:ascii="Times New Roman" w:eastAsia="Times New Roman" w:hAnsi="Times New Roman"/>
          <w:lang w:val="lt-LT"/>
        </w:rPr>
      </w:pPr>
      <w:r w:rsidRPr="00741122">
        <w:rPr>
          <w:rFonts w:ascii="Times New Roman" w:eastAsia="Times New Roman" w:hAnsi="Times New Roman"/>
          <w:lang w:val="lt-LT"/>
        </w:rPr>
        <w:t xml:space="preserve">w porównaniu </w:t>
      </w:r>
      <w:r w:rsidR="00375043">
        <w:rPr>
          <w:rFonts w:ascii="Times New Roman" w:eastAsia="Times New Roman" w:hAnsi="Times New Roman"/>
          <w:lang w:val="lt-LT"/>
        </w:rPr>
        <w:t>z grupą</w:t>
      </w:r>
      <w:r w:rsidRPr="00741122">
        <w:rPr>
          <w:rFonts w:ascii="Times New Roman" w:eastAsia="Times New Roman" w:hAnsi="Times New Roman"/>
          <w:lang w:val="lt-LT"/>
        </w:rPr>
        <w:t xml:space="preserve"> kontroln</w:t>
      </w:r>
      <w:r w:rsidR="00375043">
        <w:rPr>
          <w:rFonts w:ascii="Times New Roman" w:eastAsia="Times New Roman" w:hAnsi="Times New Roman"/>
          <w:lang w:val="lt-LT"/>
        </w:rPr>
        <w:t>ą</w:t>
      </w:r>
    </w:p>
    <w:p w14:paraId="6504225B" w14:textId="77777777" w:rsidR="00071CFE" w:rsidRPr="00741122" w:rsidRDefault="00071CFE" w:rsidP="002E35A7">
      <w:pPr>
        <w:rPr>
          <w:rFonts w:ascii="Times New Roman" w:eastAsia="Times New Roman" w:hAnsi="Times New Roman" w:cs="Times New Roman"/>
          <w:sz w:val="22"/>
          <w:szCs w:val="22"/>
          <w:lang w:val="lt-LT"/>
        </w:rPr>
      </w:pPr>
    </w:p>
    <w:p w14:paraId="6AA6DA1E" w14:textId="77777777" w:rsidR="00071CFE" w:rsidRPr="00741122" w:rsidRDefault="00071CFE" w:rsidP="002E35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zaobserwowano istotnej różnicy w zakresie całkowitego czasu przeżycia pacjentów otrzymujących </w:t>
      </w:r>
      <w:r w:rsidR="00DC6A61">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monoterapii oraz pacjentów leczonych w schemacie FOLFOX-4. Przeżycie bez progresji oraz odsetek obiektywnych odpowiedzi były mniejsze w ramieniu monoterapii </w:t>
      </w:r>
      <w:r w:rsidR="00DC6A61">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niż w ramieniu terapii FOLFOX-4.</w:t>
      </w:r>
    </w:p>
    <w:p w14:paraId="1E0AA1AB" w14:textId="77777777" w:rsidR="00071CFE" w:rsidRPr="00741122" w:rsidRDefault="00071CFE" w:rsidP="002E35A7">
      <w:pPr>
        <w:rPr>
          <w:rFonts w:ascii="Times New Roman" w:eastAsia="Times New Roman" w:hAnsi="Times New Roman" w:cs="Times New Roman"/>
          <w:sz w:val="22"/>
          <w:szCs w:val="22"/>
          <w:lang w:val="lt-LT"/>
        </w:rPr>
      </w:pPr>
    </w:p>
    <w:p w14:paraId="18E8DEC3" w14:textId="77777777" w:rsidR="00071CFE" w:rsidRPr="00741122" w:rsidRDefault="00071CFE" w:rsidP="002E35A7">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ML18147</w:t>
      </w:r>
    </w:p>
    <w:p w14:paraId="38B696D0" w14:textId="77777777" w:rsidR="00071CFE" w:rsidRPr="00741122" w:rsidRDefault="00071CFE" w:rsidP="002E35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Było to otwarte randomizowane, kontrolowane badanie III fazy dotyczące stosowan</w:t>
      </w:r>
      <w:r w:rsidR="008B2ADB" w:rsidRPr="00741122">
        <w:rPr>
          <w:rFonts w:ascii="Times New Roman" w:eastAsia="Times New Roman" w:hAnsi="Times New Roman" w:cs="Times New Roman"/>
          <w:sz w:val="22"/>
          <w:szCs w:val="22"/>
          <w:lang w:val="lt-LT"/>
        </w:rPr>
        <w:t xml:space="preserve">ia </w:t>
      </w:r>
      <w:r w:rsidR="007472F1">
        <w:rPr>
          <w:rFonts w:ascii="Times New Roman" w:eastAsia="Times New Roman" w:hAnsi="Times New Roman" w:cs="Times New Roman"/>
          <w:sz w:val="22"/>
          <w:szCs w:val="22"/>
          <w:lang w:val="lt-LT"/>
        </w:rPr>
        <w:t>bewacyzumabu</w:t>
      </w:r>
      <w:r w:rsidR="008B2ADB" w:rsidRPr="00741122">
        <w:rPr>
          <w:rFonts w:ascii="Times New Roman" w:eastAsia="Times New Roman" w:hAnsi="Times New Roman" w:cs="Times New Roman"/>
          <w:sz w:val="22"/>
          <w:szCs w:val="22"/>
          <w:lang w:val="lt-LT"/>
        </w:rPr>
        <w:t xml:space="preserve"> w dawce 5,0 mg/kg</w:t>
      </w:r>
      <w:r w:rsidR="005B018D">
        <w:rPr>
          <w:rFonts w:ascii="Times New Roman" w:eastAsia="Times New Roman" w:hAnsi="Times New Roman" w:cs="Times New Roman"/>
          <w:sz w:val="22"/>
          <w:szCs w:val="22"/>
          <w:lang w:val="lt-LT"/>
        </w:rPr>
        <w:t> mc.</w:t>
      </w:r>
      <w:r w:rsidR="008B2ADB" w:rsidRPr="00741122">
        <w:rPr>
          <w:rFonts w:ascii="Times New Roman" w:eastAsia="Times New Roman" w:hAnsi="Times New Roman" w:cs="Times New Roman"/>
          <w:sz w:val="22"/>
          <w:szCs w:val="22"/>
          <w:lang w:val="lt-LT"/>
        </w:rPr>
        <w:t xml:space="preserve"> co 2 tygodnie lub 7,5 </w:t>
      </w:r>
      <w:r w:rsidRPr="00741122">
        <w:rPr>
          <w:rFonts w:ascii="Times New Roman" w:eastAsia="Times New Roman" w:hAnsi="Times New Roman" w:cs="Times New Roman"/>
          <w:sz w:val="22"/>
          <w:szCs w:val="22"/>
          <w:lang w:val="lt-LT"/>
        </w:rPr>
        <w:t>mg/kg</w:t>
      </w:r>
      <w:r w:rsidR="005B018D">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3 tygodnie w skojarzeniu z chemioterapią opartą na fluoropirymidynie w porównaniu z samą chemioterapia opartą na fluoropirymidynie u chorych na raka okrężnicy lub odbytnicy z przerzutami, u których po zastosowaniu bewacyzumabu w leczeniu pierwszego rzutu wystąpiła progresja choroby.</w:t>
      </w:r>
    </w:p>
    <w:p w14:paraId="4FC47756" w14:textId="77777777" w:rsidR="00071CFE" w:rsidRPr="00741122" w:rsidRDefault="00071CFE" w:rsidP="002E35A7">
      <w:pPr>
        <w:rPr>
          <w:rFonts w:ascii="Times New Roman" w:eastAsia="Times New Roman" w:hAnsi="Times New Roman" w:cs="Times New Roman"/>
          <w:sz w:val="22"/>
          <w:szCs w:val="22"/>
          <w:lang w:val="lt-LT"/>
        </w:rPr>
      </w:pPr>
    </w:p>
    <w:p w14:paraId="3F230CE9" w14:textId="77777777" w:rsidR="00071CFE" w:rsidRPr="00741122" w:rsidRDefault="00071CFE" w:rsidP="002E35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Pacjentów z histologicznie potwierdzonym rakiem okrężnicy lub odbytnicy z przerzutami, u których wystąpiła progresja choroby, losowo przydzielono do grupy przyjmującej chemioterapię fluoropirymidyna/oksaliplatyna lub fluoropirymidyna/irynotekan (wybór w zależności od typu chemioterapii stosowanej w pierwszym rzucie), z zastosowaniem bewacyzumabu lub bez niego,</w:t>
      </w:r>
      <w:r w:rsidR="003315BF"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 stosunku 1:1 w okresie 3 miesięcy od zakończenia leczenia bewacyzumabem jako lekiem pierwszego rzutu. Leczenie prowadzono aż do wystąpienia progresji lub niedopuszczalnej toksyczności. Pierwszorzędowym punktem końcowym było całkowite przeżycie zdefiniowane jako czas od randomizacji do zgonu niezależnie od przyczyny.</w:t>
      </w:r>
    </w:p>
    <w:p w14:paraId="3EB32B59" w14:textId="77777777" w:rsidR="008B2ADB" w:rsidRPr="00741122" w:rsidRDefault="008B2ADB" w:rsidP="002E35A7">
      <w:pPr>
        <w:rPr>
          <w:rFonts w:ascii="Times New Roman" w:eastAsia="Times New Roman" w:hAnsi="Times New Roman"/>
          <w:sz w:val="22"/>
          <w:szCs w:val="22"/>
          <w:lang w:val="lt-LT"/>
        </w:rPr>
      </w:pPr>
    </w:p>
    <w:p w14:paraId="7A92D3F7" w14:textId="77777777" w:rsidR="00071CFE" w:rsidRPr="00741122" w:rsidRDefault="00071CFE" w:rsidP="002E35A7">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Randomizacji poddano w sumie 820 pacjentów. Dołączenie bewacyzumabu do chemioterapii opartej na fluoropirymidynie spowodowało statystycznie istotne wydłużenie czasu przeżycia u pacjentów</w:t>
      </w:r>
      <w:r w:rsidR="008B2ADB"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z rakiem okrężnicy lub odbytnicy z przerzutami, u których po zastosowaniu bewacyzumabu jako leku pierwszego rzutu wystąpiła progresja choroby (ITT = 819) (patrz Tabela 9).</w:t>
      </w:r>
    </w:p>
    <w:p w14:paraId="6DDA9460" w14:textId="77777777" w:rsidR="00071CFE" w:rsidRPr="00741122" w:rsidRDefault="00071CFE" w:rsidP="002E35A7">
      <w:pPr>
        <w:rPr>
          <w:rFonts w:ascii="Times New Roman" w:eastAsia="Times New Roman" w:hAnsi="Times New Roman"/>
          <w:sz w:val="22"/>
          <w:szCs w:val="22"/>
          <w:lang w:val="lt-LT"/>
        </w:rPr>
      </w:pPr>
    </w:p>
    <w:p w14:paraId="757B2B92" w14:textId="77777777" w:rsidR="00071CFE" w:rsidRPr="00741122" w:rsidRDefault="0079691E" w:rsidP="002E35A7">
      <w:pPr>
        <w:keepNext/>
        <w:tabs>
          <w:tab w:val="left" w:pos="1240"/>
        </w:tabs>
        <w:rPr>
          <w:rFonts w:ascii="Times New Roman" w:eastAsia="Times New Roman" w:hAnsi="Times New Roman" w:cs="Times New Roman"/>
          <w:b/>
          <w:sz w:val="22"/>
          <w:szCs w:val="22"/>
          <w:lang w:val="lt-LT"/>
        </w:rPr>
      </w:pPr>
      <w:bookmarkStart w:id="33" w:name="page31"/>
      <w:bookmarkEnd w:id="33"/>
      <w:r w:rsidRPr="00741122">
        <w:rPr>
          <w:rFonts w:ascii="Times New Roman" w:eastAsia="Times New Roman" w:hAnsi="Times New Roman" w:cs="Times New Roman"/>
          <w:b/>
          <w:sz w:val="22"/>
          <w:szCs w:val="22"/>
          <w:lang w:val="lt-LT"/>
        </w:rPr>
        <w:lastRenderedPageBreak/>
        <w:t>Tabela 9</w:t>
      </w:r>
      <w:r w:rsidR="005B018D">
        <w:rPr>
          <w:rFonts w:ascii="Times New Roman" w:eastAsia="Times New Roman" w:hAnsi="Times New Roman" w:cs="Times New Roman"/>
          <w:b/>
          <w:sz w:val="22"/>
          <w:szCs w:val="22"/>
          <w:lang w:val="lt-LT"/>
        </w:rPr>
        <w:t>.</w:t>
      </w:r>
      <w:r w:rsidR="008B2ADB" w:rsidRPr="00741122">
        <w:rPr>
          <w:rFonts w:ascii="Times New Roman" w:eastAsia="Times New Roman" w:hAnsi="Times New Roman" w:cs="Times New Roman"/>
          <w:b/>
          <w:sz w:val="22"/>
          <w:szCs w:val="22"/>
          <w:lang w:val="lt-LT"/>
        </w:rPr>
        <w:t xml:space="preserve"> </w:t>
      </w:r>
      <w:r w:rsidR="00071CFE" w:rsidRPr="00741122">
        <w:rPr>
          <w:rFonts w:ascii="Times New Roman" w:eastAsia="Times New Roman" w:hAnsi="Times New Roman" w:cs="Times New Roman"/>
          <w:b/>
          <w:sz w:val="22"/>
          <w:szCs w:val="22"/>
          <w:lang w:val="lt-LT"/>
        </w:rPr>
        <w:t>Wyniki badania ML18147 dotyczące skuteczności (populacja ITT)</w:t>
      </w:r>
    </w:p>
    <w:p w14:paraId="11437442" w14:textId="77777777" w:rsidR="00071CFE" w:rsidRPr="00CA72C4" w:rsidRDefault="00071CFE" w:rsidP="002E35A7">
      <w:pPr>
        <w:keepNext/>
        <w:rPr>
          <w:rFonts w:ascii="Times New Roman" w:eastAsia="Times New Roman" w:hAnsi="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33"/>
        <w:gridCol w:w="3380"/>
        <w:gridCol w:w="3249"/>
      </w:tblGrid>
      <w:tr w:rsidR="008B2ADB" w:rsidRPr="00CA72C4" w14:paraId="625D7642" w14:textId="77777777" w:rsidTr="00F533B1">
        <w:trPr>
          <w:trHeight w:val="278"/>
        </w:trPr>
        <w:tc>
          <w:tcPr>
            <w:tcW w:w="1460" w:type="pct"/>
            <w:vMerge w:val="restart"/>
            <w:vAlign w:val="bottom"/>
          </w:tcPr>
          <w:p w14:paraId="63CFB0F6" w14:textId="77777777" w:rsidR="008B2ADB" w:rsidRPr="00CA72C4" w:rsidRDefault="008B2ADB" w:rsidP="00D520D0">
            <w:pPr>
              <w:keepNext/>
              <w:rPr>
                <w:rFonts w:ascii="Times New Roman" w:eastAsia="Times New Roman" w:hAnsi="Times New Roman" w:cs="Times New Roman"/>
                <w:sz w:val="22"/>
                <w:szCs w:val="22"/>
                <w:lang w:val="lt-LT"/>
              </w:rPr>
            </w:pPr>
          </w:p>
        </w:tc>
        <w:tc>
          <w:tcPr>
            <w:tcW w:w="3540" w:type="pct"/>
            <w:gridSpan w:val="2"/>
            <w:vAlign w:val="center"/>
          </w:tcPr>
          <w:p w14:paraId="31C4B4EB" w14:textId="77777777" w:rsidR="008B2ADB" w:rsidRPr="00FD7F9C" w:rsidRDefault="008B2ADB" w:rsidP="0079539C">
            <w:pPr>
              <w:spacing w:line="0" w:lineRule="atLeast"/>
              <w:ind w:left="57"/>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ML18147</w:t>
            </w:r>
          </w:p>
        </w:tc>
      </w:tr>
      <w:tr w:rsidR="008B2ADB" w:rsidRPr="00CA72C4" w14:paraId="44919C8E" w14:textId="77777777" w:rsidTr="00F533B1">
        <w:trPr>
          <w:trHeight w:val="1136"/>
        </w:trPr>
        <w:tc>
          <w:tcPr>
            <w:tcW w:w="1460" w:type="pct"/>
            <w:vMerge/>
            <w:vAlign w:val="bottom"/>
          </w:tcPr>
          <w:p w14:paraId="368EA87B" w14:textId="77777777" w:rsidR="008B2ADB" w:rsidRPr="00CA72C4" w:rsidRDefault="008B2ADB" w:rsidP="00D520D0">
            <w:pPr>
              <w:keepNext/>
              <w:rPr>
                <w:rFonts w:ascii="Times New Roman" w:eastAsia="Times New Roman" w:hAnsi="Times New Roman" w:cs="Times New Roman"/>
                <w:sz w:val="22"/>
                <w:szCs w:val="22"/>
                <w:lang w:val="lt-LT"/>
              </w:rPr>
            </w:pPr>
          </w:p>
        </w:tc>
        <w:tc>
          <w:tcPr>
            <w:tcW w:w="1805" w:type="pct"/>
            <w:vAlign w:val="center"/>
          </w:tcPr>
          <w:p w14:paraId="19E23CBF" w14:textId="77777777" w:rsidR="004B5B3A" w:rsidRPr="00FD7F9C" w:rsidRDefault="00492EBA" w:rsidP="0079539C">
            <w:pPr>
              <w:spacing w:line="0" w:lineRule="atLeast"/>
              <w:ind w:left="57"/>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Chemioterapia na ba</w:t>
            </w:r>
            <w:r w:rsidR="008B2ADB" w:rsidRPr="00FD7F9C">
              <w:rPr>
                <w:rFonts w:ascii="Times New Roman" w:eastAsia="Times New Roman" w:hAnsi="Times New Roman" w:cs="Times New Roman"/>
                <w:b/>
                <w:sz w:val="22"/>
                <w:szCs w:val="22"/>
                <w:lang w:val="lt-LT"/>
              </w:rPr>
              <w:t>z</w:t>
            </w:r>
            <w:r w:rsidRPr="00FD7F9C">
              <w:rPr>
                <w:rFonts w:ascii="Times New Roman" w:eastAsia="Times New Roman" w:hAnsi="Times New Roman" w:cs="Times New Roman"/>
                <w:b/>
                <w:sz w:val="22"/>
                <w:szCs w:val="22"/>
                <w:lang w:val="lt-LT"/>
              </w:rPr>
              <w:t>i</w:t>
            </w:r>
            <w:r w:rsidR="008B2ADB" w:rsidRPr="00FD7F9C">
              <w:rPr>
                <w:rFonts w:ascii="Times New Roman" w:eastAsia="Times New Roman" w:hAnsi="Times New Roman" w:cs="Times New Roman"/>
                <w:b/>
                <w:sz w:val="22"/>
                <w:szCs w:val="22"/>
                <w:lang w:val="lt-LT"/>
              </w:rPr>
              <w:t>e fluoropirymidyny/irynotekanu</w:t>
            </w:r>
          </w:p>
          <w:p w14:paraId="1741187F" w14:textId="77777777" w:rsidR="004B5B3A" w:rsidRPr="00FD7F9C" w:rsidRDefault="008B2ADB" w:rsidP="0079539C">
            <w:pPr>
              <w:spacing w:line="0" w:lineRule="atLeast"/>
              <w:ind w:left="57"/>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lub</w:t>
            </w:r>
          </w:p>
          <w:p w14:paraId="375580F3" w14:textId="77777777" w:rsidR="008B2ADB" w:rsidRPr="00FD7F9C" w:rsidRDefault="008B2ADB" w:rsidP="0079539C">
            <w:pPr>
              <w:spacing w:line="0" w:lineRule="atLeast"/>
              <w:ind w:left="57"/>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fluoropirymidyny/oksaliplatyny</w:t>
            </w:r>
          </w:p>
        </w:tc>
        <w:tc>
          <w:tcPr>
            <w:tcW w:w="1735" w:type="pct"/>
            <w:vAlign w:val="center"/>
          </w:tcPr>
          <w:p w14:paraId="6640C8AF" w14:textId="77777777" w:rsidR="004B5B3A" w:rsidRPr="00FD7F9C" w:rsidRDefault="00492EBA" w:rsidP="0079539C">
            <w:pPr>
              <w:spacing w:line="0" w:lineRule="atLeast"/>
              <w:ind w:left="57"/>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Chemioterapia na ba</w:t>
            </w:r>
            <w:r w:rsidR="008B2ADB" w:rsidRPr="00FD7F9C">
              <w:rPr>
                <w:rFonts w:ascii="Times New Roman" w:eastAsia="Times New Roman" w:hAnsi="Times New Roman" w:cs="Times New Roman"/>
                <w:b/>
                <w:sz w:val="22"/>
                <w:szCs w:val="22"/>
                <w:lang w:val="lt-LT"/>
              </w:rPr>
              <w:t>z</w:t>
            </w:r>
            <w:r w:rsidRPr="00FD7F9C">
              <w:rPr>
                <w:rFonts w:ascii="Times New Roman" w:eastAsia="Times New Roman" w:hAnsi="Times New Roman" w:cs="Times New Roman"/>
                <w:b/>
                <w:sz w:val="22"/>
                <w:szCs w:val="22"/>
                <w:lang w:val="lt-LT"/>
              </w:rPr>
              <w:t>i</w:t>
            </w:r>
            <w:r w:rsidR="008B2ADB" w:rsidRPr="00FD7F9C">
              <w:rPr>
                <w:rFonts w:ascii="Times New Roman" w:eastAsia="Times New Roman" w:hAnsi="Times New Roman" w:cs="Times New Roman"/>
                <w:b/>
                <w:sz w:val="22"/>
                <w:szCs w:val="22"/>
                <w:lang w:val="lt-LT"/>
              </w:rPr>
              <w:t>e fluoropirymidyny/irynotekanu</w:t>
            </w:r>
          </w:p>
          <w:p w14:paraId="5E5FDCAE" w14:textId="77777777" w:rsidR="0079539C" w:rsidRPr="00FD7F9C" w:rsidRDefault="0079539C" w:rsidP="0079539C">
            <w:pPr>
              <w:spacing w:line="0" w:lineRule="atLeast"/>
              <w:ind w:left="57"/>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lub</w:t>
            </w:r>
          </w:p>
          <w:p w14:paraId="1EA1E9C3" w14:textId="77777777" w:rsidR="008B2ADB" w:rsidRPr="00FD7F9C" w:rsidRDefault="008B2ADB" w:rsidP="007472F1">
            <w:pPr>
              <w:spacing w:line="0" w:lineRule="atLeast"/>
              <w:ind w:left="57"/>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 xml:space="preserve">fluoropirymidyny/oksaliplatyny + </w:t>
            </w:r>
            <w:r w:rsidR="007472F1" w:rsidRPr="00FD7F9C">
              <w:rPr>
                <w:rFonts w:ascii="Times New Roman" w:eastAsia="Times New Roman" w:hAnsi="Times New Roman" w:cs="Times New Roman"/>
                <w:b/>
                <w:sz w:val="22"/>
                <w:szCs w:val="22"/>
                <w:lang w:val="lt-LT"/>
              </w:rPr>
              <w:t>bewacyzumab</w:t>
            </w:r>
            <w:r w:rsidRPr="00FD7F9C">
              <w:rPr>
                <w:rFonts w:ascii="Times New Roman" w:eastAsia="Times New Roman" w:hAnsi="Times New Roman" w:cs="Times New Roman"/>
                <w:b/>
                <w:sz w:val="22"/>
                <w:szCs w:val="22"/>
                <w:vertAlign w:val="superscript"/>
                <w:lang w:val="lt-LT"/>
              </w:rPr>
              <w:t>a</w:t>
            </w:r>
          </w:p>
        </w:tc>
      </w:tr>
      <w:tr w:rsidR="008B2ADB" w:rsidRPr="00CA72C4" w14:paraId="7981BA2C" w14:textId="77777777" w:rsidTr="00F533B1">
        <w:trPr>
          <w:trHeight w:val="270"/>
        </w:trPr>
        <w:tc>
          <w:tcPr>
            <w:tcW w:w="1460" w:type="pct"/>
            <w:vAlign w:val="center"/>
          </w:tcPr>
          <w:p w14:paraId="212FCEB3" w14:textId="77777777" w:rsidR="008B2ADB" w:rsidRPr="00CA72C4" w:rsidRDefault="008B2ADB" w:rsidP="00CA72C4">
            <w:pPr>
              <w:spacing w:line="0" w:lineRule="atLeast"/>
              <w:ind w:left="57"/>
              <w:rPr>
                <w:rFonts w:ascii="Times New Roman" w:eastAsia="Times New Roman" w:hAnsi="Times New Roman" w:cs="Times New Roman"/>
                <w:sz w:val="22"/>
                <w:szCs w:val="22"/>
                <w:lang w:val="lt-LT"/>
              </w:rPr>
            </w:pPr>
            <w:r w:rsidRPr="00CA72C4">
              <w:rPr>
                <w:rFonts w:ascii="Times New Roman" w:eastAsia="Times New Roman" w:hAnsi="Times New Roman" w:cs="Times New Roman"/>
                <w:sz w:val="22"/>
                <w:szCs w:val="22"/>
                <w:lang w:val="lt-LT"/>
              </w:rPr>
              <w:t>Liczba pacjentów</w:t>
            </w:r>
          </w:p>
        </w:tc>
        <w:tc>
          <w:tcPr>
            <w:tcW w:w="1805" w:type="pct"/>
            <w:vAlign w:val="center"/>
          </w:tcPr>
          <w:p w14:paraId="42197E12"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410</w:t>
            </w:r>
          </w:p>
        </w:tc>
        <w:tc>
          <w:tcPr>
            <w:tcW w:w="1735" w:type="pct"/>
            <w:vAlign w:val="bottom"/>
          </w:tcPr>
          <w:p w14:paraId="67065898"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409</w:t>
            </w:r>
          </w:p>
        </w:tc>
      </w:tr>
      <w:tr w:rsidR="008B2ADB" w:rsidRPr="00CA72C4" w14:paraId="4D59A053" w14:textId="77777777" w:rsidTr="00F533B1">
        <w:trPr>
          <w:trHeight w:val="270"/>
        </w:trPr>
        <w:tc>
          <w:tcPr>
            <w:tcW w:w="5000" w:type="pct"/>
            <w:gridSpan w:val="3"/>
            <w:vAlign w:val="center"/>
          </w:tcPr>
          <w:p w14:paraId="00D02CF7" w14:textId="77777777" w:rsidR="008B2ADB" w:rsidRPr="0079539C" w:rsidRDefault="008B2ADB" w:rsidP="0079539C">
            <w:pPr>
              <w:spacing w:line="0" w:lineRule="atLeast"/>
              <w:ind w:left="57"/>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Całkowite przeżycie</w:t>
            </w:r>
          </w:p>
        </w:tc>
      </w:tr>
      <w:tr w:rsidR="008B2ADB" w:rsidRPr="00CA72C4" w14:paraId="388B4F41" w14:textId="77777777" w:rsidTr="00F533B1">
        <w:trPr>
          <w:trHeight w:val="270"/>
        </w:trPr>
        <w:tc>
          <w:tcPr>
            <w:tcW w:w="1460" w:type="pct"/>
            <w:vAlign w:val="center"/>
          </w:tcPr>
          <w:p w14:paraId="02686A85" w14:textId="77777777" w:rsidR="008B2ADB" w:rsidRPr="00CA72C4" w:rsidRDefault="008B2ADB" w:rsidP="00046A09">
            <w:pPr>
              <w:keepNext/>
              <w:tabs>
                <w:tab w:val="left" w:pos="567"/>
              </w:tabs>
              <w:ind w:left="567"/>
              <w:rPr>
                <w:rFonts w:ascii="Times New Roman" w:eastAsia="Times New Roman" w:hAnsi="Times New Roman" w:cs="Times New Roman"/>
                <w:sz w:val="22"/>
                <w:szCs w:val="22"/>
                <w:lang w:val="lt-LT"/>
              </w:rPr>
            </w:pPr>
            <w:r w:rsidRPr="00CA72C4">
              <w:rPr>
                <w:rFonts w:ascii="Times New Roman" w:eastAsia="Times New Roman" w:hAnsi="Times New Roman" w:cs="Times New Roman"/>
                <w:sz w:val="22"/>
                <w:szCs w:val="22"/>
                <w:lang w:val="lt-LT"/>
              </w:rPr>
              <w:t>Mediana (miesiące)</w:t>
            </w:r>
          </w:p>
        </w:tc>
        <w:tc>
          <w:tcPr>
            <w:tcW w:w="1805" w:type="pct"/>
            <w:vAlign w:val="center"/>
          </w:tcPr>
          <w:p w14:paraId="7ACB3180"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9,8</w:t>
            </w:r>
          </w:p>
        </w:tc>
        <w:tc>
          <w:tcPr>
            <w:tcW w:w="1735" w:type="pct"/>
            <w:vAlign w:val="bottom"/>
          </w:tcPr>
          <w:p w14:paraId="6036FCC1"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11,2</w:t>
            </w:r>
          </w:p>
        </w:tc>
      </w:tr>
      <w:tr w:rsidR="008B2ADB" w:rsidRPr="00CA72C4" w14:paraId="01ED199F" w14:textId="77777777" w:rsidTr="00F533B1">
        <w:trPr>
          <w:trHeight w:val="569"/>
        </w:trPr>
        <w:tc>
          <w:tcPr>
            <w:tcW w:w="1460" w:type="pct"/>
            <w:vAlign w:val="center"/>
          </w:tcPr>
          <w:p w14:paraId="536C53F8" w14:textId="77777777" w:rsidR="008B2ADB" w:rsidRPr="00CA72C4" w:rsidRDefault="008B2ADB" w:rsidP="00046A09">
            <w:pPr>
              <w:keepNext/>
              <w:tabs>
                <w:tab w:val="left" w:pos="567"/>
              </w:tabs>
              <w:ind w:left="567"/>
              <w:rPr>
                <w:rFonts w:ascii="Times New Roman" w:eastAsia="Times New Roman" w:hAnsi="Times New Roman" w:cs="Times New Roman"/>
                <w:sz w:val="22"/>
                <w:szCs w:val="22"/>
                <w:lang w:val="lt-LT"/>
              </w:rPr>
            </w:pPr>
            <w:r w:rsidRPr="00CA72C4">
              <w:rPr>
                <w:rFonts w:ascii="Times New Roman" w:eastAsia="Times New Roman" w:hAnsi="Times New Roman" w:cs="Times New Roman"/>
                <w:sz w:val="22"/>
                <w:szCs w:val="22"/>
                <w:lang w:val="lt-LT"/>
              </w:rPr>
              <w:t>Współczynnik ryzyka</w:t>
            </w:r>
            <w:r w:rsidR="004B5B3A" w:rsidRPr="00CA72C4">
              <w:rPr>
                <w:rFonts w:ascii="Times New Roman" w:eastAsia="Times New Roman" w:hAnsi="Times New Roman" w:cs="Times New Roman"/>
                <w:sz w:val="22"/>
                <w:szCs w:val="22"/>
                <w:lang w:val="lt-LT"/>
              </w:rPr>
              <w:t xml:space="preserve"> </w:t>
            </w:r>
            <w:r w:rsidRPr="00CA72C4">
              <w:rPr>
                <w:rFonts w:ascii="Times New Roman" w:eastAsia="Times New Roman" w:hAnsi="Times New Roman" w:cs="Times New Roman"/>
                <w:sz w:val="22"/>
                <w:szCs w:val="22"/>
                <w:lang w:val="lt-LT"/>
              </w:rPr>
              <w:t>(95% przedział ufności)</w:t>
            </w:r>
          </w:p>
        </w:tc>
        <w:tc>
          <w:tcPr>
            <w:tcW w:w="3540" w:type="pct"/>
            <w:gridSpan w:val="2"/>
            <w:vAlign w:val="bottom"/>
          </w:tcPr>
          <w:p w14:paraId="7DDE2562"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0,81 (0,69 – 0,94)</w:t>
            </w:r>
          </w:p>
          <w:p w14:paraId="4E4D2E11"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(wartość p = 0,0062)</w:t>
            </w:r>
          </w:p>
        </w:tc>
      </w:tr>
      <w:tr w:rsidR="008B2ADB" w:rsidRPr="00CA72C4" w14:paraId="18DD4385" w14:textId="77777777" w:rsidTr="00F533B1">
        <w:trPr>
          <w:trHeight w:val="270"/>
        </w:trPr>
        <w:tc>
          <w:tcPr>
            <w:tcW w:w="5000" w:type="pct"/>
            <w:gridSpan w:val="3"/>
            <w:vAlign w:val="center"/>
          </w:tcPr>
          <w:p w14:paraId="7FFC9B43" w14:textId="77777777" w:rsidR="008B2ADB" w:rsidRPr="0079539C" w:rsidRDefault="008B2ADB" w:rsidP="0079539C">
            <w:pPr>
              <w:spacing w:line="0" w:lineRule="atLeast"/>
              <w:ind w:left="57"/>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Przeżycie bez progresji</w:t>
            </w:r>
          </w:p>
        </w:tc>
      </w:tr>
      <w:tr w:rsidR="008B2ADB" w:rsidRPr="00CA72C4" w14:paraId="52C3EDAF" w14:textId="77777777" w:rsidTr="00F533B1">
        <w:trPr>
          <w:trHeight w:val="270"/>
        </w:trPr>
        <w:tc>
          <w:tcPr>
            <w:tcW w:w="1460" w:type="pct"/>
            <w:vAlign w:val="center"/>
          </w:tcPr>
          <w:p w14:paraId="7B73F830" w14:textId="77777777" w:rsidR="008B2ADB" w:rsidRPr="00CA72C4" w:rsidRDefault="008B2ADB" w:rsidP="00046A09">
            <w:pPr>
              <w:keepNext/>
              <w:tabs>
                <w:tab w:val="left" w:pos="567"/>
              </w:tabs>
              <w:ind w:left="567"/>
              <w:rPr>
                <w:rFonts w:ascii="Times New Roman" w:eastAsia="Times New Roman" w:hAnsi="Times New Roman" w:cs="Times New Roman"/>
                <w:sz w:val="22"/>
                <w:szCs w:val="22"/>
                <w:lang w:val="lt-LT"/>
              </w:rPr>
            </w:pPr>
            <w:r w:rsidRPr="00CA72C4">
              <w:rPr>
                <w:rFonts w:ascii="Times New Roman" w:eastAsia="Times New Roman" w:hAnsi="Times New Roman" w:cs="Times New Roman"/>
                <w:sz w:val="22"/>
                <w:szCs w:val="22"/>
                <w:lang w:val="lt-LT"/>
              </w:rPr>
              <w:t>Mediana (miesiące)</w:t>
            </w:r>
          </w:p>
        </w:tc>
        <w:tc>
          <w:tcPr>
            <w:tcW w:w="1805" w:type="pct"/>
            <w:vAlign w:val="center"/>
          </w:tcPr>
          <w:p w14:paraId="2B055674"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4,1</w:t>
            </w:r>
          </w:p>
        </w:tc>
        <w:tc>
          <w:tcPr>
            <w:tcW w:w="1735" w:type="pct"/>
            <w:vAlign w:val="bottom"/>
          </w:tcPr>
          <w:p w14:paraId="06D2744A"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5,7</w:t>
            </w:r>
          </w:p>
        </w:tc>
      </w:tr>
      <w:tr w:rsidR="008B2ADB" w:rsidRPr="00CA72C4" w14:paraId="6509597C" w14:textId="77777777" w:rsidTr="00F533B1">
        <w:trPr>
          <w:trHeight w:val="569"/>
        </w:trPr>
        <w:tc>
          <w:tcPr>
            <w:tcW w:w="1460" w:type="pct"/>
            <w:vAlign w:val="center"/>
          </w:tcPr>
          <w:p w14:paraId="41823242" w14:textId="77777777" w:rsidR="008B2ADB" w:rsidRPr="00CA72C4" w:rsidRDefault="008B2ADB" w:rsidP="00046A09">
            <w:pPr>
              <w:keepNext/>
              <w:tabs>
                <w:tab w:val="left" w:pos="567"/>
              </w:tabs>
              <w:ind w:left="567"/>
              <w:rPr>
                <w:rFonts w:ascii="Times New Roman" w:eastAsia="Times New Roman" w:hAnsi="Times New Roman" w:cs="Times New Roman"/>
                <w:sz w:val="22"/>
                <w:szCs w:val="22"/>
                <w:lang w:val="lt-LT"/>
              </w:rPr>
            </w:pPr>
            <w:r w:rsidRPr="00CA72C4">
              <w:rPr>
                <w:rFonts w:ascii="Times New Roman" w:eastAsia="Times New Roman" w:hAnsi="Times New Roman" w:cs="Times New Roman"/>
                <w:sz w:val="22"/>
                <w:szCs w:val="22"/>
                <w:lang w:val="lt-LT"/>
              </w:rPr>
              <w:t>Współczynnik ryzyka</w:t>
            </w:r>
            <w:r w:rsidR="004B5B3A" w:rsidRPr="00CA72C4">
              <w:rPr>
                <w:rFonts w:ascii="Times New Roman" w:eastAsia="Times New Roman" w:hAnsi="Times New Roman" w:cs="Times New Roman"/>
                <w:sz w:val="22"/>
                <w:szCs w:val="22"/>
                <w:lang w:val="lt-LT"/>
              </w:rPr>
              <w:t xml:space="preserve"> </w:t>
            </w:r>
            <w:r w:rsidRPr="00CA72C4">
              <w:rPr>
                <w:rFonts w:ascii="Times New Roman" w:eastAsia="Times New Roman" w:hAnsi="Times New Roman" w:cs="Times New Roman"/>
                <w:sz w:val="22"/>
                <w:szCs w:val="22"/>
                <w:lang w:val="lt-LT"/>
              </w:rPr>
              <w:t>(95% przedział ufności)</w:t>
            </w:r>
          </w:p>
        </w:tc>
        <w:tc>
          <w:tcPr>
            <w:tcW w:w="3540" w:type="pct"/>
            <w:gridSpan w:val="2"/>
            <w:vAlign w:val="center"/>
          </w:tcPr>
          <w:p w14:paraId="3ACEE618"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0,68 (0,59 – 0,78)</w:t>
            </w:r>
          </w:p>
          <w:p w14:paraId="2E5DF193"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(wartość p &lt; 0,0001)</w:t>
            </w:r>
          </w:p>
        </w:tc>
      </w:tr>
      <w:tr w:rsidR="008B2ADB" w:rsidRPr="00C70451" w14:paraId="61040AA5" w14:textId="77777777" w:rsidTr="00F533B1">
        <w:trPr>
          <w:trHeight w:val="571"/>
        </w:trPr>
        <w:tc>
          <w:tcPr>
            <w:tcW w:w="1460" w:type="pct"/>
            <w:vAlign w:val="center"/>
          </w:tcPr>
          <w:p w14:paraId="32BAD605" w14:textId="77777777" w:rsidR="008B2ADB" w:rsidRPr="00CA72C4" w:rsidRDefault="008B2ADB" w:rsidP="00CA72C4">
            <w:pPr>
              <w:spacing w:line="0" w:lineRule="atLeast"/>
              <w:ind w:left="57"/>
              <w:rPr>
                <w:rFonts w:ascii="Times New Roman" w:eastAsia="Times New Roman" w:hAnsi="Times New Roman" w:cs="Times New Roman"/>
                <w:b/>
                <w:sz w:val="22"/>
                <w:szCs w:val="22"/>
                <w:lang w:val="lt-LT"/>
              </w:rPr>
            </w:pPr>
            <w:r w:rsidRPr="00CA72C4">
              <w:rPr>
                <w:rFonts w:ascii="Times New Roman" w:eastAsia="Times New Roman" w:hAnsi="Times New Roman" w:cs="Times New Roman"/>
                <w:sz w:val="22"/>
                <w:szCs w:val="22"/>
                <w:lang w:val="lt-LT"/>
              </w:rPr>
              <w:t>Odsetek obiektywnych</w:t>
            </w:r>
            <w:r w:rsidR="004B5B3A" w:rsidRPr="00CA72C4">
              <w:rPr>
                <w:rFonts w:ascii="Times New Roman" w:eastAsia="Times New Roman" w:hAnsi="Times New Roman" w:cs="Times New Roman"/>
                <w:sz w:val="22"/>
                <w:szCs w:val="22"/>
                <w:lang w:val="lt-LT"/>
              </w:rPr>
              <w:t xml:space="preserve"> </w:t>
            </w:r>
            <w:r w:rsidRPr="00CA72C4">
              <w:rPr>
                <w:rFonts w:ascii="Times New Roman" w:eastAsia="Times New Roman" w:hAnsi="Times New Roman" w:cs="Times New Roman"/>
                <w:sz w:val="22"/>
                <w:szCs w:val="22"/>
                <w:lang w:val="lt-LT"/>
              </w:rPr>
              <w:t>odpowiedzi na leczenie</w:t>
            </w:r>
          </w:p>
        </w:tc>
        <w:tc>
          <w:tcPr>
            <w:tcW w:w="3540" w:type="pct"/>
            <w:gridSpan w:val="2"/>
            <w:vAlign w:val="bottom"/>
          </w:tcPr>
          <w:p w14:paraId="44B14DD7" w14:textId="77777777" w:rsidR="008B2ADB" w:rsidRPr="0079539C" w:rsidRDefault="008B2ADB" w:rsidP="0079539C">
            <w:pPr>
              <w:spacing w:line="0" w:lineRule="atLeast"/>
              <w:ind w:left="57"/>
              <w:rPr>
                <w:rFonts w:ascii="Times New Roman" w:eastAsia="Times New Roman" w:hAnsi="Times New Roman" w:cs="Times New Roman"/>
                <w:sz w:val="22"/>
                <w:szCs w:val="22"/>
                <w:lang w:val="lt-LT"/>
              </w:rPr>
            </w:pPr>
          </w:p>
        </w:tc>
      </w:tr>
      <w:tr w:rsidR="008B2ADB" w:rsidRPr="00CA72C4" w14:paraId="61C81EA9" w14:textId="77777777" w:rsidTr="00F533B1">
        <w:trPr>
          <w:trHeight w:val="589"/>
        </w:trPr>
        <w:tc>
          <w:tcPr>
            <w:tcW w:w="1460" w:type="pct"/>
          </w:tcPr>
          <w:p w14:paraId="7319381A" w14:textId="77777777" w:rsidR="008B2ADB" w:rsidRPr="00CA72C4" w:rsidRDefault="008B2ADB" w:rsidP="00D878B0">
            <w:pPr>
              <w:keepNext/>
              <w:tabs>
                <w:tab w:val="left" w:pos="567"/>
              </w:tabs>
              <w:ind w:left="567"/>
              <w:rPr>
                <w:rFonts w:ascii="Times New Roman" w:eastAsia="Times New Roman" w:hAnsi="Times New Roman" w:cs="Times New Roman"/>
                <w:sz w:val="22"/>
                <w:szCs w:val="22"/>
                <w:lang w:val="lt-LT"/>
              </w:rPr>
            </w:pPr>
            <w:r w:rsidRPr="00CA72C4">
              <w:rPr>
                <w:rFonts w:ascii="Times New Roman" w:eastAsia="Times New Roman" w:hAnsi="Times New Roman" w:cs="Times New Roman"/>
                <w:sz w:val="22"/>
                <w:szCs w:val="22"/>
                <w:lang w:val="lt-LT"/>
              </w:rPr>
              <w:t>Pacjenci włączeni do</w:t>
            </w:r>
            <w:r w:rsidR="004B5B3A" w:rsidRPr="00CA72C4">
              <w:rPr>
                <w:rFonts w:ascii="Times New Roman" w:eastAsia="Times New Roman" w:hAnsi="Times New Roman" w:cs="Times New Roman"/>
                <w:sz w:val="22"/>
                <w:szCs w:val="22"/>
                <w:lang w:val="lt-LT"/>
              </w:rPr>
              <w:t xml:space="preserve"> </w:t>
            </w:r>
            <w:r w:rsidRPr="00CA72C4">
              <w:rPr>
                <w:rFonts w:ascii="Times New Roman" w:eastAsia="Times New Roman" w:hAnsi="Times New Roman" w:cs="Times New Roman"/>
                <w:sz w:val="22"/>
                <w:szCs w:val="22"/>
                <w:lang w:val="lt-LT"/>
              </w:rPr>
              <w:t>analizy</w:t>
            </w:r>
          </w:p>
        </w:tc>
        <w:tc>
          <w:tcPr>
            <w:tcW w:w="1805" w:type="pct"/>
            <w:vAlign w:val="center"/>
          </w:tcPr>
          <w:p w14:paraId="298A2752"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406</w:t>
            </w:r>
          </w:p>
        </w:tc>
        <w:tc>
          <w:tcPr>
            <w:tcW w:w="1735" w:type="pct"/>
            <w:vAlign w:val="center"/>
          </w:tcPr>
          <w:p w14:paraId="34134197" w14:textId="77777777" w:rsidR="008B2ADB" w:rsidRPr="0079539C" w:rsidRDefault="008B2ADB" w:rsidP="00894B81">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404</w:t>
            </w:r>
          </w:p>
        </w:tc>
      </w:tr>
      <w:tr w:rsidR="008B2ADB" w:rsidRPr="00CA72C4" w14:paraId="5DE68255" w14:textId="77777777" w:rsidTr="00F533B1">
        <w:trPr>
          <w:trHeight w:val="270"/>
        </w:trPr>
        <w:tc>
          <w:tcPr>
            <w:tcW w:w="1460" w:type="pct"/>
          </w:tcPr>
          <w:p w14:paraId="554D2D4F" w14:textId="77777777" w:rsidR="008B2ADB" w:rsidRPr="00CA72C4" w:rsidRDefault="008B2ADB" w:rsidP="00D878B0">
            <w:pPr>
              <w:keepNext/>
              <w:tabs>
                <w:tab w:val="left" w:pos="567"/>
              </w:tabs>
              <w:ind w:left="567"/>
              <w:rPr>
                <w:rFonts w:ascii="Times New Roman" w:eastAsia="Times New Roman" w:hAnsi="Times New Roman" w:cs="Times New Roman"/>
                <w:sz w:val="22"/>
                <w:szCs w:val="22"/>
                <w:lang w:val="lt-LT"/>
              </w:rPr>
            </w:pPr>
            <w:r w:rsidRPr="00CA72C4">
              <w:rPr>
                <w:rFonts w:ascii="Times New Roman" w:eastAsia="Times New Roman" w:hAnsi="Times New Roman" w:cs="Times New Roman"/>
                <w:sz w:val="22"/>
                <w:szCs w:val="22"/>
                <w:lang w:val="lt-LT"/>
              </w:rPr>
              <w:t>Odsetek</w:t>
            </w:r>
          </w:p>
        </w:tc>
        <w:tc>
          <w:tcPr>
            <w:tcW w:w="1805" w:type="pct"/>
            <w:vAlign w:val="center"/>
          </w:tcPr>
          <w:p w14:paraId="0CD00977" w14:textId="77777777" w:rsidR="008B2ADB" w:rsidRPr="0079539C" w:rsidRDefault="008B2ADB" w:rsidP="00AD50A9">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3,9%</w:t>
            </w:r>
          </w:p>
        </w:tc>
        <w:tc>
          <w:tcPr>
            <w:tcW w:w="1735" w:type="pct"/>
            <w:vAlign w:val="bottom"/>
          </w:tcPr>
          <w:p w14:paraId="2407E4F0" w14:textId="77777777" w:rsidR="008B2ADB" w:rsidRPr="0079539C" w:rsidRDefault="008B2ADB" w:rsidP="00AD50A9">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5,4%</w:t>
            </w:r>
          </w:p>
        </w:tc>
      </w:tr>
      <w:tr w:rsidR="008B2ADB" w:rsidRPr="00CA72C4" w14:paraId="3E5BDF02" w14:textId="77777777" w:rsidTr="00F533B1">
        <w:trPr>
          <w:trHeight w:val="238"/>
        </w:trPr>
        <w:tc>
          <w:tcPr>
            <w:tcW w:w="1460" w:type="pct"/>
            <w:vAlign w:val="bottom"/>
          </w:tcPr>
          <w:p w14:paraId="6F22EB17" w14:textId="77777777" w:rsidR="008B2ADB" w:rsidRPr="00CA72C4" w:rsidRDefault="008B2ADB">
            <w:pPr>
              <w:spacing w:line="0" w:lineRule="atLeast"/>
              <w:rPr>
                <w:rFonts w:ascii="Times New Roman" w:eastAsia="Times New Roman" w:hAnsi="Times New Roman" w:cs="Times New Roman"/>
                <w:sz w:val="22"/>
                <w:szCs w:val="22"/>
                <w:lang w:val="lt-LT"/>
              </w:rPr>
            </w:pPr>
          </w:p>
        </w:tc>
        <w:tc>
          <w:tcPr>
            <w:tcW w:w="3540" w:type="pct"/>
            <w:gridSpan w:val="2"/>
            <w:vAlign w:val="center"/>
          </w:tcPr>
          <w:p w14:paraId="29A1C6FF" w14:textId="77777777" w:rsidR="008B2ADB" w:rsidRPr="0079539C" w:rsidRDefault="008B2ADB" w:rsidP="00D878B0">
            <w:pPr>
              <w:spacing w:line="0" w:lineRule="atLeast"/>
              <w:ind w:left="57"/>
              <w:jc w:val="center"/>
              <w:rPr>
                <w:rFonts w:ascii="Times New Roman" w:eastAsia="Times New Roman" w:hAnsi="Times New Roman" w:cs="Times New Roman"/>
                <w:sz w:val="22"/>
                <w:szCs w:val="22"/>
                <w:lang w:val="lt-LT"/>
              </w:rPr>
            </w:pPr>
            <w:r w:rsidRPr="0079539C">
              <w:rPr>
                <w:rFonts w:ascii="Times New Roman" w:eastAsia="Times New Roman" w:hAnsi="Times New Roman" w:cs="Times New Roman"/>
                <w:sz w:val="22"/>
                <w:szCs w:val="22"/>
                <w:lang w:val="lt-LT"/>
              </w:rPr>
              <w:t>(wartość p = 0,3113)</w:t>
            </w:r>
          </w:p>
        </w:tc>
      </w:tr>
    </w:tbl>
    <w:p w14:paraId="6587164F" w14:textId="77777777" w:rsidR="00071CFE" w:rsidRPr="009D1163" w:rsidRDefault="00FB7B6A" w:rsidP="002E35A7">
      <w:pPr>
        <w:numPr>
          <w:ilvl w:val="0"/>
          <w:numId w:val="14"/>
        </w:numPr>
        <w:tabs>
          <w:tab w:val="left" w:pos="567"/>
        </w:tabs>
        <w:ind w:left="567" w:hanging="567"/>
        <w:rPr>
          <w:rFonts w:ascii="Times New Roman" w:eastAsia="Times New Roman" w:hAnsi="Times New Roman"/>
          <w:lang w:val="lt-LT"/>
        </w:rPr>
      </w:pPr>
      <w:r w:rsidRPr="00741122">
        <w:rPr>
          <w:rFonts w:ascii="Times New Roman" w:eastAsia="Times New Roman" w:hAnsi="Times New Roman"/>
          <w:lang w:val="lt-LT"/>
        </w:rPr>
        <w:t>5,0 mg/kg</w:t>
      </w:r>
      <w:r w:rsidR="005B018D">
        <w:rPr>
          <w:rFonts w:ascii="Times New Roman" w:eastAsia="Times New Roman" w:hAnsi="Times New Roman"/>
          <w:lang w:val="lt-LT"/>
        </w:rPr>
        <w:t> mc.</w:t>
      </w:r>
      <w:r w:rsidRPr="00741122">
        <w:rPr>
          <w:rFonts w:ascii="Times New Roman" w:eastAsia="Times New Roman" w:hAnsi="Times New Roman"/>
          <w:lang w:val="lt-LT"/>
        </w:rPr>
        <w:t xml:space="preserve"> co 2 tygodnie lub 7,5 </w:t>
      </w:r>
      <w:r w:rsidR="00071CFE" w:rsidRPr="00741122">
        <w:rPr>
          <w:rFonts w:ascii="Times New Roman" w:eastAsia="Times New Roman" w:hAnsi="Times New Roman"/>
          <w:lang w:val="lt-LT"/>
        </w:rPr>
        <w:t>mg/kg</w:t>
      </w:r>
      <w:r w:rsidR="005B018D">
        <w:rPr>
          <w:rFonts w:ascii="Times New Roman" w:eastAsia="Times New Roman" w:hAnsi="Times New Roman"/>
          <w:lang w:val="lt-LT"/>
        </w:rPr>
        <w:t> mc.</w:t>
      </w:r>
      <w:r w:rsidR="00071CFE" w:rsidRPr="00741122">
        <w:rPr>
          <w:rFonts w:ascii="Times New Roman" w:eastAsia="Times New Roman" w:hAnsi="Times New Roman"/>
          <w:lang w:val="lt-LT"/>
        </w:rPr>
        <w:t xml:space="preserve"> co 3 tygodnie</w:t>
      </w:r>
    </w:p>
    <w:p w14:paraId="0A6FB297" w14:textId="77777777" w:rsidR="00FB7B6A" w:rsidRPr="00741122" w:rsidRDefault="00FB7B6A" w:rsidP="002E35A7">
      <w:pPr>
        <w:rPr>
          <w:rFonts w:ascii="Times New Roman" w:eastAsia="Times New Roman" w:hAnsi="Times New Roman" w:cs="Times New Roman"/>
          <w:sz w:val="22"/>
          <w:szCs w:val="22"/>
          <w:lang w:val="lt-LT"/>
        </w:rPr>
      </w:pPr>
    </w:p>
    <w:p w14:paraId="7A22EED1" w14:textId="77777777" w:rsidR="00071CFE" w:rsidRPr="00741122" w:rsidRDefault="00071CFE" w:rsidP="002E35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Obserwowano również statystycznie istotną poprawę w zakresie przeżycia wolnego od progresji.</w:t>
      </w:r>
      <w:r w:rsidR="00FB7B6A"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Wskaźnik obiektywnych odpowiedzi na leczenie był niski w obu grupach, a różnica nie była istotna.</w:t>
      </w:r>
    </w:p>
    <w:p w14:paraId="2930CF53" w14:textId="77777777" w:rsidR="00071CFE" w:rsidRPr="00741122" w:rsidRDefault="00071CFE" w:rsidP="004B5B3A">
      <w:pPr>
        <w:rPr>
          <w:rFonts w:ascii="Times New Roman" w:eastAsia="Times New Roman" w:hAnsi="Times New Roman" w:cs="Times New Roman"/>
          <w:sz w:val="22"/>
          <w:szCs w:val="22"/>
          <w:lang w:val="lt-LT"/>
        </w:rPr>
      </w:pPr>
    </w:p>
    <w:p w14:paraId="508E5F52" w14:textId="77777777" w:rsidR="00071CFE" w:rsidRPr="00741122" w:rsidRDefault="00071CFE" w:rsidP="002E35A7">
      <w:pPr>
        <w:rPr>
          <w:rFonts w:ascii="Times New Roman" w:eastAsia="Times New Roman" w:hAnsi="Times New Roman"/>
          <w:lang w:val="lt-LT"/>
        </w:rPr>
      </w:pPr>
      <w:r w:rsidRPr="0040170A">
        <w:rPr>
          <w:rFonts w:ascii="Times New Roman" w:eastAsia="Times New Roman" w:hAnsi="Times New Roman" w:cs="Times New Roman"/>
          <w:sz w:val="22"/>
          <w:szCs w:val="22"/>
          <w:lang w:val="lt-LT"/>
        </w:rPr>
        <w:t>W badaniu E3200</w:t>
      </w:r>
      <w:r w:rsidRPr="00741122">
        <w:rPr>
          <w:rFonts w:ascii="Times New Roman" w:eastAsia="Times New Roman" w:hAnsi="Times New Roman" w:cs="Times New Roman"/>
          <w:sz w:val="22"/>
          <w:szCs w:val="22"/>
          <w:lang w:val="lt-LT"/>
        </w:rPr>
        <w:t xml:space="preserve"> zastosowano daw</w:t>
      </w:r>
      <w:r w:rsidR="00FB7B6A" w:rsidRPr="00741122">
        <w:rPr>
          <w:rFonts w:ascii="Times New Roman" w:eastAsia="Times New Roman" w:hAnsi="Times New Roman" w:cs="Times New Roman"/>
          <w:sz w:val="22"/>
          <w:szCs w:val="22"/>
          <w:lang w:val="lt-LT"/>
        </w:rPr>
        <w:t>kę bewacyzumabu odpowiadającą 5 </w:t>
      </w:r>
      <w:r w:rsidRPr="00741122">
        <w:rPr>
          <w:rFonts w:ascii="Times New Roman" w:eastAsia="Times New Roman" w:hAnsi="Times New Roman" w:cs="Times New Roman"/>
          <w:sz w:val="22"/>
          <w:szCs w:val="22"/>
          <w:lang w:val="lt-LT"/>
        </w:rPr>
        <w:t>mg/kg</w:t>
      </w:r>
      <w:r w:rsidR="005B018D">
        <w:rPr>
          <w:rFonts w:ascii="Times New Roman" w:eastAsia="Times New Roman" w:hAnsi="Times New Roman" w:cs="Times New Roman"/>
          <w:sz w:val="22"/>
          <w:szCs w:val="22"/>
          <w:lang w:val="lt-LT"/>
        </w:rPr>
        <w:t> mc.</w:t>
      </w:r>
      <w:r w:rsidR="00E8240E">
        <w:rPr>
          <w:rFonts w:ascii="Times New Roman" w:eastAsia="Times New Roman" w:hAnsi="Times New Roman" w:cs="Times New Roman"/>
          <w:sz w:val="22"/>
          <w:szCs w:val="22"/>
          <w:lang w:val="lt-LT"/>
        </w:rPr>
        <w:t xml:space="preserve"> na </w:t>
      </w:r>
      <w:r w:rsidRPr="00741122">
        <w:rPr>
          <w:rFonts w:ascii="Times New Roman" w:eastAsia="Times New Roman" w:hAnsi="Times New Roman" w:cs="Times New Roman"/>
          <w:sz w:val="22"/>
          <w:szCs w:val="22"/>
          <w:lang w:val="lt-LT"/>
        </w:rPr>
        <w:t>tydzień u chorych, u których nie stosowano uprzednio tego leku, natomiast w badaniu ML18147 została zast</w:t>
      </w:r>
      <w:r w:rsidR="00FB7B6A" w:rsidRPr="00741122">
        <w:rPr>
          <w:rFonts w:ascii="Times New Roman" w:eastAsia="Times New Roman" w:hAnsi="Times New Roman" w:cs="Times New Roman"/>
          <w:sz w:val="22"/>
          <w:szCs w:val="22"/>
          <w:lang w:val="lt-LT"/>
        </w:rPr>
        <w:t>osowana dawka odpowiadająca 2,5 </w:t>
      </w:r>
      <w:r w:rsidRPr="00741122">
        <w:rPr>
          <w:rFonts w:ascii="Times New Roman" w:eastAsia="Times New Roman" w:hAnsi="Times New Roman" w:cs="Times New Roman"/>
          <w:sz w:val="22"/>
          <w:szCs w:val="22"/>
          <w:lang w:val="lt-LT"/>
        </w:rPr>
        <w:t>mg/kg</w:t>
      </w:r>
      <w:r w:rsidR="005B018D">
        <w:rPr>
          <w:rFonts w:ascii="Times New Roman" w:eastAsia="Times New Roman" w:hAnsi="Times New Roman" w:cs="Times New Roman"/>
          <w:sz w:val="22"/>
          <w:szCs w:val="22"/>
          <w:lang w:val="lt-LT"/>
        </w:rPr>
        <w:t> mc.</w:t>
      </w:r>
      <w:r w:rsidR="00E8240E">
        <w:rPr>
          <w:rFonts w:ascii="Times New Roman" w:eastAsia="Times New Roman" w:hAnsi="Times New Roman" w:cs="Times New Roman"/>
          <w:sz w:val="22"/>
          <w:szCs w:val="22"/>
          <w:lang w:val="lt-LT"/>
        </w:rPr>
        <w:t xml:space="preserve"> na </w:t>
      </w:r>
      <w:r w:rsidRPr="00741122">
        <w:rPr>
          <w:rFonts w:ascii="Times New Roman" w:eastAsia="Times New Roman" w:hAnsi="Times New Roman" w:cs="Times New Roman"/>
          <w:sz w:val="22"/>
          <w:szCs w:val="22"/>
          <w:lang w:val="lt-LT"/>
        </w:rPr>
        <w:t>tydzień bewacyzumabu u chorych uprzednio leczonych bewacyzumabem. Możliwość porównania danych skuteczności i bezpieczeństwa uzyskanych</w:t>
      </w:r>
      <w:r w:rsidR="00FB7B6A"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w badaniach jest ograniczona ze względu na różnice pomiędzy badaniami, dotyczące przede wszystkim populacji pacjentów, uprzedniego zastosowania bewacyzumabu oraz schematów chemioterapii. Zarówno po zastosowaniu dawki odpowiadającej </w:t>
      </w:r>
      <w:r w:rsidR="00FB7B6A" w:rsidRPr="00741122">
        <w:rPr>
          <w:rFonts w:ascii="Times New Roman" w:hAnsi="Times New Roman" w:cs="Times New Roman"/>
          <w:sz w:val="22"/>
          <w:szCs w:val="22"/>
          <w:lang w:val="lt-LT"/>
        </w:rPr>
        <w:t>5 </w:t>
      </w:r>
      <w:r w:rsidRPr="00741122">
        <w:rPr>
          <w:rFonts w:ascii="Times New Roman" w:hAnsi="Times New Roman" w:cs="Times New Roman"/>
          <w:sz w:val="22"/>
          <w:szCs w:val="22"/>
          <w:lang w:val="lt-LT"/>
        </w:rPr>
        <w:t>mg</w:t>
      </w:r>
      <w:r w:rsidRPr="00741122">
        <w:rPr>
          <w:rFonts w:ascii="Times New Roman" w:eastAsia="Times New Roman" w:hAnsi="Times New Roman" w:cs="Times New Roman"/>
          <w:sz w:val="22"/>
          <w:szCs w:val="22"/>
          <w:lang w:val="lt-LT"/>
        </w:rPr>
        <w:t>/kg</w:t>
      </w:r>
      <w:r w:rsidR="005B018D">
        <w:rPr>
          <w:rFonts w:ascii="Times New Roman" w:eastAsia="Times New Roman" w:hAnsi="Times New Roman" w:cs="Times New Roman"/>
          <w:sz w:val="22"/>
          <w:szCs w:val="22"/>
          <w:lang w:val="lt-LT"/>
        </w:rPr>
        <w:t> mc.</w:t>
      </w:r>
      <w:r w:rsidR="00E8240E">
        <w:rPr>
          <w:rFonts w:ascii="Times New Roman" w:eastAsia="Times New Roman" w:hAnsi="Times New Roman" w:cs="Times New Roman"/>
          <w:sz w:val="22"/>
          <w:szCs w:val="22"/>
          <w:lang w:val="lt-LT"/>
        </w:rPr>
        <w:t xml:space="preserve"> na </w:t>
      </w:r>
      <w:r w:rsidRPr="00741122">
        <w:rPr>
          <w:rFonts w:ascii="Times New Roman" w:eastAsia="Times New Roman" w:hAnsi="Times New Roman" w:cs="Times New Roman"/>
          <w:sz w:val="22"/>
          <w:szCs w:val="22"/>
          <w:lang w:val="lt-LT"/>
        </w:rPr>
        <w:t>tydzie</w:t>
      </w:r>
      <w:r w:rsidR="00FB7B6A" w:rsidRPr="00741122">
        <w:rPr>
          <w:rFonts w:ascii="Times New Roman" w:eastAsia="Times New Roman" w:hAnsi="Times New Roman" w:cs="Times New Roman"/>
          <w:sz w:val="22"/>
          <w:szCs w:val="22"/>
          <w:lang w:val="lt-LT"/>
        </w:rPr>
        <w:t>ń bewacyzumabu, jak i dawki 2,5 </w:t>
      </w:r>
      <w:r w:rsidRPr="00741122">
        <w:rPr>
          <w:rFonts w:ascii="Times New Roman" w:eastAsia="Times New Roman" w:hAnsi="Times New Roman" w:cs="Times New Roman"/>
          <w:sz w:val="22"/>
          <w:szCs w:val="22"/>
          <w:lang w:val="lt-LT"/>
        </w:rPr>
        <w:t>mg/kg</w:t>
      </w:r>
      <w:r w:rsidR="005B018D">
        <w:rPr>
          <w:rFonts w:ascii="Times New Roman" w:eastAsia="Times New Roman" w:hAnsi="Times New Roman" w:cs="Times New Roman"/>
          <w:sz w:val="22"/>
          <w:szCs w:val="22"/>
          <w:lang w:val="lt-LT"/>
        </w:rPr>
        <w:t> mc.</w:t>
      </w:r>
      <w:r w:rsidR="00E8240E">
        <w:rPr>
          <w:rFonts w:ascii="Times New Roman" w:eastAsia="Times New Roman" w:hAnsi="Times New Roman" w:cs="Times New Roman"/>
          <w:sz w:val="22"/>
          <w:szCs w:val="22"/>
          <w:lang w:val="lt-LT"/>
        </w:rPr>
        <w:t xml:space="preserve"> na </w:t>
      </w:r>
      <w:r w:rsidRPr="00741122">
        <w:rPr>
          <w:rFonts w:ascii="Times New Roman" w:eastAsia="Times New Roman" w:hAnsi="Times New Roman" w:cs="Times New Roman"/>
          <w:sz w:val="22"/>
          <w:szCs w:val="22"/>
          <w:lang w:val="lt-LT"/>
        </w:rPr>
        <w:t>tydzień obserwowano istotną statystycznie</w:t>
      </w:r>
      <w:r w:rsidRPr="00741122">
        <w:rPr>
          <w:rFonts w:ascii="Times New Roman" w:eastAsia="Times New Roman" w:hAnsi="Times New Roman"/>
          <w:sz w:val="22"/>
          <w:lang w:val="lt-LT"/>
        </w:rPr>
        <w:t xml:space="preserve"> korzyść w zakresie przeżycia całkowitego (HR 0,751 w badaniu E3200; HR 0,81 w badaniu ML18147) i czasu przeżycia bez progresji (HR 0,518 w badaniu E3200; HR 0,68 w badaniu ML18147). Odnośnie bezpieczeństwa, obserwowano większą ilość zdarzeń niepożądanych stopnia 3-5</w:t>
      </w:r>
      <w:r w:rsidR="005B018D">
        <w:rPr>
          <w:rFonts w:ascii="Times New Roman" w:eastAsia="Times New Roman" w:hAnsi="Times New Roman"/>
          <w:sz w:val="22"/>
          <w:lang w:val="lt-LT"/>
        </w:rPr>
        <w:t>.</w:t>
      </w:r>
      <w:r w:rsidRPr="00741122">
        <w:rPr>
          <w:rFonts w:ascii="Times New Roman" w:eastAsia="Times New Roman" w:hAnsi="Times New Roman"/>
          <w:sz w:val="22"/>
          <w:lang w:val="lt-LT"/>
        </w:rPr>
        <w:t xml:space="preserve"> w badaniu E3200, w porównaniu z badaniem ML18147.</w:t>
      </w:r>
    </w:p>
    <w:p w14:paraId="00EBA12A" w14:textId="77777777" w:rsidR="00071CFE" w:rsidRPr="00741122" w:rsidRDefault="00071CFE" w:rsidP="002E35A7">
      <w:pPr>
        <w:rPr>
          <w:rFonts w:ascii="Times New Roman" w:eastAsia="Times New Roman" w:hAnsi="Times New Roman" w:cs="Times New Roman"/>
          <w:sz w:val="22"/>
          <w:szCs w:val="22"/>
          <w:lang w:val="lt-LT"/>
        </w:rPr>
      </w:pPr>
    </w:p>
    <w:p w14:paraId="6A926999" w14:textId="77777777" w:rsidR="00071CFE" w:rsidRPr="00741122" w:rsidRDefault="00071CFE" w:rsidP="002E35A7">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Rozsiany rak piersi (mBC)</w:t>
      </w:r>
    </w:p>
    <w:p w14:paraId="0DEA0C45" w14:textId="77777777" w:rsidR="004B5B3A" w:rsidRPr="00741122" w:rsidRDefault="004B5B3A" w:rsidP="002E35A7">
      <w:pPr>
        <w:rPr>
          <w:rFonts w:ascii="Times New Roman" w:eastAsia="Times New Roman" w:hAnsi="Times New Roman" w:cs="Times New Roman"/>
          <w:i/>
          <w:sz w:val="22"/>
          <w:szCs w:val="22"/>
          <w:u w:val="single"/>
          <w:lang w:val="lt-LT"/>
        </w:rPr>
      </w:pPr>
    </w:p>
    <w:p w14:paraId="66E57168" w14:textId="67551EC4" w:rsidR="00071CFE" w:rsidRPr="00741122" w:rsidRDefault="00071CFE" w:rsidP="002E35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Przeprowadzono </w:t>
      </w:r>
      <w:r w:rsidR="006807D7">
        <w:rPr>
          <w:rFonts w:ascii="Times New Roman" w:eastAsia="Times New Roman" w:hAnsi="Times New Roman" w:cs="Times New Roman"/>
          <w:sz w:val="22"/>
          <w:szCs w:val="22"/>
          <w:lang w:val="lt-LT"/>
        </w:rPr>
        <w:t xml:space="preserve">dwa </w:t>
      </w:r>
      <w:r w:rsidRPr="00741122">
        <w:rPr>
          <w:rFonts w:ascii="Times New Roman" w:eastAsia="Times New Roman" w:hAnsi="Times New Roman" w:cs="Times New Roman"/>
          <w:sz w:val="22"/>
          <w:szCs w:val="22"/>
          <w:lang w:val="lt-LT"/>
        </w:rPr>
        <w:t>duże badani</w:t>
      </w:r>
      <w:r w:rsidR="006807D7">
        <w:rPr>
          <w:rFonts w:ascii="Times New Roman" w:eastAsia="Times New Roman" w:hAnsi="Times New Roman" w:cs="Times New Roman"/>
          <w:sz w:val="22"/>
          <w:szCs w:val="22"/>
          <w:lang w:val="lt-LT"/>
        </w:rPr>
        <w:t>a</w:t>
      </w:r>
      <w:r w:rsidRPr="00741122">
        <w:rPr>
          <w:rFonts w:ascii="Times New Roman" w:eastAsia="Times New Roman" w:hAnsi="Times New Roman" w:cs="Times New Roman"/>
          <w:sz w:val="22"/>
          <w:szCs w:val="22"/>
          <w:lang w:val="lt-LT"/>
        </w:rPr>
        <w:t xml:space="preserve"> kliniczne III fazy, w który</w:t>
      </w:r>
      <w:r w:rsidR="00EB3489">
        <w:rPr>
          <w:rFonts w:ascii="Times New Roman" w:eastAsia="Times New Roman" w:hAnsi="Times New Roman" w:cs="Times New Roman"/>
          <w:sz w:val="22"/>
          <w:szCs w:val="22"/>
          <w:lang w:val="lt-LT"/>
        </w:rPr>
        <w:t>m</w:t>
      </w:r>
      <w:r w:rsidRPr="00741122">
        <w:rPr>
          <w:rFonts w:ascii="Times New Roman" w:eastAsia="Times New Roman" w:hAnsi="Times New Roman" w:cs="Times New Roman"/>
          <w:sz w:val="22"/>
          <w:szCs w:val="22"/>
          <w:lang w:val="lt-LT"/>
        </w:rPr>
        <w:t xml:space="preserve"> oceniono działanie </w:t>
      </w:r>
      <w:r w:rsidR="007472F1">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 </w:t>
      </w:r>
      <w:r w:rsidR="006807D7">
        <w:rPr>
          <w:rFonts w:ascii="Times New Roman" w:eastAsia="Times New Roman" w:hAnsi="Times New Roman" w:cs="Times New Roman"/>
          <w:sz w:val="22"/>
          <w:szCs w:val="22"/>
          <w:lang w:val="lt-LT"/>
        </w:rPr>
        <w:t xml:space="preserve">dwoma </w:t>
      </w:r>
      <w:r w:rsidR="00A00394">
        <w:rPr>
          <w:rFonts w:ascii="Times New Roman" w:eastAsia="Times New Roman" w:hAnsi="Times New Roman" w:cs="Times New Roman"/>
          <w:sz w:val="22"/>
          <w:szCs w:val="22"/>
          <w:lang w:val="lt-LT"/>
        </w:rPr>
        <w:t xml:space="preserve">różnymi </w:t>
      </w:r>
      <w:r w:rsidR="005A5F0A">
        <w:rPr>
          <w:rFonts w:ascii="Times New Roman" w:eastAsia="Times New Roman" w:hAnsi="Times New Roman" w:cs="Times New Roman"/>
          <w:sz w:val="22"/>
          <w:szCs w:val="22"/>
          <w:lang w:val="lt-LT"/>
        </w:rPr>
        <w:t>lekami chemioterapeutycznymi</w:t>
      </w:r>
      <w:r w:rsidRPr="00741122">
        <w:rPr>
          <w:rFonts w:ascii="Times New Roman" w:eastAsia="Times New Roman" w:hAnsi="Times New Roman" w:cs="Times New Roman"/>
          <w:sz w:val="22"/>
          <w:szCs w:val="22"/>
          <w:lang w:val="lt-LT"/>
        </w:rPr>
        <w:t xml:space="preserve">, z oceną czasu przeżycia wolnego od progresji (PFS) jako pierwszorzędowym punktem końcowym. W </w:t>
      </w:r>
      <w:r w:rsidR="005A5F0A">
        <w:rPr>
          <w:rFonts w:ascii="Times New Roman" w:eastAsia="Times New Roman" w:hAnsi="Times New Roman" w:cs="Times New Roman"/>
          <w:sz w:val="22"/>
          <w:szCs w:val="22"/>
          <w:lang w:val="lt-LT"/>
        </w:rPr>
        <w:t xml:space="preserve">obu </w:t>
      </w:r>
      <w:r w:rsidR="00A00394">
        <w:rPr>
          <w:rFonts w:ascii="Times New Roman" w:eastAsia="Times New Roman" w:hAnsi="Times New Roman" w:cs="Times New Roman"/>
          <w:sz w:val="22"/>
          <w:szCs w:val="22"/>
          <w:lang w:val="lt-LT"/>
        </w:rPr>
        <w:t xml:space="preserve">tych </w:t>
      </w:r>
      <w:r w:rsidRPr="00741122">
        <w:rPr>
          <w:rFonts w:ascii="Times New Roman" w:eastAsia="Times New Roman" w:hAnsi="Times New Roman" w:cs="Times New Roman"/>
          <w:sz w:val="22"/>
          <w:szCs w:val="22"/>
          <w:lang w:val="lt-LT"/>
        </w:rPr>
        <w:t>badani</w:t>
      </w:r>
      <w:r w:rsidR="005A5F0A">
        <w:rPr>
          <w:rFonts w:ascii="Times New Roman" w:eastAsia="Times New Roman" w:hAnsi="Times New Roman" w:cs="Times New Roman"/>
          <w:sz w:val="22"/>
          <w:szCs w:val="22"/>
          <w:lang w:val="lt-LT"/>
        </w:rPr>
        <w:t>ach</w:t>
      </w:r>
      <w:r w:rsidR="00680B1E">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obserwowano istotne kliniczn</w:t>
      </w:r>
      <w:r w:rsidR="00680B1E">
        <w:rPr>
          <w:rFonts w:ascii="Times New Roman" w:eastAsia="Times New Roman" w:hAnsi="Times New Roman" w:cs="Times New Roman"/>
          <w:sz w:val="22"/>
          <w:szCs w:val="22"/>
          <w:lang w:val="lt-LT"/>
        </w:rPr>
        <w:t>i</w:t>
      </w:r>
      <w:r w:rsidRPr="00741122">
        <w:rPr>
          <w:rFonts w:ascii="Times New Roman" w:eastAsia="Times New Roman" w:hAnsi="Times New Roman" w:cs="Times New Roman"/>
          <w:sz w:val="22"/>
          <w:szCs w:val="22"/>
          <w:lang w:val="lt-LT"/>
        </w:rPr>
        <w:t>e i znamienne statystycznie wydłużenia czasu przeżycia wolnego od progresji.</w:t>
      </w:r>
    </w:p>
    <w:p w14:paraId="0B3C816B" w14:textId="77777777" w:rsidR="00071CFE" w:rsidRPr="00741122" w:rsidRDefault="00071CFE" w:rsidP="002E35A7">
      <w:pPr>
        <w:rPr>
          <w:rFonts w:ascii="Times New Roman" w:eastAsia="Times New Roman" w:hAnsi="Times New Roman" w:cs="Times New Roman"/>
          <w:sz w:val="22"/>
          <w:szCs w:val="22"/>
          <w:lang w:val="lt-LT"/>
        </w:rPr>
      </w:pPr>
    </w:p>
    <w:p w14:paraId="2B3DA929" w14:textId="6EA6412B" w:rsidR="00071CFE" w:rsidRPr="00741122" w:rsidRDefault="00071CFE" w:rsidP="002E35A7">
      <w:pPr>
        <w:rPr>
          <w:rFonts w:ascii="Times New Roman" w:eastAsia="Times New Roman" w:hAnsi="Times New Roman"/>
          <w:sz w:val="22"/>
          <w:lang w:val="lt-LT"/>
        </w:rPr>
      </w:pPr>
      <w:r w:rsidRPr="00741122">
        <w:rPr>
          <w:rFonts w:ascii="Times New Roman" w:eastAsia="Times New Roman" w:hAnsi="Times New Roman"/>
          <w:sz w:val="22"/>
          <w:lang w:val="lt-LT"/>
        </w:rPr>
        <w:t>Wyniki uzyskane dla parametru PFS</w:t>
      </w:r>
      <w:r w:rsidR="00680B1E">
        <w:rPr>
          <w:rFonts w:ascii="Times New Roman" w:eastAsia="Times New Roman" w:hAnsi="Times New Roman"/>
          <w:sz w:val="22"/>
          <w:lang w:val="lt-LT"/>
        </w:rPr>
        <w:t xml:space="preserve"> </w:t>
      </w:r>
      <w:r w:rsidR="00A00394">
        <w:rPr>
          <w:rFonts w:ascii="Times New Roman" w:eastAsia="Times New Roman" w:hAnsi="Times New Roman"/>
          <w:sz w:val="22"/>
          <w:lang w:val="lt-LT"/>
        </w:rPr>
        <w:t xml:space="preserve">dla </w:t>
      </w:r>
      <w:r w:rsidR="005A5F0A" w:rsidRPr="005A5F0A">
        <w:rPr>
          <w:rFonts w:ascii="Times New Roman" w:eastAsia="Times New Roman" w:hAnsi="Times New Roman"/>
          <w:sz w:val="22"/>
          <w:lang w:val="lt-LT"/>
        </w:rPr>
        <w:t xml:space="preserve">poszczególnych leków chemioterapeutycznych objętych tym wskazaniem </w:t>
      </w:r>
      <w:r w:rsidR="00680B1E">
        <w:rPr>
          <w:rFonts w:ascii="Times New Roman" w:eastAsia="Times New Roman" w:hAnsi="Times New Roman"/>
          <w:sz w:val="22"/>
          <w:lang w:val="lt-LT"/>
        </w:rPr>
        <w:t>zo</w:t>
      </w:r>
      <w:r w:rsidRPr="00741122">
        <w:rPr>
          <w:rFonts w:ascii="Times New Roman" w:eastAsia="Times New Roman" w:hAnsi="Times New Roman"/>
          <w:sz w:val="22"/>
          <w:lang w:val="lt-LT"/>
        </w:rPr>
        <w:t xml:space="preserve">stały </w:t>
      </w:r>
      <w:r w:rsidR="00680B1E">
        <w:rPr>
          <w:rFonts w:ascii="Times New Roman" w:eastAsia="Times New Roman" w:hAnsi="Times New Roman"/>
          <w:sz w:val="22"/>
          <w:lang w:val="lt-LT"/>
        </w:rPr>
        <w:t>podane</w:t>
      </w:r>
      <w:r w:rsidRPr="00741122">
        <w:rPr>
          <w:rFonts w:ascii="Times New Roman" w:eastAsia="Times New Roman" w:hAnsi="Times New Roman"/>
          <w:sz w:val="22"/>
          <w:lang w:val="lt-LT"/>
        </w:rPr>
        <w:t xml:space="preserve"> poniżej:</w:t>
      </w:r>
    </w:p>
    <w:p w14:paraId="778F41B7" w14:textId="77777777" w:rsidR="00071CFE" w:rsidRPr="00741122" w:rsidRDefault="00071CFE" w:rsidP="002E35A7">
      <w:pPr>
        <w:rPr>
          <w:rFonts w:ascii="Times New Roman" w:eastAsia="Times New Roman" w:hAnsi="Times New Roman"/>
          <w:lang w:val="lt-LT"/>
        </w:rPr>
      </w:pPr>
    </w:p>
    <w:p w14:paraId="4DD8EFAF" w14:textId="77777777" w:rsidR="00071CFE" w:rsidRPr="00741122" w:rsidRDefault="00071CFE" w:rsidP="005A5F0A">
      <w:pPr>
        <w:numPr>
          <w:ilvl w:val="0"/>
          <w:numId w:val="84"/>
        </w:numPr>
        <w:tabs>
          <w:tab w:val="left" w:pos="567"/>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Badanie E2100 (paklitaksel)</w:t>
      </w:r>
    </w:p>
    <w:p w14:paraId="166FDD20" w14:textId="1E10975A" w:rsidR="00071CFE" w:rsidRPr="002231C7" w:rsidRDefault="00071CFE" w:rsidP="00A356D1">
      <w:pPr>
        <w:numPr>
          <w:ilvl w:val="0"/>
          <w:numId w:val="84"/>
        </w:numPr>
        <w:tabs>
          <w:tab w:val="left" w:pos="993"/>
        </w:tabs>
        <w:ind w:left="567" w:firstLine="0"/>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Wydłużenie mediany PFS o 5,6 mies., HR 0,421 (p</w:t>
      </w:r>
      <w:r w:rsidR="005B018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&lt;</w:t>
      </w:r>
      <w:r w:rsidR="005B018D">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0,0001, 95% CI 0,343; 0,516)</w:t>
      </w:r>
    </w:p>
    <w:p w14:paraId="56833B44" w14:textId="77777777" w:rsidR="005A5F0A" w:rsidRPr="005A5F0A" w:rsidRDefault="005A5F0A" w:rsidP="002B1650">
      <w:pPr>
        <w:keepNext/>
        <w:numPr>
          <w:ilvl w:val="0"/>
          <w:numId w:val="84"/>
        </w:numPr>
        <w:tabs>
          <w:tab w:val="left" w:pos="567"/>
        </w:tabs>
        <w:ind w:left="567" w:hanging="567"/>
        <w:rPr>
          <w:rFonts w:ascii="Times New Roman" w:eastAsia="Arial" w:hAnsi="Times New Roman" w:cs="Times New Roman"/>
          <w:sz w:val="22"/>
          <w:szCs w:val="22"/>
          <w:lang w:val="lt-LT"/>
        </w:rPr>
      </w:pPr>
      <w:r w:rsidRPr="005A5F0A">
        <w:rPr>
          <w:rFonts w:ascii="Times New Roman" w:eastAsia="Arial" w:hAnsi="Times New Roman" w:cs="Times New Roman"/>
          <w:sz w:val="22"/>
          <w:szCs w:val="22"/>
          <w:lang w:val="lt-LT"/>
        </w:rPr>
        <w:lastRenderedPageBreak/>
        <w:t>Badanie AVF3694g (kapecytabina)</w:t>
      </w:r>
    </w:p>
    <w:p w14:paraId="7D8B216C" w14:textId="71266A5D" w:rsidR="005A5F0A" w:rsidRPr="005A5F0A" w:rsidRDefault="005A5F0A" w:rsidP="00A356D1">
      <w:pPr>
        <w:numPr>
          <w:ilvl w:val="0"/>
          <w:numId w:val="84"/>
        </w:numPr>
        <w:tabs>
          <w:tab w:val="left" w:pos="993"/>
        </w:tabs>
        <w:ind w:left="1134" w:hanging="567"/>
        <w:rPr>
          <w:rFonts w:ascii="Times New Roman" w:eastAsia="Arial" w:hAnsi="Times New Roman" w:cs="Times New Roman"/>
          <w:sz w:val="22"/>
          <w:szCs w:val="22"/>
          <w:lang w:val="lt-LT"/>
        </w:rPr>
      </w:pPr>
      <w:r w:rsidRPr="005A5F0A">
        <w:rPr>
          <w:rFonts w:ascii="Times New Roman" w:eastAsia="Arial" w:hAnsi="Times New Roman" w:cs="Times New Roman"/>
          <w:sz w:val="22"/>
          <w:szCs w:val="22"/>
          <w:lang w:val="lt-LT"/>
        </w:rPr>
        <w:t>Wydłużenie mediany PFS o 2,9 mies., HR 0,69 (p</w:t>
      </w:r>
      <w:r w:rsidR="007C7C9E">
        <w:rPr>
          <w:rFonts w:ascii="Times New Roman" w:eastAsia="Arial" w:hAnsi="Times New Roman" w:cs="Times New Roman"/>
          <w:sz w:val="22"/>
          <w:szCs w:val="22"/>
          <w:lang w:val="lt-LT"/>
        </w:rPr>
        <w:t> </w:t>
      </w:r>
      <w:r w:rsidRPr="005A5F0A">
        <w:rPr>
          <w:rFonts w:ascii="Times New Roman" w:eastAsia="Arial" w:hAnsi="Times New Roman" w:cs="Times New Roman"/>
          <w:sz w:val="22"/>
          <w:szCs w:val="22"/>
          <w:lang w:val="lt-LT"/>
        </w:rPr>
        <w:t>=</w:t>
      </w:r>
      <w:r w:rsidR="007C7C9E">
        <w:rPr>
          <w:rFonts w:ascii="Times New Roman" w:eastAsia="Arial" w:hAnsi="Times New Roman" w:cs="Times New Roman"/>
          <w:sz w:val="22"/>
          <w:szCs w:val="22"/>
          <w:lang w:val="lt-LT"/>
        </w:rPr>
        <w:t> </w:t>
      </w:r>
      <w:r w:rsidRPr="005A5F0A">
        <w:rPr>
          <w:rFonts w:ascii="Times New Roman" w:eastAsia="Arial" w:hAnsi="Times New Roman" w:cs="Times New Roman"/>
          <w:sz w:val="22"/>
          <w:szCs w:val="22"/>
          <w:lang w:val="lt-LT"/>
        </w:rPr>
        <w:t>0,0002, 95% CI 0,56; 0,84)</w:t>
      </w:r>
    </w:p>
    <w:p w14:paraId="5C82D237" w14:textId="77777777" w:rsidR="003920E9" w:rsidRDefault="003920E9" w:rsidP="002E35A7">
      <w:pPr>
        <w:rPr>
          <w:rFonts w:ascii="Times New Roman" w:eastAsia="Times New Roman" w:hAnsi="Times New Roman" w:cs="Times New Roman"/>
          <w:sz w:val="22"/>
          <w:szCs w:val="22"/>
          <w:lang w:val="lt-LT"/>
        </w:rPr>
      </w:pPr>
      <w:bookmarkStart w:id="34" w:name="page32"/>
      <w:bookmarkEnd w:id="34"/>
    </w:p>
    <w:p w14:paraId="21C76DA9" w14:textId="15295CED" w:rsidR="004B5B3A" w:rsidRPr="00741122" w:rsidRDefault="00071CFE" w:rsidP="002E35A7">
      <w:pPr>
        <w:rPr>
          <w:rFonts w:ascii="Times New Roman" w:eastAsia="Times New Roman" w:hAnsi="Times New Roman"/>
          <w:sz w:val="22"/>
          <w:lang w:val="lt-LT"/>
        </w:rPr>
      </w:pPr>
      <w:r w:rsidRPr="00741122">
        <w:rPr>
          <w:rFonts w:ascii="Times New Roman" w:eastAsia="Times New Roman" w:hAnsi="Times New Roman" w:cs="Times New Roman"/>
          <w:sz w:val="22"/>
          <w:szCs w:val="22"/>
          <w:lang w:val="lt-LT"/>
        </w:rPr>
        <w:t xml:space="preserve">Dalsze informacje dotyczące </w:t>
      </w:r>
      <w:r w:rsidR="00A00394">
        <w:rPr>
          <w:rFonts w:ascii="Times New Roman" w:eastAsia="Times New Roman" w:hAnsi="Times New Roman" w:cs="Times New Roman"/>
          <w:sz w:val="22"/>
          <w:szCs w:val="22"/>
          <w:lang w:val="lt-LT"/>
        </w:rPr>
        <w:t xml:space="preserve">poszczególnych </w:t>
      </w:r>
      <w:r w:rsidRPr="00741122">
        <w:rPr>
          <w:rFonts w:ascii="Times New Roman" w:eastAsia="Times New Roman" w:hAnsi="Times New Roman" w:cs="Times New Roman"/>
          <w:sz w:val="22"/>
          <w:szCs w:val="22"/>
          <w:lang w:val="lt-LT"/>
        </w:rPr>
        <w:t>bada</w:t>
      </w:r>
      <w:r w:rsidR="005A5F0A">
        <w:rPr>
          <w:rFonts w:ascii="Times New Roman" w:eastAsia="Times New Roman" w:hAnsi="Times New Roman" w:cs="Times New Roman"/>
          <w:sz w:val="22"/>
          <w:szCs w:val="22"/>
          <w:lang w:val="lt-LT"/>
        </w:rPr>
        <w:t>ń</w:t>
      </w:r>
      <w:r w:rsidRPr="00741122">
        <w:rPr>
          <w:rFonts w:ascii="Times New Roman" w:eastAsia="Times New Roman" w:hAnsi="Times New Roman" w:cs="Times New Roman"/>
          <w:sz w:val="22"/>
          <w:szCs w:val="22"/>
          <w:lang w:val="lt-LT"/>
        </w:rPr>
        <w:t xml:space="preserve"> i </w:t>
      </w:r>
      <w:r w:rsidR="005A5F0A">
        <w:rPr>
          <w:rFonts w:ascii="Times New Roman" w:eastAsia="Times New Roman" w:hAnsi="Times New Roman" w:cs="Times New Roman"/>
          <w:sz w:val="22"/>
          <w:szCs w:val="22"/>
          <w:lang w:val="lt-LT"/>
        </w:rPr>
        <w:t>ich</w:t>
      </w:r>
      <w:r w:rsidR="005A5F0A"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wyniki zostały przedstawione poniżej.</w:t>
      </w:r>
      <w:r w:rsidRPr="00741122">
        <w:rPr>
          <w:rFonts w:ascii="Times New Roman" w:eastAsia="Times New Roman" w:hAnsi="Times New Roman"/>
          <w:sz w:val="22"/>
          <w:lang w:val="lt-LT"/>
        </w:rPr>
        <w:t xml:space="preserve"> </w:t>
      </w:r>
    </w:p>
    <w:p w14:paraId="7AC6B286" w14:textId="77777777" w:rsidR="004B5B3A" w:rsidRPr="00741122" w:rsidRDefault="004B5B3A" w:rsidP="002E35A7">
      <w:pPr>
        <w:rPr>
          <w:rFonts w:ascii="Times New Roman" w:eastAsia="Times New Roman" w:hAnsi="Times New Roman"/>
          <w:sz w:val="22"/>
          <w:lang w:val="lt-LT"/>
        </w:rPr>
      </w:pPr>
    </w:p>
    <w:p w14:paraId="33BBBF7C" w14:textId="77777777" w:rsidR="00071CFE" w:rsidRPr="00741122" w:rsidRDefault="00071CFE" w:rsidP="002E35A7">
      <w:pPr>
        <w:rPr>
          <w:rFonts w:ascii="Times New Roman" w:eastAsia="Times New Roman" w:hAnsi="Times New Roman"/>
          <w:i/>
          <w:sz w:val="22"/>
          <w:szCs w:val="22"/>
          <w:lang w:val="lt-LT"/>
        </w:rPr>
      </w:pPr>
      <w:r w:rsidRPr="00741122">
        <w:rPr>
          <w:rFonts w:ascii="Times New Roman" w:eastAsia="Times New Roman" w:hAnsi="Times New Roman"/>
          <w:i/>
          <w:sz w:val="22"/>
          <w:szCs w:val="22"/>
          <w:lang w:val="lt-LT"/>
        </w:rPr>
        <w:t>ECOG E2100</w:t>
      </w:r>
    </w:p>
    <w:p w14:paraId="44ADB4D0" w14:textId="77777777" w:rsidR="00071CFE" w:rsidRPr="00741122" w:rsidRDefault="00071CFE" w:rsidP="002E35A7">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Wieloośrodkowe badanie E2100 prowadzono metodą otwartej próby z randomizacją i stosowaniem produktu aktywnego w grupie kontrolnej w celu oceny terapii skojarzonej paklitakselem i </w:t>
      </w:r>
      <w:r w:rsidR="007472F1">
        <w:rPr>
          <w:rFonts w:ascii="Times New Roman" w:eastAsia="Times New Roman" w:hAnsi="Times New Roman" w:cs="Times New Roman"/>
          <w:sz w:val="22"/>
          <w:szCs w:val="22"/>
          <w:lang w:val="lt-LT"/>
        </w:rPr>
        <w:t>bewacyzumabem</w:t>
      </w:r>
      <w:r w:rsidRPr="00741122">
        <w:rPr>
          <w:rFonts w:ascii="Times New Roman" w:eastAsia="Times New Roman" w:hAnsi="Times New Roman"/>
          <w:sz w:val="22"/>
          <w:szCs w:val="22"/>
          <w:lang w:val="lt-LT"/>
        </w:rPr>
        <w:t xml:space="preserve"> chorych, u których wystąpiła miejscowa wznowa lub przerzuty raka piersi i dotychczas nie stosowano chemioterapii z powodu miejscowej wznowy lub przerzutów nowotworowych. Chorych losowo rozdzielono do grupy otrzymu</w:t>
      </w:r>
      <w:r w:rsidR="00FB7B6A" w:rsidRPr="00741122">
        <w:rPr>
          <w:rFonts w:ascii="Times New Roman" w:eastAsia="Times New Roman" w:hAnsi="Times New Roman"/>
          <w:sz w:val="22"/>
          <w:szCs w:val="22"/>
          <w:lang w:val="lt-LT"/>
        </w:rPr>
        <w:t>jącej wyłącznie paklitaksel (90 </w:t>
      </w:r>
      <w:r w:rsidRPr="00741122">
        <w:rPr>
          <w:rFonts w:ascii="Times New Roman" w:eastAsia="Times New Roman" w:hAnsi="Times New Roman"/>
          <w:sz w:val="22"/>
          <w:szCs w:val="22"/>
          <w:lang w:val="lt-LT"/>
        </w:rPr>
        <w:t>mg/m</w:t>
      </w:r>
      <w:r w:rsidRPr="00741122">
        <w:rPr>
          <w:rFonts w:ascii="Times New Roman" w:eastAsia="Times New Roman" w:hAnsi="Times New Roman"/>
          <w:sz w:val="22"/>
          <w:szCs w:val="22"/>
          <w:vertAlign w:val="superscript"/>
          <w:lang w:val="lt-LT"/>
        </w:rPr>
        <w:t>2</w:t>
      </w:r>
      <w:r w:rsidRPr="00741122">
        <w:rPr>
          <w:rFonts w:ascii="Times New Roman" w:eastAsia="Times New Roman" w:hAnsi="Times New Roman"/>
          <w:sz w:val="22"/>
          <w:szCs w:val="22"/>
          <w:lang w:val="lt-LT"/>
        </w:rPr>
        <w:t xml:space="preserve"> pc. podawane w ciągu godziny raz w tygodniu w cyklach trzytygodniowych z jednotygodniową przerwą) lub paklitaksel w poł</w:t>
      </w:r>
      <w:r w:rsidR="00FB7B6A" w:rsidRPr="00741122">
        <w:rPr>
          <w:rFonts w:ascii="Times New Roman" w:eastAsia="Times New Roman" w:hAnsi="Times New Roman"/>
          <w:sz w:val="22"/>
          <w:szCs w:val="22"/>
          <w:lang w:val="lt-LT"/>
        </w:rPr>
        <w:t xml:space="preserve">ączeniu z </w:t>
      </w:r>
      <w:r w:rsidR="007472F1">
        <w:rPr>
          <w:rFonts w:ascii="Times New Roman" w:eastAsia="Times New Roman" w:hAnsi="Times New Roman" w:cs="Times New Roman"/>
          <w:sz w:val="22"/>
          <w:szCs w:val="22"/>
          <w:lang w:val="lt-LT"/>
        </w:rPr>
        <w:t>bewacyzumabem</w:t>
      </w:r>
      <w:r w:rsidR="00FB7B6A" w:rsidRPr="00741122">
        <w:rPr>
          <w:rFonts w:ascii="Times New Roman" w:eastAsia="Times New Roman" w:hAnsi="Times New Roman"/>
          <w:sz w:val="22"/>
          <w:szCs w:val="22"/>
          <w:lang w:val="lt-LT"/>
        </w:rPr>
        <w:t xml:space="preserve"> (10 </w:t>
      </w:r>
      <w:r w:rsidRPr="00741122">
        <w:rPr>
          <w:rFonts w:ascii="Times New Roman" w:eastAsia="Times New Roman" w:hAnsi="Times New Roman"/>
          <w:sz w:val="22"/>
          <w:szCs w:val="22"/>
          <w:lang w:val="lt-LT"/>
        </w:rPr>
        <w:t>mg/kg</w:t>
      </w:r>
      <w:r w:rsidR="005B018D">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 xml:space="preserve">mc. podawane we wlewie dożylnym raz na dwa tygodnie). Akceptowano udział chorych, którzy uprzednio otrzymywali leczenie hormonalne z powodu choroby nowotworowej z przerzutami. W badaniu mogli również brać udział chorzy, u których stosowano leczenie uzupełniające taksanem co najmniej 12 miesięcy przed przystąpieniem do badania. U większości (90%) z 722 chorych biorących udział w badaniu nie występowała ekspresja receptora HER2. U niewielkiej liczby chorych o nieznanej (8%) lub potwierdzonej (2%) ekspresji HER2 w przeszłości stosowano leczenie trastuzumabem lub ustalono brak wskazań do stosowania tego leku. Ponadto 65% chorych otrzymało w przeszłości chemioterapię adiuwantową (19% przy użyciu taksanów a 49% </w:t>
      </w:r>
      <w:r w:rsidR="00BC1545">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antracyklin). Z badania wykluczono chorych ze stwierdzonymi przerzutami do ośrodkowego układu nerwowego, w tym chorych, u których zastosowano leczenie farmakologiczne lub resekcję ognisk w obrębie mózgu.</w:t>
      </w:r>
    </w:p>
    <w:p w14:paraId="56FE7550" w14:textId="77777777" w:rsidR="00071CFE" w:rsidRPr="00741122" w:rsidRDefault="00071CFE" w:rsidP="002E35A7">
      <w:pPr>
        <w:rPr>
          <w:rFonts w:ascii="Times New Roman" w:eastAsia="Times New Roman" w:hAnsi="Times New Roman" w:cs="Times New Roman"/>
          <w:sz w:val="22"/>
          <w:szCs w:val="22"/>
          <w:lang w:val="lt-LT"/>
        </w:rPr>
      </w:pPr>
    </w:p>
    <w:p w14:paraId="7AE77186" w14:textId="77777777" w:rsidR="00071CFE" w:rsidRPr="00741122" w:rsidRDefault="00071CFE" w:rsidP="002E35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Chorzy w badaniu E2100 otrzymali leczenie do czasu progresji choroby. Jeżeli konieczne było przedwczesne przerwanie chemioterapii, kontynuowano monoterapię </w:t>
      </w:r>
      <w:r w:rsidR="007472F1">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do czasu progresji choroby. Charakterystyka chorych w obu badanych grupach była podobna. Głównym punktem końcowym badania był czas przeżycia wolny od progresji (PFS), na podstawie którego, badacze oceniali progresję choroby. Dodatkowo przeprowadzono niezależną ocenę pierwotnego punktu końcowego. Wyniki badania przedstawiono w Tabeli 10.</w:t>
      </w:r>
    </w:p>
    <w:p w14:paraId="1BFB1E5D" w14:textId="77777777" w:rsidR="00071CFE" w:rsidRPr="00741122" w:rsidRDefault="00071CFE" w:rsidP="002E35A7">
      <w:pPr>
        <w:rPr>
          <w:rFonts w:ascii="Times New Roman" w:eastAsia="Times New Roman" w:hAnsi="Times New Roman" w:cs="Times New Roman"/>
          <w:sz w:val="22"/>
          <w:szCs w:val="22"/>
          <w:lang w:val="lt-LT"/>
        </w:rPr>
      </w:pPr>
    </w:p>
    <w:p w14:paraId="0BC892DB" w14:textId="77777777" w:rsidR="00071CFE" w:rsidRPr="00741122" w:rsidRDefault="004B5B3A" w:rsidP="004B5B3A">
      <w:pPr>
        <w:keepNext/>
        <w:rPr>
          <w:rFonts w:ascii="Times New Roman" w:eastAsia="Times New Roman" w:hAnsi="Times New Roman" w:cs="Times New Roman"/>
          <w:b/>
          <w:sz w:val="22"/>
          <w:szCs w:val="22"/>
          <w:lang w:val="lt-LT"/>
        </w:rPr>
      </w:pPr>
      <w:bookmarkStart w:id="35" w:name="page33"/>
      <w:bookmarkEnd w:id="35"/>
      <w:r w:rsidRPr="00C72090">
        <w:rPr>
          <w:rFonts w:ascii="Times New Roman" w:eastAsia="Times New Roman" w:hAnsi="Times New Roman" w:cs="Times New Roman"/>
          <w:b/>
          <w:sz w:val="22"/>
          <w:szCs w:val="22"/>
          <w:lang w:val="lt-LT"/>
        </w:rPr>
        <w:t>Tabela 10</w:t>
      </w:r>
      <w:r w:rsidR="005B018D" w:rsidRPr="00C72090">
        <w:rPr>
          <w:rFonts w:ascii="Times New Roman" w:eastAsia="Times New Roman" w:hAnsi="Times New Roman" w:cs="Times New Roman"/>
          <w:b/>
          <w:sz w:val="22"/>
          <w:szCs w:val="22"/>
          <w:lang w:val="lt-LT"/>
        </w:rPr>
        <w:t>.</w:t>
      </w:r>
      <w:r w:rsidR="0085243F" w:rsidRPr="00C72090">
        <w:rPr>
          <w:rFonts w:ascii="Times New Roman" w:eastAsia="Times New Roman" w:hAnsi="Times New Roman" w:cs="Times New Roman"/>
          <w:b/>
          <w:sz w:val="22"/>
          <w:szCs w:val="22"/>
          <w:lang w:val="lt-LT"/>
        </w:rPr>
        <w:t xml:space="preserve"> </w:t>
      </w:r>
      <w:r w:rsidR="00071CFE" w:rsidRPr="00C72090">
        <w:rPr>
          <w:rFonts w:ascii="Times New Roman" w:eastAsia="Times New Roman" w:hAnsi="Times New Roman" w:cs="Times New Roman"/>
          <w:b/>
          <w:sz w:val="22"/>
          <w:szCs w:val="22"/>
          <w:lang w:val="lt-LT"/>
        </w:rPr>
        <w:t>Wyniki badania E2100 dotyczące skuteczności</w:t>
      </w:r>
    </w:p>
    <w:p w14:paraId="28B69076" w14:textId="77777777" w:rsidR="00071CFE" w:rsidRPr="00741122" w:rsidRDefault="00071CFE" w:rsidP="004B5B3A">
      <w:pPr>
        <w:keepNext/>
        <w:rPr>
          <w:rFonts w:ascii="Times New Roman" w:eastAsia="Times New Roman" w:hAnsi="Times New Roman" w:cs="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337"/>
        <w:gridCol w:w="1489"/>
        <w:gridCol w:w="1524"/>
        <w:gridCol w:w="1593"/>
        <w:gridCol w:w="1419"/>
      </w:tblGrid>
      <w:tr w:rsidR="00A75206" w:rsidRPr="00C70451" w14:paraId="28B55BDD" w14:textId="77777777" w:rsidTr="006A4AD3">
        <w:trPr>
          <w:trHeight w:val="280"/>
          <w:tblHeader/>
        </w:trPr>
        <w:tc>
          <w:tcPr>
            <w:tcW w:w="5000" w:type="pct"/>
            <w:gridSpan w:val="5"/>
            <w:noWrap/>
            <w:vAlign w:val="center"/>
            <w:hideMark/>
          </w:tcPr>
          <w:p w14:paraId="7ED0BB7B" w14:textId="77777777" w:rsidR="00A75206" w:rsidRPr="00F53BB4" w:rsidRDefault="00A75206" w:rsidP="00187B78">
            <w:pPr>
              <w:pStyle w:val="Default"/>
              <w:rPr>
                <w:sz w:val="22"/>
                <w:szCs w:val="22"/>
                <w:lang w:val="lt-LT"/>
              </w:rPr>
            </w:pPr>
            <w:r w:rsidRPr="00F53BB4">
              <w:rPr>
                <w:sz w:val="22"/>
                <w:szCs w:val="22"/>
                <w:lang w:val="lt-LT"/>
              </w:rPr>
              <w:t xml:space="preserve">Czas przeżycia wolny od progresji </w:t>
            </w:r>
          </w:p>
        </w:tc>
      </w:tr>
      <w:tr w:rsidR="00A75206" w:rsidRPr="00F53BB4" w14:paraId="18159310" w14:textId="77777777" w:rsidTr="006A4AD3">
        <w:trPr>
          <w:trHeight w:val="280"/>
          <w:tblHeader/>
        </w:trPr>
        <w:tc>
          <w:tcPr>
            <w:tcW w:w="1782" w:type="pct"/>
            <w:tcBorders>
              <w:right w:val="single" w:sz="4" w:space="0" w:color="auto"/>
            </w:tcBorders>
            <w:noWrap/>
            <w:vAlign w:val="bottom"/>
            <w:hideMark/>
          </w:tcPr>
          <w:p w14:paraId="509202A1" w14:textId="77777777" w:rsidR="00A75206" w:rsidRPr="00F53BB4" w:rsidRDefault="00A75206" w:rsidP="00187B78">
            <w:pPr>
              <w:rPr>
                <w:rFonts w:ascii="Times New Roman" w:hAnsi="Times New Roman" w:cs="Times New Roman"/>
                <w:color w:val="000000"/>
                <w:sz w:val="22"/>
                <w:szCs w:val="22"/>
                <w:lang w:val="lt-LT"/>
              </w:rPr>
            </w:pPr>
          </w:p>
        </w:tc>
        <w:tc>
          <w:tcPr>
            <w:tcW w:w="1609" w:type="pct"/>
            <w:gridSpan w:val="2"/>
            <w:tcBorders>
              <w:left w:val="single" w:sz="4" w:space="0" w:color="auto"/>
              <w:right w:val="single" w:sz="4" w:space="0" w:color="auto"/>
            </w:tcBorders>
            <w:noWrap/>
            <w:vAlign w:val="center"/>
            <w:hideMark/>
          </w:tcPr>
          <w:p w14:paraId="0C7BB00F" w14:textId="77777777" w:rsidR="00A75206" w:rsidRPr="00F53BB4" w:rsidRDefault="001D6754" w:rsidP="00187B78">
            <w:pPr>
              <w:pStyle w:val="Default"/>
              <w:jc w:val="center"/>
              <w:rPr>
                <w:sz w:val="22"/>
                <w:szCs w:val="22"/>
                <w:lang w:val="lt-LT"/>
              </w:rPr>
            </w:pPr>
            <w:r w:rsidRPr="00F53BB4">
              <w:rPr>
                <w:sz w:val="22"/>
                <w:szCs w:val="22"/>
                <w:lang w:val="lt-LT"/>
              </w:rPr>
              <w:t>Ocena badaczy</w:t>
            </w:r>
            <w:r w:rsidR="00A75206" w:rsidRPr="00F53BB4">
              <w:rPr>
                <w:sz w:val="22"/>
                <w:szCs w:val="22"/>
                <w:lang w:val="lt-LT"/>
              </w:rPr>
              <w:t>*</w:t>
            </w:r>
          </w:p>
        </w:tc>
        <w:tc>
          <w:tcPr>
            <w:tcW w:w="1609" w:type="pct"/>
            <w:gridSpan w:val="2"/>
            <w:tcBorders>
              <w:left w:val="single" w:sz="4" w:space="0" w:color="auto"/>
            </w:tcBorders>
            <w:noWrap/>
            <w:vAlign w:val="center"/>
            <w:hideMark/>
          </w:tcPr>
          <w:p w14:paraId="001DF390" w14:textId="77777777" w:rsidR="00A75206" w:rsidRPr="00F53BB4" w:rsidRDefault="00A75206" w:rsidP="00187B78">
            <w:pPr>
              <w:pStyle w:val="Default"/>
              <w:jc w:val="center"/>
              <w:rPr>
                <w:sz w:val="22"/>
                <w:szCs w:val="22"/>
                <w:lang w:val="lt-LT"/>
              </w:rPr>
            </w:pPr>
            <w:r w:rsidRPr="00F53BB4">
              <w:rPr>
                <w:sz w:val="22"/>
                <w:szCs w:val="22"/>
                <w:lang w:val="lt-LT"/>
              </w:rPr>
              <w:t>Ocena niezależnych ekspertów</w:t>
            </w:r>
          </w:p>
        </w:tc>
      </w:tr>
      <w:tr w:rsidR="00A75206" w:rsidRPr="00F53BB4" w14:paraId="7DB416A2" w14:textId="77777777" w:rsidTr="006A4AD3">
        <w:trPr>
          <w:trHeight w:val="280"/>
        </w:trPr>
        <w:tc>
          <w:tcPr>
            <w:tcW w:w="1782" w:type="pct"/>
            <w:tcBorders>
              <w:right w:val="single" w:sz="4" w:space="0" w:color="auto"/>
            </w:tcBorders>
            <w:noWrap/>
            <w:vAlign w:val="bottom"/>
            <w:hideMark/>
          </w:tcPr>
          <w:p w14:paraId="0EB785B0" w14:textId="77777777" w:rsidR="00A75206" w:rsidRPr="00F53BB4" w:rsidRDefault="00A75206" w:rsidP="00187B78">
            <w:pPr>
              <w:rPr>
                <w:rFonts w:ascii="Times New Roman" w:hAnsi="Times New Roman" w:cs="Times New Roman"/>
                <w:color w:val="000000"/>
                <w:sz w:val="22"/>
                <w:szCs w:val="22"/>
                <w:lang w:val="lt-LT"/>
              </w:rPr>
            </w:pPr>
          </w:p>
        </w:tc>
        <w:tc>
          <w:tcPr>
            <w:tcW w:w="795" w:type="pct"/>
            <w:tcBorders>
              <w:left w:val="single" w:sz="4" w:space="0" w:color="auto"/>
              <w:right w:val="single" w:sz="4" w:space="0" w:color="auto"/>
            </w:tcBorders>
            <w:noWrap/>
            <w:vAlign w:val="center"/>
            <w:hideMark/>
          </w:tcPr>
          <w:p w14:paraId="31906D9D" w14:textId="77777777" w:rsidR="00F53BB4" w:rsidRPr="00F53BB4" w:rsidRDefault="00F53BB4" w:rsidP="006A4AD3">
            <w:pPr>
              <w:pStyle w:val="Default"/>
              <w:jc w:val="center"/>
              <w:rPr>
                <w:sz w:val="22"/>
                <w:szCs w:val="22"/>
                <w:lang w:val="lt-LT"/>
              </w:rPr>
            </w:pPr>
            <w:r w:rsidRPr="00F53BB4">
              <w:rPr>
                <w:sz w:val="22"/>
                <w:szCs w:val="22"/>
                <w:lang w:val="lt-LT"/>
              </w:rPr>
              <w:t>Paklitaksel</w:t>
            </w:r>
          </w:p>
          <w:p w14:paraId="0CC9E04F" w14:textId="77777777" w:rsidR="00F53BB4" w:rsidRPr="00F53BB4" w:rsidRDefault="00F53BB4" w:rsidP="006A4AD3">
            <w:pPr>
              <w:pStyle w:val="Default"/>
              <w:jc w:val="center"/>
              <w:rPr>
                <w:sz w:val="22"/>
                <w:szCs w:val="22"/>
                <w:lang w:val="lt-LT"/>
              </w:rPr>
            </w:pPr>
          </w:p>
          <w:p w14:paraId="37AEEC33" w14:textId="77777777" w:rsidR="00A75206" w:rsidRPr="00F53BB4" w:rsidRDefault="00A75206" w:rsidP="006A4AD3">
            <w:pPr>
              <w:pStyle w:val="Default"/>
              <w:jc w:val="center"/>
              <w:rPr>
                <w:sz w:val="22"/>
                <w:szCs w:val="22"/>
                <w:lang w:val="lt-LT"/>
              </w:rPr>
            </w:pPr>
            <w:r w:rsidRPr="00F53BB4">
              <w:rPr>
                <w:sz w:val="22"/>
                <w:szCs w:val="22"/>
                <w:lang w:val="lt-LT"/>
              </w:rPr>
              <w:t>(n</w:t>
            </w:r>
            <w:r w:rsidR="005B018D">
              <w:rPr>
                <w:sz w:val="22"/>
                <w:szCs w:val="22"/>
                <w:lang w:val="lt-LT"/>
              </w:rPr>
              <w:t> </w:t>
            </w:r>
            <w:r w:rsidRPr="00F53BB4">
              <w:rPr>
                <w:sz w:val="22"/>
                <w:szCs w:val="22"/>
                <w:lang w:val="lt-LT"/>
              </w:rPr>
              <w:t>=</w:t>
            </w:r>
            <w:r w:rsidR="005B018D">
              <w:rPr>
                <w:sz w:val="22"/>
                <w:szCs w:val="22"/>
                <w:lang w:val="lt-LT"/>
              </w:rPr>
              <w:t> </w:t>
            </w:r>
            <w:r w:rsidRPr="00F53BB4">
              <w:rPr>
                <w:sz w:val="22"/>
                <w:szCs w:val="22"/>
                <w:lang w:val="lt-LT"/>
              </w:rPr>
              <w:t>354)</w:t>
            </w:r>
          </w:p>
        </w:tc>
        <w:tc>
          <w:tcPr>
            <w:tcW w:w="814" w:type="pct"/>
            <w:tcBorders>
              <w:left w:val="single" w:sz="4" w:space="0" w:color="auto"/>
              <w:right w:val="single" w:sz="4" w:space="0" w:color="auto"/>
            </w:tcBorders>
            <w:noWrap/>
            <w:vAlign w:val="center"/>
            <w:hideMark/>
          </w:tcPr>
          <w:p w14:paraId="4CA82E87" w14:textId="77777777" w:rsidR="00F53BB4" w:rsidRPr="00F53BB4" w:rsidRDefault="00F53BB4" w:rsidP="006A4AD3">
            <w:pPr>
              <w:pStyle w:val="Default"/>
              <w:jc w:val="center"/>
              <w:rPr>
                <w:sz w:val="22"/>
                <w:szCs w:val="22"/>
                <w:lang w:val="lt-LT"/>
              </w:rPr>
            </w:pPr>
            <w:r w:rsidRPr="00F53BB4">
              <w:rPr>
                <w:sz w:val="22"/>
                <w:szCs w:val="22"/>
                <w:lang w:val="lt-LT"/>
              </w:rPr>
              <w:t>Paklitaksel/</w:t>
            </w:r>
            <w:r w:rsidR="007472F1">
              <w:rPr>
                <w:rFonts w:eastAsia="Times New Roman"/>
                <w:sz w:val="22"/>
                <w:szCs w:val="22"/>
                <w:lang w:val="lt-LT"/>
              </w:rPr>
              <w:t>bewacyzumab</w:t>
            </w:r>
          </w:p>
          <w:p w14:paraId="6B0DCE40" w14:textId="77777777" w:rsidR="00A75206" w:rsidRPr="00F53BB4" w:rsidRDefault="000E2CC7" w:rsidP="006A4AD3">
            <w:pPr>
              <w:pStyle w:val="Default"/>
              <w:jc w:val="center"/>
              <w:rPr>
                <w:sz w:val="22"/>
                <w:szCs w:val="22"/>
                <w:lang w:val="lt-LT"/>
              </w:rPr>
            </w:pPr>
            <w:r w:rsidRPr="00F53BB4">
              <w:rPr>
                <w:sz w:val="22"/>
                <w:szCs w:val="22"/>
                <w:lang w:val="lt-LT"/>
              </w:rPr>
              <w:t xml:space="preserve"> </w:t>
            </w:r>
            <w:r w:rsidR="00A75206" w:rsidRPr="00F53BB4">
              <w:rPr>
                <w:sz w:val="22"/>
                <w:szCs w:val="22"/>
                <w:lang w:val="lt-LT"/>
              </w:rPr>
              <w:t>(n</w:t>
            </w:r>
            <w:r w:rsidR="005B018D">
              <w:rPr>
                <w:sz w:val="22"/>
                <w:szCs w:val="22"/>
                <w:lang w:val="lt-LT"/>
              </w:rPr>
              <w:t> </w:t>
            </w:r>
            <w:r w:rsidR="00A75206" w:rsidRPr="00F53BB4">
              <w:rPr>
                <w:sz w:val="22"/>
                <w:szCs w:val="22"/>
                <w:lang w:val="lt-LT"/>
              </w:rPr>
              <w:t>=</w:t>
            </w:r>
            <w:r w:rsidR="005B018D">
              <w:rPr>
                <w:sz w:val="22"/>
                <w:szCs w:val="22"/>
                <w:lang w:val="lt-LT"/>
              </w:rPr>
              <w:t> </w:t>
            </w:r>
            <w:r w:rsidR="00A75206" w:rsidRPr="00F53BB4">
              <w:rPr>
                <w:sz w:val="22"/>
                <w:szCs w:val="22"/>
                <w:lang w:val="lt-LT"/>
              </w:rPr>
              <w:t>368)</w:t>
            </w:r>
          </w:p>
        </w:tc>
        <w:tc>
          <w:tcPr>
            <w:tcW w:w="851" w:type="pct"/>
            <w:tcBorders>
              <w:left w:val="single" w:sz="4" w:space="0" w:color="auto"/>
              <w:right w:val="single" w:sz="4" w:space="0" w:color="auto"/>
            </w:tcBorders>
            <w:noWrap/>
            <w:vAlign w:val="center"/>
            <w:hideMark/>
          </w:tcPr>
          <w:p w14:paraId="0BAE6BF5" w14:textId="77777777" w:rsidR="00F53BB4" w:rsidRPr="00F53BB4" w:rsidRDefault="00F53BB4" w:rsidP="006A4AD3">
            <w:pPr>
              <w:pStyle w:val="Default"/>
              <w:jc w:val="center"/>
              <w:rPr>
                <w:sz w:val="22"/>
                <w:szCs w:val="22"/>
                <w:lang w:val="lt-LT"/>
              </w:rPr>
            </w:pPr>
            <w:r w:rsidRPr="00F53BB4">
              <w:rPr>
                <w:sz w:val="22"/>
                <w:szCs w:val="22"/>
                <w:lang w:val="lt-LT"/>
              </w:rPr>
              <w:t>Paklitaksel</w:t>
            </w:r>
          </w:p>
          <w:p w14:paraId="3D704F79" w14:textId="77777777" w:rsidR="00F53BB4" w:rsidRPr="00F53BB4" w:rsidRDefault="00F53BB4" w:rsidP="006A4AD3">
            <w:pPr>
              <w:pStyle w:val="Default"/>
              <w:jc w:val="center"/>
              <w:rPr>
                <w:sz w:val="22"/>
                <w:szCs w:val="22"/>
                <w:lang w:val="lt-LT"/>
              </w:rPr>
            </w:pPr>
          </w:p>
          <w:p w14:paraId="18A5BB03" w14:textId="77777777" w:rsidR="00A75206" w:rsidRPr="00F53BB4" w:rsidRDefault="00A75206" w:rsidP="006A4AD3">
            <w:pPr>
              <w:pStyle w:val="Default"/>
              <w:jc w:val="center"/>
              <w:rPr>
                <w:sz w:val="22"/>
                <w:szCs w:val="22"/>
                <w:lang w:val="lt-LT"/>
              </w:rPr>
            </w:pPr>
            <w:r w:rsidRPr="00F53BB4">
              <w:rPr>
                <w:sz w:val="22"/>
                <w:szCs w:val="22"/>
                <w:lang w:val="lt-LT"/>
              </w:rPr>
              <w:t>(n</w:t>
            </w:r>
            <w:r w:rsidR="005B018D">
              <w:rPr>
                <w:sz w:val="22"/>
                <w:szCs w:val="22"/>
                <w:lang w:val="lt-LT"/>
              </w:rPr>
              <w:t> </w:t>
            </w:r>
            <w:r w:rsidRPr="00F53BB4">
              <w:rPr>
                <w:sz w:val="22"/>
                <w:szCs w:val="22"/>
                <w:lang w:val="lt-LT"/>
              </w:rPr>
              <w:t>=</w:t>
            </w:r>
            <w:r w:rsidR="005B018D">
              <w:rPr>
                <w:sz w:val="22"/>
                <w:szCs w:val="22"/>
                <w:lang w:val="lt-LT"/>
              </w:rPr>
              <w:t> </w:t>
            </w:r>
            <w:r w:rsidRPr="00F53BB4">
              <w:rPr>
                <w:sz w:val="22"/>
                <w:szCs w:val="22"/>
                <w:lang w:val="lt-LT"/>
              </w:rPr>
              <w:t>354)</w:t>
            </w:r>
          </w:p>
        </w:tc>
        <w:tc>
          <w:tcPr>
            <w:tcW w:w="758" w:type="pct"/>
            <w:tcBorders>
              <w:left w:val="single" w:sz="4" w:space="0" w:color="auto"/>
            </w:tcBorders>
            <w:noWrap/>
            <w:vAlign w:val="center"/>
            <w:hideMark/>
          </w:tcPr>
          <w:p w14:paraId="290424B4" w14:textId="77777777" w:rsidR="00F53BB4" w:rsidRPr="00F53BB4" w:rsidRDefault="00F53BB4" w:rsidP="006A4AD3">
            <w:pPr>
              <w:pStyle w:val="Default"/>
              <w:jc w:val="center"/>
              <w:rPr>
                <w:sz w:val="22"/>
                <w:szCs w:val="22"/>
                <w:lang w:val="lt-LT"/>
              </w:rPr>
            </w:pPr>
            <w:r w:rsidRPr="00F53BB4">
              <w:rPr>
                <w:sz w:val="22"/>
                <w:szCs w:val="22"/>
                <w:lang w:val="lt-LT"/>
              </w:rPr>
              <w:t>Paklitaksel/</w:t>
            </w:r>
            <w:r w:rsidR="007472F1">
              <w:rPr>
                <w:rFonts w:eastAsia="Times New Roman"/>
                <w:sz w:val="22"/>
                <w:szCs w:val="22"/>
                <w:lang w:val="lt-LT"/>
              </w:rPr>
              <w:t>bewacyzumab</w:t>
            </w:r>
          </w:p>
          <w:p w14:paraId="1F00D33A" w14:textId="77777777" w:rsidR="00A75206" w:rsidRPr="00F53BB4" w:rsidRDefault="000E2CC7" w:rsidP="006A4AD3">
            <w:pPr>
              <w:pStyle w:val="Default"/>
              <w:jc w:val="center"/>
              <w:rPr>
                <w:sz w:val="22"/>
                <w:szCs w:val="22"/>
                <w:lang w:val="lt-LT"/>
              </w:rPr>
            </w:pPr>
            <w:r w:rsidRPr="00F53BB4">
              <w:rPr>
                <w:sz w:val="22"/>
                <w:szCs w:val="22"/>
                <w:lang w:val="lt-LT"/>
              </w:rPr>
              <w:t xml:space="preserve"> </w:t>
            </w:r>
            <w:r w:rsidR="00A75206" w:rsidRPr="00F53BB4">
              <w:rPr>
                <w:sz w:val="22"/>
                <w:szCs w:val="22"/>
                <w:lang w:val="lt-LT"/>
              </w:rPr>
              <w:t>(n</w:t>
            </w:r>
            <w:r w:rsidR="005B018D">
              <w:rPr>
                <w:sz w:val="22"/>
                <w:szCs w:val="22"/>
                <w:lang w:val="lt-LT"/>
              </w:rPr>
              <w:t> </w:t>
            </w:r>
            <w:r w:rsidR="00A75206" w:rsidRPr="00F53BB4">
              <w:rPr>
                <w:sz w:val="22"/>
                <w:szCs w:val="22"/>
                <w:lang w:val="lt-LT"/>
              </w:rPr>
              <w:t>=</w:t>
            </w:r>
            <w:r w:rsidR="005B018D">
              <w:rPr>
                <w:sz w:val="22"/>
                <w:szCs w:val="22"/>
                <w:lang w:val="lt-LT"/>
              </w:rPr>
              <w:t> </w:t>
            </w:r>
            <w:r w:rsidR="00A75206" w:rsidRPr="00F53BB4">
              <w:rPr>
                <w:sz w:val="22"/>
                <w:szCs w:val="22"/>
                <w:lang w:val="lt-LT"/>
              </w:rPr>
              <w:t>368)</w:t>
            </w:r>
          </w:p>
        </w:tc>
      </w:tr>
      <w:tr w:rsidR="00A75206" w:rsidRPr="00F53BB4" w14:paraId="20037C8A" w14:textId="77777777" w:rsidTr="006A4AD3">
        <w:trPr>
          <w:trHeight w:val="280"/>
        </w:trPr>
        <w:tc>
          <w:tcPr>
            <w:tcW w:w="1782" w:type="pct"/>
            <w:tcBorders>
              <w:right w:val="single" w:sz="4" w:space="0" w:color="auto"/>
            </w:tcBorders>
            <w:noWrap/>
            <w:vAlign w:val="center"/>
            <w:hideMark/>
          </w:tcPr>
          <w:p w14:paraId="00D53865" w14:textId="77777777" w:rsidR="00A75206" w:rsidRPr="00F53BB4" w:rsidRDefault="00A75206" w:rsidP="002F4098">
            <w:pPr>
              <w:pStyle w:val="Default"/>
              <w:ind w:left="57"/>
              <w:rPr>
                <w:sz w:val="22"/>
                <w:szCs w:val="22"/>
                <w:lang w:val="lt-LT"/>
              </w:rPr>
            </w:pPr>
            <w:r w:rsidRPr="00F53BB4">
              <w:rPr>
                <w:sz w:val="22"/>
                <w:szCs w:val="22"/>
                <w:lang w:val="lt-LT"/>
              </w:rPr>
              <w:t>Mediana PFS (miesiące)</w:t>
            </w:r>
          </w:p>
        </w:tc>
        <w:tc>
          <w:tcPr>
            <w:tcW w:w="795" w:type="pct"/>
            <w:tcBorders>
              <w:left w:val="single" w:sz="4" w:space="0" w:color="auto"/>
              <w:right w:val="single" w:sz="4" w:space="0" w:color="auto"/>
            </w:tcBorders>
            <w:noWrap/>
            <w:vAlign w:val="center"/>
            <w:hideMark/>
          </w:tcPr>
          <w:p w14:paraId="0EE131C4" w14:textId="77777777" w:rsidR="00A75206" w:rsidRPr="00F53BB4" w:rsidRDefault="00A75206" w:rsidP="00187B78">
            <w:pPr>
              <w:pStyle w:val="Default"/>
              <w:jc w:val="center"/>
              <w:rPr>
                <w:sz w:val="22"/>
                <w:szCs w:val="22"/>
                <w:lang w:val="lt-LT"/>
              </w:rPr>
            </w:pPr>
            <w:r w:rsidRPr="00F53BB4">
              <w:rPr>
                <w:sz w:val="22"/>
                <w:szCs w:val="22"/>
                <w:lang w:val="lt-LT"/>
              </w:rPr>
              <w:t>5,8</w:t>
            </w:r>
          </w:p>
        </w:tc>
        <w:tc>
          <w:tcPr>
            <w:tcW w:w="814" w:type="pct"/>
            <w:tcBorders>
              <w:left w:val="single" w:sz="4" w:space="0" w:color="auto"/>
              <w:right w:val="single" w:sz="4" w:space="0" w:color="auto"/>
            </w:tcBorders>
            <w:noWrap/>
            <w:vAlign w:val="center"/>
            <w:hideMark/>
          </w:tcPr>
          <w:p w14:paraId="703EF315" w14:textId="77777777" w:rsidR="00A75206" w:rsidRPr="00F53BB4" w:rsidRDefault="00A75206" w:rsidP="00187B78">
            <w:pPr>
              <w:pStyle w:val="Default"/>
              <w:jc w:val="center"/>
              <w:rPr>
                <w:sz w:val="22"/>
                <w:szCs w:val="22"/>
                <w:lang w:val="lt-LT"/>
              </w:rPr>
            </w:pPr>
            <w:r w:rsidRPr="00F53BB4">
              <w:rPr>
                <w:sz w:val="22"/>
                <w:szCs w:val="22"/>
                <w:lang w:val="lt-LT"/>
              </w:rPr>
              <w:t>11,4</w:t>
            </w:r>
          </w:p>
        </w:tc>
        <w:tc>
          <w:tcPr>
            <w:tcW w:w="851" w:type="pct"/>
            <w:tcBorders>
              <w:left w:val="single" w:sz="4" w:space="0" w:color="auto"/>
              <w:right w:val="single" w:sz="4" w:space="0" w:color="auto"/>
            </w:tcBorders>
            <w:noWrap/>
            <w:vAlign w:val="center"/>
            <w:hideMark/>
          </w:tcPr>
          <w:p w14:paraId="3A0071E4" w14:textId="77777777" w:rsidR="00A75206" w:rsidRPr="00F53BB4" w:rsidRDefault="00A75206" w:rsidP="00187B78">
            <w:pPr>
              <w:pStyle w:val="Default"/>
              <w:jc w:val="center"/>
              <w:rPr>
                <w:sz w:val="22"/>
                <w:szCs w:val="22"/>
                <w:lang w:val="lt-LT"/>
              </w:rPr>
            </w:pPr>
            <w:r w:rsidRPr="00F53BB4">
              <w:rPr>
                <w:sz w:val="22"/>
                <w:szCs w:val="22"/>
                <w:lang w:val="lt-LT"/>
              </w:rPr>
              <w:t>5,8</w:t>
            </w:r>
          </w:p>
        </w:tc>
        <w:tc>
          <w:tcPr>
            <w:tcW w:w="758" w:type="pct"/>
            <w:tcBorders>
              <w:left w:val="single" w:sz="4" w:space="0" w:color="auto"/>
            </w:tcBorders>
            <w:noWrap/>
            <w:vAlign w:val="center"/>
            <w:hideMark/>
          </w:tcPr>
          <w:p w14:paraId="3E1E006F" w14:textId="77777777" w:rsidR="00A75206" w:rsidRPr="00F53BB4" w:rsidRDefault="00A75206" w:rsidP="00187B78">
            <w:pPr>
              <w:pStyle w:val="Default"/>
              <w:jc w:val="center"/>
              <w:rPr>
                <w:sz w:val="22"/>
                <w:szCs w:val="22"/>
                <w:lang w:val="lt-LT"/>
              </w:rPr>
            </w:pPr>
            <w:r w:rsidRPr="00F53BB4">
              <w:rPr>
                <w:sz w:val="22"/>
                <w:szCs w:val="22"/>
                <w:lang w:val="lt-LT"/>
              </w:rPr>
              <w:t>11,3</w:t>
            </w:r>
          </w:p>
        </w:tc>
      </w:tr>
      <w:tr w:rsidR="00A75206" w:rsidRPr="00F53BB4" w14:paraId="53D8B377" w14:textId="77777777" w:rsidTr="006A4AD3">
        <w:trPr>
          <w:trHeight w:val="280"/>
        </w:trPr>
        <w:tc>
          <w:tcPr>
            <w:tcW w:w="1782" w:type="pct"/>
            <w:tcBorders>
              <w:right w:val="single" w:sz="4" w:space="0" w:color="auto"/>
            </w:tcBorders>
            <w:noWrap/>
            <w:vAlign w:val="center"/>
            <w:hideMark/>
          </w:tcPr>
          <w:p w14:paraId="40CD8849" w14:textId="77777777" w:rsidR="003E6869" w:rsidRDefault="00A75206" w:rsidP="00C15F4D">
            <w:pPr>
              <w:pStyle w:val="Default"/>
              <w:ind w:left="567"/>
              <w:rPr>
                <w:sz w:val="22"/>
                <w:szCs w:val="22"/>
                <w:lang w:val="lt-LT"/>
              </w:rPr>
            </w:pPr>
            <w:r w:rsidRPr="00F53BB4">
              <w:rPr>
                <w:sz w:val="22"/>
                <w:szCs w:val="22"/>
                <w:lang w:val="lt-LT"/>
              </w:rPr>
              <w:t xml:space="preserve">HR </w:t>
            </w:r>
          </w:p>
          <w:p w14:paraId="27F21D4E" w14:textId="77777777" w:rsidR="00A75206" w:rsidRPr="00F53BB4" w:rsidRDefault="00A75206" w:rsidP="00C15F4D">
            <w:pPr>
              <w:pStyle w:val="Default"/>
              <w:ind w:left="567"/>
              <w:rPr>
                <w:sz w:val="22"/>
                <w:szCs w:val="22"/>
                <w:lang w:val="lt-LT"/>
              </w:rPr>
            </w:pPr>
            <w:r w:rsidRPr="00F53BB4">
              <w:rPr>
                <w:sz w:val="22"/>
                <w:szCs w:val="22"/>
                <w:lang w:val="lt-LT"/>
              </w:rPr>
              <w:t>(95% CI)</w:t>
            </w:r>
          </w:p>
        </w:tc>
        <w:tc>
          <w:tcPr>
            <w:tcW w:w="1609" w:type="pct"/>
            <w:gridSpan w:val="2"/>
            <w:tcBorders>
              <w:left w:val="single" w:sz="4" w:space="0" w:color="auto"/>
              <w:right w:val="single" w:sz="4" w:space="0" w:color="auto"/>
            </w:tcBorders>
            <w:noWrap/>
            <w:vAlign w:val="center"/>
            <w:hideMark/>
          </w:tcPr>
          <w:p w14:paraId="0E5B0970" w14:textId="77777777" w:rsidR="00C15F4D" w:rsidRDefault="00C15F4D" w:rsidP="00187B78">
            <w:pPr>
              <w:pStyle w:val="Default"/>
              <w:jc w:val="center"/>
              <w:rPr>
                <w:sz w:val="22"/>
                <w:szCs w:val="22"/>
                <w:lang w:val="lt-LT"/>
              </w:rPr>
            </w:pPr>
            <w:r>
              <w:rPr>
                <w:sz w:val="22"/>
                <w:szCs w:val="22"/>
                <w:lang w:val="lt-LT"/>
              </w:rPr>
              <w:t>0,421</w:t>
            </w:r>
          </w:p>
          <w:p w14:paraId="5585C7D5" w14:textId="77777777" w:rsidR="00A75206" w:rsidRPr="00F53BB4" w:rsidRDefault="002F4098" w:rsidP="00187B78">
            <w:pPr>
              <w:pStyle w:val="Default"/>
              <w:jc w:val="center"/>
              <w:rPr>
                <w:sz w:val="22"/>
                <w:szCs w:val="22"/>
                <w:lang w:val="lt-LT"/>
              </w:rPr>
            </w:pPr>
            <w:r>
              <w:rPr>
                <w:sz w:val="22"/>
                <w:szCs w:val="22"/>
                <w:lang w:val="lt-LT"/>
              </w:rPr>
              <w:t>(0,343</w:t>
            </w:r>
            <w:r w:rsidR="00A75206" w:rsidRPr="00F53BB4">
              <w:rPr>
                <w:sz w:val="22"/>
                <w:szCs w:val="22"/>
                <w:lang w:val="lt-LT"/>
              </w:rPr>
              <w:t>; 0,516)</w:t>
            </w:r>
          </w:p>
        </w:tc>
        <w:tc>
          <w:tcPr>
            <w:tcW w:w="1609" w:type="pct"/>
            <w:gridSpan w:val="2"/>
            <w:tcBorders>
              <w:left w:val="single" w:sz="4" w:space="0" w:color="auto"/>
            </w:tcBorders>
            <w:noWrap/>
            <w:vAlign w:val="center"/>
            <w:hideMark/>
          </w:tcPr>
          <w:p w14:paraId="08500E6C" w14:textId="77777777" w:rsidR="00C15F4D" w:rsidRDefault="00C15F4D" w:rsidP="00187B78">
            <w:pPr>
              <w:pStyle w:val="Default"/>
              <w:jc w:val="center"/>
              <w:rPr>
                <w:sz w:val="22"/>
                <w:szCs w:val="22"/>
                <w:lang w:val="lt-LT"/>
              </w:rPr>
            </w:pPr>
            <w:r>
              <w:rPr>
                <w:sz w:val="22"/>
                <w:szCs w:val="22"/>
                <w:lang w:val="lt-LT"/>
              </w:rPr>
              <w:t>0,483</w:t>
            </w:r>
          </w:p>
          <w:p w14:paraId="02460920" w14:textId="77777777" w:rsidR="00A75206" w:rsidRPr="00F53BB4" w:rsidRDefault="00A75206" w:rsidP="00187B78">
            <w:pPr>
              <w:pStyle w:val="Default"/>
              <w:jc w:val="center"/>
              <w:rPr>
                <w:sz w:val="22"/>
                <w:szCs w:val="22"/>
                <w:lang w:val="lt-LT"/>
              </w:rPr>
            </w:pPr>
            <w:r w:rsidRPr="00F53BB4">
              <w:rPr>
                <w:sz w:val="22"/>
                <w:szCs w:val="22"/>
                <w:lang w:val="lt-LT"/>
              </w:rPr>
              <w:t>(0,385; 0,607)</w:t>
            </w:r>
          </w:p>
        </w:tc>
      </w:tr>
      <w:tr w:rsidR="00A75206" w:rsidRPr="00F53BB4" w14:paraId="4A691671" w14:textId="77777777" w:rsidTr="006A4AD3">
        <w:trPr>
          <w:trHeight w:val="280"/>
        </w:trPr>
        <w:tc>
          <w:tcPr>
            <w:tcW w:w="1782" w:type="pct"/>
            <w:tcBorders>
              <w:right w:val="single" w:sz="4" w:space="0" w:color="auto"/>
            </w:tcBorders>
            <w:noWrap/>
            <w:vAlign w:val="center"/>
            <w:hideMark/>
          </w:tcPr>
          <w:p w14:paraId="3B69C7D5" w14:textId="77777777" w:rsidR="00A75206" w:rsidRPr="00F53BB4" w:rsidRDefault="00A75206" w:rsidP="00C15F4D">
            <w:pPr>
              <w:pStyle w:val="Default"/>
              <w:ind w:left="567"/>
              <w:rPr>
                <w:sz w:val="22"/>
                <w:szCs w:val="22"/>
                <w:lang w:val="lt-LT"/>
              </w:rPr>
            </w:pPr>
            <w:r w:rsidRPr="00F53BB4">
              <w:rPr>
                <w:sz w:val="22"/>
                <w:szCs w:val="22"/>
                <w:lang w:val="lt-LT"/>
              </w:rPr>
              <w:t>Współczynnik p</w:t>
            </w:r>
          </w:p>
        </w:tc>
        <w:tc>
          <w:tcPr>
            <w:tcW w:w="1609" w:type="pct"/>
            <w:gridSpan w:val="2"/>
            <w:tcBorders>
              <w:left w:val="single" w:sz="4" w:space="0" w:color="auto"/>
              <w:right w:val="single" w:sz="4" w:space="0" w:color="auto"/>
            </w:tcBorders>
            <w:noWrap/>
            <w:vAlign w:val="center"/>
            <w:hideMark/>
          </w:tcPr>
          <w:p w14:paraId="6423FA90" w14:textId="77777777" w:rsidR="00A75206" w:rsidRPr="00F53BB4" w:rsidRDefault="00A75206" w:rsidP="00187B78">
            <w:pPr>
              <w:pStyle w:val="Default"/>
              <w:jc w:val="center"/>
              <w:rPr>
                <w:sz w:val="22"/>
                <w:szCs w:val="22"/>
                <w:lang w:val="lt-LT"/>
              </w:rPr>
            </w:pPr>
            <w:r w:rsidRPr="00F53BB4">
              <w:rPr>
                <w:sz w:val="22"/>
                <w:szCs w:val="22"/>
                <w:lang w:val="lt-LT"/>
              </w:rPr>
              <w:t>&lt;</w:t>
            </w:r>
            <w:r w:rsidR="00C15F4D">
              <w:rPr>
                <w:sz w:val="22"/>
                <w:szCs w:val="22"/>
                <w:lang w:val="lt-LT"/>
              </w:rPr>
              <w:t xml:space="preserve"> </w:t>
            </w:r>
            <w:r w:rsidRPr="00F53BB4">
              <w:rPr>
                <w:sz w:val="22"/>
                <w:szCs w:val="22"/>
                <w:lang w:val="lt-LT"/>
              </w:rPr>
              <w:t>0,0001</w:t>
            </w:r>
          </w:p>
        </w:tc>
        <w:tc>
          <w:tcPr>
            <w:tcW w:w="1609" w:type="pct"/>
            <w:gridSpan w:val="2"/>
            <w:tcBorders>
              <w:left w:val="single" w:sz="4" w:space="0" w:color="auto"/>
            </w:tcBorders>
            <w:noWrap/>
            <w:vAlign w:val="center"/>
            <w:hideMark/>
          </w:tcPr>
          <w:p w14:paraId="53504B64" w14:textId="77777777" w:rsidR="00A75206" w:rsidRPr="00F53BB4" w:rsidRDefault="00A75206" w:rsidP="00187B78">
            <w:pPr>
              <w:pStyle w:val="Default"/>
              <w:jc w:val="center"/>
              <w:rPr>
                <w:sz w:val="22"/>
                <w:szCs w:val="22"/>
                <w:lang w:val="lt-LT"/>
              </w:rPr>
            </w:pPr>
            <w:r w:rsidRPr="00F53BB4">
              <w:rPr>
                <w:sz w:val="22"/>
                <w:szCs w:val="22"/>
                <w:lang w:val="lt-LT"/>
              </w:rPr>
              <w:t>&lt;</w:t>
            </w:r>
            <w:r w:rsidR="00C15F4D">
              <w:rPr>
                <w:sz w:val="22"/>
                <w:szCs w:val="22"/>
                <w:lang w:val="lt-LT"/>
              </w:rPr>
              <w:t xml:space="preserve"> </w:t>
            </w:r>
            <w:r w:rsidRPr="00F53BB4">
              <w:rPr>
                <w:sz w:val="22"/>
                <w:szCs w:val="22"/>
                <w:lang w:val="lt-LT"/>
              </w:rPr>
              <w:t>0,0001</w:t>
            </w:r>
          </w:p>
        </w:tc>
      </w:tr>
      <w:tr w:rsidR="00A75206" w:rsidRPr="00C70451" w14:paraId="4BB8F2C7" w14:textId="77777777" w:rsidTr="006A4AD3">
        <w:trPr>
          <w:trHeight w:val="367"/>
        </w:trPr>
        <w:tc>
          <w:tcPr>
            <w:tcW w:w="5000" w:type="pct"/>
            <w:gridSpan w:val="5"/>
            <w:noWrap/>
            <w:vAlign w:val="center"/>
            <w:hideMark/>
          </w:tcPr>
          <w:p w14:paraId="3C8EC218" w14:textId="77777777" w:rsidR="00A75206" w:rsidRPr="00F53BB4" w:rsidRDefault="00A75206" w:rsidP="00144DF3">
            <w:pPr>
              <w:pStyle w:val="Default"/>
              <w:ind w:left="57"/>
              <w:rPr>
                <w:sz w:val="22"/>
                <w:szCs w:val="22"/>
                <w:lang w:val="lt-LT"/>
              </w:rPr>
            </w:pPr>
            <w:r w:rsidRPr="00F53BB4">
              <w:rPr>
                <w:sz w:val="22"/>
                <w:szCs w:val="22"/>
                <w:lang w:val="lt-LT"/>
              </w:rPr>
              <w:t xml:space="preserve">Współczynnik odpowiedzi (dla pacjentów z mierzalną chorobą) </w:t>
            </w:r>
          </w:p>
        </w:tc>
      </w:tr>
      <w:tr w:rsidR="00A75206" w:rsidRPr="00F53BB4" w14:paraId="4100CC12" w14:textId="77777777" w:rsidTr="006A4AD3">
        <w:trPr>
          <w:trHeight w:val="280"/>
        </w:trPr>
        <w:tc>
          <w:tcPr>
            <w:tcW w:w="1782" w:type="pct"/>
            <w:tcBorders>
              <w:right w:val="single" w:sz="4" w:space="0" w:color="auto"/>
            </w:tcBorders>
            <w:noWrap/>
            <w:vAlign w:val="bottom"/>
            <w:hideMark/>
          </w:tcPr>
          <w:p w14:paraId="114690E4" w14:textId="77777777" w:rsidR="00A75206" w:rsidRPr="00F53BB4" w:rsidRDefault="00A75206" w:rsidP="00187B78">
            <w:pPr>
              <w:rPr>
                <w:rFonts w:ascii="Times New Roman" w:hAnsi="Times New Roman" w:cs="Times New Roman"/>
                <w:color w:val="000000"/>
                <w:sz w:val="22"/>
                <w:szCs w:val="22"/>
                <w:lang w:val="lt-LT"/>
              </w:rPr>
            </w:pPr>
          </w:p>
        </w:tc>
        <w:tc>
          <w:tcPr>
            <w:tcW w:w="1609" w:type="pct"/>
            <w:gridSpan w:val="2"/>
            <w:tcBorders>
              <w:left w:val="single" w:sz="4" w:space="0" w:color="auto"/>
              <w:right w:val="single" w:sz="4" w:space="0" w:color="auto"/>
            </w:tcBorders>
            <w:noWrap/>
            <w:vAlign w:val="center"/>
            <w:hideMark/>
          </w:tcPr>
          <w:p w14:paraId="5B313113" w14:textId="77777777" w:rsidR="00A75206" w:rsidRPr="00F53BB4" w:rsidRDefault="00A75206" w:rsidP="00187B78">
            <w:pPr>
              <w:pStyle w:val="Default"/>
              <w:jc w:val="center"/>
              <w:rPr>
                <w:sz w:val="22"/>
                <w:szCs w:val="22"/>
                <w:lang w:val="lt-LT"/>
              </w:rPr>
            </w:pPr>
            <w:r w:rsidRPr="00F53BB4">
              <w:rPr>
                <w:sz w:val="22"/>
                <w:szCs w:val="22"/>
                <w:lang w:val="lt-LT"/>
              </w:rPr>
              <w:t>Ocena badaczy</w:t>
            </w:r>
          </w:p>
        </w:tc>
        <w:tc>
          <w:tcPr>
            <w:tcW w:w="1609" w:type="pct"/>
            <w:gridSpan w:val="2"/>
            <w:tcBorders>
              <w:left w:val="single" w:sz="4" w:space="0" w:color="auto"/>
            </w:tcBorders>
            <w:noWrap/>
            <w:vAlign w:val="center"/>
            <w:hideMark/>
          </w:tcPr>
          <w:p w14:paraId="0934933A" w14:textId="77777777" w:rsidR="00A75206" w:rsidRPr="00F53BB4" w:rsidRDefault="00A75206" w:rsidP="00187B78">
            <w:pPr>
              <w:pStyle w:val="Default"/>
              <w:jc w:val="center"/>
              <w:rPr>
                <w:sz w:val="22"/>
                <w:szCs w:val="22"/>
                <w:lang w:val="lt-LT"/>
              </w:rPr>
            </w:pPr>
            <w:r w:rsidRPr="00F53BB4">
              <w:rPr>
                <w:sz w:val="22"/>
                <w:szCs w:val="22"/>
                <w:lang w:val="lt-LT"/>
              </w:rPr>
              <w:t>Ocena niezależnych ekspertów</w:t>
            </w:r>
          </w:p>
        </w:tc>
      </w:tr>
      <w:tr w:rsidR="00A75206" w:rsidRPr="00F53BB4" w14:paraId="1C1D20CC" w14:textId="77777777" w:rsidTr="006A4AD3">
        <w:trPr>
          <w:trHeight w:val="280"/>
        </w:trPr>
        <w:tc>
          <w:tcPr>
            <w:tcW w:w="1782" w:type="pct"/>
            <w:tcBorders>
              <w:right w:val="single" w:sz="4" w:space="0" w:color="auto"/>
            </w:tcBorders>
            <w:noWrap/>
            <w:vAlign w:val="center"/>
            <w:hideMark/>
          </w:tcPr>
          <w:p w14:paraId="56A1AAA0" w14:textId="77777777" w:rsidR="00A75206" w:rsidRPr="00F53BB4" w:rsidRDefault="00A75206" w:rsidP="00187B78">
            <w:pPr>
              <w:jc w:val="center"/>
              <w:rPr>
                <w:rFonts w:ascii="Times New Roman" w:hAnsi="Times New Roman" w:cs="Times New Roman"/>
                <w:color w:val="000000"/>
                <w:sz w:val="22"/>
                <w:szCs w:val="22"/>
                <w:lang w:val="lt-LT"/>
              </w:rPr>
            </w:pPr>
          </w:p>
        </w:tc>
        <w:tc>
          <w:tcPr>
            <w:tcW w:w="795" w:type="pct"/>
            <w:tcBorders>
              <w:left w:val="single" w:sz="4" w:space="0" w:color="auto"/>
              <w:right w:val="single" w:sz="4" w:space="0" w:color="auto"/>
            </w:tcBorders>
            <w:noWrap/>
            <w:vAlign w:val="center"/>
            <w:hideMark/>
          </w:tcPr>
          <w:p w14:paraId="131B9F09" w14:textId="77777777" w:rsidR="00C15F4D" w:rsidRDefault="00A75206" w:rsidP="00187B78">
            <w:pPr>
              <w:pStyle w:val="Default"/>
              <w:jc w:val="center"/>
              <w:rPr>
                <w:sz w:val="22"/>
                <w:szCs w:val="22"/>
                <w:lang w:val="lt-LT"/>
              </w:rPr>
            </w:pPr>
            <w:r w:rsidRPr="00F53BB4">
              <w:rPr>
                <w:sz w:val="22"/>
                <w:szCs w:val="22"/>
                <w:lang w:val="lt-LT"/>
              </w:rPr>
              <w:t>Paklitaksel</w:t>
            </w:r>
          </w:p>
          <w:p w14:paraId="25B0C6C1" w14:textId="77777777" w:rsidR="00C15F4D" w:rsidRDefault="00C15F4D" w:rsidP="00187B78">
            <w:pPr>
              <w:pStyle w:val="Default"/>
              <w:jc w:val="center"/>
              <w:rPr>
                <w:sz w:val="22"/>
                <w:szCs w:val="22"/>
                <w:lang w:val="lt-LT"/>
              </w:rPr>
            </w:pPr>
          </w:p>
          <w:p w14:paraId="09C5B395" w14:textId="77777777" w:rsidR="00A75206" w:rsidRPr="00F53BB4" w:rsidRDefault="00A75206" w:rsidP="00187B78">
            <w:pPr>
              <w:pStyle w:val="Default"/>
              <w:jc w:val="center"/>
              <w:rPr>
                <w:sz w:val="22"/>
                <w:szCs w:val="22"/>
                <w:lang w:val="lt-LT"/>
              </w:rPr>
            </w:pPr>
            <w:r w:rsidRPr="00F53BB4">
              <w:rPr>
                <w:sz w:val="22"/>
                <w:szCs w:val="22"/>
                <w:lang w:val="lt-LT"/>
              </w:rPr>
              <w:t>(n</w:t>
            </w:r>
            <w:r w:rsidR="005B018D">
              <w:rPr>
                <w:sz w:val="22"/>
                <w:szCs w:val="22"/>
                <w:lang w:val="lt-LT"/>
              </w:rPr>
              <w:t> </w:t>
            </w:r>
            <w:r w:rsidRPr="00F53BB4">
              <w:rPr>
                <w:sz w:val="22"/>
                <w:szCs w:val="22"/>
                <w:lang w:val="lt-LT"/>
              </w:rPr>
              <w:t>=</w:t>
            </w:r>
            <w:r w:rsidR="005B018D">
              <w:rPr>
                <w:sz w:val="22"/>
                <w:szCs w:val="22"/>
                <w:lang w:val="lt-LT"/>
              </w:rPr>
              <w:t> </w:t>
            </w:r>
            <w:r w:rsidRPr="00F53BB4">
              <w:rPr>
                <w:sz w:val="22"/>
                <w:szCs w:val="22"/>
                <w:lang w:val="lt-LT"/>
              </w:rPr>
              <w:t>273)</w:t>
            </w:r>
          </w:p>
        </w:tc>
        <w:tc>
          <w:tcPr>
            <w:tcW w:w="814" w:type="pct"/>
            <w:tcBorders>
              <w:left w:val="single" w:sz="4" w:space="0" w:color="auto"/>
              <w:right w:val="single" w:sz="4" w:space="0" w:color="auto"/>
            </w:tcBorders>
            <w:noWrap/>
            <w:vAlign w:val="center"/>
            <w:hideMark/>
          </w:tcPr>
          <w:p w14:paraId="008709F7" w14:textId="77777777" w:rsidR="00C15F4D" w:rsidRDefault="00C15F4D" w:rsidP="00187B78">
            <w:pPr>
              <w:pStyle w:val="Default"/>
              <w:jc w:val="center"/>
              <w:rPr>
                <w:sz w:val="22"/>
                <w:szCs w:val="22"/>
                <w:lang w:val="lt-LT"/>
              </w:rPr>
            </w:pPr>
            <w:r>
              <w:rPr>
                <w:sz w:val="22"/>
                <w:szCs w:val="22"/>
                <w:lang w:val="lt-LT"/>
              </w:rPr>
              <w:t>Paklitaksel/</w:t>
            </w:r>
            <w:r w:rsidR="007472F1">
              <w:rPr>
                <w:rFonts w:eastAsia="Times New Roman"/>
                <w:sz w:val="22"/>
                <w:szCs w:val="22"/>
                <w:lang w:val="lt-LT"/>
              </w:rPr>
              <w:t>bewacyzumab</w:t>
            </w:r>
          </w:p>
          <w:p w14:paraId="5795E9FF" w14:textId="77777777" w:rsidR="00C15F4D" w:rsidRDefault="00C15F4D" w:rsidP="00187B78">
            <w:pPr>
              <w:pStyle w:val="Default"/>
              <w:jc w:val="center"/>
              <w:rPr>
                <w:sz w:val="22"/>
                <w:szCs w:val="22"/>
                <w:lang w:val="lt-LT"/>
              </w:rPr>
            </w:pPr>
          </w:p>
          <w:p w14:paraId="2D3ECE5B" w14:textId="77777777" w:rsidR="00A75206" w:rsidRPr="00F53BB4" w:rsidRDefault="00A75206" w:rsidP="00187B78">
            <w:pPr>
              <w:pStyle w:val="Default"/>
              <w:jc w:val="center"/>
              <w:rPr>
                <w:sz w:val="22"/>
                <w:szCs w:val="22"/>
                <w:lang w:val="lt-LT"/>
              </w:rPr>
            </w:pPr>
            <w:r w:rsidRPr="00F53BB4">
              <w:rPr>
                <w:sz w:val="22"/>
                <w:szCs w:val="22"/>
                <w:lang w:val="lt-LT"/>
              </w:rPr>
              <w:t>(n</w:t>
            </w:r>
            <w:r w:rsidR="005B018D">
              <w:rPr>
                <w:sz w:val="22"/>
                <w:szCs w:val="22"/>
                <w:lang w:val="lt-LT"/>
              </w:rPr>
              <w:t> </w:t>
            </w:r>
            <w:r w:rsidRPr="00F53BB4">
              <w:rPr>
                <w:sz w:val="22"/>
                <w:szCs w:val="22"/>
                <w:lang w:val="lt-LT"/>
              </w:rPr>
              <w:t>=</w:t>
            </w:r>
            <w:r w:rsidR="005B018D">
              <w:rPr>
                <w:sz w:val="22"/>
                <w:szCs w:val="22"/>
                <w:lang w:val="lt-LT"/>
              </w:rPr>
              <w:t> </w:t>
            </w:r>
            <w:r w:rsidRPr="00F53BB4">
              <w:rPr>
                <w:sz w:val="22"/>
                <w:szCs w:val="22"/>
                <w:lang w:val="lt-LT"/>
              </w:rPr>
              <w:t>252)</w:t>
            </w:r>
          </w:p>
        </w:tc>
        <w:tc>
          <w:tcPr>
            <w:tcW w:w="851" w:type="pct"/>
            <w:tcBorders>
              <w:left w:val="single" w:sz="4" w:space="0" w:color="auto"/>
              <w:right w:val="single" w:sz="4" w:space="0" w:color="auto"/>
            </w:tcBorders>
            <w:noWrap/>
            <w:vAlign w:val="center"/>
            <w:hideMark/>
          </w:tcPr>
          <w:p w14:paraId="5D7F3B85" w14:textId="77777777" w:rsidR="00C15F4D" w:rsidRDefault="00C15F4D" w:rsidP="00187B78">
            <w:pPr>
              <w:pStyle w:val="Default"/>
              <w:jc w:val="center"/>
              <w:rPr>
                <w:sz w:val="22"/>
                <w:szCs w:val="22"/>
                <w:lang w:val="lt-LT"/>
              </w:rPr>
            </w:pPr>
            <w:r>
              <w:rPr>
                <w:sz w:val="22"/>
                <w:szCs w:val="22"/>
                <w:lang w:val="lt-LT"/>
              </w:rPr>
              <w:t>Paklitaksel</w:t>
            </w:r>
          </w:p>
          <w:p w14:paraId="751B3B93" w14:textId="77777777" w:rsidR="00C15F4D" w:rsidRDefault="00C15F4D" w:rsidP="00187B78">
            <w:pPr>
              <w:pStyle w:val="Default"/>
              <w:jc w:val="center"/>
              <w:rPr>
                <w:sz w:val="22"/>
                <w:szCs w:val="22"/>
                <w:lang w:val="lt-LT"/>
              </w:rPr>
            </w:pPr>
          </w:p>
          <w:p w14:paraId="30C96393" w14:textId="77777777" w:rsidR="00A75206" w:rsidRPr="00F53BB4" w:rsidRDefault="00A75206" w:rsidP="00187B78">
            <w:pPr>
              <w:pStyle w:val="Default"/>
              <w:jc w:val="center"/>
              <w:rPr>
                <w:sz w:val="22"/>
                <w:szCs w:val="22"/>
                <w:lang w:val="lt-LT"/>
              </w:rPr>
            </w:pPr>
            <w:r w:rsidRPr="00F53BB4">
              <w:rPr>
                <w:sz w:val="22"/>
                <w:szCs w:val="22"/>
                <w:lang w:val="lt-LT"/>
              </w:rPr>
              <w:t>(n</w:t>
            </w:r>
            <w:r w:rsidR="005B018D">
              <w:rPr>
                <w:sz w:val="22"/>
                <w:szCs w:val="22"/>
                <w:lang w:val="lt-LT"/>
              </w:rPr>
              <w:t> </w:t>
            </w:r>
            <w:r w:rsidRPr="00F53BB4">
              <w:rPr>
                <w:sz w:val="22"/>
                <w:szCs w:val="22"/>
                <w:lang w:val="lt-LT"/>
              </w:rPr>
              <w:t>=</w:t>
            </w:r>
            <w:r w:rsidR="005B018D">
              <w:rPr>
                <w:sz w:val="22"/>
                <w:szCs w:val="22"/>
                <w:lang w:val="lt-LT"/>
              </w:rPr>
              <w:t> </w:t>
            </w:r>
            <w:r w:rsidRPr="00F53BB4">
              <w:rPr>
                <w:sz w:val="22"/>
                <w:szCs w:val="22"/>
                <w:lang w:val="lt-LT"/>
              </w:rPr>
              <w:t>243)</w:t>
            </w:r>
          </w:p>
        </w:tc>
        <w:tc>
          <w:tcPr>
            <w:tcW w:w="758" w:type="pct"/>
            <w:tcBorders>
              <w:left w:val="single" w:sz="4" w:space="0" w:color="auto"/>
            </w:tcBorders>
            <w:noWrap/>
            <w:vAlign w:val="center"/>
            <w:hideMark/>
          </w:tcPr>
          <w:p w14:paraId="38FDCAE8" w14:textId="77777777" w:rsidR="00C15F4D" w:rsidRDefault="00A75206" w:rsidP="00187B78">
            <w:pPr>
              <w:pStyle w:val="Default"/>
              <w:jc w:val="center"/>
              <w:rPr>
                <w:sz w:val="22"/>
                <w:szCs w:val="22"/>
                <w:lang w:val="lt-LT"/>
              </w:rPr>
            </w:pPr>
            <w:r w:rsidRPr="00F53BB4">
              <w:rPr>
                <w:sz w:val="22"/>
                <w:szCs w:val="22"/>
                <w:lang w:val="lt-LT"/>
              </w:rPr>
              <w:t>Pa</w:t>
            </w:r>
            <w:r w:rsidR="00C15F4D">
              <w:rPr>
                <w:sz w:val="22"/>
                <w:szCs w:val="22"/>
                <w:lang w:val="lt-LT"/>
              </w:rPr>
              <w:t>klitaksel/</w:t>
            </w:r>
            <w:r w:rsidR="007472F1">
              <w:rPr>
                <w:rFonts w:eastAsia="Times New Roman"/>
                <w:sz w:val="22"/>
                <w:szCs w:val="22"/>
                <w:lang w:val="lt-LT"/>
              </w:rPr>
              <w:t>bewacyzumab</w:t>
            </w:r>
          </w:p>
          <w:p w14:paraId="7B5DEB36" w14:textId="77777777" w:rsidR="00C15F4D" w:rsidRDefault="00C15F4D" w:rsidP="00187B78">
            <w:pPr>
              <w:pStyle w:val="Default"/>
              <w:jc w:val="center"/>
              <w:rPr>
                <w:sz w:val="22"/>
                <w:szCs w:val="22"/>
                <w:lang w:val="lt-LT"/>
              </w:rPr>
            </w:pPr>
          </w:p>
          <w:p w14:paraId="5D157B04" w14:textId="77777777" w:rsidR="00A75206" w:rsidRPr="00F53BB4" w:rsidRDefault="00A75206" w:rsidP="00187B78">
            <w:pPr>
              <w:pStyle w:val="Default"/>
              <w:jc w:val="center"/>
              <w:rPr>
                <w:sz w:val="22"/>
                <w:szCs w:val="22"/>
                <w:lang w:val="lt-LT"/>
              </w:rPr>
            </w:pPr>
            <w:r w:rsidRPr="00F53BB4">
              <w:rPr>
                <w:sz w:val="22"/>
                <w:szCs w:val="22"/>
                <w:lang w:val="lt-LT"/>
              </w:rPr>
              <w:t>(n</w:t>
            </w:r>
            <w:r w:rsidR="005B018D">
              <w:rPr>
                <w:sz w:val="22"/>
                <w:szCs w:val="22"/>
                <w:lang w:val="lt-LT"/>
              </w:rPr>
              <w:t> </w:t>
            </w:r>
            <w:r w:rsidRPr="00F53BB4">
              <w:rPr>
                <w:sz w:val="22"/>
                <w:szCs w:val="22"/>
                <w:lang w:val="lt-LT"/>
              </w:rPr>
              <w:t>=</w:t>
            </w:r>
            <w:r w:rsidR="005B018D">
              <w:rPr>
                <w:sz w:val="22"/>
                <w:szCs w:val="22"/>
                <w:lang w:val="lt-LT"/>
              </w:rPr>
              <w:t> </w:t>
            </w:r>
            <w:r w:rsidRPr="00F53BB4">
              <w:rPr>
                <w:sz w:val="22"/>
                <w:szCs w:val="22"/>
                <w:lang w:val="lt-LT"/>
              </w:rPr>
              <w:t>229)</w:t>
            </w:r>
          </w:p>
        </w:tc>
      </w:tr>
      <w:tr w:rsidR="00A75206" w:rsidRPr="00F53BB4" w14:paraId="0DE04E7C" w14:textId="77777777" w:rsidTr="006A4AD3">
        <w:trPr>
          <w:trHeight w:val="280"/>
        </w:trPr>
        <w:tc>
          <w:tcPr>
            <w:tcW w:w="1782" w:type="pct"/>
            <w:tcBorders>
              <w:right w:val="single" w:sz="4" w:space="0" w:color="auto"/>
            </w:tcBorders>
            <w:noWrap/>
            <w:vAlign w:val="center"/>
            <w:hideMark/>
          </w:tcPr>
          <w:p w14:paraId="247FEB82" w14:textId="77777777" w:rsidR="00A75206" w:rsidRPr="00F53BB4" w:rsidRDefault="00A75206" w:rsidP="00144DF3">
            <w:pPr>
              <w:pStyle w:val="Default"/>
              <w:ind w:left="57"/>
              <w:rPr>
                <w:sz w:val="22"/>
                <w:szCs w:val="22"/>
                <w:lang w:val="lt-LT"/>
              </w:rPr>
            </w:pPr>
            <w:r w:rsidRPr="00F53BB4">
              <w:rPr>
                <w:sz w:val="22"/>
                <w:szCs w:val="22"/>
                <w:lang w:val="lt-LT"/>
              </w:rPr>
              <w:t>% pacjentów z obiektywną odpowiedzią</w:t>
            </w:r>
          </w:p>
        </w:tc>
        <w:tc>
          <w:tcPr>
            <w:tcW w:w="795" w:type="pct"/>
            <w:tcBorders>
              <w:left w:val="single" w:sz="4" w:space="0" w:color="auto"/>
              <w:right w:val="single" w:sz="4" w:space="0" w:color="auto"/>
            </w:tcBorders>
            <w:noWrap/>
            <w:vAlign w:val="center"/>
            <w:hideMark/>
          </w:tcPr>
          <w:p w14:paraId="5A7A92F2" w14:textId="77777777" w:rsidR="00A75206" w:rsidRPr="00F53BB4" w:rsidRDefault="00A75206" w:rsidP="00187B78">
            <w:pPr>
              <w:pStyle w:val="Default"/>
              <w:jc w:val="center"/>
              <w:rPr>
                <w:sz w:val="22"/>
                <w:szCs w:val="22"/>
                <w:lang w:val="lt-LT"/>
              </w:rPr>
            </w:pPr>
            <w:r w:rsidRPr="00F53BB4">
              <w:rPr>
                <w:sz w:val="22"/>
                <w:szCs w:val="22"/>
                <w:lang w:val="lt-LT"/>
              </w:rPr>
              <w:t>23,4</w:t>
            </w:r>
          </w:p>
        </w:tc>
        <w:tc>
          <w:tcPr>
            <w:tcW w:w="814" w:type="pct"/>
            <w:tcBorders>
              <w:left w:val="single" w:sz="4" w:space="0" w:color="auto"/>
              <w:right w:val="single" w:sz="4" w:space="0" w:color="auto"/>
            </w:tcBorders>
            <w:noWrap/>
            <w:vAlign w:val="center"/>
            <w:hideMark/>
          </w:tcPr>
          <w:p w14:paraId="2B643B03" w14:textId="77777777" w:rsidR="00A75206" w:rsidRPr="00F53BB4" w:rsidRDefault="00A75206" w:rsidP="00187B78">
            <w:pPr>
              <w:pStyle w:val="Default"/>
              <w:jc w:val="center"/>
              <w:rPr>
                <w:sz w:val="22"/>
                <w:szCs w:val="22"/>
                <w:lang w:val="lt-LT"/>
              </w:rPr>
            </w:pPr>
            <w:r w:rsidRPr="00F53BB4">
              <w:rPr>
                <w:sz w:val="22"/>
                <w:szCs w:val="22"/>
                <w:lang w:val="lt-LT"/>
              </w:rPr>
              <w:t>48,0</w:t>
            </w:r>
          </w:p>
        </w:tc>
        <w:tc>
          <w:tcPr>
            <w:tcW w:w="851" w:type="pct"/>
            <w:tcBorders>
              <w:left w:val="single" w:sz="4" w:space="0" w:color="auto"/>
              <w:right w:val="single" w:sz="4" w:space="0" w:color="auto"/>
            </w:tcBorders>
            <w:noWrap/>
            <w:vAlign w:val="center"/>
            <w:hideMark/>
          </w:tcPr>
          <w:p w14:paraId="3F38A78C" w14:textId="77777777" w:rsidR="00A75206" w:rsidRPr="00F53BB4" w:rsidRDefault="00A75206" w:rsidP="00187B78">
            <w:pPr>
              <w:pStyle w:val="Default"/>
              <w:jc w:val="center"/>
              <w:rPr>
                <w:sz w:val="22"/>
                <w:szCs w:val="22"/>
                <w:lang w:val="lt-LT"/>
              </w:rPr>
            </w:pPr>
            <w:r w:rsidRPr="00F53BB4">
              <w:rPr>
                <w:sz w:val="22"/>
                <w:szCs w:val="22"/>
                <w:lang w:val="lt-LT"/>
              </w:rPr>
              <w:t>22,2</w:t>
            </w:r>
          </w:p>
        </w:tc>
        <w:tc>
          <w:tcPr>
            <w:tcW w:w="758" w:type="pct"/>
            <w:tcBorders>
              <w:left w:val="single" w:sz="4" w:space="0" w:color="auto"/>
            </w:tcBorders>
            <w:noWrap/>
            <w:vAlign w:val="center"/>
            <w:hideMark/>
          </w:tcPr>
          <w:p w14:paraId="7B808E4E" w14:textId="77777777" w:rsidR="00A75206" w:rsidRPr="00F53BB4" w:rsidRDefault="00A75206" w:rsidP="00187B78">
            <w:pPr>
              <w:pStyle w:val="Default"/>
              <w:jc w:val="center"/>
              <w:rPr>
                <w:sz w:val="22"/>
                <w:szCs w:val="22"/>
                <w:lang w:val="lt-LT"/>
              </w:rPr>
            </w:pPr>
            <w:r w:rsidRPr="00F53BB4">
              <w:rPr>
                <w:sz w:val="22"/>
                <w:szCs w:val="22"/>
                <w:lang w:val="lt-LT"/>
              </w:rPr>
              <w:t>49,8</w:t>
            </w:r>
          </w:p>
        </w:tc>
      </w:tr>
      <w:tr w:rsidR="00A75206" w:rsidRPr="00F53BB4" w14:paraId="78F4E8AD" w14:textId="77777777" w:rsidTr="006A4AD3">
        <w:trPr>
          <w:trHeight w:val="280"/>
        </w:trPr>
        <w:tc>
          <w:tcPr>
            <w:tcW w:w="1782" w:type="pct"/>
            <w:tcBorders>
              <w:right w:val="single" w:sz="4" w:space="0" w:color="auto"/>
            </w:tcBorders>
            <w:noWrap/>
            <w:vAlign w:val="center"/>
            <w:hideMark/>
          </w:tcPr>
          <w:p w14:paraId="712FA02B" w14:textId="77777777" w:rsidR="00A75206" w:rsidRPr="00F53BB4" w:rsidRDefault="00A75206" w:rsidP="00144DF3">
            <w:pPr>
              <w:pStyle w:val="Default"/>
              <w:ind w:left="567"/>
              <w:rPr>
                <w:sz w:val="22"/>
                <w:szCs w:val="22"/>
                <w:lang w:val="lt-LT"/>
              </w:rPr>
            </w:pPr>
            <w:r w:rsidRPr="00F53BB4">
              <w:rPr>
                <w:sz w:val="22"/>
                <w:szCs w:val="22"/>
                <w:lang w:val="lt-LT"/>
              </w:rPr>
              <w:t>Współczynnik p</w:t>
            </w:r>
          </w:p>
        </w:tc>
        <w:tc>
          <w:tcPr>
            <w:tcW w:w="1609" w:type="pct"/>
            <w:gridSpan w:val="2"/>
            <w:tcBorders>
              <w:left w:val="single" w:sz="4" w:space="0" w:color="auto"/>
              <w:right w:val="single" w:sz="4" w:space="0" w:color="auto"/>
            </w:tcBorders>
            <w:noWrap/>
            <w:vAlign w:val="center"/>
            <w:hideMark/>
          </w:tcPr>
          <w:p w14:paraId="4B208982" w14:textId="77777777" w:rsidR="00A75206" w:rsidRPr="00F53BB4" w:rsidRDefault="00A75206" w:rsidP="00187B78">
            <w:pPr>
              <w:pStyle w:val="Default"/>
              <w:jc w:val="center"/>
              <w:rPr>
                <w:sz w:val="22"/>
                <w:szCs w:val="22"/>
                <w:lang w:val="lt-LT"/>
              </w:rPr>
            </w:pPr>
            <w:r w:rsidRPr="00F53BB4">
              <w:rPr>
                <w:sz w:val="22"/>
                <w:szCs w:val="22"/>
                <w:lang w:val="lt-LT"/>
              </w:rPr>
              <w:t>&lt;</w:t>
            </w:r>
            <w:r w:rsidR="00144DF3">
              <w:rPr>
                <w:sz w:val="22"/>
                <w:szCs w:val="22"/>
                <w:lang w:val="lt-LT"/>
              </w:rPr>
              <w:t xml:space="preserve"> </w:t>
            </w:r>
            <w:r w:rsidRPr="00F53BB4">
              <w:rPr>
                <w:sz w:val="22"/>
                <w:szCs w:val="22"/>
                <w:lang w:val="lt-LT"/>
              </w:rPr>
              <w:t>0,0001</w:t>
            </w:r>
          </w:p>
        </w:tc>
        <w:tc>
          <w:tcPr>
            <w:tcW w:w="1609" w:type="pct"/>
            <w:gridSpan w:val="2"/>
            <w:tcBorders>
              <w:left w:val="single" w:sz="4" w:space="0" w:color="auto"/>
            </w:tcBorders>
            <w:noWrap/>
            <w:vAlign w:val="center"/>
            <w:hideMark/>
          </w:tcPr>
          <w:p w14:paraId="3A480BAE" w14:textId="77777777" w:rsidR="00A75206" w:rsidRPr="00F53BB4" w:rsidRDefault="00A75206" w:rsidP="00187B78">
            <w:pPr>
              <w:pStyle w:val="Default"/>
              <w:jc w:val="center"/>
              <w:rPr>
                <w:sz w:val="22"/>
                <w:szCs w:val="22"/>
                <w:lang w:val="lt-LT"/>
              </w:rPr>
            </w:pPr>
            <w:r w:rsidRPr="00F53BB4">
              <w:rPr>
                <w:sz w:val="22"/>
                <w:szCs w:val="22"/>
                <w:lang w:val="lt-LT"/>
              </w:rPr>
              <w:t>&lt;</w:t>
            </w:r>
            <w:r w:rsidR="00144DF3">
              <w:rPr>
                <w:sz w:val="22"/>
                <w:szCs w:val="22"/>
                <w:lang w:val="lt-LT"/>
              </w:rPr>
              <w:t xml:space="preserve"> </w:t>
            </w:r>
            <w:r w:rsidRPr="00F53BB4">
              <w:rPr>
                <w:sz w:val="22"/>
                <w:szCs w:val="22"/>
                <w:lang w:val="lt-LT"/>
              </w:rPr>
              <w:t>0,0001</w:t>
            </w:r>
          </w:p>
        </w:tc>
      </w:tr>
    </w:tbl>
    <w:p w14:paraId="668F2636" w14:textId="77777777" w:rsidR="00A75206" w:rsidRPr="00741122" w:rsidRDefault="00A75206" w:rsidP="00A75206">
      <w:pPr>
        <w:ind w:left="567" w:hanging="567"/>
        <w:rPr>
          <w:rFonts w:ascii="Times New Roman" w:hAnsi="Times New Roman" w:cs="Times New Roman"/>
          <w:lang w:val="lt-LT"/>
        </w:rPr>
      </w:pPr>
      <w:r w:rsidRPr="00741122">
        <w:rPr>
          <w:rFonts w:ascii="Times New Roman" w:hAnsi="Times New Roman" w:cs="Times New Roman"/>
          <w:lang w:val="lt-LT"/>
        </w:rPr>
        <w:t>*</w:t>
      </w:r>
      <w:r w:rsidRPr="00741122">
        <w:rPr>
          <w:rFonts w:ascii="Times New Roman" w:hAnsi="Times New Roman" w:cs="Times New Roman"/>
          <w:lang w:val="lt-LT"/>
        </w:rPr>
        <w:tab/>
        <w:t>analiza pierwotna</w:t>
      </w:r>
      <w:r w:rsidR="00A44819">
        <w:rPr>
          <w:rFonts w:ascii="Times New Roman" w:hAnsi="Times New Roman" w:cs="Times New Roman"/>
          <w:lang w:val="lt-LT"/>
        </w:rPr>
        <w:t>.</w:t>
      </w:r>
    </w:p>
    <w:p w14:paraId="1CB9DF14" w14:textId="77777777" w:rsidR="002F5F94" w:rsidRPr="00741122" w:rsidRDefault="002F5F94" w:rsidP="005624A7">
      <w:pPr>
        <w:keepNext/>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453"/>
        <w:gridCol w:w="3583"/>
        <w:gridCol w:w="3326"/>
      </w:tblGrid>
      <w:tr w:rsidR="002F5F94" w:rsidRPr="00741122" w14:paraId="6F62CE98" w14:textId="77777777" w:rsidTr="006A4AD3">
        <w:trPr>
          <w:trHeight w:val="300"/>
        </w:trPr>
        <w:tc>
          <w:tcPr>
            <w:tcW w:w="5000" w:type="pct"/>
            <w:gridSpan w:val="3"/>
            <w:noWrap/>
            <w:vAlign w:val="center"/>
            <w:hideMark/>
          </w:tcPr>
          <w:p w14:paraId="21AFC69A" w14:textId="77777777" w:rsidR="002F5F94" w:rsidRPr="00741122" w:rsidRDefault="002F5F94" w:rsidP="00712B66">
            <w:pPr>
              <w:pStyle w:val="Default"/>
              <w:keepNext/>
              <w:rPr>
                <w:sz w:val="22"/>
                <w:szCs w:val="22"/>
                <w:lang w:val="lt-LT"/>
              </w:rPr>
            </w:pPr>
            <w:r w:rsidRPr="00741122">
              <w:rPr>
                <w:sz w:val="22"/>
                <w:szCs w:val="22"/>
                <w:lang w:val="lt-LT"/>
              </w:rPr>
              <w:t xml:space="preserve">Przeżycie całkowite </w:t>
            </w:r>
          </w:p>
        </w:tc>
      </w:tr>
      <w:tr w:rsidR="002F5F94" w:rsidRPr="00741122" w14:paraId="5AD519B9" w14:textId="77777777" w:rsidTr="006A4AD3">
        <w:trPr>
          <w:trHeight w:val="537"/>
        </w:trPr>
        <w:tc>
          <w:tcPr>
            <w:tcW w:w="1302" w:type="pct"/>
            <w:tcBorders>
              <w:right w:val="single" w:sz="4" w:space="0" w:color="auto"/>
            </w:tcBorders>
            <w:noWrap/>
            <w:vAlign w:val="bottom"/>
            <w:hideMark/>
          </w:tcPr>
          <w:p w14:paraId="3C9C9674" w14:textId="77777777" w:rsidR="002F5F94" w:rsidRPr="00741122" w:rsidRDefault="002F5F94" w:rsidP="00712B66">
            <w:pPr>
              <w:keepNext/>
              <w:rPr>
                <w:rFonts w:ascii="Times New Roman" w:hAnsi="Times New Roman" w:cs="Times New Roman"/>
                <w:color w:val="000000"/>
                <w:sz w:val="22"/>
                <w:szCs w:val="22"/>
                <w:lang w:val="lt-LT"/>
              </w:rPr>
            </w:pPr>
          </w:p>
        </w:tc>
        <w:tc>
          <w:tcPr>
            <w:tcW w:w="1918" w:type="pct"/>
            <w:tcBorders>
              <w:left w:val="single" w:sz="4" w:space="0" w:color="auto"/>
              <w:right w:val="single" w:sz="4" w:space="0" w:color="auto"/>
            </w:tcBorders>
            <w:noWrap/>
            <w:vAlign w:val="center"/>
            <w:hideMark/>
          </w:tcPr>
          <w:p w14:paraId="5E44B615" w14:textId="77777777" w:rsidR="002F5F94" w:rsidRPr="00741122" w:rsidRDefault="002F5F94" w:rsidP="00712B66">
            <w:pPr>
              <w:pStyle w:val="Default"/>
              <w:keepNext/>
              <w:jc w:val="center"/>
              <w:rPr>
                <w:sz w:val="22"/>
                <w:szCs w:val="22"/>
                <w:lang w:val="lt-LT"/>
              </w:rPr>
            </w:pPr>
            <w:r w:rsidRPr="00741122">
              <w:rPr>
                <w:sz w:val="22"/>
                <w:szCs w:val="22"/>
                <w:lang w:val="lt-LT"/>
              </w:rPr>
              <w:t xml:space="preserve">Paklitaksel </w:t>
            </w:r>
          </w:p>
          <w:p w14:paraId="0D0A2A95" w14:textId="77777777" w:rsidR="00144DF3" w:rsidRDefault="00144DF3" w:rsidP="00712B66">
            <w:pPr>
              <w:pStyle w:val="Default"/>
              <w:keepNext/>
              <w:jc w:val="center"/>
              <w:rPr>
                <w:sz w:val="22"/>
                <w:szCs w:val="22"/>
                <w:lang w:val="lt-LT"/>
              </w:rPr>
            </w:pPr>
          </w:p>
          <w:p w14:paraId="5A105FA2" w14:textId="77777777" w:rsidR="002F5F94" w:rsidRPr="00741122" w:rsidRDefault="002F5F94" w:rsidP="00712B66">
            <w:pPr>
              <w:pStyle w:val="Default"/>
              <w:keepNext/>
              <w:jc w:val="center"/>
              <w:rPr>
                <w:sz w:val="22"/>
                <w:szCs w:val="22"/>
                <w:lang w:val="lt-LT"/>
              </w:rPr>
            </w:pPr>
            <w:r w:rsidRPr="00741122">
              <w:rPr>
                <w:sz w:val="22"/>
                <w:szCs w:val="22"/>
                <w:lang w:val="lt-LT"/>
              </w:rPr>
              <w:t>(n</w:t>
            </w:r>
            <w:r w:rsidR="005B018D">
              <w:rPr>
                <w:sz w:val="22"/>
                <w:szCs w:val="22"/>
                <w:lang w:val="lt-LT"/>
              </w:rPr>
              <w:t> </w:t>
            </w:r>
            <w:r w:rsidRPr="00741122">
              <w:rPr>
                <w:sz w:val="22"/>
                <w:szCs w:val="22"/>
                <w:lang w:val="lt-LT"/>
              </w:rPr>
              <w:t>=</w:t>
            </w:r>
            <w:r w:rsidR="005B018D">
              <w:rPr>
                <w:sz w:val="22"/>
                <w:szCs w:val="22"/>
                <w:lang w:val="lt-LT"/>
              </w:rPr>
              <w:t> </w:t>
            </w:r>
            <w:r w:rsidRPr="00741122">
              <w:rPr>
                <w:sz w:val="22"/>
                <w:szCs w:val="22"/>
                <w:lang w:val="lt-LT"/>
              </w:rPr>
              <w:t>354)</w:t>
            </w:r>
          </w:p>
        </w:tc>
        <w:tc>
          <w:tcPr>
            <w:tcW w:w="1781" w:type="pct"/>
            <w:tcBorders>
              <w:left w:val="single" w:sz="4" w:space="0" w:color="auto"/>
            </w:tcBorders>
            <w:noWrap/>
            <w:vAlign w:val="center"/>
            <w:hideMark/>
          </w:tcPr>
          <w:p w14:paraId="4131AAF5" w14:textId="77777777" w:rsidR="002F5F94" w:rsidRPr="00741122" w:rsidRDefault="002F5F94" w:rsidP="00712B66">
            <w:pPr>
              <w:pStyle w:val="Default"/>
              <w:keepNext/>
              <w:jc w:val="center"/>
              <w:rPr>
                <w:sz w:val="22"/>
                <w:szCs w:val="22"/>
                <w:lang w:val="lt-LT"/>
              </w:rPr>
            </w:pPr>
            <w:r w:rsidRPr="00741122">
              <w:rPr>
                <w:sz w:val="22"/>
                <w:szCs w:val="22"/>
                <w:lang w:val="lt-LT"/>
              </w:rPr>
              <w:t>Paklitaksel/</w:t>
            </w:r>
            <w:r w:rsidR="007472F1">
              <w:rPr>
                <w:rFonts w:eastAsia="Times New Roman"/>
                <w:sz w:val="22"/>
                <w:szCs w:val="22"/>
                <w:lang w:val="lt-LT"/>
              </w:rPr>
              <w:t>bewacyzumab</w:t>
            </w:r>
          </w:p>
          <w:p w14:paraId="2978626E" w14:textId="77777777" w:rsidR="00144DF3" w:rsidRDefault="00144DF3" w:rsidP="00712B66">
            <w:pPr>
              <w:pStyle w:val="Default"/>
              <w:keepNext/>
              <w:jc w:val="center"/>
              <w:rPr>
                <w:sz w:val="22"/>
                <w:szCs w:val="22"/>
                <w:lang w:val="lt-LT"/>
              </w:rPr>
            </w:pPr>
          </w:p>
          <w:p w14:paraId="0A64DF3F" w14:textId="77777777" w:rsidR="002F5F94" w:rsidRPr="00741122" w:rsidRDefault="002F5F94" w:rsidP="00712B66">
            <w:pPr>
              <w:pStyle w:val="Default"/>
              <w:keepNext/>
              <w:jc w:val="center"/>
              <w:rPr>
                <w:sz w:val="22"/>
                <w:szCs w:val="22"/>
                <w:lang w:val="lt-LT"/>
              </w:rPr>
            </w:pPr>
            <w:r w:rsidRPr="00741122">
              <w:rPr>
                <w:sz w:val="22"/>
                <w:szCs w:val="22"/>
                <w:lang w:val="lt-LT"/>
              </w:rPr>
              <w:t>(n</w:t>
            </w:r>
            <w:r w:rsidR="005B018D">
              <w:rPr>
                <w:sz w:val="22"/>
                <w:szCs w:val="22"/>
                <w:lang w:val="lt-LT"/>
              </w:rPr>
              <w:t> </w:t>
            </w:r>
            <w:r w:rsidRPr="00741122">
              <w:rPr>
                <w:sz w:val="22"/>
                <w:szCs w:val="22"/>
                <w:lang w:val="lt-LT"/>
              </w:rPr>
              <w:t>=</w:t>
            </w:r>
            <w:r w:rsidR="005B018D">
              <w:rPr>
                <w:sz w:val="22"/>
                <w:szCs w:val="22"/>
                <w:lang w:val="lt-LT"/>
              </w:rPr>
              <w:t> </w:t>
            </w:r>
            <w:r w:rsidRPr="00741122">
              <w:rPr>
                <w:sz w:val="22"/>
                <w:szCs w:val="22"/>
                <w:lang w:val="lt-LT"/>
              </w:rPr>
              <w:t>368)</w:t>
            </w:r>
          </w:p>
        </w:tc>
      </w:tr>
      <w:tr w:rsidR="002F5F94" w:rsidRPr="00741122" w14:paraId="26F6BF78" w14:textId="77777777" w:rsidTr="006A4AD3">
        <w:trPr>
          <w:trHeight w:val="300"/>
        </w:trPr>
        <w:tc>
          <w:tcPr>
            <w:tcW w:w="1302" w:type="pct"/>
            <w:tcBorders>
              <w:right w:val="single" w:sz="4" w:space="0" w:color="auto"/>
            </w:tcBorders>
            <w:noWrap/>
            <w:vAlign w:val="center"/>
            <w:hideMark/>
          </w:tcPr>
          <w:p w14:paraId="3C48C3FF" w14:textId="77777777" w:rsidR="002F5F94" w:rsidRPr="00741122" w:rsidRDefault="002F5F94" w:rsidP="00712B66">
            <w:pPr>
              <w:pStyle w:val="Default"/>
              <w:keepNext/>
              <w:jc w:val="center"/>
              <w:rPr>
                <w:sz w:val="22"/>
                <w:szCs w:val="22"/>
                <w:lang w:val="lt-LT"/>
              </w:rPr>
            </w:pPr>
            <w:r w:rsidRPr="00741122">
              <w:rPr>
                <w:sz w:val="22"/>
                <w:szCs w:val="22"/>
                <w:lang w:val="lt-LT"/>
              </w:rPr>
              <w:t>Mediana OS (miesiące)</w:t>
            </w:r>
          </w:p>
        </w:tc>
        <w:tc>
          <w:tcPr>
            <w:tcW w:w="1918" w:type="pct"/>
            <w:tcBorders>
              <w:left w:val="single" w:sz="4" w:space="0" w:color="auto"/>
              <w:right w:val="single" w:sz="4" w:space="0" w:color="auto"/>
            </w:tcBorders>
            <w:noWrap/>
            <w:vAlign w:val="center"/>
            <w:hideMark/>
          </w:tcPr>
          <w:p w14:paraId="4E93D5CB" w14:textId="77777777" w:rsidR="002F5F94" w:rsidRPr="00741122" w:rsidRDefault="002F5F94" w:rsidP="00712B66">
            <w:pPr>
              <w:pStyle w:val="Default"/>
              <w:keepNext/>
              <w:jc w:val="center"/>
              <w:rPr>
                <w:sz w:val="22"/>
                <w:szCs w:val="22"/>
                <w:lang w:val="lt-LT"/>
              </w:rPr>
            </w:pPr>
            <w:r w:rsidRPr="00741122">
              <w:rPr>
                <w:sz w:val="22"/>
                <w:szCs w:val="22"/>
                <w:lang w:val="lt-LT"/>
              </w:rPr>
              <w:t>24,8</w:t>
            </w:r>
          </w:p>
        </w:tc>
        <w:tc>
          <w:tcPr>
            <w:tcW w:w="1781" w:type="pct"/>
            <w:tcBorders>
              <w:left w:val="single" w:sz="4" w:space="0" w:color="auto"/>
            </w:tcBorders>
            <w:noWrap/>
            <w:vAlign w:val="center"/>
            <w:hideMark/>
          </w:tcPr>
          <w:p w14:paraId="187DA384" w14:textId="77777777" w:rsidR="002F5F94" w:rsidRPr="00741122" w:rsidRDefault="002F5F94" w:rsidP="00712B66">
            <w:pPr>
              <w:pStyle w:val="Default"/>
              <w:keepNext/>
              <w:jc w:val="center"/>
              <w:rPr>
                <w:sz w:val="22"/>
                <w:szCs w:val="22"/>
                <w:lang w:val="lt-LT"/>
              </w:rPr>
            </w:pPr>
            <w:r w:rsidRPr="00741122">
              <w:rPr>
                <w:sz w:val="22"/>
                <w:szCs w:val="22"/>
                <w:lang w:val="lt-LT"/>
              </w:rPr>
              <w:t>26,5</w:t>
            </w:r>
          </w:p>
        </w:tc>
      </w:tr>
      <w:tr w:rsidR="002F5F94" w:rsidRPr="00741122" w14:paraId="050D6691" w14:textId="77777777" w:rsidTr="006A4AD3">
        <w:trPr>
          <w:trHeight w:val="561"/>
        </w:trPr>
        <w:tc>
          <w:tcPr>
            <w:tcW w:w="1302" w:type="pct"/>
            <w:tcBorders>
              <w:right w:val="single" w:sz="4" w:space="0" w:color="auto"/>
            </w:tcBorders>
            <w:noWrap/>
            <w:vAlign w:val="center"/>
            <w:hideMark/>
          </w:tcPr>
          <w:p w14:paraId="631C2121" w14:textId="77777777" w:rsidR="00571410" w:rsidRDefault="002F5F94" w:rsidP="00571410">
            <w:pPr>
              <w:pStyle w:val="Default"/>
              <w:ind w:left="567"/>
              <w:rPr>
                <w:sz w:val="22"/>
                <w:szCs w:val="22"/>
                <w:lang w:val="lt-LT"/>
              </w:rPr>
            </w:pPr>
            <w:r w:rsidRPr="00741122">
              <w:rPr>
                <w:sz w:val="22"/>
                <w:szCs w:val="22"/>
                <w:lang w:val="lt-LT"/>
              </w:rPr>
              <w:t>współczynnik</w:t>
            </w:r>
            <w:r w:rsidR="00571410">
              <w:rPr>
                <w:sz w:val="22"/>
                <w:szCs w:val="22"/>
                <w:lang w:val="lt-LT"/>
              </w:rPr>
              <w:t xml:space="preserve"> ryzyka</w:t>
            </w:r>
          </w:p>
          <w:p w14:paraId="492FD437" w14:textId="77777777" w:rsidR="002F5F94" w:rsidRPr="00741122" w:rsidRDefault="002F5F94" w:rsidP="00571410">
            <w:pPr>
              <w:pStyle w:val="Default"/>
              <w:ind w:left="567"/>
              <w:rPr>
                <w:sz w:val="22"/>
                <w:szCs w:val="22"/>
                <w:lang w:val="lt-LT"/>
              </w:rPr>
            </w:pPr>
            <w:r w:rsidRPr="00741122">
              <w:rPr>
                <w:sz w:val="22"/>
                <w:szCs w:val="22"/>
                <w:lang w:val="lt-LT"/>
              </w:rPr>
              <w:t>(95% CI)</w:t>
            </w:r>
          </w:p>
        </w:tc>
        <w:tc>
          <w:tcPr>
            <w:tcW w:w="3698" w:type="pct"/>
            <w:gridSpan w:val="2"/>
            <w:tcBorders>
              <w:left w:val="single" w:sz="4" w:space="0" w:color="auto"/>
            </w:tcBorders>
            <w:noWrap/>
            <w:vAlign w:val="center"/>
            <w:hideMark/>
          </w:tcPr>
          <w:p w14:paraId="4AED2B08" w14:textId="77777777" w:rsidR="00B453E9" w:rsidRDefault="00B453E9" w:rsidP="00B453E9">
            <w:pPr>
              <w:pStyle w:val="Default"/>
              <w:ind w:left="227"/>
              <w:jc w:val="center"/>
              <w:rPr>
                <w:sz w:val="22"/>
                <w:szCs w:val="22"/>
                <w:lang w:val="lt-LT"/>
              </w:rPr>
            </w:pPr>
            <w:r>
              <w:rPr>
                <w:sz w:val="22"/>
                <w:szCs w:val="22"/>
                <w:lang w:val="lt-LT"/>
              </w:rPr>
              <w:t>0,869</w:t>
            </w:r>
          </w:p>
          <w:p w14:paraId="07989EB6" w14:textId="77777777" w:rsidR="002F5F94" w:rsidRPr="00741122" w:rsidRDefault="002F5F94" w:rsidP="006F103C">
            <w:pPr>
              <w:pStyle w:val="Default"/>
              <w:ind w:left="227"/>
              <w:jc w:val="center"/>
              <w:rPr>
                <w:sz w:val="22"/>
                <w:szCs w:val="22"/>
                <w:lang w:val="lt-LT"/>
              </w:rPr>
            </w:pPr>
            <w:r w:rsidRPr="00741122">
              <w:rPr>
                <w:sz w:val="22"/>
                <w:szCs w:val="22"/>
                <w:lang w:val="lt-LT"/>
              </w:rPr>
              <w:t>(0,722; 1,046)</w:t>
            </w:r>
          </w:p>
        </w:tc>
      </w:tr>
      <w:tr w:rsidR="002F5F94" w:rsidRPr="00741122" w14:paraId="7F1FFC93" w14:textId="77777777" w:rsidTr="006A4AD3">
        <w:trPr>
          <w:trHeight w:val="300"/>
        </w:trPr>
        <w:tc>
          <w:tcPr>
            <w:tcW w:w="1302" w:type="pct"/>
            <w:tcBorders>
              <w:right w:val="single" w:sz="4" w:space="0" w:color="auto"/>
            </w:tcBorders>
            <w:noWrap/>
            <w:vAlign w:val="center"/>
            <w:hideMark/>
          </w:tcPr>
          <w:p w14:paraId="6E246FDC" w14:textId="77777777" w:rsidR="002F5F94" w:rsidRPr="00741122" w:rsidRDefault="002F5F94" w:rsidP="00187B78">
            <w:pPr>
              <w:pStyle w:val="Default"/>
              <w:jc w:val="center"/>
              <w:rPr>
                <w:sz w:val="22"/>
                <w:szCs w:val="22"/>
                <w:lang w:val="lt-LT"/>
              </w:rPr>
            </w:pPr>
            <w:r w:rsidRPr="00741122">
              <w:rPr>
                <w:sz w:val="22"/>
                <w:szCs w:val="22"/>
                <w:lang w:val="lt-LT"/>
              </w:rPr>
              <w:t>Współczynnik p</w:t>
            </w:r>
          </w:p>
        </w:tc>
        <w:tc>
          <w:tcPr>
            <w:tcW w:w="3698" w:type="pct"/>
            <w:gridSpan w:val="2"/>
            <w:tcBorders>
              <w:left w:val="single" w:sz="4" w:space="0" w:color="auto"/>
            </w:tcBorders>
            <w:noWrap/>
            <w:vAlign w:val="center"/>
            <w:hideMark/>
          </w:tcPr>
          <w:p w14:paraId="06E44B0E" w14:textId="77777777" w:rsidR="002F5F94" w:rsidRPr="00741122" w:rsidRDefault="002F5F94" w:rsidP="006F103C">
            <w:pPr>
              <w:pStyle w:val="Default"/>
              <w:ind w:left="227"/>
              <w:jc w:val="center"/>
              <w:rPr>
                <w:sz w:val="22"/>
                <w:szCs w:val="22"/>
                <w:lang w:val="lt-LT"/>
              </w:rPr>
            </w:pPr>
            <w:r w:rsidRPr="00741122">
              <w:rPr>
                <w:sz w:val="22"/>
                <w:szCs w:val="22"/>
                <w:lang w:val="lt-LT"/>
              </w:rPr>
              <w:t>0,1374</w:t>
            </w:r>
          </w:p>
        </w:tc>
      </w:tr>
    </w:tbl>
    <w:p w14:paraId="09297EDA" w14:textId="77777777" w:rsidR="00071CFE" w:rsidRPr="00741122" w:rsidRDefault="00071CFE" w:rsidP="002E35A7">
      <w:pPr>
        <w:rPr>
          <w:rFonts w:ascii="Times New Roman" w:eastAsia="Times New Roman" w:hAnsi="Times New Roman"/>
          <w:sz w:val="22"/>
          <w:szCs w:val="22"/>
          <w:lang w:val="lt-LT"/>
        </w:rPr>
      </w:pPr>
    </w:p>
    <w:p w14:paraId="17F436F5" w14:textId="77777777" w:rsidR="00071CFE" w:rsidRPr="00741122" w:rsidRDefault="00071CFE" w:rsidP="002E35A7">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Korzyść kliniczną działania </w:t>
      </w:r>
      <w:r w:rsidR="007472F1">
        <w:rPr>
          <w:rFonts w:ascii="Times New Roman" w:eastAsia="Times New Roman" w:hAnsi="Times New Roman" w:cs="Times New Roman"/>
          <w:sz w:val="22"/>
          <w:szCs w:val="22"/>
          <w:lang w:val="lt-LT"/>
        </w:rPr>
        <w:t>bewacyzumab</w:t>
      </w:r>
      <w:r w:rsidR="008925D3">
        <w:rPr>
          <w:rFonts w:ascii="Times New Roman" w:eastAsia="Times New Roman" w:hAnsi="Times New Roman" w:cs="Times New Roman"/>
          <w:sz w:val="22"/>
          <w:szCs w:val="22"/>
          <w:lang w:val="lt-LT"/>
        </w:rPr>
        <w:t>u</w:t>
      </w:r>
      <w:r w:rsidRPr="00741122">
        <w:rPr>
          <w:rFonts w:ascii="Times New Roman" w:eastAsia="Times New Roman" w:hAnsi="Times New Roman"/>
          <w:sz w:val="22"/>
          <w:szCs w:val="22"/>
          <w:lang w:val="lt-LT"/>
        </w:rPr>
        <w:t xml:space="preserve"> ocenianą na podstawie wydłużenia czasu przeżycia wolnego od progresji stwierdzono we wszystkich wcześniej zdefiniowanych podgrupach chorych (wyodrębnionych ze względu na okres wolny od objawów choroby, liczbę ognisk przerzutowych, uprzednie leczenie chemioterapią adiuwantową oraz status receptorów estrogenowych).</w:t>
      </w:r>
    </w:p>
    <w:p w14:paraId="0EED0C9B" w14:textId="4B8390AD" w:rsidR="00071CFE" w:rsidRDefault="00071CFE" w:rsidP="002E35A7">
      <w:pPr>
        <w:tabs>
          <w:tab w:val="left" w:pos="567"/>
        </w:tabs>
        <w:rPr>
          <w:rFonts w:ascii="Times New Roman" w:eastAsia="Times New Roman" w:hAnsi="Times New Roman" w:cs="Times New Roman"/>
          <w:sz w:val="22"/>
          <w:szCs w:val="22"/>
          <w:lang w:val="lt-LT"/>
        </w:rPr>
      </w:pPr>
      <w:bookmarkStart w:id="36" w:name="page34"/>
      <w:bookmarkStart w:id="37" w:name="page35"/>
      <w:bookmarkEnd w:id="36"/>
      <w:bookmarkEnd w:id="37"/>
    </w:p>
    <w:p w14:paraId="3921AB63" w14:textId="77777777" w:rsidR="005A5F0A" w:rsidRPr="002231C7" w:rsidRDefault="005A5F0A" w:rsidP="005A5F0A">
      <w:pPr>
        <w:widowControl w:val="0"/>
        <w:autoSpaceDE w:val="0"/>
        <w:autoSpaceDN w:val="0"/>
        <w:adjustRightInd w:val="0"/>
        <w:rPr>
          <w:rFonts w:ascii="Times New Roman" w:eastAsia="Times New Roman" w:hAnsi="Times New Roman" w:cs="Times New Roman"/>
          <w:i/>
          <w:iCs/>
          <w:color w:val="000000"/>
          <w:sz w:val="22"/>
          <w:szCs w:val="22"/>
          <w:lang w:val="pl-PL" w:eastAsia="en-GB"/>
        </w:rPr>
      </w:pPr>
      <w:r w:rsidRPr="002231C7">
        <w:rPr>
          <w:rFonts w:ascii="Times New Roman" w:eastAsia="Times New Roman" w:hAnsi="Times New Roman" w:cs="Times New Roman"/>
          <w:i/>
          <w:color w:val="000000"/>
          <w:sz w:val="22"/>
          <w:szCs w:val="22"/>
          <w:lang w:val="pl-PL" w:eastAsia="en-GB"/>
        </w:rPr>
        <w:t>AVF3694g</w:t>
      </w:r>
    </w:p>
    <w:p w14:paraId="5BB8C7D6" w14:textId="0AD799CE" w:rsidR="005A5F0A" w:rsidRPr="002231C7" w:rsidRDefault="00A00394"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r w:rsidRPr="002231C7">
        <w:rPr>
          <w:rFonts w:ascii="Times New Roman" w:hAnsi="Times New Roman" w:cs="Times New Roman"/>
          <w:sz w:val="22"/>
          <w:szCs w:val="22"/>
          <w:lang w:val="pl-PL"/>
        </w:rPr>
        <w:t>Przeprowadzono wieloośrodkowe badanie fazy III (AVF3694g), randomizowane, kontrolowane placebo, aby ocenić skuteczność i bezpieczeństwo bewacyzumabu w skojarzeniu z lekiem z grupy chemioterapeutyków w porównaniu do chemioterapeutyku w skojarzeniu z placebo w pierwszym rzucie leczenia pacjentów z HER2-ujemnym rakiem piersi z przerzutami lub z miejscową wznową</w:t>
      </w:r>
      <w:r w:rsidR="005A5F0A" w:rsidRPr="002231C7">
        <w:rPr>
          <w:rFonts w:ascii="Times New Roman" w:eastAsia="Times New Roman" w:hAnsi="Times New Roman" w:cs="Times New Roman"/>
          <w:color w:val="000000"/>
          <w:sz w:val="22"/>
          <w:szCs w:val="22"/>
          <w:lang w:val="pl-PL" w:eastAsia="en-GB"/>
        </w:rPr>
        <w:t>.</w:t>
      </w:r>
    </w:p>
    <w:p w14:paraId="5AD73289" w14:textId="77777777" w:rsidR="005A5F0A" w:rsidRPr="002231C7" w:rsidRDefault="005A5F0A"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p>
    <w:p w14:paraId="0CBA8ACA" w14:textId="6EDEB148" w:rsidR="005A5F0A" w:rsidRPr="002231C7" w:rsidRDefault="009E6014"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r w:rsidRPr="002231C7">
        <w:rPr>
          <w:rFonts w:ascii="Times New Roman" w:hAnsi="Times New Roman" w:cs="Times New Roman"/>
          <w:sz w:val="22"/>
          <w:szCs w:val="22"/>
          <w:lang w:val="pl-PL"/>
        </w:rPr>
        <w:t>Wyboru chemioterapii dokonywał badacz przed randomizacją w stosunku 2:1 do grupy otrzymującej chemioterapię plus bewacyzumab lub chemioterapię plus placebo. Wybór schematów chemioterapii obejmował kapecytabinę, taksany (związany z białkiem paklitaksel, docetaksel), schematy oparte na antracyklinach (doksorubicyna/cyklofosfamid, epirubicyna/cyklofosfamid, 5-fluorouracyl/doksorubicyna/ cyklofosfamid, 5-fluorouracyl/ epirubicyna/cyklofosfamid) stosowane co 3 tygodnie. Bewacyzumab lub placebo były stosowane w dawce 15 mg/kg co 3 tygodnie.</w:t>
      </w:r>
    </w:p>
    <w:p w14:paraId="6B6B12C4" w14:textId="77777777" w:rsidR="005A5F0A" w:rsidRPr="002231C7" w:rsidRDefault="005A5F0A"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p>
    <w:p w14:paraId="05BBC991" w14:textId="339E6371" w:rsidR="005A5F0A" w:rsidRPr="002231C7" w:rsidRDefault="009E6014"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r w:rsidRPr="002231C7">
        <w:rPr>
          <w:rFonts w:ascii="Times New Roman" w:hAnsi="Times New Roman" w:cs="Times New Roman"/>
          <w:sz w:val="22"/>
          <w:szCs w:val="22"/>
          <w:lang w:val="pl-PL"/>
        </w:rPr>
        <w:t>Badanie składało się zaślepionej fazy leczenia, opcjonalnej fazy po progresji, prowadzonej metodą otwartej próby i fazy dalszej obserwacji przeżycia. W czasie zaślepionej fazy leczenia pacjenci otrzymywali chemioterapię i produkt leczniczy (bewacyzumab lub placebo) co 3 tygodnie do wystąpienia progresji choroby, toksyczności uniemożliwiającej dalsze leczenia lub zgonu pacjenta. Pacjenci z potwierdzoną progresją choroby, którzy brali udział w otwartej opcjonalnej fazie badania, mogli otrzymywać bewacyzumab bez zaślepienia wraz z wieloma możliwymi terapiami w ramach drugiej linii leczenia</w:t>
      </w:r>
      <w:r w:rsidR="005A5F0A" w:rsidRPr="002231C7">
        <w:rPr>
          <w:rFonts w:ascii="Times New Roman" w:eastAsia="Times New Roman" w:hAnsi="Times New Roman" w:cs="Times New Roman"/>
          <w:color w:val="000000"/>
          <w:sz w:val="22"/>
          <w:szCs w:val="22"/>
          <w:lang w:val="pl-PL" w:eastAsia="en-GB"/>
        </w:rPr>
        <w:t>.</w:t>
      </w:r>
    </w:p>
    <w:p w14:paraId="10306392" w14:textId="77777777" w:rsidR="005A5F0A" w:rsidRPr="002231C7" w:rsidRDefault="005A5F0A"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p>
    <w:p w14:paraId="2B688BBE" w14:textId="7D0DBD49" w:rsidR="005A5F0A" w:rsidRPr="002231C7" w:rsidRDefault="00B14DF9"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r w:rsidRPr="002231C7">
        <w:rPr>
          <w:rFonts w:ascii="Times New Roman" w:hAnsi="Times New Roman" w:cs="Times New Roman"/>
          <w:sz w:val="22"/>
          <w:szCs w:val="22"/>
          <w:lang w:val="pl-PL"/>
        </w:rPr>
        <w:t xml:space="preserve">Analiza statystyczna była przeprowadzona niezależnie dla 1) pacjentów otrzymujący kapecytabinę w skojarzeniu z bewacyzumabem lub placebo; 2) pacjentów otrzymujących taksan lub antracyklinę w skojarzeniu z bewacyzumabem lub placebo. Za pierwszorzędowy punkt końcowy przyjęto czas wolny od progresji choroby (PFS) oceniany przez badacza. Dodatkowo, ocena pierwszorzędowego punktu końcowego została przeprowadzona przez niezależnych ekspertów (ang. IRC - </w:t>
      </w:r>
      <w:r w:rsidR="00F80453">
        <w:rPr>
          <w:rFonts w:ascii="Times New Roman" w:hAnsi="Times New Roman" w:cs="Times New Roman"/>
          <w:sz w:val="22"/>
          <w:szCs w:val="22"/>
          <w:lang w:val="pl-PL"/>
        </w:rPr>
        <w:t>I</w:t>
      </w:r>
      <w:r w:rsidRPr="002231C7">
        <w:rPr>
          <w:rFonts w:ascii="Times New Roman" w:hAnsi="Times New Roman" w:cs="Times New Roman"/>
          <w:sz w:val="22"/>
          <w:szCs w:val="22"/>
          <w:lang w:val="pl-PL"/>
        </w:rPr>
        <w:t xml:space="preserve">ndependent </w:t>
      </w:r>
      <w:r w:rsidR="00F80453">
        <w:rPr>
          <w:rFonts w:ascii="Times New Roman" w:hAnsi="Times New Roman" w:cs="Times New Roman"/>
          <w:sz w:val="22"/>
          <w:szCs w:val="22"/>
          <w:lang w:val="pl-PL"/>
        </w:rPr>
        <w:t>R</w:t>
      </w:r>
      <w:r w:rsidRPr="002231C7">
        <w:rPr>
          <w:rFonts w:ascii="Times New Roman" w:hAnsi="Times New Roman" w:cs="Times New Roman"/>
          <w:sz w:val="22"/>
          <w:szCs w:val="22"/>
          <w:lang w:val="pl-PL"/>
        </w:rPr>
        <w:t xml:space="preserve">eview </w:t>
      </w:r>
      <w:r w:rsidR="00F80453">
        <w:rPr>
          <w:rFonts w:ascii="Times New Roman" w:hAnsi="Times New Roman" w:cs="Times New Roman"/>
          <w:sz w:val="22"/>
          <w:szCs w:val="22"/>
          <w:lang w:val="pl-PL"/>
        </w:rPr>
        <w:t>C</w:t>
      </w:r>
      <w:r w:rsidRPr="002231C7">
        <w:rPr>
          <w:rFonts w:ascii="Times New Roman" w:hAnsi="Times New Roman" w:cs="Times New Roman"/>
          <w:sz w:val="22"/>
          <w:szCs w:val="22"/>
          <w:lang w:val="pl-PL"/>
        </w:rPr>
        <w:t xml:space="preserve">ommittee). </w:t>
      </w:r>
    </w:p>
    <w:p w14:paraId="64C5B83C" w14:textId="77777777" w:rsidR="005A5F0A" w:rsidRPr="002231C7" w:rsidRDefault="005A5F0A"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p>
    <w:p w14:paraId="1039C931" w14:textId="1323862B" w:rsidR="005A5F0A" w:rsidRPr="002231C7" w:rsidRDefault="00B14DF9" w:rsidP="005A5F0A">
      <w:pPr>
        <w:widowControl w:val="0"/>
        <w:autoSpaceDE w:val="0"/>
        <w:autoSpaceDN w:val="0"/>
        <w:adjustRightInd w:val="0"/>
        <w:rPr>
          <w:rFonts w:ascii="Times New Roman" w:eastAsia="Times New Roman" w:hAnsi="Times New Roman" w:cs="Times New Roman"/>
          <w:color w:val="000000"/>
          <w:sz w:val="22"/>
          <w:szCs w:val="22"/>
          <w:lang w:val="pl-PL" w:eastAsia="en-GB"/>
        </w:rPr>
      </w:pPr>
      <w:r w:rsidRPr="002231C7">
        <w:rPr>
          <w:rFonts w:ascii="Times New Roman" w:hAnsi="Times New Roman" w:cs="Times New Roman"/>
          <w:sz w:val="22"/>
          <w:szCs w:val="22"/>
          <w:lang w:val="pl-PL"/>
        </w:rPr>
        <w:t xml:space="preserve">Wyniki badania uzyskane po przeprowadzeniu końcowych analiz zdefiniowanych w protokole dla parametru PFS i odsetka odpowiedzi dla niezależnej, odpowiednio licznej kohorty z kapecytabiną w badaniu AVF3694g zostały przedstawione w </w:t>
      </w:r>
      <w:r w:rsidR="00E27D75">
        <w:rPr>
          <w:rFonts w:ascii="Times New Roman" w:hAnsi="Times New Roman" w:cs="Times New Roman"/>
          <w:sz w:val="22"/>
          <w:szCs w:val="22"/>
          <w:lang w:val="pl-PL"/>
        </w:rPr>
        <w:t>t</w:t>
      </w:r>
      <w:r w:rsidRPr="002231C7">
        <w:rPr>
          <w:rFonts w:ascii="Times New Roman" w:hAnsi="Times New Roman" w:cs="Times New Roman"/>
          <w:sz w:val="22"/>
          <w:szCs w:val="22"/>
          <w:lang w:val="pl-PL"/>
        </w:rPr>
        <w:t>abeli 11. Zostały także przedstawione wyniki eksploracyjnej analizy przeżycia całkowitego, która objęła 7 miesięcy dalszej obserwacji (około 46% pacjentów zmarło). Odsetek pacjentów, którzy otrzymali bewacyzumab w fazie bez zaślepienia wynosił 62,1% w ramieniu kapecytabina + placebo i 49,9% w ramieniu kapecytabina + bewacyzumab</w:t>
      </w:r>
      <w:r w:rsidR="005A5F0A" w:rsidRPr="002231C7">
        <w:rPr>
          <w:rFonts w:ascii="Times New Roman" w:eastAsia="Times New Roman" w:hAnsi="Times New Roman" w:cs="Times New Roman"/>
          <w:color w:val="000000"/>
          <w:sz w:val="22"/>
          <w:szCs w:val="22"/>
          <w:lang w:val="pl-PL" w:eastAsia="en-GB"/>
        </w:rPr>
        <w:t>.</w:t>
      </w:r>
    </w:p>
    <w:p w14:paraId="13E805CA" w14:textId="77777777" w:rsidR="005A5F0A" w:rsidRPr="005A5F0A" w:rsidRDefault="005A5F0A" w:rsidP="005A5F0A">
      <w:pPr>
        <w:autoSpaceDE w:val="0"/>
        <w:autoSpaceDN w:val="0"/>
        <w:adjustRightInd w:val="0"/>
        <w:rPr>
          <w:rFonts w:ascii="Times New Roman" w:eastAsia="Times New Roman" w:hAnsi="Times New Roman" w:cs="Times New Roman"/>
          <w:i/>
          <w:iCs/>
          <w:sz w:val="22"/>
          <w:szCs w:val="22"/>
          <w:lang w:val="pl-PL" w:eastAsia="en-GB"/>
        </w:rPr>
      </w:pPr>
    </w:p>
    <w:p w14:paraId="4732D792" w14:textId="70441868" w:rsidR="005A5F0A" w:rsidRPr="002231C7" w:rsidRDefault="005A5F0A" w:rsidP="005A5F0A">
      <w:pPr>
        <w:keepNext/>
        <w:tabs>
          <w:tab w:val="left" w:pos="567"/>
        </w:tabs>
        <w:autoSpaceDE w:val="0"/>
        <w:autoSpaceDN w:val="0"/>
        <w:adjustRightInd w:val="0"/>
        <w:rPr>
          <w:rFonts w:ascii="Times New Roman" w:hAnsi="Times New Roman" w:cs="Times New Roman"/>
          <w:b/>
          <w:bCs/>
          <w:sz w:val="22"/>
          <w:szCs w:val="22"/>
          <w:lang w:val="pl-PL" w:eastAsia="en-US"/>
        </w:rPr>
      </w:pPr>
      <w:r w:rsidRPr="002231C7">
        <w:rPr>
          <w:rFonts w:ascii="Times New Roman" w:eastAsia="Times New Roman" w:hAnsi="Times New Roman" w:cs="Times New Roman"/>
          <w:b/>
          <w:sz w:val="22"/>
          <w:szCs w:val="22"/>
          <w:lang w:val="pl-PL" w:eastAsia="en-US"/>
        </w:rPr>
        <w:lastRenderedPageBreak/>
        <w:t>Tabela 11.</w:t>
      </w:r>
      <w:r w:rsidR="00B14DF9" w:rsidRPr="002231C7">
        <w:rPr>
          <w:rFonts w:ascii="Times New Roman" w:hAnsi="Times New Roman" w:cs="Times New Roman"/>
          <w:b/>
          <w:bCs/>
          <w:sz w:val="22"/>
          <w:szCs w:val="22"/>
          <w:lang w:val="pl-PL"/>
        </w:rPr>
        <w:t>Wyniki badania AVF3694g dotyczące skuteczności</w:t>
      </w:r>
      <w:r w:rsidRPr="002231C7">
        <w:rPr>
          <w:rFonts w:ascii="Times New Roman" w:eastAsia="Times New Roman" w:hAnsi="Times New Roman" w:cs="Times New Roman"/>
          <w:b/>
          <w:sz w:val="22"/>
          <w:szCs w:val="22"/>
          <w:lang w:val="pl-PL" w:eastAsia="en-US"/>
        </w:rPr>
        <w:t xml:space="preserve"> – kapecytabina</w:t>
      </w:r>
      <w:r w:rsidRPr="002231C7">
        <w:rPr>
          <w:rFonts w:ascii="Times New Roman" w:eastAsia="Times New Roman" w:hAnsi="Times New Roman" w:cs="Times New Roman"/>
          <w:b/>
          <w:sz w:val="22"/>
          <w:szCs w:val="22"/>
          <w:vertAlign w:val="superscript"/>
          <w:lang w:val="pl-PL" w:eastAsia="en-US"/>
        </w:rPr>
        <w:t>a</w:t>
      </w:r>
      <w:r w:rsidRPr="002231C7">
        <w:rPr>
          <w:rFonts w:ascii="Times New Roman" w:eastAsia="Times New Roman" w:hAnsi="Times New Roman" w:cs="Times New Roman"/>
          <w:b/>
          <w:sz w:val="22"/>
          <w:szCs w:val="22"/>
          <w:lang w:val="pl-PL" w:eastAsia="en-US"/>
        </w:rPr>
        <w:t xml:space="preserve"> i bewacyzumab/placebo (</w:t>
      </w:r>
      <w:r w:rsidR="00B14DF9" w:rsidRPr="002231C7">
        <w:rPr>
          <w:rFonts w:ascii="Times New Roman" w:eastAsia="Times New Roman" w:hAnsi="Times New Roman" w:cs="Times New Roman"/>
          <w:b/>
          <w:sz w:val="22"/>
          <w:szCs w:val="22"/>
          <w:lang w:val="pl-PL" w:eastAsia="en-US"/>
        </w:rPr>
        <w:t>C</w:t>
      </w:r>
      <w:r w:rsidRPr="002231C7">
        <w:rPr>
          <w:rFonts w:ascii="Times New Roman" w:eastAsia="Times New Roman" w:hAnsi="Times New Roman" w:cs="Times New Roman"/>
          <w:b/>
          <w:sz w:val="22"/>
          <w:szCs w:val="22"/>
          <w:lang w:val="pl-PL" w:eastAsia="en-US"/>
        </w:rPr>
        <w:t>ap + </w:t>
      </w:r>
      <w:r w:rsidR="006B0C84">
        <w:rPr>
          <w:rFonts w:ascii="Times New Roman" w:eastAsia="Times New Roman" w:hAnsi="Times New Roman" w:cs="Times New Roman"/>
          <w:b/>
          <w:sz w:val="22"/>
          <w:szCs w:val="22"/>
          <w:lang w:val="pl-PL" w:eastAsia="en-US"/>
        </w:rPr>
        <w:t>b</w:t>
      </w:r>
      <w:r w:rsidRPr="002231C7">
        <w:rPr>
          <w:rFonts w:ascii="Times New Roman" w:eastAsia="Times New Roman" w:hAnsi="Times New Roman" w:cs="Times New Roman"/>
          <w:b/>
          <w:sz w:val="22"/>
          <w:szCs w:val="22"/>
          <w:lang w:val="pl-PL" w:eastAsia="en-US"/>
        </w:rPr>
        <w:t>ewacyzumab/Pl)</w:t>
      </w:r>
    </w:p>
    <w:p w14:paraId="0484D6EE" w14:textId="77777777" w:rsidR="005A5F0A" w:rsidRPr="002231C7" w:rsidRDefault="005A5F0A" w:rsidP="005A5F0A">
      <w:pPr>
        <w:keepNext/>
        <w:autoSpaceDE w:val="0"/>
        <w:autoSpaceDN w:val="0"/>
        <w:adjustRightInd w:val="0"/>
        <w:rPr>
          <w:rFonts w:ascii="Times New Roman" w:eastAsia="Times New Roman" w:hAnsi="Times New Roman" w:cs="Times New Roman"/>
          <w:color w:val="000000"/>
          <w:sz w:val="22"/>
          <w:szCs w:val="22"/>
          <w:lang w:val="pl-PL" w:eastAsia="en-US"/>
        </w:rPr>
      </w:pP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8"/>
        <w:gridCol w:w="1561"/>
        <w:gridCol w:w="1834"/>
        <w:gridCol w:w="7"/>
        <w:gridCol w:w="1842"/>
        <w:gridCol w:w="1845"/>
      </w:tblGrid>
      <w:tr w:rsidR="005A5F0A" w:rsidRPr="00C70451" w14:paraId="73C06200" w14:textId="77777777" w:rsidTr="00B217D2">
        <w:trPr>
          <w:trHeight w:val="300"/>
          <w:tblHeader/>
        </w:trPr>
        <w:tc>
          <w:tcPr>
            <w:tcW w:w="9317" w:type="dxa"/>
            <w:gridSpan w:val="6"/>
            <w:noWrap/>
            <w:vAlign w:val="bottom"/>
            <w:hideMark/>
          </w:tcPr>
          <w:p w14:paraId="77362899" w14:textId="5A7139F0" w:rsidR="005A5F0A" w:rsidRPr="002231C7" w:rsidRDefault="00B14DF9" w:rsidP="002231C7">
            <w:pPr>
              <w:pStyle w:val="Default"/>
              <w:keepNext/>
              <w:rPr>
                <w:sz w:val="22"/>
                <w:szCs w:val="22"/>
                <w:lang w:val="pl-PL"/>
              </w:rPr>
            </w:pPr>
            <w:r w:rsidRPr="002231C7">
              <w:rPr>
                <w:sz w:val="22"/>
                <w:szCs w:val="22"/>
                <w:lang w:val="pl-PL"/>
              </w:rPr>
              <w:t>Czas przeżycia wolny od progresji</w:t>
            </w:r>
            <w:r w:rsidR="005A5F0A" w:rsidRPr="002231C7">
              <w:rPr>
                <w:rFonts w:eastAsia="Times New Roman"/>
                <w:sz w:val="22"/>
                <w:szCs w:val="22"/>
                <w:vertAlign w:val="superscript"/>
                <w:lang w:val="pl-PL"/>
              </w:rPr>
              <w:t>b</w:t>
            </w:r>
          </w:p>
        </w:tc>
      </w:tr>
      <w:tr w:rsidR="005A5F0A" w:rsidRPr="002231C7" w14:paraId="212CF77A" w14:textId="77777777" w:rsidTr="00B217D2">
        <w:trPr>
          <w:trHeight w:val="300"/>
          <w:tblHeader/>
        </w:trPr>
        <w:tc>
          <w:tcPr>
            <w:tcW w:w="2228" w:type="dxa"/>
            <w:noWrap/>
            <w:vAlign w:val="bottom"/>
            <w:hideMark/>
          </w:tcPr>
          <w:p w14:paraId="367C93E9" w14:textId="77777777" w:rsidR="005A5F0A" w:rsidRPr="002231C7" w:rsidRDefault="005A5F0A" w:rsidP="005A5F0A">
            <w:pPr>
              <w:keepNext/>
              <w:tabs>
                <w:tab w:val="left" w:pos="567"/>
              </w:tabs>
              <w:rPr>
                <w:rFonts w:ascii="Times New Roman" w:eastAsia="Times New Roman" w:hAnsi="Times New Roman" w:cs="Times New Roman"/>
                <w:color w:val="000000"/>
                <w:sz w:val="22"/>
                <w:szCs w:val="22"/>
                <w:lang w:val="pl-PL" w:eastAsia="en-US"/>
              </w:rPr>
            </w:pPr>
          </w:p>
        </w:tc>
        <w:tc>
          <w:tcPr>
            <w:tcW w:w="3395" w:type="dxa"/>
            <w:gridSpan w:val="2"/>
            <w:noWrap/>
            <w:vAlign w:val="bottom"/>
            <w:hideMark/>
          </w:tcPr>
          <w:p w14:paraId="64431980" w14:textId="06C261FA" w:rsidR="005A5F0A" w:rsidRPr="002231C7" w:rsidRDefault="005A5F0A" w:rsidP="005A5F0A">
            <w:pPr>
              <w:keepNext/>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Ocena badacz</w:t>
            </w:r>
            <w:r w:rsidR="00B14DF9" w:rsidRPr="002231C7">
              <w:rPr>
                <w:rFonts w:ascii="Times New Roman" w:eastAsia="Times New Roman" w:hAnsi="Times New Roman" w:cs="Times New Roman"/>
                <w:color w:val="000000"/>
                <w:sz w:val="22"/>
                <w:szCs w:val="22"/>
                <w:lang w:val="pl-PL" w:eastAsia="en-US"/>
              </w:rPr>
              <w:t>y</w:t>
            </w:r>
            <w:r w:rsidRPr="002231C7">
              <w:rPr>
                <w:rFonts w:ascii="Times New Roman" w:eastAsia="Times New Roman" w:hAnsi="Times New Roman" w:cs="Times New Roman"/>
                <w:color w:val="000000"/>
                <w:sz w:val="22"/>
                <w:szCs w:val="22"/>
                <w:lang w:val="pl-PL" w:eastAsia="en-US"/>
              </w:rPr>
              <w:t xml:space="preserve"> </w:t>
            </w:r>
          </w:p>
        </w:tc>
        <w:tc>
          <w:tcPr>
            <w:tcW w:w="3694" w:type="dxa"/>
            <w:gridSpan w:val="3"/>
            <w:noWrap/>
            <w:vAlign w:val="bottom"/>
            <w:hideMark/>
          </w:tcPr>
          <w:p w14:paraId="12842546" w14:textId="77116114" w:rsidR="00B14DF9" w:rsidRPr="002231C7" w:rsidRDefault="005A5F0A" w:rsidP="002231C7">
            <w:pPr>
              <w:keepNext/>
              <w:tabs>
                <w:tab w:val="left" w:pos="567"/>
              </w:tabs>
              <w:rPr>
                <w:rFonts w:ascii="Times New Roman" w:eastAsia="Times New Roman" w:hAnsi="Times New Roman" w:cs="Times New Roman"/>
                <w:sz w:val="22"/>
                <w:szCs w:val="22"/>
                <w:lang w:val="pl-PL"/>
              </w:rPr>
            </w:pPr>
            <w:r w:rsidRPr="002231C7">
              <w:rPr>
                <w:rFonts w:ascii="Times New Roman" w:eastAsia="Times New Roman" w:hAnsi="Times New Roman" w:cs="Times New Roman"/>
                <w:color w:val="000000"/>
                <w:sz w:val="22"/>
                <w:szCs w:val="22"/>
                <w:lang w:val="pl-PL" w:eastAsia="en-US"/>
              </w:rPr>
              <w:t xml:space="preserve">Ocena </w:t>
            </w:r>
            <w:proofErr w:type="spellStart"/>
            <w:r w:rsidR="00B14DF9" w:rsidRPr="002231C7">
              <w:rPr>
                <w:rFonts w:ascii="Times New Roman" w:hAnsi="Times New Roman" w:cs="Times New Roman"/>
                <w:sz w:val="22"/>
                <w:szCs w:val="22"/>
              </w:rPr>
              <w:t>niezależnych</w:t>
            </w:r>
            <w:proofErr w:type="spellEnd"/>
            <w:r w:rsidR="00B14DF9" w:rsidRPr="002231C7">
              <w:rPr>
                <w:rFonts w:ascii="Times New Roman" w:hAnsi="Times New Roman" w:cs="Times New Roman"/>
                <w:sz w:val="22"/>
                <w:szCs w:val="22"/>
              </w:rPr>
              <w:t xml:space="preserve"> </w:t>
            </w:r>
            <w:proofErr w:type="spellStart"/>
            <w:r w:rsidR="00B14DF9" w:rsidRPr="002231C7">
              <w:rPr>
                <w:rFonts w:ascii="Times New Roman" w:hAnsi="Times New Roman" w:cs="Times New Roman"/>
                <w:sz w:val="22"/>
                <w:szCs w:val="22"/>
              </w:rPr>
              <w:t>ekspertów</w:t>
            </w:r>
            <w:proofErr w:type="spellEnd"/>
          </w:p>
          <w:p w14:paraId="7D3624C1" w14:textId="6E11C7FF" w:rsidR="005A5F0A" w:rsidRPr="002231C7" w:rsidRDefault="005A5F0A" w:rsidP="00B14DF9">
            <w:pPr>
              <w:keepNext/>
              <w:tabs>
                <w:tab w:val="left" w:pos="567"/>
              </w:tabs>
              <w:rPr>
                <w:rFonts w:ascii="Times New Roman" w:eastAsia="Times New Roman" w:hAnsi="Times New Roman" w:cs="Times New Roman"/>
                <w:color w:val="000000"/>
                <w:sz w:val="22"/>
                <w:szCs w:val="22"/>
                <w:lang w:val="pl-PL" w:eastAsia="en-US"/>
              </w:rPr>
            </w:pPr>
          </w:p>
        </w:tc>
      </w:tr>
      <w:tr w:rsidR="005A5F0A" w:rsidRPr="002231C7" w14:paraId="3F031025" w14:textId="77777777" w:rsidTr="00B217D2">
        <w:trPr>
          <w:trHeight w:val="300"/>
          <w:tblHeader/>
        </w:trPr>
        <w:tc>
          <w:tcPr>
            <w:tcW w:w="2228" w:type="dxa"/>
            <w:noWrap/>
            <w:vAlign w:val="bottom"/>
            <w:hideMark/>
          </w:tcPr>
          <w:p w14:paraId="551EC46F" w14:textId="77777777" w:rsidR="005A5F0A" w:rsidRPr="002231C7" w:rsidRDefault="005A5F0A" w:rsidP="005A5F0A">
            <w:pPr>
              <w:keepNext/>
              <w:tabs>
                <w:tab w:val="left" w:pos="567"/>
              </w:tabs>
              <w:rPr>
                <w:rFonts w:ascii="Times New Roman" w:eastAsia="Times New Roman" w:hAnsi="Times New Roman" w:cs="Times New Roman"/>
                <w:color w:val="000000"/>
                <w:sz w:val="22"/>
                <w:szCs w:val="22"/>
                <w:lang w:val="pl-PL" w:eastAsia="en-US"/>
              </w:rPr>
            </w:pPr>
          </w:p>
        </w:tc>
        <w:tc>
          <w:tcPr>
            <w:tcW w:w="1561" w:type="dxa"/>
            <w:noWrap/>
            <w:hideMark/>
          </w:tcPr>
          <w:p w14:paraId="1862AA3F" w14:textId="670B3D12" w:rsidR="005A5F0A" w:rsidRPr="002231C7" w:rsidRDefault="007A3900" w:rsidP="005A5F0A">
            <w:pPr>
              <w:keepNext/>
              <w:tabs>
                <w:tab w:val="left" w:pos="567"/>
              </w:tabs>
              <w:jc w:val="center"/>
              <w:rPr>
                <w:rFonts w:ascii="Times New Roman" w:eastAsia="Times New Roman" w:hAnsi="Times New Roman" w:cs="Times New Roman"/>
                <w:color w:val="000000"/>
                <w:sz w:val="22"/>
                <w:szCs w:val="22"/>
                <w:lang w:val="pl-PL" w:eastAsia="en-US"/>
              </w:rPr>
            </w:pPr>
            <w:r>
              <w:rPr>
                <w:rFonts w:ascii="Times New Roman" w:eastAsia="Times New Roman" w:hAnsi="Times New Roman" w:cs="Times New Roman"/>
                <w:color w:val="000000"/>
                <w:sz w:val="22"/>
                <w:szCs w:val="22"/>
                <w:lang w:val="pl-PL" w:eastAsia="en-US"/>
              </w:rPr>
              <w:t>kapecytabina</w:t>
            </w:r>
            <w:r w:rsidR="005A5F0A" w:rsidRPr="002231C7">
              <w:rPr>
                <w:rFonts w:ascii="Times New Roman" w:eastAsia="Times New Roman" w:hAnsi="Times New Roman" w:cs="Times New Roman"/>
                <w:color w:val="000000"/>
                <w:sz w:val="22"/>
                <w:szCs w:val="22"/>
                <w:lang w:val="pl-PL" w:eastAsia="en-US"/>
              </w:rPr>
              <w:t xml:space="preserve"> + </w:t>
            </w:r>
            <w:r>
              <w:rPr>
                <w:rFonts w:ascii="Times New Roman" w:eastAsia="Times New Roman" w:hAnsi="Times New Roman" w:cs="Times New Roman"/>
                <w:color w:val="000000"/>
                <w:sz w:val="22"/>
                <w:szCs w:val="22"/>
                <w:lang w:val="pl-PL" w:eastAsia="en-US"/>
              </w:rPr>
              <w:t>placebo</w:t>
            </w:r>
          </w:p>
          <w:p w14:paraId="1C29F726" w14:textId="77777777" w:rsidR="005A5F0A" w:rsidRPr="002231C7" w:rsidRDefault="005A5F0A" w:rsidP="005A5F0A">
            <w:pPr>
              <w:keepNext/>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(n = 206)</w:t>
            </w:r>
          </w:p>
        </w:tc>
        <w:tc>
          <w:tcPr>
            <w:tcW w:w="1834" w:type="dxa"/>
            <w:noWrap/>
            <w:hideMark/>
          </w:tcPr>
          <w:p w14:paraId="10FB327E" w14:textId="77E07654" w:rsidR="005A5F0A" w:rsidRPr="002231C7" w:rsidRDefault="007A3900" w:rsidP="005A5F0A">
            <w:pPr>
              <w:keepNext/>
              <w:tabs>
                <w:tab w:val="left" w:pos="567"/>
              </w:tabs>
              <w:jc w:val="center"/>
              <w:rPr>
                <w:rFonts w:ascii="Times New Roman" w:eastAsia="Times New Roman" w:hAnsi="Times New Roman" w:cs="Times New Roman"/>
                <w:color w:val="000000"/>
                <w:sz w:val="22"/>
                <w:szCs w:val="22"/>
                <w:lang w:val="pl-PL" w:eastAsia="en-US"/>
              </w:rPr>
            </w:pPr>
            <w:r>
              <w:rPr>
                <w:rFonts w:ascii="Times New Roman" w:eastAsia="Times New Roman" w:hAnsi="Times New Roman" w:cs="Times New Roman"/>
                <w:color w:val="000000"/>
                <w:sz w:val="22"/>
                <w:szCs w:val="22"/>
                <w:lang w:val="pl-PL" w:eastAsia="en-US"/>
              </w:rPr>
              <w:t>kapecytabina</w:t>
            </w:r>
            <w:r w:rsidR="005A5F0A" w:rsidRPr="002231C7">
              <w:rPr>
                <w:rFonts w:ascii="Times New Roman" w:eastAsia="Times New Roman" w:hAnsi="Times New Roman" w:cs="Times New Roman"/>
                <w:color w:val="000000"/>
                <w:sz w:val="22"/>
                <w:szCs w:val="22"/>
                <w:lang w:val="pl-PL" w:eastAsia="en-US"/>
              </w:rPr>
              <w:t xml:space="preserve"> + bewacyzumab (n = 409)</w:t>
            </w:r>
          </w:p>
        </w:tc>
        <w:tc>
          <w:tcPr>
            <w:tcW w:w="1849" w:type="dxa"/>
            <w:gridSpan w:val="2"/>
            <w:noWrap/>
            <w:hideMark/>
          </w:tcPr>
          <w:p w14:paraId="0FCCBC68" w14:textId="17B564A3" w:rsidR="005A5F0A" w:rsidRPr="002231C7" w:rsidRDefault="007A3900" w:rsidP="005A5F0A">
            <w:pPr>
              <w:keepNext/>
              <w:tabs>
                <w:tab w:val="left" w:pos="567"/>
              </w:tabs>
              <w:jc w:val="center"/>
              <w:rPr>
                <w:rFonts w:ascii="Times New Roman" w:eastAsia="Times New Roman" w:hAnsi="Times New Roman" w:cs="Times New Roman"/>
                <w:color w:val="000000"/>
                <w:sz w:val="22"/>
                <w:szCs w:val="22"/>
                <w:lang w:val="pl-PL" w:eastAsia="en-US"/>
              </w:rPr>
            </w:pPr>
            <w:r>
              <w:rPr>
                <w:rFonts w:ascii="Times New Roman" w:eastAsia="Times New Roman" w:hAnsi="Times New Roman" w:cs="Times New Roman"/>
                <w:color w:val="000000"/>
                <w:sz w:val="22"/>
                <w:szCs w:val="22"/>
                <w:lang w:val="pl-PL" w:eastAsia="en-US"/>
              </w:rPr>
              <w:t>kapecytabina</w:t>
            </w:r>
            <w:r w:rsidR="005A5F0A" w:rsidRPr="002231C7">
              <w:rPr>
                <w:rFonts w:ascii="Times New Roman" w:eastAsia="Times New Roman" w:hAnsi="Times New Roman" w:cs="Times New Roman"/>
                <w:color w:val="000000"/>
                <w:sz w:val="22"/>
                <w:szCs w:val="22"/>
                <w:lang w:val="pl-PL" w:eastAsia="en-US"/>
              </w:rPr>
              <w:t xml:space="preserve"> + </w:t>
            </w:r>
            <w:r>
              <w:rPr>
                <w:rFonts w:ascii="Times New Roman" w:eastAsia="Times New Roman" w:hAnsi="Times New Roman" w:cs="Times New Roman"/>
                <w:color w:val="000000"/>
                <w:sz w:val="22"/>
                <w:szCs w:val="22"/>
                <w:lang w:val="pl-PL" w:eastAsia="en-US"/>
              </w:rPr>
              <w:t>placebo</w:t>
            </w:r>
          </w:p>
          <w:p w14:paraId="3C6490D6" w14:textId="77777777" w:rsidR="005A5F0A" w:rsidRPr="002231C7" w:rsidRDefault="005A5F0A" w:rsidP="005A5F0A">
            <w:pPr>
              <w:keepNext/>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(n = 206)</w:t>
            </w:r>
          </w:p>
        </w:tc>
        <w:tc>
          <w:tcPr>
            <w:tcW w:w="1845" w:type="dxa"/>
            <w:noWrap/>
            <w:hideMark/>
          </w:tcPr>
          <w:p w14:paraId="79153E47" w14:textId="1DA9673A" w:rsidR="005A5F0A" w:rsidRPr="002231C7" w:rsidRDefault="007A3900" w:rsidP="005A5F0A">
            <w:pPr>
              <w:keepNext/>
              <w:tabs>
                <w:tab w:val="left" w:pos="567"/>
              </w:tabs>
              <w:jc w:val="center"/>
              <w:rPr>
                <w:rFonts w:ascii="Times New Roman" w:eastAsia="Times New Roman" w:hAnsi="Times New Roman" w:cs="Times New Roman"/>
                <w:color w:val="000000"/>
                <w:sz w:val="22"/>
                <w:szCs w:val="22"/>
                <w:lang w:val="pl-PL" w:eastAsia="en-US"/>
              </w:rPr>
            </w:pPr>
            <w:r>
              <w:rPr>
                <w:rFonts w:ascii="Times New Roman" w:eastAsia="Times New Roman" w:hAnsi="Times New Roman" w:cs="Times New Roman"/>
                <w:color w:val="000000"/>
                <w:sz w:val="22"/>
                <w:szCs w:val="22"/>
                <w:lang w:val="pl-PL" w:eastAsia="en-US"/>
              </w:rPr>
              <w:t>kapecytabina</w:t>
            </w:r>
            <w:r w:rsidR="005A5F0A" w:rsidRPr="002231C7">
              <w:rPr>
                <w:rFonts w:ascii="Times New Roman" w:eastAsia="Times New Roman" w:hAnsi="Times New Roman" w:cs="Times New Roman"/>
                <w:color w:val="000000"/>
                <w:sz w:val="22"/>
                <w:szCs w:val="22"/>
                <w:lang w:val="pl-PL" w:eastAsia="en-US"/>
              </w:rPr>
              <w:t xml:space="preserve"> + bewacyzumab (n = 409)</w:t>
            </w:r>
          </w:p>
        </w:tc>
      </w:tr>
      <w:tr w:rsidR="005A5F0A" w:rsidRPr="002231C7" w14:paraId="232A8315" w14:textId="77777777" w:rsidTr="00B217D2">
        <w:trPr>
          <w:trHeight w:val="300"/>
        </w:trPr>
        <w:tc>
          <w:tcPr>
            <w:tcW w:w="2228" w:type="dxa"/>
            <w:noWrap/>
            <w:vAlign w:val="bottom"/>
            <w:hideMark/>
          </w:tcPr>
          <w:p w14:paraId="738F3A13" w14:textId="77777777" w:rsidR="005A5F0A" w:rsidRPr="002231C7" w:rsidRDefault="005A5F0A" w:rsidP="005A5F0A">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 xml:space="preserve">Mediana PFS (miesiące) </w:t>
            </w:r>
          </w:p>
        </w:tc>
        <w:tc>
          <w:tcPr>
            <w:tcW w:w="1561" w:type="dxa"/>
            <w:noWrap/>
            <w:vAlign w:val="center"/>
            <w:hideMark/>
          </w:tcPr>
          <w:p w14:paraId="58B3D48D"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5,7</w:t>
            </w:r>
          </w:p>
        </w:tc>
        <w:tc>
          <w:tcPr>
            <w:tcW w:w="1834" w:type="dxa"/>
            <w:noWrap/>
            <w:vAlign w:val="center"/>
            <w:hideMark/>
          </w:tcPr>
          <w:p w14:paraId="05EE0390"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8,6</w:t>
            </w:r>
          </w:p>
        </w:tc>
        <w:tc>
          <w:tcPr>
            <w:tcW w:w="1849" w:type="dxa"/>
            <w:gridSpan w:val="2"/>
            <w:noWrap/>
            <w:vAlign w:val="center"/>
            <w:hideMark/>
          </w:tcPr>
          <w:p w14:paraId="170B52BA"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6,2</w:t>
            </w:r>
          </w:p>
        </w:tc>
        <w:tc>
          <w:tcPr>
            <w:tcW w:w="1845" w:type="dxa"/>
            <w:noWrap/>
            <w:vAlign w:val="center"/>
            <w:hideMark/>
          </w:tcPr>
          <w:p w14:paraId="287171E1"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9,8</w:t>
            </w:r>
          </w:p>
        </w:tc>
      </w:tr>
      <w:tr w:rsidR="005A5F0A" w:rsidRPr="002231C7" w14:paraId="4A43895B" w14:textId="77777777" w:rsidTr="00B217D2">
        <w:trPr>
          <w:trHeight w:val="300"/>
        </w:trPr>
        <w:tc>
          <w:tcPr>
            <w:tcW w:w="2228" w:type="dxa"/>
            <w:noWrap/>
            <w:vAlign w:val="bottom"/>
            <w:hideMark/>
          </w:tcPr>
          <w:p w14:paraId="687CA18B" w14:textId="77777777" w:rsidR="00AC301B" w:rsidRPr="002231C7" w:rsidDel="00AC301B" w:rsidRDefault="005A5F0A" w:rsidP="005A5F0A">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 xml:space="preserve">Współczynnik ryzyka </w:t>
            </w:r>
          </w:p>
          <w:p w14:paraId="38A7ED0B" w14:textId="77777777" w:rsidR="00AC301B" w:rsidRPr="002231C7" w:rsidRDefault="00AC301B" w:rsidP="00AC301B">
            <w:pPr>
              <w:pStyle w:val="Default"/>
              <w:rPr>
                <w:sz w:val="22"/>
                <w:szCs w:val="22"/>
                <w:lang w:val="pl-PL"/>
              </w:rPr>
            </w:pPr>
            <w:r w:rsidRPr="002231C7">
              <w:rPr>
                <w:sz w:val="22"/>
                <w:szCs w:val="22"/>
                <w:lang w:val="pl-PL"/>
              </w:rPr>
              <w:t xml:space="preserve">vs. ramię placebo </w:t>
            </w:r>
          </w:p>
          <w:p w14:paraId="30F374E7" w14:textId="26B2769D" w:rsidR="005A5F0A" w:rsidRPr="002231C7" w:rsidRDefault="005A5F0A" w:rsidP="005A5F0A">
            <w:pPr>
              <w:tabs>
                <w:tab w:val="left" w:pos="567"/>
              </w:tabs>
              <w:rPr>
                <w:rFonts w:ascii="Times New Roman" w:eastAsia="Times New Roman" w:hAnsi="Times New Roman" w:cs="Times New Roman"/>
                <w:color w:val="000000"/>
                <w:sz w:val="22"/>
                <w:szCs w:val="22"/>
                <w:lang w:val="pl-PL" w:eastAsia="en-US"/>
              </w:rPr>
            </w:pPr>
          </w:p>
          <w:p w14:paraId="06D88535" w14:textId="54DEE1C8" w:rsidR="005A5F0A" w:rsidRPr="002231C7" w:rsidRDefault="005A5F0A" w:rsidP="005A5F0A">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(95%</w:t>
            </w:r>
            <w:r w:rsidR="00A70C5F">
              <w:rPr>
                <w:rFonts w:ascii="Times New Roman" w:eastAsia="Times New Roman" w:hAnsi="Times New Roman" w:cs="Times New Roman"/>
                <w:color w:val="000000"/>
                <w:sz w:val="22"/>
                <w:szCs w:val="22"/>
                <w:lang w:val="pl-PL" w:eastAsia="en-US"/>
              </w:rPr>
              <w:t xml:space="preserve"> CI</w:t>
            </w:r>
            <w:r w:rsidRPr="002231C7">
              <w:rPr>
                <w:rFonts w:ascii="Times New Roman" w:eastAsia="Times New Roman" w:hAnsi="Times New Roman" w:cs="Times New Roman"/>
                <w:color w:val="000000"/>
                <w:sz w:val="22"/>
                <w:szCs w:val="22"/>
                <w:lang w:val="pl-PL" w:eastAsia="en-US"/>
              </w:rPr>
              <w:t xml:space="preserve">) </w:t>
            </w:r>
          </w:p>
        </w:tc>
        <w:tc>
          <w:tcPr>
            <w:tcW w:w="3395" w:type="dxa"/>
            <w:gridSpan w:val="2"/>
            <w:noWrap/>
            <w:hideMark/>
          </w:tcPr>
          <w:p w14:paraId="3B7AFA13"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0,69 (0,56; 0,84)</w:t>
            </w:r>
          </w:p>
        </w:tc>
        <w:tc>
          <w:tcPr>
            <w:tcW w:w="3694" w:type="dxa"/>
            <w:gridSpan w:val="3"/>
            <w:noWrap/>
            <w:hideMark/>
          </w:tcPr>
          <w:p w14:paraId="77D8911A"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0,68 (0,54; 0,86)</w:t>
            </w:r>
          </w:p>
        </w:tc>
      </w:tr>
      <w:tr w:rsidR="005A5F0A" w:rsidRPr="002231C7" w14:paraId="76A3D0AA" w14:textId="77777777" w:rsidTr="00B217D2">
        <w:trPr>
          <w:trHeight w:val="300"/>
        </w:trPr>
        <w:tc>
          <w:tcPr>
            <w:tcW w:w="2228" w:type="dxa"/>
            <w:noWrap/>
            <w:vAlign w:val="bottom"/>
            <w:hideMark/>
          </w:tcPr>
          <w:p w14:paraId="1BF94C17" w14:textId="0E0E4F8C" w:rsidR="005A5F0A" w:rsidRPr="002231C7" w:rsidRDefault="005506E2" w:rsidP="005A5F0A">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sz w:val="22"/>
                <w:szCs w:val="22"/>
                <w:lang w:val="pl-PL" w:eastAsia="en-US"/>
              </w:rPr>
              <w:t>W</w:t>
            </w:r>
            <w:r w:rsidR="005A5F0A" w:rsidRPr="002231C7">
              <w:rPr>
                <w:rFonts w:ascii="Times New Roman" w:eastAsia="Times New Roman" w:hAnsi="Times New Roman" w:cs="Times New Roman"/>
                <w:sz w:val="22"/>
                <w:szCs w:val="22"/>
                <w:lang w:val="pl-PL" w:eastAsia="en-US"/>
              </w:rPr>
              <w:t>artość p</w:t>
            </w:r>
            <w:r w:rsidR="005A5F0A" w:rsidRPr="002231C7">
              <w:rPr>
                <w:rFonts w:ascii="Times New Roman" w:eastAsia="Times New Roman" w:hAnsi="Times New Roman" w:cs="Times New Roman"/>
                <w:color w:val="000000"/>
                <w:sz w:val="22"/>
                <w:szCs w:val="22"/>
                <w:lang w:val="pl-PL" w:eastAsia="en-US"/>
              </w:rPr>
              <w:t xml:space="preserve"> </w:t>
            </w:r>
          </w:p>
        </w:tc>
        <w:tc>
          <w:tcPr>
            <w:tcW w:w="3395" w:type="dxa"/>
            <w:gridSpan w:val="2"/>
            <w:noWrap/>
            <w:vAlign w:val="bottom"/>
            <w:hideMark/>
          </w:tcPr>
          <w:p w14:paraId="45E8D4A3"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0,0002</w:t>
            </w:r>
          </w:p>
        </w:tc>
        <w:tc>
          <w:tcPr>
            <w:tcW w:w="3694" w:type="dxa"/>
            <w:gridSpan w:val="3"/>
            <w:noWrap/>
            <w:vAlign w:val="bottom"/>
            <w:hideMark/>
          </w:tcPr>
          <w:p w14:paraId="10325998"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0,0011</w:t>
            </w:r>
          </w:p>
        </w:tc>
      </w:tr>
      <w:tr w:rsidR="005A5F0A" w:rsidRPr="00C70451" w14:paraId="762A6A48" w14:textId="77777777" w:rsidTr="00B217D2">
        <w:trPr>
          <w:trHeight w:val="300"/>
        </w:trPr>
        <w:tc>
          <w:tcPr>
            <w:tcW w:w="9317" w:type="dxa"/>
            <w:gridSpan w:val="6"/>
            <w:noWrap/>
            <w:vAlign w:val="bottom"/>
            <w:hideMark/>
          </w:tcPr>
          <w:p w14:paraId="05890FA9" w14:textId="5A6660C2" w:rsidR="005A5F0A" w:rsidRPr="002231C7" w:rsidRDefault="00AC301B" w:rsidP="00AC301B">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Współczynnik</w:t>
            </w:r>
            <w:r w:rsidR="005A5F0A" w:rsidRPr="002231C7">
              <w:rPr>
                <w:rFonts w:ascii="Times New Roman" w:eastAsia="Times New Roman" w:hAnsi="Times New Roman" w:cs="Times New Roman"/>
                <w:color w:val="000000"/>
                <w:sz w:val="22"/>
                <w:szCs w:val="22"/>
                <w:lang w:val="pl-PL" w:eastAsia="en-US"/>
              </w:rPr>
              <w:t xml:space="preserve"> odpowiedzi (</w:t>
            </w:r>
            <w:r w:rsidRPr="002231C7">
              <w:rPr>
                <w:rFonts w:ascii="Times New Roman" w:eastAsia="Times New Roman" w:hAnsi="Times New Roman" w:cs="Times New Roman"/>
                <w:color w:val="000000"/>
                <w:sz w:val="22"/>
                <w:szCs w:val="22"/>
                <w:lang w:val="pl-PL" w:eastAsia="en-US"/>
              </w:rPr>
              <w:t xml:space="preserve">dla pacjentów </w:t>
            </w:r>
            <w:r w:rsidR="005A5F0A" w:rsidRPr="002231C7">
              <w:rPr>
                <w:rFonts w:ascii="Times New Roman" w:eastAsia="Times New Roman" w:hAnsi="Times New Roman" w:cs="Times New Roman"/>
                <w:color w:val="000000"/>
                <w:sz w:val="22"/>
                <w:szCs w:val="22"/>
                <w:lang w:val="pl-PL" w:eastAsia="en-US"/>
              </w:rPr>
              <w:t>z mierzalną chorobą)</w:t>
            </w:r>
            <w:r w:rsidR="005A5F0A" w:rsidRPr="002231C7">
              <w:rPr>
                <w:rFonts w:ascii="Times New Roman" w:eastAsia="Times New Roman" w:hAnsi="Times New Roman" w:cs="Times New Roman"/>
                <w:color w:val="000000"/>
                <w:sz w:val="22"/>
                <w:szCs w:val="22"/>
                <w:vertAlign w:val="superscript"/>
                <w:lang w:val="pl-PL" w:eastAsia="en-US"/>
              </w:rPr>
              <w:t>b</w:t>
            </w:r>
            <w:r w:rsidR="005A5F0A" w:rsidRPr="002231C7">
              <w:rPr>
                <w:rFonts w:ascii="Times New Roman" w:eastAsia="Times New Roman" w:hAnsi="Times New Roman" w:cs="Times New Roman"/>
                <w:color w:val="000000"/>
                <w:sz w:val="22"/>
                <w:szCs w:val="22"/>
                <w:lang w:val="pl-PL" w:eastAsia="en-US"/>
              </w:rPr>
              <w:t xml:space="preserve"> </w:t>
            </w:r>
          </w:p>
        </w:tc>
      </w:tr>
      <w:tr w:rsidR="005A5F0A" w:rsidRPr="002231C7" w14:paraId="3D485DCA" w14:textId="77777777" w:rsidTr="00B217D2">
        <w:trPr>
          <w:trHeight w:val="300"/>
        </w:trPr>
        <w:tc>
          <w:tcPr>
            <w:tcW w:w="2228" w:type="dxa"/>
            <w:noWrap/>
            <w:vAlign w:val="bottom"/>
            <w:hideMark/>
          </w:tcPr>
          <w:p w14:paraId="543C4C95" w14:textId="77777777" w:rsidR="005A5F0A" w:rsidRPr="002231C7" w:rsidRDefault="005A5F0A" w:rsidP="005A5F0A">
            <w:pPr>
              <w:tabs>
                <w:tab w:val="left" w:pos="567"/>
              </w:tabs>
              <w:rPr>
                <w:rFonts w:ascii="Times New Roman" w:eastAsia="Times New Roman" w:hAnsi="Times New Roman" w:cs="Times New Roman"/>
                <w:color w:val="000000"/>
                <w:sz w:val="22"/>
                <w:szCs w:val="22"/>
                <w:lang w:val="pl-PL" w:eastAsia="en-US"/>
              </w:rPr>
            </w:pPr>
          </w:p>
        </w:tc>
        <w:tc>
          <w:tcPr>
            <w:tcW w:w="3402" w:type="dxa"/>
            <w:gridSpan w:val="3"/>
            <w:noWrap/>
            <w:vAlign w:val="bottom"/>
            <w:hideMark/>
          </w:tcPr>
          <w:p w14:paraId="2852D6DB" w14:textId="201F991A" w:rsidR="005A5F0A" w:rsidRPr="002231C7" w:rsidRDefault="007A3900" w:rsidP="005A5F0A">
            <w:pPr>
              <w:tabs>
                <w:tab w:val="left" w:pos="567"/>
              </w:tabs>
              <w:jc w:val="center"/>
              <w:rPr>
                <w:rFonts w:ascii="Times New Roman" w:eastAsia="Times New Roman" w:hAnsi="Times New Roman" w:cs="Times New Roman"/>
                <w:color w:val="000000"/>
                <w:sz w:val="22"/>
                <w:szCs w:val="22"/>
                <w:lang w:val="pl-PL" w:eastAsia="en-US"/>
              </w:rPr>
            </w:pPr>
            <w:r>
              <w:rPr>
                <w:rFonts w:ascii="Times New Roman" w:eastAsia="Times New Roman" w:hAnsi="Times New Roman" w:cs="Times New Roman"/>
                <w:color w:val="000000"/>
                <w:sz w:val="22"/>
                <w:szCs w:val="22"/>
                <w:lang w:val="pl-PL" w:eastAsia="en-US"/>
              </w:rPr>
              <w:t>kapecytabina</w:t>
            </w:r>
            <w:r w:rsidR="005A5F0A" w:rsidRPr="002231C7">
              <w:rPr>
                <w:rFonts w:ascii="Times New Roman" w:eastAsia="Times New Roman" w:hAnsi="Times New Roman" w:cs="Times New Roman"/>
                <w:color w:val="000000"/>
                <w:sz w:val="22"/>
                <w:szCs w:val="22"/>
                <w:lang w:val="pl-PL" w:eastAsia="en-US"/>
              </w:rPr>
              <w:t xml:space="preserve"> + </w:t>
            </w:r>
            <w:r>
              <w:rPr>
                <w:rFonts w:ascii="Times New Roman" w:eastAsia="Times New Roman" w:hAnsi="Times New Roman" w:cs="Times New Roman"/>
                <w:color w:val="000000"/>
                <w:sz w:val="22"/>
                <w:szCs w:val="22"/>
                <w:lang w:val="pl-PL" w:eastAsia="en-US"/>
              </w:rPr>
              <w:t>placebo</w:t>
            </w:r>
            <w:r w:rsidR="005A5F0A" w:rsidRPr="002231C7">
              <w:rPr>
                <w:rFonts w:ascii="Times New Roman" w:eastAsia="Times New Roman" w:hAnsi="Times New Roman" w:cs="Times New Roman"/>
                <w:color w:val="000000"/>
                <w:sz w:val="22"/>
                <w:szCs w:val="22"/>
                <w:lang w:val="pl-PL" w:eastAsia="en-US"/>
              </w:rPr>
              <w:t xml:space="preserve"> (n = 161)</w:t>
            </w:r>
          </w:p>
        </w:tc>
        <w:tc>
          <w:tcPr>
            <w:tcW w:w="3687" w:type="dxa"/>
            <w:gridSpan w:val="2"/>
            <w:noWrap/>
            <w:vAlign w:val="bottom"/>
            <w:hideMark/>
          </w:tcPr>
          <w:p w14:paraId="0D096A86" w14:textId="1CA7F018" w:rsidR="005A5F0A" w:rsidRPr="002231C7" w:rsidRDefault="007A3900" w:rsidP="005A5F0A">
            <w:pPr>
              <w:tabs>
                <w:tab w:val="left" w:pos="567"/>
              </w:tabs>
              <w:jc w:val="center"/>
              <w:rPr>
                <w:rFonts w:ascii="Times New Roman" w:eastAsia="Times New Roman" w:hAnsi="Times New Roman" w:cs="Times New Roman"/>
                <w:color w:val="000000"/>
                <w:sz w:val="22"/>
                <w:szCs w:val="22"/>
                <w:lang w:val="pl-PL" w:eastAsia="en-US"/>
              </w:rPr>
            </w:pPr>
            <w:r>
              <w:rPr>
                <w:rFonts w:ascii="Times New Roman" w:eastAsia="Times New Roman" w:hAnsi="Times New Roman" w:cs="Times New Roman"/>
                <w:color w:val="000000"/>
                <w:sz w:val="22"/>
                <w:szCs w:val="22"/>
                <w:lang w:val="pl-PL" w:eastAsia="en-US"/>
              </w:rPr>
              <w:t>kapecytabina</w:t>
            </w:r>
            <w:r w:rsidR="005A5F0A" w:rsidRPr="002231C7">
              <w:rPr>
                <w:rFonts w:ascii="Times New Roman" w:eastAsia="Times New Roman" w:hAnsi="Times New Roman" w:cs="Times New Roman"/>
                <w:color w:val="000000"/>
                <w:sz w:val="22"/>
                <w:szCs w:val="22"/>
                <w:lang w:val="pl-PL" w:eastAsia="en-US"/>
              </w:rPr>
              <w:t xml:space="preserve"> + bewacyzumab (n = 325)</w:t>
            </w:r>
          </w:p>
        </w:tc>
      </w:tr>
      <w:tr w:rsidR="005A5F0A" w:rsidRPr="002231C7" w14:paraId="1FCB5C09" w14:textId="77777777" w:rsidTr="00B217D2">
        <w:trPr>
          <w:trHeight w:val="300"/>
        </w:trPr>
        <w:tc>
          <w:tcPr>
            <w:tcW w:w="2228" w:type="dxa"/>
            <w:noWrap/>
            <w:vAlign w:val="bottom"/>
            <w:hideMark/>
          </w:tcPr>
          <w:p w14:paraId="1C42D052" w14:textId="1321ABD9" w:rsidR="005A5F0A" w:rsidRPr="002231C7" w:rsidRDefault="005A5F0A" w:rsidP="005A5F0A">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 pacj</w:t>
            </w:r>
            <w:r w:rsidR="00AC301B" w:rsidRPr="002231C7">
              <w:rPr>
                <w:rFonts w:ascii="Times New Roman" w:eastAsia="Times New Roman" w:hAnsi="Times New Roman" w:cs="Times New Roman"/>
                <w:color w:val="000000"/>
                <w:sz w:val="22"/>
                <w:szCs w:val="22"/>
                <w:lang w:val="pl-PL" w:eastAsia="en-US"/>
              </w:rPr>
              <w:t>entów</w:t>
            </w:r>
            <w:r w:rsidRPr="002231C7">
              <w:rPr>
                <w:rFonts w:ascii="Times New Roman" w:eastAsia="Times New Roman" w:hAnsi="Times New Roman" w:cs="Times New Roman"/>
                <w:color w:val="000000"/>
                <w:sz w:val="22"/>
                <w:szCs w:val="22"/>
                <w:lang w:val="pl-PL" w:eastAsia="en-US"/>
              </w:rPr>
              <w:t xml:space="preserve"> z obiektywną odpowiedzią </w:t>
            </w:r>
          </w:p>
        </w:tc>
        <w:tc>
          <w:tcPr>
            <w:tcW w:w="3402" w:type="dxa"/>
            <w:gridSpan w:val="3"/>
            <w:noWrap/>
            <w:hideMark/>
          </w:tcPr>
          <w:p w14:paraId="4A3EADA2"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23,6</w:t>
            </w:r>
          </w:p>
        </w:tc>
        <w:tc>
          <w:tcPr>
            <w:tcW w:w="3687" w:type="dxa"/>
            <w:gridSpan w:val="2"/>
            <w:noWrap/>
            <w:hideMark/>
          </w:tcPr>
          <w:p w14:paraId="61980381"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35,4</w:t>
            </w:r>
          </w:p>
        </w:tc>
      </w:tr>
      <w:tr w:rsidR="005A5F0A" w:rsidRPr="002231C7" w14:paraId="7DCB9489" w14:textId="77777777" w:rsidTr="00B217D2">
        <w:trPr>
          <w:trHeight w:val="300"/>
        </w:trPr>
        <w:tc>
          <w:tcPr>
            <w:tcW w:w="2228" w:type="dxa"/>
            <w:noWrap/>
            <w:vAlign w:val="bottom"/>
            <w:hideMark/>
          </w:tcPr>
          <w:p w14:paraId="57967586" w14:textId="3C06781F" w:rsidR="005A5F0A" w:rsidRPr="002231C7" w:rsidRDefault="005506E2" w:rsidP="00AC301B">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sz w:val="22"/>
                <w:szCs w:val="22"/>
                <w:lang w:val="pl-PL" w:eastAsia="en-US"/>
              </w:rPr>
              <w:t>W</w:t>
            </w:r>
            <w:r w:rsidR="005A5F0A" w:rsidRPr="002231C7">
              <w:rPr>
                <w:rFonts w:ascii="Times New Roman" w:eastAsia="Times New Roman" w:hAnsi="Times New Roman" w:cs="Times New Roman"/>
                <w:sz w:val="22"/>
                <w:szCs w:val="22"/>
                <w:lang w:val="pl-PL" w:eastAsia="en-US"/>
              </w:rPr>
              <w:t>artość p</w:t>
            </w:r>
            <w:r w:rsidR="005A5F0A" w:rsidRPr="002231C7">
              <w:rPr>
                <w:rFonts w:ascii="Times New Roman" w:eastAsia="Times New Roman" w:hAnsi="Times New Roman" w:cs="Times New Roman"/>
                <w:color w:val="000000"/>
                <w:sz w:val="22"/>
                <w:szCs w:val="22"/>
                <w:lang w:val="pl-PL" w:eastAsia="en-US"/>
              </w:rPr>
              <w:t xml:space="preserve"> </w:t>
            </w:r>
          </w:p>
        </w:tc>
        <w:tc>
          <w:tcPr>
            <w:tcW w:w="7089" w:type="dxa"/>
            <w:gridSpan w:val="5"/>
            <w:noWrap/>
            <w:vAlign w:val="bottom"/>
            <w:hideMark/>
          </w:tcPr>
          <w:p w14:paraId="42276E9F"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0,0097</w:t>
            </w:r>
          </w:p>
        </w:tc>
      </w:tr>
      <w:tr w:rsidR="005A5F0A" w:rsidRPr="002231C7" w14:paraId="6F1D8ED6" w14:textId="77777777" w:rsidTr="00B217D2">
        <w:trPr>
          <w:trHeight w:val="300"/>
        </w:trPr>
        <w:tc>
          <w:tcPr>
            <w:tcW w:w="9317" w:type="dxa"/>
            <w:gridSpan w:val="6"/>
            <w:noWrap/>
            <w:vAlign w:val="bottom"/>
            <w:hideMark/>
          </w:tcPr>
          <w:p w14:paraId="060E569E" w14:textId="5A3D350E" w:rsidR="005A5F0A" w:rsidRPr="002231C7" w:rsidRDefault="00AC301B" w:rsidP="005A5F0A">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Przeżycie całkowite</w:t>
            </w:r>
            <w:r w:rsidR="005A5F0A" w:rsidRPr="002231C7">
              <w:rPr>
                <w:rFonts w:ascii="Times New Roman" w:eastAsia="Times New Roman" w:hAnsi="Times New Roman" w:cs="Times New Roman"/>
                <w:color w:val="000000"/>
                <w:sz w:val="22"/>
                <w:szCs w:val="22"/>
                <w:vertAlign w:val="superscript"/>
                <w:lang w:val="pl-PL" w:eastAsia="en-US"/>
              </w:rPr>
              <w:t>b</w:t>
            </w:r>
            <w:r w:rsidR="005A5F0A" w:rsidRPr="002231C7">
              <w:rPr>
                <w:rFonts w:ascii="Times New Roman" w:eastAsia="Times New Roman" w:hAnsi="Times New Roman" w:cs="Times New Roman"/>
                <w:color w:val="000000"/>
                <w:sz w:val="22"/>
                <w:szCs w:val="22"/>
                <w:lang w:val="pl-PL" w:eastAsia="en-US"/>
              </w:rPr>
              <w:t xml:space="preserve"> </w:t>
            </w:r>
          </w:p>
        </w:tc>
      </w:tr>
      <w:tr w:rsidR="005A5F0A" w:rsidRPr="002231C7" w14:paraId="56B54A95" w14:textId="77777777" w:rsidTr="00B217D2">
        <w:trPr>
          <w:trHeight w:val="300"/>
        </w:trPr>
        <w:tc>
          <w:tcPr>
            <w:tcW w:w="2228" w:type="dxa"/>
            <w:noWrap/>
            <w:vAlign w:val="bottom"/>
            <w:hideMark/>
          </w:tcPr>
          <w:p w14:paraId="5BFDA4B9" w14:textId="77777777" w:rsidR="005A5F0A" w:rsidRPr="002231C7" w:rsidRDefault="005A5F0A" w:rsidP="005A5F0A">
            <w:pPr>
              <w:tabs>
                <w:tab w:val="left" w:pos="567"/>
              </w:tabs>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 xml:space="preserve">HR (95% CI) </w:t>
            </w:r>
          </w:p>
        </w:tc>
        <w:tc>
          <w:tcPr>
            <w:tcW w:w="7089" w:type="dxa"/>
            <w:gridSpan w:val="5"/>
            <w:noWrap/>
            <w:vAlign w:val="bottom"/>
            <w:hideMark/>
          </w:tcPr>
          <w:p w14:paraId="2CA52626"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0,88 (0,69; 1,13)</w:t>
            </w:r>
          </w:p>
        </w:tc>
      </w:tr>
      <w:tr w:rsidR="005A5F0A" w:rsidRPr="002231C7" w14:paraId="2C4AC83D" w14:textId="77777777" w:rsidTr="00B217D2">
        <w:trPr>
          <w:trHeight w:val="351"/>
        </w:trPr>
        <w:tc>
          <w:tcPr>
            <w:tcW w:w="2228" w:type="dxa"/>
            <w:noWrap/>
            <w:hideMark/>
          </w:tcPr>
          <w:p w14:paraId="03FB1A9D" w14:textId="442FBDAC" w:rsidR="005A5F0A" w:rsidRPr="002231C7" w:rsidRDefault="007A3900" w:rsidP="005A5F0A">
            <w:pPr>
              <w:tabs>
                <w:tab w:val="left" w:pos="567"/>
              </w:tabs>
              <w:rPr>
                <w:rFonts w:ascii="Times New Roman" w:eastAsia="Times New Roman" w:hAnsi="Times New Roman" w:cs="Times New Roman"/>
                <w:color w:val="000000"/>
                <w:sz w:val="22"/>
                <w:szCs w:val="22"/>
                <w:lang w:val="pl-PL" w:eastAsia="en-US"/>
              </w:rPr>
            </w:pPr>
            <w:r>
              <w:rPr>
                <w:rFonts w:ascii="Times New Roman" w:eastAsia="Times New Roman" w:hAnsi="Times New Roman" w:cs="Times New Roman"/>
                <w:sz w:val="22"/>
                <w:szCs w:val="22"/>
                <w:lang w:val="pl-PL" w:eastAsia="en-US"/>
              </w:rPr>
              <w:t>współczynnik</w:t>
            </w:r>
            <w:r w:rsidR="005A5F0A" w:rsidRPr="002231C7">
              <w:rPr>
                <w:rFonts w:ascii="Times New Roman" w:eastAsia="Times New Roman" w:hAnsi="Times New Roman" w:cs="Times New Roman"/>
                <w:sz w:val="22"/>
                <w:szCs w:val="22"/>
                <w:lang w:val="pl-PL" w:eastAsia="en-US"/>
              </w:rPr>
              <w:t xml:space="preserve"> p (eksploracyjn</w:t>
            </w:r>
            <w:r>
              <w:rPr>
                <w:rFonts w:ascii="Times New Roman" w:eastAsia="Times New Roman" w:hAnsi="Times New Roman" w:cs="Times New Roman"/>
                <w:sz w:val="22"/>
                <w:szCs w:val="22"/>
                <w:lang w:val="pl-PL" w:eastAsia="en-US"/>
              </w:rPr>
              <w:t>y</w:t>
            </w:r>
            <w:r w:rsidR="005A5F0A" w:rsidRPr="002231C7">
              <w:rPr>
                <w:rFonts w:ascii="Times New Roman" w:eastAsia="Times New Roman" w:hAnsi="Times New Roman" w:cs="Times New Roman"/>
                <w:sz w:val="22"/>
                <w:szCs w:val="22"/>
                <w:lang w:val="pl-PL" w:eastAsia="en-US"/>
              </w:rPr>
              <w:t>)</w:t>
            </w:r>
            <w:r w:rsidR="005A5F0A" w:rsidRPr="002231C7">
              <w:rPr>
                <w:rFonts w:ascii="Times New Roman" w:eastAsia="Times New Roman" w:hAnsi="Times New Roman" w:cs="Times New Roman"/>
                <w:color w:val="000000"/>
                <w:sz w:val="22"/>
                <w:szCs w:val="22"/>
                <w:lang w:val="pl-PL" w:eastAsia="en-US"/>
              </w:rPr>
              <w:t xml:space="preserve"> </w:t>
            </w:r>
          </w:p>
        </w:tc>
        <w:tc>
          <w:tcPr>
            <w:tcW w:w="7089" w:type="dxa"/>
            <w:gridSpan w:val="5"/>
            <w:noWrap/>
            <w:hideMark/>
          </w:tcPr>
          <w:p w14:paraId="53389C67" w14:textId="77777777" w:rsidR="005A5F0A" w:rsidRPr="002231C7" w:rsidRDefault="005A5F0A" w:rsidP="005A5F0A">
            <w:pPr>
              <w:tabs>
                <w:tab w:val="left" w:pos="567"/>
              </w:tabs>
              <w:jc w:val="center"/>
              <w:rPr>
                <w:rFonts w:ascii="Times New Roman" w:eastAsia="Times New Roman" w:hAnsi="Times New Roman" w:cs="Times New Roman"/>
                <w:color w:val="000000"/>
                <w:sz w:val="22"/>
                <w:szCs w:val="22"/>
                <w:lang w:val="pl-PL" w:eastAsia="en-US"/>
              </w:rPr>
            </w:pPr>
            <w:r w:rsidRPr="002231C7">
              <w:rPr>
                <w:rFonts w:ascii="Times New Roman" w:eastAsia="Times New Roman" w:hAnsi="Times New Roman" w:cs="Times New Roman"/>
                <w:color w:val="000000"/>
                <w:sz w:val="22"/>
                <w:szCs w:val="22"/>
                <w:lang w:val="pl-PL" w:eastAsia="en-US"/>
              </w:rPr>
              <w:t>0,33</w:t>
            </w:r>
          </w:p>
          <w:p w14:paraId="3DD4EB11" w14:textId="77777777" w:rsidR="005A5F0A" w:rsidRPr="002231C7" w:rsidRDefault="005A5F0A" w:rsidP="005A5F0A">
            <w:pPr>
              <w:tabs>
                <w:tab w:val="left" w:pos="567"/>
              </w:tabs>
              <w:rPr>
                <w:rFonts w:ascii="Times New Roman" w:eastAsia="Times New Roman" w:hAnsi="Times New Roman" w:cs="Times New Roman"/>
                <w:color w:val="000000"/>
                <w:sz w:val="22"/>
                <w:szCs w:val="22"/>
                <w:lang w:val="pl-PL" w:eastAsia="en-US"/>
              </w:rPr>
            </w:pPr>
          </w:p>
        </w:tc>
      </w:tr>
    </w:tbl>
    <w:p w14:paraId="2448D2FC" w14:textId="768C4B1E" w:rsidR="002231C7" w:rsidRDefault="005A5F0A" w:rsidP="005A5F0A">
      <w:pPr>
        <w:keepNext/>
        <w:widowControl w:val="0"/>
        <w:autoSpaceDE w:val="0"/>
        <w:autoSpaceDN w:val="0"/>
        <w:adjustRightInd w:val="0"/>
        <w:ind w:left="567" w:hanging="567"/>
        <w:rPr>
          <w:rFonts w:ascii="Times New Roman" w:eastAsia="Times New Roman" w:hAnsi="Times New Roman" w:cs="Times New Roman"/>
          <w:lang w:val="pl-PL" w:eastAsia="en-GB"/>
        </w:rPr>
      </w:pPr>
      <w:r w:rsidRPr="002231C7">
        <w:rPr>
          <w:rFonts w:ascii="Times New Roman" w:eastAsia="Times New Roman" w:hAnsi="Times New Roman" w:cs="Times New Roman"/>
          <w:vertAlign w:val="superscript"/>
          <w:lang w:val="pl-PL" w:eastAsia="en-GB"/>
        </w:rPr>
        <w:t>a</w:t>
      </w:r>
      <w:r w:rsidRPr="002231C7">
        <w:rPr>
          <w:rFonts w:ascii="Times New Roman" w:eastAsia="Times New Roman" w:hAnsi="Times New Roman" w:cs="Times New Roman"/>
          <w:lang w:val="pl-PL" w:eastAsia="en-GB"/>
        </w:rPr>
        <w:t xml:space="preserve"> </w:t>
      </w:r>
      <w:r w:rsidRPr="002231C7">
        <w:rPr>
          <w:rFonts w:ascii="Times New Roman" w:eastAsia="Times New Roman" w:hAnsi="Times New Roman" w:cs="Times New Roman"/>
          <w:lang w:val="pl-PL" w:eastAsia="en-GB"/>
        </w:rPr>
        <w:tab/>
        <w:t>1000 mg/m</w:t>
      </w:r>
      <w:r w:rsidRPr="002231C7">
        <w:rPr>
          <w:rFonts w:ascii="Times New Roman" w:eastAsia="Times New Roman" w:hAnsi="Times New Roman" w:cs="Times New Roman"/>
          <w:vertAlign w:val="superscript"/>
          <w:lang w:val="pl-PL" w:eastAsia="en-GB"/>
        </w:rPr>
        <w:t>2</w:t>
      </w:r>
      <w:r w:rsidRPr="002231C7">
        <w:rPr>
          <w:rFonts w:ascii="Times New Roman" w:eastAsia="Times New Roman" w:hAnsi="Times New Roman" w:cs="Times New Roman"/>
          <w:lang w:val="pl-PL" w:eastAsia="en-GB"/>
        </w:rPr>
        <w:t xml:space="preserve"> doustnie dwa razy na dobę przez 14 dni podawane co 3 tygodnie.</w:t>
      </w:r>
    </w:p>
    <w:p w14:paraId="67CCFA50" w14:textId="1A11B152" w:rsidR="005A5F0A" w:rsidRPr="002231C7" w:rsidRDefault="005A5F0A" w:rsidP="005A5F0A">
      <w:pPr>
        <w:keepNext/>
        <w:widowControl w:val="0"/>
        <w:autoSpaceDE w:val="0"/>
        <w:autoSpaceDN w:val="0"/>
        <w:adjustRightInd w:val="0"/>
        <w:ind w:left="567" w:hanging="567"/>
        <w:rPr>
          <w:rFonts w:ascii="Times New Roman" w:eastAsia="Times New Roman" w:hAnsi="Times New Roman" w:cs="Times New Roman"/>
          <w:lang w:val="pl-PL" w:eastAsia="en-GB"/>
        </w:rPr>
      </w:pPr>
      <w:r w:rsidRPr="002231C7">
        <w:rPr>
          <w:rFonts w:ascii="Times New Roman" w:eastAsia="Times New Roman" w:hAnsi="Times New Roman" w:cs="Times New Roman"/>
          <w:vertAlign w:val="superscript"/>
          <w:lang w:val="pl-PL" w:eastAsia="en-GB"/>
        </w:rPr>
        <w:t>b</w:t>
      </w:r>
      <w:r w:rsidRPr="002231C7">
        <w:rPr>
          <w:rFonts w:ascii="Times New Roman" w:eastAsia="Times New Roman" w:hAnsi="Times New Roman" w:cs="Times New Roman"/>
          <w:lang w:val="pl-PL" w:eastAsia="en-GB"/>
        </w:rPr>
        <w:t xml:space="preserve"> </w:t>
      </w:r>
      <w:r w:rsidRPr="002231C7">
        <w:rPr>
          <w:rFonts w:ascii="Times New Roman" w:eastAsia="Times New Roman" w:hAnsi="Times New Roman" w:cs="Times New Roman"/>
          <w:lang w:val="pl-PL" w:eastAsia="en-GB"/>
        </w:rPr>
        <w:tab/>
      </w:r>
      <w:r w:rsidR="00B65AF7" w:rsidRPr="002231C7">
        <w:rPr>
          <w:rFonts w:ascii="Times New Roman" w:hAnsi="Times New Roman" w:cs="Times New Roman"/>
          <w:lang w:val="pl-PL"/>
        </w:rPr>
        <w:t xml:space="preserve">Analiza po stratyfikacji, zawierająca wszystkie zdarzenia progresji lub zgonu, z wykluczeniem zdarzeń u pacjentów, u których przed udokumentowaną progresją włączono terapię inną niż w protokole (ang. NPT- non-protocol therapy) – u tych pacjentów ocenzurowano dane w czasie ostatniej oceny guza przed rozpoczęciem terapii innych niż w protokole (NPT). </w:t>
      </w:r>
    </w:p>
    <w:p w14:paraId="3DABAD66" w14:textId="77777777" w:rsidR="005A5F0A" w:rsidRPr="005A5F0A" w:rsidRDefault="005A5F0A" w:rsidP="005A5F0A">
      <w:pPr>
        <w:keepNext/>
        <w:widowControl w:val="0"/>
        <w:autoSpaceDE w:val="0"/>
        <w:autoSpaceDN w:val="0"/>
        <w:adjustRightInd w:val="0"/>
        <w:rPr>
          <w:rFonts w:ascii="Times New Roman" w:eastAsia="Times New Roman" w:hAnsi="Times New Roman" w:cs="Times New Roman"/>
          <w:color w:val="000000"/>
          <w:sz w:val="22"/>
          <w:szCs w:val="22"/>
          <w:lang w:val="pl-PL" w:eastAsia="en-GB"/>
        </w:rPr>
      </w:pPr>
    </w:p>
    <w:p w14:paraId="57092696" w14:textId="5B666075" w:rsidR="005A5F0A" w:rsidRDefault="00B65AF7" w:rsidP="002E35A7">
      <w:pPr>
        <w:tabs>
          <w:tab w:val="left" w:pos="567"/>
        </w:tabs>
        <w:rPr>
          <w:rFonts w:ascii="Times New Roman" w:hAnsi="Times New Roman" w:cs="Times New Roman"/>
          <w:sz w:val="22"/>
          <w:szCs w:val="22"/>
          <w:lang w:val="pl-PL"/>
        </w:rPr>
      </w:pPr>
      <w:r w:rsidRPr="002231C7">
        <w:rPr>
          <w:rFonts w:ascii="Times New Roman" w:hAnsi="Times New Roman" w:cs="Times New Roman"/>
          <w:sz w:val="22"/>
          <w:szCs w:val="22"/>
          <w:lang w:val="pl-PL"/>
        </w:rPr>
        <w:t>Analiza PFS (w ocenie badacza) bez stratyfikacji została przeprowadzona bez cenzurowania danych z terapii niezawartych w protokole przed progresją choroby. Wyniki tej analizy były bardzo podobne do analizy pierwotnej wyników PFS.</w:t>
      </w:r>
    </w:p>
    <w:p w14:paraId="1B0B6D40" w14:textId="77777777" w:rsidR="002231C7" w:rsidRPr="002231C7" w:rsidRDefault="002231C7" w:rsidP="002E35A7">
      <w:pPr>
        <w:tabs>
          <w:tab w:val="left" w:pos="567"/>
        </w:tabs>
        <w:rPr>
          <w:rFonts w:ascii="Times New Roman" w:eastAsia="Times New Roman" w:hAnsi="Times New Roman" w:cs="Times New Roman"/>
          <w:sz w:val="22"/>
          <w:szCs w:val="22"/>
          <w:lang w:val="lt-LT"/>
        </w:rPr>
      </w:pPr>
    </w:p>
    <w:p w14:paraId="3709413E" w14:textId="77777777" w:rsidR="00071CFE" w:rsidRPr="00741122" w:rsidRDefault="00071CFE" w:rsidP="00813303">
      <w:pPr>
        <w:keepNext/>
        <w:tabs>
          <w:tab w:val="left" w:pos="567"/>
        </w:tabs>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Niedrobnokomórkowy rak płuca (NSCLC)</w:t>
      </w:r>
    </w:p>
    <w:p w14:paraId="7918C46E" w14:textId="77777777" w:rsidR="005624A7" w:rsidRPr="00741122" w:rsidRDefault="005624A7" w:rsidP="00813303">
      <w:pPr>
        <w:keepNext/>
        <w:tabs>
          <w:tab w:val="left" w:pos="567"/>
        </w:tabs>
        <w:rPr>
          <w:rFonts w:ascii="Times New Roman" w:eastAsia="Times New Roman" w:hAnsi="Times New Roman" w:cs="Times New Roman"/>
          <w:i/>
          <w:sz w:val="22"/>
          <w:szCs w:val="22"/>
          <w:u w:val="single"/>
          <w:lang w:val="lt-LT"/>
        </w:rPr>
      </w:pPr>
    </w:p>
    <w:p w14:paraId="4634B928" w14:textId="77777777" w:rsidR="00071CFE" w:rsidRPr="00741122" w:rsidRDefault="00071CFE" w:rsidP="005624A7">
      <w:pPr>
        <w:tabs>
          <w:tab w:val="left" w:pos="567"/>
        </w:tabs>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Leczenie pierwszego rzutu u pacjentów z niepłaskonabłonkowym NSCLC w skojarzeniu z chemioterapią opartą na pochodnych platyny</w:t>
      </w:r>
    </w:p>
    <w:p w14:paraId="6FAFFD7C" w14:textId="77777777" w:rsidR="00071CFE" w:rsidRPr="00741122" w:rsidRDefault="00071CFE" w:rsidP="005624A7">
      <w:pPr>
        <w:tabs>
          <w:tab w:val="left" w:pos="567"/>
        </w:tabs>
        <w:rPr>
          <w:rFonts w:ascii="Times New Roman" w:eastAsia="Times New Roman" w:hAnsi="Times New Roman" w:cs="Times New Roman"/>
          <w:sz w:val="22"/>
          <w:szCs w:val="22"/>
          <w:lang w:val="lt-LT"/>
        </w:rPr>
      </w:pPr>
    </w:p>
    <w:p w14:paraId="4D9C629A" w14:textId="77777777" w:rsidR="00071CFE" w:rsidRPr="00741122" w:rsidRDefault="00071CFE" w:rsidP="002C52C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Bezpieczeństwo i skuteczność </w:t>
      </w:r>
      <w:r w:rsidR="007472F1">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ze chemioterapią zawierającą pochodne platyny w leczeniu pierwszego rzutu pacjentów z nieoperacyjnym lub nawrotowym niepłaskonabłonkowym, niedrobnokomórkowym rakiem płuca (NSCLC) oceniano w badaniach E4599 i BO17704. Korzyść dotyczącą przeżycia całkowitego wykazano w badaniu E4599</w:t>
      </w:r>
      <w:r w:rsidR="006F3D9F" w:rsidRPr="00741122">
        <w:rPr>
          <w:rFonts w:ascii="Times New Roman" w:eastAsia="Times New Roman" w:hAnsi="Times New Roman" w:cs="Times New Roman"/>
          <w:sz w:val="22"/>
          <w:szCs w:val="22"/>
          <w:lang w:val="lt-LT"/>
        </w:rPr>
        <w:t xml:space="preserve"> stosując dawkę bewacyzumabu 15 </w:t>
      </w:r>
      <w:r w:rsidRPr="00741122">
        <w:rPr>
          <w:rFonts w:ascii="Times New Roman" w:eastAsia="Times New Roman" w:hAnsi="Times New Roman" w:cs="Times New Roman"/>
          <w:sz w:val="22"/>
          <w:szCs w:val="22"/>
          <w:lang w:val="lt-LT"/>
        </w:rPr>
        <w:t>mg/kg</w:t>
      </w:r>
      <w:r w:rsidR="0038686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co 3 tygodnie. Badanie BO17704 wykazało, że zarówno</w:t>
      </w:r>
      <w:r w:rsidR="006F3D9F"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7,5</w:t>
      </w:r>
      <w:r w:rsidR="006F3D9F" w:rsidRPr="0074112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w:t>
      </w:r>
      <w:r w:rsidR="006F3D9F" w:rsidRPr="00741122">
        <w:rPr>
          <w:rFonts w:ascii="Times New Roman" w:eastAsia="Times New Roman" w:hAnsi="Times New Roman" w:cs="Times New Roman"/>
          <w:sz w:val="22"/>
          <w:szCs w:val="22"/>
          <w:lang w:val="lt-LT"/>
        </w:rPr>
        <w:t>g/kg</w:t>
      </w:r>
      <w:r w:rsidR="00386867">
        <w:rPr>
          <w:rFonts w:ascii="Times New Roman" w:eastAsia="Times New Roman" w:hAnsi="Times New Roman" w:cs="Times New Roman"/>
          <w:sz w:val="22"/>
          <w:szCs w:val="22"/>
          <w:lang w:val="lt-LT"/>
        </w:rPr>
        <w:t> </w:t>
      </w:r>
      <w:r w:rsidR="006F3D9F" w:rsidRPr="00741122">
        <w:rPr>
          <w:rFonts w:ascii="Times New Roman" w:eastAsia="Times New Roman" w:hAnsi="Times New Roman" w:cs="Times New Roman"/>
          <w:sz w:val="22"/>
          <w:szCs w:val="22"/>
          <w:lang w:val="lt-LT"/>
        </w:rPr>
        <w:t>mc. co</w:t>
      </w:r>
      <w:r w:rsidR="006F3D9F" w:rsidRPr="00741122">
        <w:rPr>
          <w:rFonts w:ascii="Times New Roman" w:eastAsia="Times New Roman" w:hAnsi="Times New Roman"/>
          <w:sz w:val="22"/>
          <w:lang w:val="lt-LT"/>
        </w:rPr>
        <w:t xml:space="preserve"> </w:t>
      </w:r>
      <w:r w:rsidR="006F3D9F" w:rsidRPr="00741122">
        <w:rPr>
          <w:rFonts w:ascii="Times New Roman" w:eastAsia="Times New Roman" w:hAnsi="Times New Roman" w:cs="Times New Roman"/>
          <w:sz w:val="22"/>
          <w:szCs w:val="22"/>
          <w:lang w:val="lt-LT"/>
        </w:rPr>
        <w:t>3 tygodnie jak i 15 </w:t>
      </w:r>
      <w:r w:rsidRPr="00741122">
        <w:rPr>
          <w:rFonts w:ascii="Times New Roman" w:eastAsia="Times New Roman" w:hAnsi="Times New Roman" w:cs="Times New Roman"/>
          <w:sz w:val="22"/>
          <w:szCs w:val="22"/>
          <w:lang w:val="lt-LT"/>
        </w:rPr>
        <w:t>mg/kg</w:t>
      </w:r>
      <w:r w:rsidR="0038686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co 3 tygodnie wydłużały okres bez progresji choroby zwiększając odpowiedź na leczenie.</w:t>
      </w:r>
    </w:p>
    <w:p w14:paraId="037F7ECC" w14:textId="77777777" w:rsidR="00071CFE" w:rsidRPr="00741122" w:rsidRDefault="00071CFE" w:rsidP="002C52CD">
      <w:pPr>
        <w:rPr>
          <w:rFonts w:ascii="Times New Roman" w:eastAsia="Times New Roman" w:hAnsi="Times New Roman" w:cs="Times New Roman"/>
          <w:sz w:val="22"/>
          <w:szCs w:val="22"/>
          <w:lang w:val="lt-LT"/>
        </w:rPr>
      </w:pPr>
    </w:p>
    <w:p w14:paraId="4D300B36" w14:textId="77777777" w:rsidR="00071CFE" w:rsidRPr="00741122" w:rsidRDefault="00071CFE" w:rsidP="005624A7">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E4599</w:t>
      </w:r>
    </w:p>
    <w:p w14:paraId="472AEBCF" w14:textId="05889E69" w:rsidR="00071CFE" w:rsidRPr="00741122" w:rsidRDefault="00071CFE" w:rsidP="005624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Wieloośrodkowe badanie E4599 prowadzono metodą otwartej próby z randomizacją i aktywną kontrolą, badając </w:t>
      </w:r>
      <w:r w:rsidR="007472F1">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leczeniu pierwszego rzutu pacjentów z miejscowo zaawansowanym (stopień III</w:t>
      </w:r>
      <w:r w:rsidR="00F13123">
        <w:rPr>
          <w:rFonts w:ascii="Times New Roman" w:eastAsia="Times New Roman" w:hAnsi="Times New Roman" w:cs="Times New Roman"/>
          <w:sz w:val="22"/>
          <w:szCs w:val="22"/>
          <w:lang w:val="lt-LT"/>
        </w:rPr>
        <w:t>B</w:t>
      </w:r>
      <w:r w:rsidRPr="00741122">
        <w:rPr>
          <w:rFonts w:ascii="Times New Roman" w:eastAsia="Times New Roman" w:hAnsi="Times New Roman" w:cs="Times New Roman"/>
          <w:sz w:val="22"/>
          <w:szCs w:val="22"/>
          <w:lang w:val="lt-LT"/>
        </w:rPr>
        <w:t xml:space="preserve"> z nowotworowym wysiękiem opłucnowym), rozsianym lub nawracającym NSCLC o typie histologicznym innym niż płaskonabłonkowy.</w:t>
      </w:r>
    </w:p>
    <w:p w14:paraId="54A55231" w14:textId="77777777" w:rsidR="00071CFE" w:rsidRPr="00741122" w:rsidRDefault="00071CFE" w:rsidP="005624A7">
      <w:pPr>
        <w:rPr>
          <w:rFonts w:ascii="Times New Roman" w:eastAsia="Times New Roman" w:hAnsi="Times New Roman" w:cs="Times New Roman"/>
          <w:sz w:val="22"/>
          <w:szCs w:val="22"/>
          <w:lang w:val="lt-LT"/>
        </w:rPr>
      </w:pPr>
    </w:p>
    <w:p w14:paraId="654F1484" w14:textId="77777777" w:rsidR="00071CFE" w:rsidRPr="00741122" w:rsidRDefault="00071CFE" w:rsidP="005624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Pacjentów poddano randomizacji do grupy otrzymującej chemioterapię opartą na poch</w:t>
      </w:r>
      <w:r w:rsidR="00D561DA" w:rsidRPr="00741122">
        <w:rPr>
          <w:rFonts w:ascii="Times New Roman" w:eastAsia="Times New Roman" w:hAnsi="Times New Roman" w:cs="Times New Roman"/>
          <w:sz w:val="22"/>
          <w:szCs w:val="22"/>
          <w:lang w:val="lt-LT"/>
        </w:rPr>
        <w:t>odnych platyny (paklitaksel</w:t>
      </w:r>
      <w:r w:rsidR="00243991">
        <w:rPr>
          <w:rFonts w:ascii="Times New Roman" w:eastAsia="Times New Roman" w:hAnsi="Times New Roman" w:cs="Times New Roman"/>
          <w:sz w:val="22"/>
          <w:szCs w:val="22"/>
          <w:lang w:val="lt-LT"/>
        </w:rPr>
        <w:t xml:space="preserve"> </w:t>
      </w:r>
      <w:r w:rsidR="006F3D9F" w:rsidRPr="00741122">
        <w:rPr>
          <w:rFonts w:ascii="Times New Roman" w:eastAsia="Times New Roman" w:hAnsi="Times New Roman" w:cs="Times New Roman"/>
          <w:sz w:val="22"/>
          <w:szCs w:val="22"/>
          <w:lang w:val="lt-LT"/>
        </w:rPr>
        <w:t>200 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i karboplatyna – pole pod krzywą stężeń – AUC</w:t>
      </w:r>
      <w:r w:rsidR="0038686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38686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6,0, oba leki podawane drogą wlewu dożylnego) (PC) podawane w pierwszym dniu 3 tygodniowego cyklu przez okres do 6 cykli lub do grupy PC w skojarzeniu</w:t>
      </w:r>
      <w:r w:rsidR="006F3D9F" w:rsidRPr="00741122">
        <w:rPr>
          <w:rFonts w:ascii="Times New Roman" w:eastAsia="Times New Roman" w:hAnsi="Times New Roman" w:cs="Times New Roman"/>
          <w:sz w:val="22"/>
          <w:szCs w:val="22"/>
          <w:lang w:val="lt-LT"/>
        </w:rPr>
        <w:t xml:space="preserve"> z </w:t>
      </w:r>
      <w:r w:rsidR="007472F1">
        <w:rPr>
          <w:rFonts w:ascii="Times New Roman" w:eastAsia="Times New Roman" w:hAnsi="Times New Roman" w:cs="Times New Roman"/>
          <w:sz w:val="22"/>
          <w:szCs w:val="22"/>
          <w:lang w:val="lt-LT"/>
        </w:rPr>
        <w:t>bewacyzumabem</w:t>
      </w:r>
      <w:r w:rsidR="006F3D9F" w:rsidRPr="00741122">
        <w:rPr>
          <w:rFonts w:ascii="Times New Roman" w:eastAsia="Times New Roman" w:hAnsi="Times New Roman" w:cs="Times New Roman"/>
          <w:sz w:val="22"/>
          <w:szCs w:val="22"/>
          <w:lang w:val="lt-LT"/>
        </w:rPr>
        <w:t xml:space="preserve"> w dawce 15 </w:t>
      </w:r>
      <w:r w:rsidRPr="00741122">
        <w:rPr>
          <w:rFonts w:ascii="Times New Roman" w:eastAsia="Times New Roman" w:hAnsi="Times New Roman" w:cs="Times New Roman"/>
          <w:sz w:val="22"/>
          <w:szCs w:val="22"/>
          <w:lang w:val="lt-LT"/>
        </w:rPr>
        <w:t>mg/kg</w:t>
      </w:r>
      <w:r w:rsidR="0038686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mc. we wlewie dożylnym podawanym w pierwszym dniu każdego 3 tygodniowego cyklu. Po zakończeniu 6 cykli chemioterapii karboplatyną i paklitakselem lub po wcześniejszym przerwaniu stosowania chemioterapii, pacjenci w ramieniu leczonym </w:t>
      </w:r>
      <w:r w:rsidR="007472F1">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w skojarzeniu z karboplatyną i paklitakselem nadal otrzymywali </w:t>
      </w:r>
      <w:r w:rsidR="007472F1">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jako jedyny lek co 3 tygodnie do progresji choroby. Do obu ramion zrandomizowano 878 pacjentów.</w:t>
      </w:r>
    </w:p>
    <w:p w14:paraId="25D2E951" w14:textId="77777777" w:rsidR="00071CFE" w:rsidRPr="00741122" w:rsidRDefault="00071CFE" w:rsidP="005624A7">
      <w:pPr>
        <w:rPr>
          <w:rFonts w:ascii="Times New Roman" w:eastAsia="Times New Roman" w:hAnsi="Times New Roman" w:cs="Times New Roman"/>
          <w:sz w:val="22"/>
          <w:szCs w:val="22"/>
          <w:lang w:val="lt-LT"/>
        </w:rPr>
      </w:pPr>
    </w:p>
    <w:p w14:paraId="274D8857" w14:textId="77777777" w:rsidR="00071CFE" w:rsidRPr="00741122" w:rsidRDefault="00071CFE" w:rsidP="005624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czasie badania, wśród pacjentów którzy otrzymali w badaniu leczenie, 32,2% (136/422) pacjentów otrzymało 7-12 dawek </w:t>
      </w:r>
      <w:r w:rsidR="007472F1">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i 21,1% (89/422) pacjentów otrzymało 13 i więcej dawek </w:t>
      </w:r>
      <w:r w:rsidR="007472F1">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w:t>
      </w:r>
    </w:p>
    <w:p w14:paraId="6474491F" w14:textId="77777777" w:rsidR="00071CFE" w:rsidRPr="00741122" w:rsidRDefault="00071CFE" w:rsidP="005624A7">
      <w:pPr>
        <w:rPr>
          <w:rFonts w:ascii="Times New Roman" w:eastAsia="Times New Roman" w:hAnsi="Times New Roman" w:cs="Times New Roman"/>
          <w:sz w:val="22"/>
          <w:szCs w:val="22"/>
          <w:lang w:val="lt-LT"/>
        </w:rPr>
      </w:pPr>
    </w:p>
    <w:p w14:paraId="5C260A18" w14:textId="26A35392" w:rsidR="00071CFE" w:rsidRPr="00741122" w:rsidRDefault="00071CFE" w:rsidP="005624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Pierwszorzędowym punktem końcowym badania był długość czasu przeżycia całkowitego. Wyniki bad</w:t>
      </w:r>
      <w:r w:rsidR="00C92850" w:rsidRPr="00741122">
        <w:rPr>
          <w:rFonts w:ascii="Times New Roman" w:eastAsia="Times New Roman" w:hAnsi="Times New Roman" w:cs="Times New Roman"/>
          <w:sz w:val="22"/>
          <w:szCs w:val="22"/>
          <w:lang w:val="lt-LT"/>
        </w:rPr>
        <w:t xml:space="preserve">ania przedstawiono w Tabeli </w:t>
      </w:r>
      <w:r w:rsidR="005A5F0A" w:rsidRPr="00741122">
        <w:rPr>
          <w:rFonts w:ascii="Times New Roman" w:eastAsia="Times New Roman" w:hAnsi="Times New Roman" w:cs="Times New Roman"/>
          <w:sz w:val="22"/>
          <w:szCs w:val="22"/>
          <w:lang w:val="lt-LT"/>
        </w:rPr>
        <w:t>1</w:t>
      </w:r>
      <w:r w:rsidR="005A5F0A">
        <w:rPr>
          <w:rFonts w:ascii="Times New Roman" w:eastAsia="Times New Roman" w:hAnsi="Times New Roman" w:cs="Times New Roman"/>
          <w:sz w:val="22"/>
          <w:szCs w:val="22"/>
          <w:lang w:val="lt-LT"/>
        </w:rPr>
        <w:t>2</w:t>
      </w:r>
      <w:r w:rsidR="00C92850" w:rsidRPr="00741122">
        <w:rPr>
          <w:rFonts w:ascii="Times New Roman" w:eastAsia="Times New Roman" w:hAnsi="Times New Roman" w:cs="Times New Roman"/>
          <w:sz w:val="22"/>
          <w:szCs w:val="22"/>
          <w:lang w:val="lt-LT"/>
        </w:rPr>
        <w:t>.</w:t>
      </w:r>
    </w:p>
    <w:p w14:paraId="3A5E20C6" w14:textId="77777777" w:rsidR="00C92850" w:rsidRPr="00741122" w:rsidRDefault="00C92850" w:rsidP="005624A7">
      <w:pPr>
        <w:rPr>
          <w:rFonts w:ascii="Times New Roman" w:eastAsia="Times New Roman" w:hAnsi="Times New Roman" w:cs="Times New Roman"/>
          <w:sz w:val="22"/>
          <w:szCs w:val="22"/>
          <w:lang w:val="lt-LT"/>
        </w:rPr>
      </w:pPr>
    </w:p>
    <w:p w14:paraId="481C0E8A" w14:textId="71E074F7" w:rsidR="00071CFE" w:rsidRPr="00741122" w:rsidRDefault="00403C18" w:rsidP="00157A1D">
      <w:pPr>
        <w:keepNext/>
        <w:rPr>
          <w:rFonts w:ascii="Times New Roman" w:eastAsia="Times New Roman" w:hAnsi="Times New Roman" w:cs="Times New Roman"/>
          <w:b/>
          <w:sz w:val="22"/>
          <w:szCs w:val="22"/>
          <w:lang w:val="lt-LT"/>
        </w:rPr>
      </w:pPr>
      <w:bookmarkStart w:id="38" w:name="page36"/>
      <w:bookmarkEnd w:id="38"/>
      <w:r w:rsidRPr="00741122">
        <w:rPr>
          <w:rFonts w:ascii="Times New Roman" w:eastAsia="Times New Roman" w:hAnsi="Times New Roman" w:cs="Times New Roman"/>
          <w:b/>
          <w:sz w:val="22"/>
          <w:szCs w:val="22"/>
          <w:lang w:val="lt-LT"/>
        </w:rPr>
        <w:t xml:space="preserve">Tabela </w:t>
      </w:r>
      <w:r w:rsidR="005A5F0A" w:rsidRPr="00741122">
        <w:rPr>
          <w:rFonts w:ascii="Times New Roman" w:eastAsia="Times New Roman" w:hAnsi="Times New Roman" w:cs="Times New Roman"/>
          <w:b/>
          <w:sz w:val="22"/>
          <w:szCs w:val="22"/>
          <w:lang w:val="lt-LT"/>
        </w:rPr>
        <w:t>1</w:t>
      </w:r>
      <w:r w:rsidR="005A5F0A">
        <w:rPr>
          <w:rFonts w:ascii="Times New Roman" w:eastAsia="Times New Roman" w:hAnsi="Times New Roman" w:cs="Times New Roman"/>
          <w:b/>
          <w:sz w:val="22"/>
          <w:szCs w:val="22"/>
          <w:lang w:val="lt-LT"/>
        </w:rPr>
        <w:t>2</w:t>
      </w:r>
      <w:r w:rsidR="005F6C01">
        <w:rPr>
          <w:rFonts w:ascii="Times New Roman" w:eastAsia="Times New Roman" w:hAnsi="Times New Roman" w:cs="Times New Roman"/>
          <w:b/>
          <w:sz w:val="22"/>
          <w:szCs w:val="22"/>
          <w:lang w:val="lt-LT"/>
        </w:rPr>
        <w:t>.</w:t>
      </w:r>
      <w:r w:rsidR="006F3D9F" w:rsidRPr="00741122">
        <w:rPr>
          <w:rFonts w:ascii="Times New Roman" w:eastAsia="Times New Roman" w:hAnsi="Times New Roman" w:cs="Times New Roman"/>
          <w:b/>
          <w:sz w:val="22"/>
          <w:szCs w:val="22"/>
          <w:lang w:val="lt-LT"/>
        </w:rPr>
        <w:t xml:space="preserve"> </w:t>
      </w:r>
      <w:r w:rsidR="00071CFE" w:rsidRPr="00741122">
        <w:rPr>
          <w:rFonts w:ascii="Times New Roman" w:eastAsia="Times New Roman" w:hAnsi="Times New Roman" w:cs="Times New Roman"/>
          <w:b/>
          <w:sz w:val="22"/>
          <w:szCs w:val="22"/>
          <w:lang w:val="lt-LT"/>
        </w:rPr>
        <w:t>Wyniki badania E4599 dotyczące skuteczności</w:t>
      </w:r>
    </w:p>
    <w:p w14:paraId="7766B054" w14:textId="77777777" w:rsidR="00071CFE" w:rsidRPr="00741122" w:rsidRDefault="00071CFE" w:rsidP="00157A1D">
      <w:pPr>
        <w:keepNext/>
        <w:rPr>
          <w:rFonts w:ascii="Times New Roman" w:eastAsia="Times New Roman" w:hAnsi="Times New Roman" w:cs="Times New Roman"/>
          <w:sz w:val="22"/>
          <w:szCs w:val="22"/>
          <w:lang w:val="lt-LT"/>
        </w:rPr>
      </w:pPr>
    </w:p>
    <w:tbl>
      <w:tblPr>
        <w:tblW w:w="91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7"/>
        <w:gridCol w:w="3035"/>
        <w:gridCol w:w="2909"/>
      </w:tblGrid>
      <w:tr w:rsidR="006F3D9F" w:rsidRPr="008C2A94" w14:paraId="7EBE2D76" w14:textId="77777777" w:rsidTr="003E6869">
        <w:trPr>
          <w:trHeight w:val="1003"/>
          <w:tblHeader/>
        </w:trPr>
        <w:tc>
          <w:tcPr>
            <w:tcW w:w="3157" w:type="dxa"/>
            <w:vAlign w:val="center"/>
          </w:tcPr>
          <w:p w14:paraId="39876B72" w14:textId="77777777" w:rsidR="006F3D9F" w:rsidRPr="00741122" w:rsidRDefault="006F3D9F" w:rsidP="00A213BD">
            <w:pPr>
              <w:spacing w:line="0" w:lineRule="atLeast"/>
              <w:rPr>
                <w:rFonts w:ascii="Times New Roman" w:eastAsia="Times New Roman" w:hAnsi="Times New Roman" w:cs="Times New Roman"/>
                <w:sz w:val="22"/>
                <w:szCs w:val="22"/>
                <w:lang w:val="lt-LT"/>
              </w:rPr>
            </w:pPr>
          </w:p>
        </w:tc>
        <w:tc>
          <w:tcPr>
            <w:tcW w:w="3035" w:type="dxa"/>
          </w:tcPr>
          <w:p w14:paraId="1B31C1AB" w14:textId="77777777" w:rsidR="00A213BD" w:rsidRPr="0023471C" w:rsidRDefault="006F3D9F" w:rsidP="001154BB">
            <w:pPr>
              <w:spacing w:line="0" w:lineRule="atLeast"/>
              <w:ind w:left="330"/>
              <w:jc w:val="center"/>
              <w:rPr>
                <w:rFonts w:ascii="Times New Roman" w:eastAsia="Times New Roman" w:hAnsi="Times New Roman" w:cs="Times New Roman"/>
                <w:b/>
                <w:sz w:val="22"/>
                <w:szCs w:val="22"/>
                <w:lang w:val="lt-LT"/>
              </w:rPr>
            </w:pPr>
            <w:r w:rsidRPr="0023471C">
              <w:rPr>
                <w:rFonts w:ascii="Times New Roman" w:eastAsia="Times New Roman" w:hAnsi="Times New Roman" w:cs="Times New Roman"/>
                <w:b/>
                <w:sz w:val="22"/>
                <w:szCs w:val="22"/>
                <w:lang w:val="lt-LT"/>
              </w:rPr>
              <w:t>Ramię 1</w:t>
            </w:r>
          </w:p>
          <w:p w14:paraId="5EDF7B03" w14:textId="77777777" w:rsidR="001154BB" w:rsidRPr="0023471C" w:rsidRDefault="001154BB" w:rsidP="001154BB">
            <w:pPr>
              <w:spacing w:line="0" w:lineRule="atLeast"/>
              <w:ind w:left="330"/>
              <w:jc w:val="center"/>
              <w:rPr>
                <w:rFonts w:ascii="Times New Roman" w:eastAsia="Times New Roman" w:hAnsi="Times New Roman" w:cs="Times New Roman"/>
                <w:b/>
                <w:sz w:val="22"/>
                <w:szCs w:val="22"/>
                <w:lang w:val="lt-LT"/>
              </w:rPr>
            </w:pPr>
          </w:p>
          <w:p w14:paraId="3E7EFD47" w14:textId="77777777" w:rsidR="003E6869" w:rsidRDefault="006F3D9F" w:rsidP="001154BB">
            <w:pPr>
              <w:spacing w:line="0" w:lineRule="atLeast"/>
              <w:ind w:left="330"/>
              <w:jc w:val="center"/>
              <w:rPr>
                <w:rFonts w:ascii="Times New Roman" w:eastAsia="Times New Roman" w:hAnsi="Times New Roman" w:cs="Times New Roman"/>
                <w:b/>
                <w:sz w:val="22"/>
                <w:szCs w:val="22"/>
                <w:lang w:val="lt-LT"/>
              </w:rPr>
            </w:pPr>
            <w:r w:rsidRPr="0023471C">
              <w:rPr>
                <w:rFonts w:ascii="Times New Roman" w:eastAsia="Times New Roman" w:hAnsi="Times New Roman" w:cs="Times New Roman"/>
                <w:b/>
                <w:sz w:val="22"/>
                <w:szCs w:val="22"/>
                <w:lang w:val="lt-LT"/>
              </w:rPr>
              <w:t>Karboplatyna/</w:t>
            </w:r>
          </w:p>
          <w:p w14:paraId="28C768CF" w14:textId="77777777" w:rsidR="006F3D9F" w:rsidRPr="00741122" w:rsidRDefault="006F3D9F" w:rsidP="001154BB">
            <w:pPr>
              <w:spacing w:line="0" w:lineRule="atLeast"/>
              <w:ind w:left="330"/>
              <w:jc w:val="center"/>
              <w:rPr>
                <w:rFonts w:ascii="Times New Roman" w:eastAsia="Times New Roman" w:hAnsi="Times New Roman" w:cs="Times New Roman"/>
                <w:sz w:val="22"/>
                <w:szCs w:val="22"/>
                <w:lang w:val="lt-LT"/>
              </w:rPr>
            </w:pPr>
            <w:r w:rsidRPr="0023471C">
              <w:rPr>
                <w:rFonts w:ascii="Times New Roman" w:eastAsia="Times New Roman" w:hAnsi="Times New Roman" w:cs="Times New Roman"/>
                <w:b/>
                <w:sz w:val="22"/>
                <w:szCs w:val="22"/>
                <w:lang w:val="lt-LT"/>
              </w:rPr>
              <w:t>Paklitaksel</w:t>
            </w:r>
          </w:p>
        </w:tc>
        <w:tc>
          <w:tcPr>
            <w:tcW w:w="2908" w:type="dxa"/>
          </w:tcPr>
          <w:p w14:paraId="050C82C7" w14:textId="77777777" w:rsidR="006F3D9F" w:rsidRPr="0023471C" w:rsidRDefault="006F3D9F" w:rsidP="001154BB">
            <w:pPr>
              <w:spacing w:line="0" w:lineRule="atLeast"/>
              <w:jc w:val="center"/>
              <w:rPr>
                <w:rFonts w:ascii="Times New Roman" w:eastAsia="Times New Roman" w:hAnsi="Times New Roman" w:cs="Times New Roman"/>
                <w:b/>
                <w:sz w:val="22"/>
                <w:szCs w:val="22"/>
                <w:lang w:val="lt-LT"/>
              </w:rPr>
            </w:pPr>
            <w:r w:rsidRPr="0023471C">
              <w:rPr>
                <w:rFonts w:ascii="Times New Roman" w:eastAsia="Times New Roman" w:hAnsi="Times New Roman" w:cs="Times New Roman"/>
                <w:b/>
                <w:sz w:val="22"/>
                <w:szCs w:val="22"/>
                <w:lang w:val="lt-LT"/>
              </w:rPr>
              <w:t>Ramię 2</w:t>
            </w:r>
          </w:p>
          <w:p w14:paraId="4C01BAE6" w14:textId="77777777" w:rsidR="001154BB" w:rsidRPr="0023471C" w:rsidRDefault="001154BB" w:rsidP="001154BB">
            <w:pPr>
              <w:spacing w:line="0" w:lineRule="atLeast"/>
              <w:jc w:val="center"/>
              <w:rPr>
                <w:rFonts w:ascii="Times New Roman" w:eastAsia="Times New Roman" w:hAnsi="Times New Roman" w:cs="Times New Roman"/>
                <w:b/>
                <w:sz w:val="22"/>
                <w:szCs w:val="22"/>
                <w:lang w:val="lt-LT"/>
              </w:rPr>
            </w:pPr>
          </w:p>
          <w:p w14:paraId="796BE2A4" w14:textId="77777777" w:rsidR="003E6869" w:rsidRDefault="006F3D9F" w:rsidP="001154BB">
            <w:pPr>
              <w:spacing w:line="0" w:lineRule="atLeast"/>
              <w:jc w:val="center"/>
              <w:rPr>
                <w:rFonts w:ascii="Times New Roman" w:eastAsia="Times New Roman" w:hAnsi="Times New Roman" w:cs="Times New Roman"/>
                <w:b/>
                <w:sz w:val="22"/>
                <w:szCs w:val="22"/>
                <w:lang w:val="lt-LT"/>
              </w:rPr>
            </w:pPr>
            <w:r w:rsidRPr="0023471C">
              <w:rPr>
                <w:rFonts w:ascii="Times New Roman" w:eastAsia="Times New Roman" w:hAnsi="Times New Roman" w:cs="Times New Roman"/>
                <w:b/>
                <w:sz w:val="22"/>
                <w:szCs w:val="22"/>
                <w:lang w:val="lt-LT"/>
              </w:rPr>
              <w:t xml:space="preserve">Karboplatyna/ </w:t>
            </w:r>
          </w:p>
          <w:p w14:paraId="3AE2ACA8" w14:textId="77777777" w:rsidR="003E6869" w:rsidRDefault="006F3D9F" w:rsidP="001154BB">
            <w:pPr>
              <w:spacing w:line="0" w:lineRule="atLeast"/>
              <w:jc w:val="center"/>
              <w:rPr>
                <w:rFonts w:ascii="Times New Roman" w:eastAsia="Times New Roman" w:hAnsi="Times New Roman" w:cs="Times New Roman"/>
                <w:b/>
                <w:sz w:val="22"/>
                <w:szCs w:val="22"/>
                <w:lang w:val="lt-LT"/>
              </w:rPr>
            </w:pPr>
            <w:r w:rsidRPr="0023471C">
              <w:rPr>
                <w:rFonts w:ascii="Times New Roman" w:eastAsia="Times New Roman" w:hAnsi="Times New Roman" w:cs="Times New Roman"/>
                <w:b/>
                <w:sz w:val="22"/>
                <w:szCs w:val="22"/>
                <w:lang w:val="lt-LT"/>
              </w:rPr>
              <w:t>Paklitaksel +</w:t>
            </w:r>
            <w:r w:rsidR="00A213BD" w:rsidRPr="0023471C">
              <w:rPr>
                <w:rFonts w:ascii="Times New Roman" w:eastAsia="Times New Roman" w:hAnsi="Times New Roman" w:cs="Times New Roman"/>
                <w:b/>
                <w:sz w:val="22"/>
                <w:szCs w:val="22"/>
                <w:lang w:val="lt-LT"/>
              </w:rPr>
              <w:t xml:space="preserve"> </w:t>
            </w:r>
          </w:p>
          <w:p w14:paraId="25068545" w14:textId="77777777" w:rsidR="00A213BD" w:rsidRPr="0023471C" w:rsidRDefault="00863851" w:rsidP="001154BB">
            <w:pPr>
              <w:spacing w:line="0" w:lineRule="atLeast"/>
              <w:jc w:val="center"/>
              <w:rPr>
                <w:rFonts w:ascii="Times New Roman" w:eastAsia="Times New Roman" w:hAnsi="Times New Roman" w:cs="Times New Roman"/>
                <w:b/>
                <w:w w:val="99"/>
                <w:sz w:val="22"/>
                <w:szCs w:val="22"/>
                <w:lang w:val="lt-LT"/>
              </w:rPr>
            </w:pPr>
            <w:r w:rsidRPr="0023471C">
              <w:rPr>
                <w:rFonts w:ascii="Times New Roman" w:eastAsia="Times New Roman" w:hAnsi="Times New Roman" w:cs="Times New Roman"/>
                <w:b/>
                <w:sz w:val="22"/>
                <w:szCs w:val="22"/>
                <w:lang w:val="lt-LT"/>
              </w:rPr>
              <w:t>b</w:t>
            </w:r>
            <w:r w:rsidR="007472F1" w:rsidRPr="0023471C">
              <w:rPr>
                <w:rFonts w:ascii="Times New Roman" w:eastAsia="Times New Roman" w:hAnsi="Times New Roman" w:cs="Times New Roman"/>
                <w:b/>
                <w:sz w:val="22"/>
                <w:szCs w:val="22"/>
                <w:lang w:val="lt-LT"/>
              </w:rPr>
              <w:t>ewacyzumab</w:t>
            </w:r>
          </w:p>
          <w:p w14:paraId="0633728D" w14:textId="77777777" w:rsidR="006F3D9F" w:rsidRPr="00741122" w:rsidRDefault="00A213BD" w:rsidP="00386867">
            <w:pPr>
              <w:spacing w:line="0" w:lineRule="atLeast"/>
              <w:jc w:val="center"/>
              <w:rPr>
                <w:rFonts w:ascii="Times New Roman" w:eastAsia="Times New Roman" w:hAnsi="Times New Roman" w:cs="Times New Roman"/>
                <w:sz w:val="22"/>
                <w:szCs w:val="22"/>
                <w:lang w:val="lt-LT"/>
              </w:rPr>
            </w:pPr>
            <w:r w:rsidRPr="0023471C">
              <w:rPr>
                <w:rFonts w:ascii="Times New Roman" w:eastAsia="Times New Roman" w:hAnsi="Times New Roman" w:cs="Times New Roman"/>
                <w:b/>
                <w:sz w:val="22"/>
                <w:szCs w:val="22"/>
                <w:lang w:val="lt-LT"/>
              </w:rPr>
              <w:t>15</w:t>
            </w:r>
            <w:r w:rsidR="00386867">
              <w:rPr>
                <w:rFonts w:ascii="Times New Roman" w:eastAsia="Times New Roman" w:hAnsi="Times New Roman" w:cs="Times New Roman"/>
                <w:b/>
                <w:sz w:val="22"/>
                <w:szCs w:val="22"/>
                <w:lang w:val="lt-LT"/>
              </w:rPr>
              <w:t> </w:t>
            </w:r>
            <w:r w:rsidR="006F3D9F" w:rsidRPr="0023471C">
              <w:rPr>
                <w:rFonts w:ascii="Times New Roman" w:eastAsia="Times New Roman" w:hAnsi="Times New Roman" w:cs="Times New Roman"/>
                <w:b/>
                <w:sz w:val="22"/>
                <w:szCs w:val="22"/>
                <w:lang w:val="lt-LT"/>
              </w:rPr>
              <w:t>mg/kg</w:t>
            </w:r>
            <w:r w:rsidR="00386867">
              <w:rPr>
                <w:rFonts w:ascii="Times New Roman" w:eastAsia="Times New Roman" w:hAnsi="Times New Roman" w:cs="Times New Roman"/>
                <w:b/>
                <w:sz w:val="22"/>
                <w:szCs w:val="22"/>
                <w:lang w:val="lt-LT"/>
              </w:rPr>
              <w:t> </w:t>
            </w:r>
            <w:r w:rsidR="006F3D9F" w:rsidRPr="0023471C">
              <w:rPr>
                <w:rFonts w:ascii="Times New Roman" w:eastAsia="Times New Roman" w:hAnsi="Times New Roman" w:cs="Times New Roman"/>
                <w:b/>
                <w:sz w:val="22"/>
                <w:szCs w:val="22"/>
                <w:lang w:val="lt-LT"/>
              </w:rPr>
              <w:t xml:space="preserve">mc. </w:t>
            </w:r>
            <w:r w:rsidR="00C46EF6" w:rsidRPr="0023471C">
              <w:rPr>
                <w:rFonts w:ascii="Times New Roman" w:eastAsia="Times New Roman" w:hAnsi="Times New Roman" w:cs="Times New Roman"/>
                <w:b/>
                <w:sz w:val="22"/>
                <w:szCs w:val="22"/>
                <w:lang w:val="lt-LT"/>
              </w:rPr>
              <w:t>c</w:t>
            </w:r>
            <w:r w:rsidR="006F3D9F" w:rsidRPr="0023471C">
              <w:rPr>
                <w:rFonts w:ascii="Times New Roman" w:eastAsia="Times New Roman" w:hAnsi="Times New Roman" w:cs="Times New Roman"/>
                <w:b/>
                <w:sz w:val="22"/>
                <w:szCs w:val="22"/>
                <w:lang w:val="lt-LT"/>
              </w:rPr>
              <w:t>o</w:t>
            </w:r>
            <w:r w:rsidRPr="0023471C">
              <w:rPr>
                <w:rFonts w:ascii="Times New Roman" w:eastAsia="Times New Roman" w:hAnsi="Times New Roman" w:cs="Times New Roman"/>
                <w:b/>
                <w:sz w:val="22"/>
                <w:szCs w:val="22"/>
                <w:lang w:val="lt-LT"/>
              </w:rPr>
              <w:t xml:space="preserve"> </w:t>
            </w:r>
            <w:r w:rsidR="006F3D9F" w:rsidRPr="0023471C">
              <w:rPr>
                <w:rFonts w:ascii="Times New Roman" w:eastAsia="Times New Roman" w:hAnsi="Times New Roman" w:cs="Times New Roman"/>
                <w:b/>
                <w:sz w:val="22"/>
                <w:szCs w:val="22"/>
                <w:lang w:val="lt-LT"/>
              </w:rPr>
              <w:t>3 tygodnie</w:t>
            </w:r>
          </w:p>
        </w:tc>
      </w:tr>
      <w:tr w:rsidR="006F3D9F" w:rsidRPr="00741122" w14:paraId="283E04F8" w14:textId="77777777" w:rsidTr="003E6869">
        <w:trPr>
          <w:trHeight w:val="339"/>
        </w:trPr>
        <w:tc>
          <w:tcPr>
            <w:tcW w:w="3157" w:type="dxa"/>
            <w:vAlign w:val="center"/>
          </w:tcPr>
          <w:p w14:paraId="60E30871" w14:textId="77777777" w:rsidR="006F3D9F" w:rsidRPr="00741122" w:rsidRDefault="006F3D9F" w:rsidP="00D561DA">
            <w:pPr>
              <w:spacing w:line="0" w:lineRule="atLeast"/>
              <w:ind w:left="6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Liczba pacjentów</w:t>
            </w:r>
          </w:p>
        </w:tc>
        <w:tc>
          <w:tcPr>
            <w:tcW w:w="3035" w:type="dxa"/>
            <w:vAlign w:val="center"/>
          </w:tcPr>
          <w:p w14:paraId="00C7CB92" w14:textId="77777777" w:rsidR="006F3D9F" w:rsidRPr="00741122" w:rsidRDefault="006F3D9F" w:rsidP="00A213BD">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444</w:t>
            </w:r>
          </w:p>
        </w:tc>
        <w:tc>
          <w:tcPr>
            <w:tcW w:w="2908" w:type="dxa"/>
            <w:vAlign w:val="center"/>
          </w:tcPr>
          <w:p w14:paraId="0BD93E77" w14:textId="77777777" w:rsidR="006F3D9F" w:rsidRPr="00741122" w:rsidRDefault="006F3D9F" w:rsidP="00A213BD">
            <w:pPr>
              <w:spacing w:line="0" w:lineRule="atLeast"/>
              <w:ind w:left="50"/>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434</w:t>
            </w:r>
          </w:p>
        </w:tc>
      </w:tr>
      <w:tr w:rsidR="006F3D9F" w:rsidRPr="00741122" w14:paraId="436C3059" w14:textId="77777777" w:rsidTr="003E6869">
        <w:trPr>
          <w:trHeight w:val="335"/>
        </w:trPr>
        <w:tc>
          <w:tcPr>
            <w:tcW w:w="9101" w:type="dxa"/>
            <w:gridSpan w:val="3"/>
          </w:tcPr>
          <w:p w14:paraId="6E5163BD" w14:textId="77777777" w:rsidR="006F3D9F" w:rsidRPr="00741122" w:rsidRDefault="006F3D9F" w:rsidP="001154BB">
            <w:pPr>
              <w:spacing w:line="0" w:lineRule="atLeast"/>
              <w:ind w:left="567"/>
              <w:rPr>
                <w:rFonts w:ascii="Times New Roman" w:eastAsia="Times New Roman" w:hAnsi="Times New Roman" w:cs="Times New Roman"/>
                <w:sz w:val="22"/>
                <w:szCs w:val="22"/>
                <w:lang w:val="lt-LT"/>
              </w:rPr>
            </w:pPr>
            <w:proofErr w:type="spellStart"/>
            <w:r w:rsidRPr="001154BB">
              <w:rPr>
                <w:rFonts w:ascii="Times New Roman" w:eastAsia="Times New Roman" w:hAnsi="Times New Roman" w:cs="Times New Roman"/>
                <w:color w:val="000000"/>
                <w:sz w:val="22"/>
                <w:lang w:val="en-GB" w:eastAsia="en-US"/>
              </w:rPr>
              <w:t>Czas</w:t>
            </w:r>
            <w:proofErr w:type="spellEnd"/>
            <w:r w:rsidRPr="00741122">
              <w:rPr>
                <w:rFonts w:ascii="Times New Roman" w:eastAsia="Times New Roman" w:hAnsi="Times New Roman" w:cs="Times New Roman"/>
                <w:sz w:val="22"/>
                <w:szCs w:val="22"/>
                <w:lang w:val="lt-LT"/>
              </w:rPr>
              <w:t xml:space="preserve"> przeżycia całkowitego</w:t>
            </w:r>
          </w:p>
        </w:tc>
      </w:tr>
      <w:tr w:rsidR="006F3D9F" w:rsidRPr="00741122" w14:paraId="13988A5D" w14:textId="77777777" w:rsidTr="003E6869">
        <w:trPr>
          <w:trHeight w:val="270"/>
        </w:trPr>
        <w:tc>
          <w:tcPr>
            <w:tcW w:w="3157" w:type="dxa"/>
            <w:vAlign w:val="center"/>
          </w:tcPr>
          <w:p w14:paraId="2887B11B" w14:textId="77777777" w:rsidR="006F3D9F" w:rsidRPr="00741122" w:rsidRDefault="006F3D9F" w:rsidP="003E43F3">
            <w:pPr>
              <w:spacing w:line="0" w:lineRule="atLeast"/>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(miesiące)</w:t>
            </w:r>
          </w:p>
        </w:tc>
        <w:tc>
          <w:tcPr>
            <w:tcW w:w="3035" w:type="dxa"/>
            <w:vAlign w:val="center"/>
          </w:tcPr>
          <w:p w14:paraId="78A22C6D" w14:textId="77777777" w:rsidR="006F3D9F" w:rsidRPr="00741122" w:rsidRDefault="006F3D9F" w:rsidP="00A213BD">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w w:val="98"/>
                <w:sz w:val="22"/>
                <w:szCs w:val="22"/>
                <w:lang w:val="lt-LT"/>
              </w:rPr>
              <w:t>10,3</w:t>
            </w:r>
          </w:p>
        </w:tc>
        <w:tc>
          <w:tcPr>
            <w:tcW w:w="2908" w:type="dxa"/>
            <w:vAlign w:val="center"/>
          </w:tcPr>
          <w:p w14:paraId="008F46B7" w14:textId="77777777" w:rsidR="006F3D9F" w:rsidRPr="00741122" w:rsidRDefault="006F3D9F" w:rsidP="00A213BD">
            <w:pPr>
              <w:spacing w:line="242" w:lineRule="exact"/>
              <w:ind w:left="50"/>
              <w:jc w:val="center"/>
              <w:rPr>
                <w:rFonts w:ascii="Times New Roman" w:eastAsia="Times New Roman" w:hAnsi="Times New Roman" w:cs="Times New Roman"/>
                <w:w w:val="98"/>
                <w:sz w:val="22"/>
                <w:szCs w:val="22"/>
                <w:lang w:val="lt-LT"/>
              </w:rPr>
            </w:pPr>
            <w:r w:rsidRPr="00741122">
              <w:rPr>
                <w:rFonts w:ascii="Times New Roman" w:eastAsia="Times New Roman" w:hAnsi="Times New Roman" w:cs="Times New Roman"/>
                <w:w w:val="98"/>
                <w:sz w:val="22"/>
                <w:szCs w:val="22"/>
                <w:lang w:val="lt-LT"/>
              </w:rPr>
              <w:t>12,3</w:t>
            </w:r>
          </w:p>
        </w:tc>
      </w:tr>
      <w:tr w:rsidR="006F3D9F" w:rsidRPr="00741122" w14:paraId="132F5329" w14:textId="77777777" w:rsidTr="003E6869">
        <w:trPr>
          <w:trHeight w:val="500"/>
        </w:trPr>
        <w:tc>
          <w:tcPr>
            <w:tcW w:w="3157" w:type="dxa"/>
          </w:tcPr>
          <w:p w14:paraId="5E00C7E2" w14:textId="77777777" w:rsidR="006F3D9F" w:rsidRPr="00741122" w:rsidRDefault="006F3D9F" w:rsidP="003E6869">
            <w:pPr>
              <w:spacing w:line="0" w:lineRule="atLeast"/>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 ryzyka</w:t>
            </w:r>
          </w:p>
        </w:tc>
        <w:tc>
          <w:tcPr>
            <w:tcW w:w="5943" w:type="dxa"/>
            <w:gridSpan w:val="2"/>
            <w:vAlign w:val="center"/>
          </w:tcPr>
          <w:p w14:paraId="5F0113FC" w14:textId="77777777" w:rsidR="003E43F3" w:rsidRDefault="006F3D9F" w:rsidP="003E43F3">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0,80 (p</w:t>
            </w:r>
            <w:r w:rsidR="00322430">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322430">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0,003)</w:t>
            </w:r>
          </w:p>
          <w:p w14:paraId="47689BD7" w14:textId="77777777" w:rsidR="006F3D9F" w:rsidRPr="00741122" w:rsidRDefault="006F3D9F" w:rsidP="003E43F3">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95% CI (0,69; 0,93)</w:t>
            </w:r>
          </w:p>
        </w:tc>
      </w:tr>
      <w:tr w:rsidR="006F3D9F" w:rsidRPr="00C70451" w14:paraId="2C8C3900" w14:textId="77777777" w:rsidTr="003E6869">
        <w:trPr>
          <w:trHeight w:val="293"/>
        </w:trPr>
        <w:tc>
          <w:tcPr>
            <w:tcW w:w="9101" w:type="dxa"/>
            <w:gridSpan w:val="3"/>
            <w:vAlign w:val="center"/>
          </w:tcPr>
          <w:p w14:paraId="19960D62" w14:textId="77777777" w:rsidR="006F3D9F" w:rsidRPr="00741122" w:rsidRDefault="006F3D9F" w:rsidP="00A213BD">
            <w:pPr>
              <w:spacing w:line="0" w:lineRule="atLeas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Czas przeżycia wolny od progresji</w:t>
            </w:r>
          </w:p>
        </w:tc>
      </w:tr>
      <w:tr w:rsidR="006F3D9F" w:rsidRPr="00741122" w14:paraId="49080375" w14:textId="77777777" w:rsidTr="003E6869">
        <w:trPr>
          <w:trHeight w:val="239"/>
        </w:trPr>
        <w:tc>
          <w:tcPr>
            <w:tcW w:w="3157" w:type="dxa"/>
            <w:vAlign w:val="center"/>
          </w:tcPr>
          <w:p w14:paraId="1A738B05" w14:textId="77777777" w:rsidR="006F3D9F" w:rsidRPr="00741122" w:rsidRDefault="006F3D9F" w:rsidP="003E43F3">
            <w:pPr>
              <w:spacing w:line="0" w:lineRule="atLeast"/>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(miesiące)</w:t>
            </w:r>
          </w:p>
        </w:tc>
        <w:tc>
          <w:tcPr>
            <w:tcW w:w="3035" w:type="dxa"/>
            <w:vAlign w:val="center"/>
          </w:tcPr>
          <w:p w14:paraId="5DA9065F" w14:textId="77777777" w:rsidR="006F3D9F" w:rsidRPr="00741122" w:rsidRDefault="006F3D9F" w:rsidP="00A213BD">
            <w:pPr>
              <w:spacing w:line="0" w:lineRule="atLeast"/>
              <w:jc w:val="center"/>
              <w:rPr>
                <w:rFonts w:ascii="Times New Roman" w:eastAsia="Times New Roman" w:hAnsi="Times New Roman" w:cs="Times New Roman"/>
                <w:sz w:val="22"/>
                <w:szCs w:val="22"/>
                <w:lang w:val="lt-LT"/>
              </w:rPr>
            </w:pPr>
            <w:r w:rsidRPr="003E43F3">
              <w:rPr>
                <w:rFonts w:ascii="Times New Roman" w:eastAsia="Times New Roman" w:hAnsi="Times New Roman" w:cs="Times New Roman"/>
                <w:sz w:val="22"/>
                <w:szCs w:val="22"/>
                <w:lang w:val="lt-LT"/>
              </w:rPr>
              <w:t>4,8</w:t>
            </w:r>
          </w:p>
        </w:tc>
        <w:tc>
          <w:tcPr>
            <w:tcW w:w="2908" w:type="dxa"/>
            <w:vAlign w:val="center"/>
          </w:tcPr>
          <w:p w14:paraId="38665642" w14:textId="77777777" w:rsidR="006F3D9F" w:rsidRPr="00741122" w:rsidRDefault="006F3D9F" w:rsidP="00A213BD">
            <w:pPr>
              <w:spacing w:line="242" w:lineRule="exact"/>
              <w:ind w:left="70"/>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6,4</w:t>
            </w:r>
          </w:p>
        </w:tc>
      </w:tr>
      <w:tr w:rsidR="006F3D9F" w:rsidRPr="00741122" w14:paraId="14DFCB1E" w14:textId="77777777" w:rsidTr="003E6869">
        <w:trPr>
          <w:trHeight w:val="500"/>
        </w:trPr>
        <w:tc>
          <w:tcPr>
            <w:tcW w:w="3157" w:type="dxa"/>
          </w:tcPr>
          <w:p w14:paraId="53798568" w14:textId="77777777" w:rsidR="006F3D9F" w:rsidRPr="00741122" w:rsidRDefault="006F3D9F" w:rsidP="003E6869">
            <w:pPr>
              <w:spacing w:line="0" w:lineRule="atLeast"/>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 ryzyka</w:t>
            </w:r>
          </w:p>
        </w:tc>
        <w:tc>
          <w:tcPr>
            <w:tcW w:w="5943" w:type="dxa"/>
            <w:gridSpan w:val="2"/>
            <w:vAlign w:val="center"/>
          </w:tcPr>
          <w:p w14:paraId="77FFC1D1" w14:textId="77777777" w:rsidR="003E43F3" w:rsidRDefault="006F3D9F" w:rsidP="003E43F3">
            <w:pPr>
              <w:spacing w:line="0" w:lineRule="atLeast"/>
              <w:jc w:val="center"/>
              <w:rPr>
                <w:rFonts w:ascii="Times New Roman" w:eastAsia="Times New Roman" w:hAnsi="Times New Roman" w:cs="Times New Roman"/>
                <w:sz w:val="22"/>
                <w:szCs w:val="22"/>
                <w:lang w:val="lt-LT"/>
              </w:rPr>
            </w:pPr>
            <w:r w:rsidRPr="003E43F3">
              <w:rPr>
                <w:rFonts w:ascii="Times New Roman" w:eastAsia="Times New Roman" w:hAnsi="Times New Roman" w:cs="Times New Roman"/>
                <w:sz w:val="22"/>
                <w:szCs w:val="22"/>
                <w:lang w:val="lt-LT"/>
              </w:rPr>
              <w:t>0,65 (p</w:t>
            </w:r>
            <w:r w:rsidR="00322430">
              <w:rPr>
                <w:rFonts w:ascii="Times New Roman" w:eastAsia="Times New Roman" w:hAnsi="Times New Roman" w:cs="Times New Roman"/>
                <w:sz w:val="22"/>
                <w:szCs w:val="22"/>
                <w:lang w:val="lt-LT"/>
              </w:rPr>
              <w:t> </w:t>
            </w:r>
            <w:r w:rsidRPr="003E43F3">
              <w:rPr>
                <w:rFonts w:ascii="Times New Roman" w:eastAsia="Times New Roman" w:hAnsi="Times New Roman" w:cs="Times New Roman"/>
                <w:sz w:val="22"/>
                <w:szCs w:val="22"/>
                <w:lang w:val="lt-LT"/>
              </w:rPr>
              <w:t>&lt;</w:t>
            </w:r>
            <w:r w:rsidR="00322430">
              <w:rPr>
                <w:rFonts w:ascii="Times New Roman" w:eastAsia="Times New Roman" w:hAnsi="Times New Roman" w:cs="Times New Roman"/>
                <w:sz w:val="22"/>
                <w:szCs w:val="22"/>
                <w:lang w:val="lt-LT"/>
              </w:rPr>
              <w:t> </w:t>
            </w:r>
            <w:r w:rsidRPr="003E43F3">
              <w:rPr>
                <w:rFonts w:ascii="Times New Roman" w:eastAsia="Times New Roman" w:hAnsi="Times New Roman" w:cs="Times New Roman"/>
                <w:sz w:val="22"/>
                <w:szCs w:val="22"/>
                <w:lang w:val="lt-LT"/>
              </w:rPr>
              <w:t>0,0001)</w:t>
            </w:r>
          </w:p>
          <w:p w14:paraId="29BB635E" w14:textId="77777777" w:rsidR="006F3D9F" w:rsidRPr="003E43F3" w:rsidRDefault="006F3D9F" w:rsidP="003E43F3">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95% CI (0,56; 0,76)</w:t>
            </w:r>
          </w:p>
        </w:tc>
      </w:tr>
      <w:tr w:rsidR="006F3D9F" w:rsidRPr="00741122" w14:paraId="109AD332" w14:textId="77777777" w:rsidTr="003E6869">
        <w:trPr>
          <w:trHeight w:val="379"/>
        </w:trPr>
        <w:tc>
          <w:tcPr>
            <w:tcW w:w="9101" w:type="dxa"/>
            <w:gridSpan w:val="3"/>
            <w:vAlign w:val="center"/>
          </w:tcPr>
          <w:p w14:paraId="687FF9B0" w14:textId="77777777" w:rsidR="006F3D9F" w:rsidRPr="00741122" w:rsidRDefault="006F3D9F" w:rsidP="003E43F3">
            <w:pPr>
              <w:spacing w:line="0" w:lineRule="atLeas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Całkowity współczynnik odpowiedzi</w:t>
            </w:r>
          </w:p>
        </w:tc>
      </w:tr>
      <w:tr w:rsidR="006F3D9F" w:rsidRPr="00741122" w14:paraId="64A7ED7E" w14:textId="77777777" w:rsidTr="003E6869">
        <w:trPr>
          <w:trHeight w:val="396"/>
        </w:trPr>
        <w:tc>
          <w:tcPr>
            <w:tcW w:w="3157" w:type="dxa"/>
            <w:tcBorders>
              <w:bottom w:val="single" w:sz="4" w:space="0" w:color="auto"/>
            </w:tcBorders>
            <w:vAlign w:val="center"/>
          </w:tcPr>
          <w:p w14:paraId="1EA4DB1D" w14:textId="77777777" w:rsidR="006F3D9F" w:rsidRPr="00741122" w:rsidRDefault="006F3D9F" w:rsidP="00A213BD">
            <w:pPr>
              <w:spacing w:line="221" w:lineRule="exact"/>
              <w:ind w:left="300"/>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w:t>
            </w:r>
            <w:r w:rsidR="00A213BD"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 procentach)</w:t>
            </w:r>
          </w:p>
        </w:tc>
        <w:tc>
          <w:tcPr>
            <w:tcW w:w="3035" w:type="dxa"/>
            <w:tcBorders>
              <w:bottom w:val="single" w:sz="4" w:space="0" w:color="auto"/>
            </w:tcBorders>
            <w:vAlign w:val="center"/>
          </w:tcPr>
          <w:p w14:paraId="3576B8FC" w14:textId="77777777" w:rsidR="006F3D9F" w:rsidRPr="00741122" w:rsidRDefault="006F3D9F" w:rsidP="00A213BD">
            <w:pPr>
              <w:spacing w:line="0" w:lineRule="atLeast"/>
              <w:jc w:val="center"/>
              <w:rPr>
                <w:rFonts w:ascii="Times New Roman" w:eastAsia="Times New Roman" w:hAnsi="Times New Roman" w:cs="Times New Roman"/>
                <w:sz w:val="22"/>
                <w:szCs w:val="22"/>
                <w:lang w:val="lt-LT"/>
              </w:rPr>
            </w:pPr>
            <w:r w:rsidRPr="003E43F3">
              <w:rPr>
                <w:rFonts w:ascii="Times New Roman" w:eastAsia="Times New Roman" w:hAnsi="Times New Roman" w:cs="Times New Roman"/>
                <w:sz w:val="22"/>
                <w:szCs w:val="22"/>
                <w:lang w:val="lt-LT"/>
              </w:rPr>
              <w:t>12,9</w:t>
            </w:r>
          </w:p>
        </w:tc>
        <w:tc>
          <w:tcPr>
            <w:tcW w:w="2908" w:type="dxa"/>
            <w:vAlign w:val="center"/>
          </w:tcPr>
          <w:p w14:paraId="26A36009" w14:textId="77777777" w:rsidR="006F3D9F" w:rsidRPr="003E43F3" w:rsidRDefault="006F3D9F" w:rsidP="00A213BD">
            <w:pPr>
              <w:spacing w:line="0" w:lineRule="atLeast"/>
              <w:ind w:left="50"/>
              <w:jc w:val="center"/>
              <w:rPr>
                <w:rFonts w:ascii="Times New Roman" w:eastAsia="Times New Roman" w:hAnsi="Times New Roman" w:cs="Times New Roman"/>
                <w:sz w:val="22"/>
                <w:szCs w:val="22"/>
                <w:lang w:val="lt-LT"/>
              </w:rPr>
            </w:pPr>
            <w:r w:rsidRPr="003E43F3">
              <w:rPr>
                <w:rFonts w:ascii="Times New Roman" w:eastAsia="Times New Roman" w:hAnsi="Times New Roman" w:cs="Times New Roman"/>
                <w:sz w:val="22"/>
                <w:szCs w:val="22"/>
                <w:lang w:val="lt-LT"/>
              </w:rPr>
              <w:t>29,0 (p</w:t>
            </w:r>
            <w:r w:rsidR="00322430">
              <w:rPr>
                <w:rFonts w:ascii="Times New Roman" w:eastAsia="Times New Roman" w:hAnsi="Times New Roman" w:cs="Times New Roman"/>
                <w:sz w:val="22"/>
                <w:szCs w:val="22"/>
                <w:lang w:val="lt-LT"/>
              </w:rPr>
              <w:t> </w:t>
            </w:r>
            <w:r w:rsidRPr="003E43F3">
              <w:rPr>
                <w:rFonts w:ascii="Times New Roman" w:eastAsia="Times New Roman" w:hAnsi="Times New Roman" w:cs="Times New Roman"/>
                <w:sz w:val="22"/>
                <w:szCs w:val="22"/>
                <w:lang w:val="lt-LT"/>
              </w:rPr>
              <w:t>&lt;</w:t>
            </w:r>
            <w:r w:rsidR="00322430">
              <w:rPr>
                <w:rFonts w:ascii="Times New Roman" w:eastAsia="Times New Roman" w:hAnsi="Times New Roman" w:cs="Times New Roman"/>
                <w:sz w:val="22"/>
                <w:szCs w:val="22"/>
                <w:lang w:val="lt-LT"/>
              </w:rPr>
              <w:t> </w:t>
            </w:r>
            <w:r w:rsidRPr="003E43F3">
              <w:rPr>
                <w:rFonts w:ascii="Times New Roman" w:eastAsia="Times New Roman" w:hAnsi="Times New Roman" w:cs="Times New Roman"/>
                <w:sz w:val="22"/>
                <w:szCs w:val="22"/>
                <w:lang w:val="lt-LT"/>
              </w:rPr>
              <w:t>0,0001)</w:t>
            </w:r>
          </w:p>
        </w:tc>
      </w:tr>
    </w:tbl>
    <w:p w14:paraId="194EEBC5" w14:textId="77777777" w:rsidR="00071CFE" w:rsidRPr="00741122" w:rsidRDefault="00071CFE" w:rsidP="00D561DA">
      <w:pPr>
        <w:rPr>
          <w:rFonts w:ascii="Times New Roman" w:eastAsia="Times New Roman" w:hAnsi="Times New Roman"/>
          <w:sz w:val="22"/>
          <w:szCs w:val="22"/>
          <w:lang w:val="lt-LT"/>
        </w:rPr>
      </w:pPr>
    </w:p>
    <w:p w14:paraId="03B794C0" w14:textId="77777777" w:rsidR="00071CFE" w:rsidRPr="00741122" w:rsidRDefault="00071CFE" w:rsidP="00D561DA">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 xml:space="preserve">We wstępnej analizie wpływ </w:t>
      </w:r>
      <w:r w:rsidR="007472F1">
        <w:rPr>
          <w:rFonts w:ascii="Times New Roman" w:eastAsia="Times New Roman" w:hAnsi="Times New Roman" w:cs="Times New Roman"/>
          <w:sz w:val="22"/>
          <w:szCs w:val="22"/>
          <w:lang w:val="lt-LT"/>
        </w:rPr>
        <w:t>bewacyzumabu</w:t>
      </w:r>
      <w:r w:rsidRPr="00741122">
        <w:rPr>
          <w:rFonts w:ascii="Times New Roman" w:eastAsia="Times New Roman" w:hAnsi="Times New Roman"/>
          <w:sz w:val="22"/>
          <w:szCs w:val="22"/>
          <w:lang w:val="lt-LT"/>
        </w:rPr>
        <w:t xml:space="preserve"> na czas przeżycia całkowitego był mniej widoczny w podgrupie pacjentów z rakiem o typie histologicznym innym niż gruczolakorak.</w:t>
      </w:r>
    </w:p>
    <w:p w14:paraId="34D2355C" w14:textId="77777777" w:rsidR="00071CFE" w:rsidRPr="00741122" w:rsidRDefault="00071CFE" w:rsidP="00D561DA">
      <w:pPr>
        <w:rPr>
          <w:rFonts w:ascii="Times New Roman" w:eastAsia="Times New Roman" w:hAnsi="Times New Roman" w:cs="Times New Roman"/>
          <w:sz w:val="22"/>
          <w:szCs w:val="22"/>
          <w:lang w:val="lt-LT"/>
        </w:rPr>
      </w:pPr>
    </w:p>
    <w:p w14:paraId="7F55D951" w14:textId="77777777" w:rsidR="00071CFE" w:rsidRPr="00741122" w:rsidRDefault="00071CFE" w:rsidP="00D561DA">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BO17704</w:t>
      </w:r>
    </w:p>
    <w:p w14:paraId="1B7F02E5" w14:textId="6531D312" w:rsidR="00071CFE" w:rsidRPr="00741122" w:rsidRDefault="00071CFE" w:rsidP="00D561D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Randomizowane badanie kliniczne trzeciej fazy BO17704 prowadzono z podwójnie ślepą próbą, badając </w:t>
      </w:r>
      <w:r w:rsidR="007472F1">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w skojarzeniu z cisplatyną i gemcytabiną vs. placebo, cisplatyna i gemcytabina u pacjentów z miejscowo zaawansowanym (stopień III</w:t>
      </w:r>
      <w:r w:rsidR="00F13123">
        <w:rPr>
          <w:rFonts w:ascii="Times New Roman" w:eastAsia="Times New Roman" w:hAnsi="Times New Roman" w:cs="Times New Roman"/>
          <w:sz w:val="22"/>
          <w:szCs w:val="22"/>
          <w:lang w:val="lt-LT"/>
        </w:rPr>
        <w:t>B</w:t>
      </w:r>
      <w:r w:rsidRPr="00741122">
        <w:rPr>
          <w:rFonts w:ascii="Times New Roman" w:eastAsia="Times New Roman" w:hAnsi="Times New Roman" w:cs="Times New Roman"/>
          <w:sz w:val="22"/>
          <w:szCs w:val="22"/>
          <w:lang w:val="lt-LT"/>
        </w:rPr>
        <w:t xml:space="preserve"> z przerzutami do nadobojczykowych węzłów chłonnych lub nowotworowym wysiękiem opłucnowym lub osierdziowym), rozsianym lub nawracającym, niepłaskonabłonkowym NSCLC, którzy nie otrzymali wcześniej chemioterapii. Pierwszorzędowym punktem końcowym badania był czas przeżycia wolny od progresji, drugorzędowy punkt końcowy badania zawiera całkowity czas przeżycia.</w:t>
      </w:r>
    </w:p>
    <w:p w14:paraId="729ED871" w14:textId="77777777" w:rsidR="00071CFE" w:rsidRPr="00741122" w:rsidRDefault="00071CFE" w:rsidP="00D561DA">
      <w:pPr>
        <w:rPr>
          <w:rFonts w:ascii="Times New Roman" w:eastAsia="Times New Roman" w:hAnsi="Times New Roman" w:cs="Times New Roman"/>
          <w:sz w:val="22"/>
          <w:szCs w:val="22"/>
          <w:lang w:val="lt-LT"/>
        </w:rPr>
      </w:pPr>
    </w:p>
    <w:p w14:paraId="52E24B4E" w14:textId="77777777" w:rsidR="00071CFE" w:rsidRPr="00741122" w:rsidRDefault="00071CFE" w:rsidP="00D561D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Pacjentów poddano randomizacji do grupy otrzymującej chemioterapię opartą na po</w:t>
      </w:r>
      <w:r w:rsidR="00A213BD" w:rsidRPr="00741122">
        <w:rPr>
          <w:rFonts w:ascii="Times New Roman" w:eastAsia="Times New Roman" w:hAnsi="Times New Roman" w:cs="Times New Roman"/>
          <w:sz w:val="22"/>
          <w:szCs w:val="22"/>
          <w:lang w:val="lt-LT"/>
        </w:rPr>
        <w:t>chodnych platyny, cisplatyna 80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we wlewie dożylnym w pi</w:t>
      </w:r>
      <w:r w:rsidR="00D561DA" w:rsidRPr="00741122">
        <w:rPr>
          <w:rFonts w:ascii="Times New Roman" w:eastAsia="Times New Roman" w:hAnsi="Times New Roman" w:cs="Times New Roman"/>
          <w:sz w:val="22"/>
          <w:szCs w:val="22"/>
          <w:lang w:val="lt-LT"/>
        </w:rPr>
        <w:t>erwszym dniu i gemcytabina 1</w:t>
      </w:r>
      <w:r w:rsidR="00A213BD" w:rsidRPr="00741122">
        <w:rPr>
          <w:rFonts w:ascii="Times New Roman" w:eastAsia="Times New Roman" w:hAnsi="Times New Roman" w:cs="Times New Roman"/>
          <w:sz w:val="22"/>
          <w:szCs w:val="22"/>
          <w:lang w:val="lt-LT"/>
        </w:rPr>
        <w:t>250 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we wlewie dożylnym w dniu 1 i 8, 3 tygodniowego cyklu przez okres do 6 cykli (CG) z placebo lub do grupy CG z </w:t>
      </w:r>
      <w:r w:rsidR="007472F1">
        <w:rPr>
          <w:rFonts w:ascii="Times New Roman" w:eastAsia="Times New Roman" w:hAnsi="Times New Roman" w:cs="Times New Roman"/>
          <w:sz w:val="22"/>
          <w:szCs w:val="22"/>
          <w:lang w:val="lt-LT"/>
        </w:rPr>
        <w:lastRenderedPageBreak/>
        <w:t>bewacyzumabem</w:t>
      </w:r>
      <w:r w:rsidR="00A213BD" w:rsidRPr="00741122">
        <w:rPr>
          <w:rFonts w:ascii="Times New Roman" w:eastAsia="Times New Roman" w:hAnsi="Times New Roman" w:cs="Times New Roman"/>
          <w:sz w:val="22"/>
          <w:szCs w:val="22"/>
          <w:lang w:val="lt-LT"/>
        </w:rPr>
        <w:t xml:space="preserve"> w dawce 7,5 lub 15 </w:t>
      </w:r>
      <w:r w:rsidRPr="00741122">
        <w:rPr>
          <w:rFonts w:ascii="Times New Roman" w:eastAsia="Times New Roman" w:hAnsi="Times New Roman" w:cs="Times New Roman"/>
          <w:sz w:val="22"/>
          <w:szCs w:val="22"/>
          <w:lang w:val="lt-LT"/>
        </w:rPr>
        <w:t>mg/kg</w:t>
      </w:r>
      <w:r w:rsidR="0038686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mc. we wlewie dożylnym podawanym w pierwszym dniu każdego 3 tygodniowego cyklu. W ramionach badania zawierających </w:t>
      </w:r>
      <w:r w:rsidR="007472F1">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pacjenci mogli otrzymywać </w:t>
      </w:r>
      <w:r w:rsidR="007472F1">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jako jedyny lek co 3 tygodnie do progresji choroby lub wystąpienia nieakceptowanych działań niepożądanych. Wyniki badania pokazują, że 94% (277/296) spełniających wymagania pacjentów kontynuowało przyjmowanie bewacyzumabu jako jedynego leku w 7</w:t>
      </w:r>
      <w:r w:rsidR="00CC634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cyklu. Duży odsetek pacjentów (około 62%) otrzymał różne nieobjęte protokołem badania leki przeciwnowotworowe, co może mieć wpływ na badania przeżycia całkowitego.</w:t>
      </w:r>
    </w:p>
    <w:p w14:paraId="4E6FCAAC" w14:textId="77777777" w:rsidR="00071CFE" w:rsidRPr="00741122" w:rsidRDefault="00071CFE" w:rsidP="00D561DA">
      <w:pPr>
        <w:rPr>
          <w:rFonts w:ascii="Times New Roman" w:eastAsia="Times New Roman" w:hAnsi="Times New Roman" w:cs="Times New Roman"/>
          <w:sz w:val="22"/>
          <w:szCs w:val="22"/>
          <w:lang w:val="lt-LT"/>
        </w:rPr>
      </w:pPr>
    </w:p>
    <w:p w14:paraId="31BF126F" w14:textId="11B8A414" w:rsidR="00071CFE" w:rsidRPr="00741122" w:rsidRDefault="00071CFE" w:rsidP="00D561DA">
      <w:pPr>
        <w:rPr>
          <w:rFonts w:ascii="Times New Roman" w:eastAsia="Times New Roman" w:hAnsi="Times New Roman"/>
          <w:sz w:val="22"/>
          <w:lang w:val="lt-LT"/>
        </w:rPr>
      </w:pPr>
      <w:bookmarkStart w:id="39" w:name="page37"/>
      <w:bookmarkEnd w:id="39"/>
      <w:r w:rsidRPr="00741122">
        <w:rPr>
          <w:rFonts w:ascii="Times New Roman" w:eastAsia="Times New Roman" w:hAnsi="Times New Roman"/>
          <w:sz w:val="22"/>
          <w:lang w:val="lt-LT"/>
        </w:rPr>
        <w:t xml:space="preserve">Wyniki badania przedstawiono w Tabeli </w:t>
      </w:r>
      <w:r w:rsidR="005A5F0A" w:rsidRPr="00741122">
        <w:rPr>
          <w:rFonts w:ascii="Times New Roman" w:eastAsia="Times New Roman" w:hAnsi="Times New Roman"/>
          <w:sz w:val="22"/>
          <w:lang w:val="lt-LT"/>
        </w:rPr>
        <w:t>1</w:t>
      </w:r>
      <w:r w:rsidR="005A5F0A">
        <w:rPr>
          <w:rFonts w:ascii="Times New Roman" w:eastAsia="Times New Roman" w:hAnsi="Times New Roman"/>
          <w:sz w:val="22"/>
          <w:lang w:val="lt-LT"/>
        </w:rPr>
        <w:t>3</w:t>
      </w:r>
      <w:r w:rsidRPr="00741122">
        <w:rPr>
          <w:rFonts w:ascii="Times New Roman" w:eastAsia="Times New Roman" w:hAnsi="Times New Roman"/>
          <w:sz w:val="22"/>
          <w:lang w:val="lt-LT"/>
        </w:rPr>
        <w:t>.</w:t>
      </w:r>
    </w:p>
    <w:p w14:paraId="0A330006" w14:textId="77777777" w:rsidR="00071CFE" w:rsidRPr="00EA3777" w:rsidRDefault="00071CFE" w:rsidP="00D561DA">
      <w:pPr>
        <w:rPr>
          <w:rFonts w:ascii="Times New Roman" w:eastAsia="Times New Roman" w:hAnsi="Times New Roman"/>
          <w:sz w:val="22"/>
          <w:lang w:val="lt-LT"/>
        </w:rPr>
      </w:pPr>
    </w:p>
    <w:p w14:paraId="61949588" w14:textId="5A89A1E0" w:rsidR="00A213BD" w:rsidRPr="00741122" w:rsidRDefault="00403C18" w:rsidP="00157A1D">
      <w:pPr>
        <w:keepNext/>
        <w:rPr>
          <w:rFonts w:ascii="Times New Roman" w:eastAsia="Times New Roman" w:hAnsi="Times New Roman"/>
          <w:b/>
          <w:sz w:val="22"/>
          <w:lang w:val="lt-LT"/>
        </w:rPr>
      </w:pPr>
      <w:r w:rsidRPr="00741122">
        <w:rPr>
          <w:rFonts w:ascii="Times New Roman" w:eastAsia="Times New Roman" w:hAnsi="Times New Roman"/>
          <w:b/>
          <w:sz w:val="22"/>
          <w:lang w:val="lt-LT"/>
        </w:rPr>
        <w:t xml:space="preserve">Tabela </w:t>
      </w:r>
      <w:r w:rsidR="005A5F0A" w:rsidRPr="00741122">
        <w:rPr>
          <w:rFonts w:ascii="Times New Roman" w:eastAsia="Times New Roman" w:hAnsi="Times New Roman"/>
          <w:b/>
          <w:sz w:val="22"/>
          <w:lang w:val="lt-LT"/>
        </w:rPr>
        <w:t>1</w:t>
      </w:r>
      <w:r w:rsidR="005A5F0A">
        <w:rPr>
          <w:rFonts w:ascii="Times New Roman" w:eastAsia="Times New Roman" w:hAnsi="Times New Roman"/>
          <w:b/>
          <w:sz w:val="22"/>
          <w:lang w:val="lt-LT"/>
        </w:rPr>
        <w:t>3</w:t>
      </w:r>
      <w:r w:rsidR="00CC6348">
        <w:rPr>
          <w:rFonts w:ascii="Times New Roman" w:eastAsia="Times New Roman" w:hAnsi="Times New Roman"/>
          <w:b/>
          <w:sz w:val="22"/>
          <w:lang w:val="lt-LT"/>
        </w:rPr>
        <w:t>.</w:t>
      </w:r>
      <w:r w:rsidR="00A213BD" w:rsidRPr="00741122">
        <w:rPr>
          <w:rFonts w:ascii="Times New Roman" w:eastAsia="Times New Roman" w:hAnsi="Times New Roman"/>
          <w:b/>
          <w:sz w:val="22"/>
          <w:lang w:val="lt-LT"/>
        </w:rPr>
        <w:t xml:space="preserve"> </w:t>
      </w:r>
      <w:r w:rsidR="00071CFE" w:rsidRPr="00741122">
        <w:rPr>
          <w:rFonts w:ascii="Times New Roman" w:eastAsia="Times New Roman" w:hAnsi="Times New Roman"/>
          <w:b/>
          <w:sz w:val="22"/>
          <w:lang w:val="lt-LT"/>
        </w:rPr>
        <w:t>Wyniki badania</w:t>
      </w:r>
      <w:r w:rsidR="00A213BD" w:rsidRPr="00741122">
        <w:rPr>
          <w:rFonts w:ascii="Times New Roman" w:eastAsia="Times New Roman" w:hAnsi="Times New Roman"/>
          <w:b/>
          <w:sz w:val="22"/>
          <w:lang w:val="lt-LT"/>
        </w:rPr>
        <w:t xml:space="preserve"> BO17704 dotyczące skuteczności</w:t>
      </w:r>
    </w:p>
    <w:p w14:paraId="1C397AD2" w14:textId="77777777" w:rsidR="00071CFE" w:rsidRPr="00741122" w:rsidRDefault="00071CFE" w:rsidP="00157A1D">
      <w:pPr>
        <w:keepNext/>
        <w:rPr>
          <w:rFonts w:ascii="Times New Roman" w:eastAsia="Times New Roman" w:hAnsi="Times New Roman"/>
          <w:b/>
          <w:sz w:val="22"/>
          <w:lang w:val="lt-LT"/>
        </w:rPr>
      </w:pPr>
    </w:p>
    <w:tbl>
      <w:tblPr>
        <w:tblW w:w="94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4"/>
        <w:gridCol w:w="2383"/>
        <w:gridCol w:w="2383"/>
        <w:gridCol w:w="2439"/>
      </w:tblGrid>
      <w:tr w:rsidR="00524FF2" w:rsidRPr="008C2A94" w14:paraId="23DE3218" w14:textId="77777777" w:rsidTr="00524FF2">
        <w:trPr>
          <w:trHeight w:val="300"/>
          <w:tblHeader/>
        </w:trPr>
        <w:tc>
          <w:tcPr>
            <w:tcW w:w="2435" w:type="dxa"/>
            <w:noWrap/>
            <w:vAlign w:val="bottom"/>
            <w:hideMark/>
          </w:tcPr>
          <w:p w14:paraId="642979CB" w14:textId="77777777" w:rsidR="00182126" w:rsidRPr="00741122" w:rsidRDefault="00182126" w:rsidP="00157A1D">
            <w:pPr>
              <w:keepNext/>
              <w:rPr>
                <w:rFonts w:ascii="Times New Roman" w:hAnsi="Times New Roman" w:cs="Times New Roman"/>
                <w:color w:val="000000"/>
                <w:sz w:val="22"/>
                <w:szCs w:val="22"/>
                <w:lang w:val="lt-LT"/>
              </w:rPr>
            </w:pPr>
          </w:p>
        </w:tc>
        <w:tc>
          <w:tcPr>
            <w:tcW w:w="2335" w:type="dxa"/>
            <w:noWrap/>
            <w:vAlign w:val="center"/>
          </w:tcPr>
          <w:p w14:paraId="263240BB" w14:textId="77777777" w:rsidR="00182126" w:rsidRPr="00FD7F9C" w:rsidRDefault="00182126" w:rsidP="00157A1D">
            <w:pPr>
              <w:keepNext/>
              <w:spacing w:line="0" w:lineRule="atLeast"/>
              <w:ind w:left="60"/>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Cisplatyna/Gemcytabina+ placebo</w:t>
            </w:r>
          </w:p>
        </w:tc>
        <w:tc>
          <w:tcPr>
            <w:tcW w:w="2335" w:type="dxa"/>
            <w:noWrap/>
            <w:vAlign w:val="center"/>
          </w:tcPr>
          <w:p w14:paraId="70EA138F" w14:textId="77777777" w:rsidR="00182126" w:rsidRPr="00FD7F9C" w:rsidRDefault="00182126" w:rsidP="00157A1D">
            <w:pPr>
              <w:keepNext/>
              <w:spacing w:line="0" w:lineRule="atLeast"/>
              <w:ind w:left="60"/>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 xml:space="preserve">Cisplatyna/Gemcytabina+ </w:t>
            </w:r>
            <w:r w:rsidR="00863851" w:rsidRPr="00FD7F9C">
              <w:rPr>
                <w:rFonts w:ascii="Times New Roman" w:eastAsia="Times New Roman" w:hAnsi="Times New Roman" w:cs="Times New Roman"/>
                <w:b/>
                <w:sz w:val="22"/>
                <w:szCs w:val="22"/>
                <w:lang w:val="lt-LT"/>
              </w:rPr>
              <w:t>b</w:t>
            </w:r>
            <w:r w:rsidR="002F1DFF" w:rsidRPr="00FD7F9C">
              <w:rPr>
                <w:rFonts w:ascii="Times New Roman" w:eastAsia="Times New Roman" w:hAnsi="Times New Roman" w:cs="Times New Roman"/>
                <w:b/>
                <w:sz w:val="22"/>
                <w:szCs w:val="22"/>
                <w:lang w:val="lt-LT"/>
              </w:rPr>
              <w:t>ewacyzumab</w:t>
            </w:r>
          </w:p>
          <w:p w14:paraId="5EFD35AE" w14:textId="77777777" w:rsidR="00182126" w:rsidRPr="00FD7F9C" w:rsidRDefault="00760361" w:rsidP="00157A1D">
            <w:pPr>
              <w:keepNext/>
              <w:spacing w:line="0" w:lineRule="atLeast"/>
              <w:ind w:left="60"/>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 xml:space="preserve">7,5 </w:t>
            </w:r>
            <w:r w:rsidR="00182126" w:rsidRPr="00FD7F9C">
              <w:rPr>
                <w:rFonts w:ascii="Times New Roman" w:eastAsia="Times New Roman" w:hAnsi="Times New Roman" w:cs="Times New Roman"/>
                <w:b/>
                <w:sz w:val="22"/>
                <w:szCs w:val="22"/>
                <w:lang w:val="lt-LT"/>
              </w:rPr>
              <w:t>mg/kg</w:t>
            </w:r>
            <w:r w:rsidR="00CC6348">
              <w:rPr>
                <w:rFonts w:ascii="Times New Roman" w:eastAsia="Times New Roman" w:hAnsi="Times New Roman" w:cs="Times New Roman"/>
                <w:b/>
                <w:sz w:val="22"/>
                <w:szCs w:val="22"/>
                <w:lang w:val="lt-LT"/>
              </w:rPr>
              <w:t> mc.</w:t>
            </w:r>
            <w:r w:rsidR="00182126" w:rsidRPr="00FD7F9C">
              <w:rPr>
                <w:rFonts w:ascii="Times New Roman" w:eastAsia="Times New Roman" w:hAnsi="Times New Roman" w:cs="Times New Roman"/>
                <w:b/>
                <w:sz w:val="22"/>
                <w:szCs w:val="22"/>
                <w:lang w:val="lt-LT"/>
              </w:rPr>
              <w:t xml:space="preserve"> co</w:t>
            </w:r>
            <w:r w:rsidR="00CC6348">
              <w:rPr>
                <w:rFonts w:ascii="Times New Roman" w:eastAsia="Times New Roman" w:hAnsi="Times New Roman" w:cs="Times New Roman"/>
                <w:b/>
                <w:sz w:val="22"/>
                <w:szCs w:val="22"/>
                <w:lang w:val="lt-LT"/>
              </w:rPr>
              <w:t xml:space="preserve"> </w:t>
            </w:r>
            <w:r w:rsidR="00182126" w:rsidRPr="00FD7F9C">
              <w:rPr>
                <w:rFonts w:ascii="Times New Roman" w:eastAsia="Times New Roman" w:hAnsi="Times New Roman" w:cs="Times New Roman"/>
                <w:b/>
                <w:sz w:val="22"/>
                <w:szCs w:val="22"/>
                <w:lang w:val="lt-LT"/>
              </w:rPr>
              <w:t>3 tygodnie</w:t>
            </w:r>
          </w:p>
        </w:tc>
        <w:tc>
          <w:tcPr>
            <w:tcW w:w="2394" w:type="dxa"/>
            <w:noWrap/>
            <w:vAlign w:val="center"/>
          </w:tcPr>
          <w:p w14:paraId="3301413C" w14:textId="77777777" w:rsidR="00182126" w:rsidRPr="00FD7F9C" w:rsidRDefault="00182126" w:rsidP="00157A1D">
            <w:pPr>
              <w:keepNext/>
              <w:spacing w:line="0" w:lineRule="atLeast"/>
              <w:ind w:left="120"/>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 xml:space="preserve">Cisplatyna/Gemcytabina+ </w:t>
            </w:r>
            <w:r w:rsidR="00863851" w:rsidRPr="00FD7F9C">
              <w:rPr>
                <w:rFonts w:ascii="Times New Roman" w:eastAsia="Times New Roman" w:hAnsi="Times New Roman" w:cs="Times New Roman"/>
                <w:b/>
                <w:sz w:val="22"/>
                <w:szCs w:val="22"/>
                <w:lang w:val="lt-LT"/>
              </w:rPr>
              <w:t>b</w:t>
            </w:r>
            <w:r w:rsidR="002F1DFF" w:rsidRPr="00FD7F9C">
              <w:rPr>
                <w:rFonts w:ascii="Times New Roman" w:eastAsia="Times New Roman" w:hAnsi="Times New Roman" w:cs="Times New Roman"/>
                <w:b/>
                <w:sz w:val="22"/>
                <w:szCs w:val="22"/>
                <w:lang w:val="lt-LT"/>
              </w:rPr>
              <w:t>ewacyzumab</w:t>
            </w:r>
          </w:p>
          <w:p w14:paraId="52305949" w14:textId="77777777" w:rsidR="00182126" w:rsidRPr="00FD7F9C" w:rsidRDefault="00182126" w:rsidP="00157A1D">
            <w:pPr>
              <w:keepNext/>
              <w:spacing w:line="0" w:lineRule="atLeast"/>
              <w:ind w:left="120"/>
              <w:jc w:val="center"/>
              <w:rPr>
                <w:rFonts w:ascii="Times New Roman" w:eastAsia="Times New Roman" w:hAnsi="Times New Roman" w:cs="Times New Roman"/>
                <w:b/>
                <w:sz w:val="22"/>
                <w:szCs w:val="22"/>
                <w:lang w:val="lt-LT"/>
              </w:rPr>
            </w:pPr>
            <w:r w:rsidRPr="00FD7F9C">
              <w:rPr>
                <w:rFonts w:ascii="Times New Roman" w:eastAsia="Times New Roman" w:hAnsi="Times New Roman" w:cs="Times New Roman"/>
                <w:b/>
                <w:sz w:val="22"/>
                <w:szCs w:val="22"/>
                <w:lang w:val="lt-LT"/>
              </w:rPr>
              <w:t>15</w:t>
            </w:r>
            <w:r w:rsidR="00760361" w:rsidRPr="00FD7F9C">
              <w:rPr>
                <w:rFonts w:ascii="Times New Roman" w:eastAsia="Times New Roman" w:hAnsi="Times New Roman" w:cs="Times New Roman"/>
                <w:b/>
                <w:sz w:val="22"/>
                <w:szCs w:val="22"/>
                <w:lang w:val="lt-LT"/>
              </w:rPr>
              <w:t xml:space="preserve"> </w:t>
            </w:r>
            <w:r w:rsidRPr="00FD7F9C">
              <w:rPr>
                <w:rFonts w:ascii="Times New Roman" w:eastAsia="Times New Roman" w:hAnsi="Times New Roman" w:cs="Times New Roman"/>
                <w:b/>
                <w:sz w:val="22"/>
                <w:szCs w:val="22"/>
                <w:lang w:val="lt-LT"/>
              </w:rPr>
              <w:t>mg/kg</w:t>
            </w:r>
            <w:r w:rsidR="00CC6348">
              <w:rPr>
                <w:rFonts w:ascii="Times New Roman" w:eastAsia="Times New Roman" w:hAnsi="Times New Roman" w:cs="Times New Roman"/>
                <w:b/>
                <w:sz w:val="22"/>
                <w:szCs w:val="22"/>
                <w:lang w:val="lt-LT"/>
              </w:rPr>
              <w:t> mc.</w:t>
            </w:r>
            <w:r w:rsidRPr="00FD7F9C">
              <w:rPr>
                <w:rFonts w:ascii="Times New Roman" w:eastAsia="Times New Roman" w:hAnsi="Times New Roman" w:cs="Times New Roman"/>
                <w:b/>
                <w:sz w:val="22"/>
                <w:szCs w:val="22"/>
                <w:lang w:val="lt-LT"/>
              </w:rPr>
              <w:t xml:space="preserve"> co</w:t>
            </w:r>
            <w:r w:rsidR="00CC6348">
              <w:rPr>
                <w:rFonts w:ascii="Times New Roman" w:eastAsia="Times New Roman" w:hAnsi="Times New Roman" w:cs="Times New Roman"/>
                <w:b/>
                <w:sz w:val="22"/>
                <w:szCs w:val="22"/>
                <w:lang w:val="lt-LT"/>
              </w:rPr>
              <w:t xml:space="preserve"> </w:t>
            </w:r>
            <w:r w:rsidRPr="00FD7F9C">
              <w:rPr>
                <w:rFonts w:ascii="Times New Roman" w:eastAsia="Times New Roman" w:hAnsi="Times New Roman" w:cs="Times New Roman"/>
                <w:b/>
                <w:sz w:val="22"/>
                <w:szCs w:val="22"/>
                <w:lang w:val="lt-LT"/>
              </w:rPr>
              <w:t>3 tygodnie</w:t>
            </w:r>
          </w:p>
        </w:tc>
      </w:tr>
      <w:tr w:rsidR="00524FF2" w:rsidRPr="00741122" w14:paraId="116BE3DD" w14:textId="77777777" w:rsidTr="009120CF">
        <w:trPr>
          <w:trHeight w:val="300"/>
        </w:trPr>
        <w:tc>
          <w:tcPr>
            <w:tcW w:w="2435" w:type="dxa"/>
            <w:tcBorders>
              <w:bottom w:val="single" w:sz="4" w:space="0" w:color="auto"/>
            </w:tcBorders>
            <w:noWrap/>
            <w:vAlign w:val="center"/>
          </w:tcPr>
          <w:p w14:paraId="1E347DC4" w14:textId="77777777" w:rsidR="00182126" w:rsidRPr="00741122" w:rsidRDefault="00182126" w:rsidP="00157A1D">
            <w:pPr>
              <w:keepNext/>
              <w:spacing w:line="0" w:lineRule="atLeast"/>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Liczba pacjentów</w:t>
            </w:r>
          </w:p>
        </w:tc>
        <w:tc>
          <w:tcPr>
            <w:tcW w:w="2335" w:type="dxa"/>
            <w:tcBorders>
              <w:bottom w:val="single" w:sz="4" w:space="0" w:color="auto"/>
            </w:tcBorders>
            <w:noWrap/>
            <w:vAlign w:val="center"/>
          </w:tcPr>
          <w:p w14:paraId="5EC980C6" w14:textId="77777777" w:rsidR="00182126" w:rsidRPr="00741122" w:rsidRDefault="00182126" w:rsidP="00157A1D">
            <w:pPr>
              <w:keepNext/>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347</w:t>
            </w:r>
          </w:p>
        </w:tc>
        <w:tc>
          <w:tcPr>
            <w:tcW w:w="2335" w:type="dxa"/>
            <w:tcBorders>
              <w:bottom w:val="single" w:sz="4" w:space="0" w:color="auto"/>
            </w:tcBorders>
            <w:noWrap/>
            <w:vAlign w:val="center"/>
          </w:tcPr>
          <w:p w14:paraId="735E0B16" w14:textId="77777777" w:rsidR="00182126" w:rsidRPr="001566D8" w:rsidRDefault="00182126" w:rsidP="00157A1D">
            <w:pPr>
              <w:keepNext/>
              <w:spacing w:line="0" w:lineRule="atLeast"/>
              <w:jc w:val="center"/>
              <w:rPr>
                <w:rFonts w:ascii="Times New Roman" w:eastAsia="Times New Roman" w:hAnsi="Times New Roman" w:cs="Times New Roman"/>
                <w:sz w:val="22"/>
                <w:szCs w:val="22"/>
                <w:lang w:val="lt-LT"/>
              </w:rPr>
            </w:pPr>
            <w:r w:rsidRPr="001566D8">
              <w:rPr>
                <w:rFonts w:ascii="Times New Roman" w:eastAsia="Times New Roman" w:hAnsi="Times New Roman" w:cs="Times New Roman"/>
                <w:sz w:val="22"/>
                <w:szCs w:val="22"/>
                <w:lang w:val="lt-LT"/>
              </w:rPr>
              <w:t>345</w:t>
            </w:r>
          </w:p>
        </w:tc>
        <w:tc>
          <w:tcPr>
            <w:tcW w:w="2394" w:type="dxa"/>
            <w:tcBorders>
              <w:bottom w:val="single" w:sz="4" w:space="0" w:color="auto"/>
            </w:tcBorders>
            <w:noWrap/>
            <w:vAlign w:val="center"/>
          </w:tcPr>
          <w:p w14:paraId="79DC3F0E" w14:textId="77777777" w:rsidR="00182126" w:rsidRPr="001566D8" w:rsidRDefault="00182126" w:rsidP="00157A1D">
            <w:pPr>
              <w:keepNext/>
              <w:spacing w:line="0" w:lineRule="atLeast"/>
              <w:jc w:val="center"/>
              <w:rPr>
                <w:rFonts w:ascii="Times New Roman" w:eastAsia="Times New Roman" w:hAnsi="Times New Roman" w:cs="Times New Roman"/>
                <w:sz w:val="22"/>
                <w:szCs w:val="22"/>
                <w:lang w:val="lt-LT"/>
              </w:rPr>
            </w:pPr>
            <w:r w:rsidRPr="001566D8">
              <w:rPr>
                <w:rFonts w:ascii="Times New Roman" w:eastAsia="Times New Roman" w:hAnsi="Times New Roman" w:cs="Times New Roman"/>
                <w:sz w:val="22"/>
                <w:szCs w:val="22"/>
                <w:lang w:val="lt-LT"/>
              </w:rPr>
              <w:t>351</w:t>
            </w:r>
          </w:p>
        </w:tc>
      </w:tr>
      <w:tr w:rsidR="00524FF2" w:rsidRPr="00C70451" w14:paraId="64516140" w14:textId="77777777" w:rsidTr="009120CF">
        <w:trPr>
          <w:trHeight w:val="399"/>
        </w:trPr>
        <w:tc>
          <w:tcPr>
            <w:tcW w:w="2435" w:type="dxa"/>
            <w:tcBorders>
              <w:bottom w:val="single" w:sz="4" w:space="0" w:color="auto"/>
            </w:tcBorders>
            <w:noWrap/>
          </w:tcPr>
          <w:p w14:paraId="73115EC9" w14:textId="77777777" w:rsidR="00182126" w:rsidRPr="00741122" w:rsidRDefault="00182126" w:rsidP="00F77F8A">
            <w:pPr>
              <w:spacing w:line="0" w:lineRule="atLeast"/>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Czas przeżycia wolny od progresji</w:t>
            </w:r>
          </w:p>
        </w:tc>
        <w:tc>
          <w:tcPr>
            <w:tcW w:w="2335" w:type="dxa"/>
            <w:tcBorders>
              <w:bottom w:val="single" w:sz="4" w:space="0" w:color="auto"/>
            </w:tcBorders>
            <w:noWrap/>
            <w:vAlign w:val="center"/>
          </w:tcPr>
          <w:p w14:paraId="7C6E4C7D" w14:textId="77777777" w:rsidR="00182126" w:rsidRPr="00741122" w:rsidRDefault="00182126" w:rsidP="00745131">
            <w:pPr>
              <w:jc w:val="center"/>
              <w:rPr>
                <w:rFonts w:ascii="Times New Roman" w:hAnsi="Times New Roman" w:cs="Times New Roman"/>
                <w:color w:val="000000"/>
                <w:sz w:val="22"/>
                <w:szCs w:val="22"/>
                <w:lang w:val="lt-LT"/>
              </w:rPr>
            </w:pPr>
          </w:p>
        </w:tc>
        <w:tc>
          <w:tcPr>
            <w:tcW w:w="2335" w:type="dxa"/>
            <w:tcBorders>
              <w:bottom w:val="single" w:sz="4" w:space="0" w:color="auto"/>
            </w:tcBorders>
            <w:noWrap/>
            <w:vAlign w:val="center"/>
          </w:tcPr>
          <w:p w14:paraId="2E7940D6" w14:textId="77777777" w:rsidR="00182126" w:rsidRPr="00741122" w:rsidRDefault="00182126" w:rsidP="00745131">
            <w:pPr>
              <w:jc w:val="center"/>
              <w:rPr>
                <w:rFonts w:ascii="Times New Roman" w:hAnsi="Times New Roman" w:cs="Times New Roman"/>
                <w:color w:val="000000"/>
                <w:sz w:val="22"/>
                <w:szCs w:val="22"/>
                <w:lang w:val="lt-LT"/>
              </w:rPr>
            </w:pPr>
          </w:p>
        </w:tc>
        <w:tc>
          <w:tcPr>
            <w:tcW w:w="2394" w:type="dxa"/>
            <w:tcBorders>
              <w:bottom w:val="single" w:sz="4" w:space="0" w:color="auto"/>
            </w:tcBorders>
            <w:noWrap/>
          </w:tcPr>
          <w:p w14:paraId="7CB91B18" w14:textId="77777777" w:rsidR="00182126" w:rsidRPr="00741122" w:rsidRDefault="00182126" w:rsidP="00745131">
            <w:pPr>
              <w:jc w:val="center"/>
              <w:rPr>
                <w:rFonts w:ascii="Times New Roman" w:hAnsi="Times New Roman" w:cs="Times New Roman"/>
                <w:color w:val="000000"/>
                <w:sz w:val="22"/>
                <w:szCs w:val="22"/>
                <w:lang w:val="lt-LT"/>
              </w:rPr>
            </w:pPr>
          </w:p>
        </w:tc>
      </w:tr>
      <w:tr w:rsidR="00524FF2" w:rsidRPr="00741122" w14:paraId="11D6E66E" w14:textId="77777777" w:rsidTr="009120CF">
        <w:trPr>
          <w:trHeight w:val="451"/>
        </w:trPr>
        <w:tc>
          <w:tcPr>
            <w:tcW w:w="2435" w:type="dxa"/>
            <w:tcBorders>
              <w:top w:val="single" w:sz="4" w:space="0" w:color="auto"/>
              <w:bottom w:val="single" w:sz="4" w:space="0" w:color="auto"/>
            </w:tcBorders>
            <w:noWrap/>
            <w:vAlign w:val="center"/>
          </w:tcPr>
          <w:p w14:paraId="210CC611" w14:textId="77777777" w:rsidR="00182126" w:rsidRPr="00741122" w:rsidRDefault="00182126" w:rsidP="00F77F8A">
            <w:pPr>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Mediana (miesiące)</w:t>
            </w:r>
          </w:p>
        </w:tc>
        <w:tc>
          <w:tcPr>
            <w:tcW w:w="2335" w:type="dxa"/>
            <w:tcBorders>
              <w:top w:val="single" w:sz="4" w:space="0" w:color="auto"/>
              <w:bottom w:val="single" w:sz="4" w:space="0" w:color="auto"/>
            </w:tcBorders>
            <w:noWrap/>
            <w:vAlign w:val="center"/>
          </w:tcPr>
          <w:p w14:paraId="021750A6" w14:textId="77777777" w:rsidR="00182126" w:rsidRPr="00741122" w:rsidRDefault="00182126" w:rsidP="00745131">
            <w:pPr>
              <w:spacing w:line="199" w:lineRule="exact"/>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w w:val="94"/>
                <w:sz w:val="22"/>
                <w:szCs w:val="22"/>
                <w:lang w:val="lt-LT"/>
              </w:rPr>
              <w:t>6,1</w:t>
            </w:r>
          </w:p>
        </w:tc>
        <w:tc>
          <w:tcPr>
            <w:tcW w:w="2335" w:type="dxa"/>
            <w:tcBorders>
              <w:top w:val="single" w:sz="4" w:space="0" w:color="auto"/>
              <w:bottom w:val="single" w:sz="4" w:space="0" w:color="auto"/>
            </w:tcBorders>
            <w:noWrap/>
            <w:vAlign w:val="center"/>
          </w:tcPr>
          <w:p w14:paraId="537D94F2" w14:textId="77777777" w:rsidR="00182126" w:rsidRPr="00741122" w:rsidRDefault="00182126" w:rsidP="00745131">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6,7</w:t>
            </w:r>
          </w:p>
          <w:p w14:paraId="13C7DAF1" w14:textId="77777777" w:rsidR="00182126" w:rsidRPr="00741122" w:rsidRDefault="00182126" w:rsidP="00745131">
            <w:pPr>
              <w:spacing w:line="199" w:lineRule="exac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 = 0,0026)</w:t>
            </w:r>
          </w:p>
        </w:tc>
        <w:tc>
          <w:tcPr>
            <w:tcW w:w="2394" w:type="dxa"/>
            <w:tcBorders>
              <w:top w:val="single" w:sz="4" w:space="0" w:color="auto"/>
              <w:bottom w:val="single" w:sz="4" w:space="0" w:color="auto"/>
            </w:tcBorders>
            <w:noWrap/>
            <w:vAlign w:val="center"/>
          </w:tcPr>
          <w:p w14:paraId="7526FD8E" w14:textId="77777777" w:rsidR="00182126" w:rsidRPr="00741122" w:rsidRDefault="00182126" w:rsidP="00745131">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6,5</w:t>
            </w:r>
          </w:p>
          <w:p w14:paraId="73DA1EA7" w14:textId="77777777" w:rsidR="00182126" w:rsidRPr="00741122" w:rsidRDefault="00182126" w:rsidP="00745131">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 = 0,0301)</w:t>
            </w:r>
          </w:p>
        </w:tc>
      </w:tr>
      <w:tr w:rsidR="00524FF2" w:rsidRPr="00741122" w14:paraId="0DFB1578" w14:textId="77777777" w:rsidTr="009120CF">
        <w:trPr>
          <w:trHeight w:val="567"/>
        </w:trPr>
        <w:tc>
          <w:tcPr>
            <w:tcW w:w="2435" w:type="dxa"/>
            <w:tcBorders>
              <w:top w:val="single" w:sz="4" w:space="0" w:color="auto"/>
            </w:tcBorders>
            <w:noWrap/>
            <w:vAlign w:val="center"/>
          </w:tcPr>
          <w:p w14:paraId="7C52C3E1" w14:textId="77777777" w:rsidR="00182126" w:rsidRPr="00741122" w:rsidRDefault="00182126" w:rsidP="00F77F8A">
            <w:pPr>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ryzyka</w:t>
            </w:r>
          </w:p>
        </w:tc>
        <w:tc>
          <w:tcPr>
            <w:tcW w:w="2335" w:type="dxa"/>
            <w:tcBorders>
              <w:top w:val="single" w:sz="4" w:space="0" w:color="auto"/>
            </w:tcBorders>
            <w:noWrap/>
            <w:vAlign w:val="center"/>
          </w:tcPr>
          <w:p w14:paraId="0E31783E" w14:textId="77777777" w:rsidR="00182126" w:rsidRPr="00741122" w:rsidRDefault="00182126" w:rsidP="00745131">
            <w:pPr>
              <w:jc w:val="center"/>
              <w:rPr>
                <w:rFonts w:ascii="Times New Roman" w:hAnsi="Times New Roman" w:cs="Times New Roman"/>
                <w:color w:val="000000"/>
                <w:sz w:val="22"/>
                <w:szCs w:val="22"/>
                <w:lang w:val="lt-LT"/>
              </w:rPr>
            </w:pPr>
          </w:p>
        </w:tc>
        <w:tc>
          <w:tcPr>
            <w:tcW w:w="2335" w:type="dxa"/>
            <w:tcBorders>
              <w:top w:val="single" w:sz="4" w:space="0" w:color="auto"/>
            </w:tcBorders>
            <w:noWrap/>
            <w:vAlign w:val="center"/>
          </w:tcPr>
          <w:p w14:paraId="1ADE8C69" w14:textId="77777777" w:rsidR="00182126" w:rsidRPr="00741122" w:rsidRDefault="00182126" w:rsidP="00745131">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0,75</w:t>
            </w:r>
          </w:p>
          <w:p w14:paraId="66BD6039" w14:textId="77777777" w:rsidR="00182126" w:rsidRPr="00741122" w:rsidRDefault="00182126" w:rsidP="00745131">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[0,62; 0,91]</w:t>
            </w:r>
          </w:p>
        </w:tc>
        <w:tc>
          <w:tcPr>
            <w:tcW w:w="2394" w:type="dxa"/>
            <w:tcBorders>
              <w:top w:val="single" w:sz="4" w:space="0" w:color="auto"/>
            </w:tcBorders>
            <w:noWrap/>
            <w:vAlign w:val="center"/>
          </w:tcPr>
          <w:p w14:paraId="0A2160DF" w14:textId="77777777" w:rsidR="00182126" w:rsidRPr="00741122" w:rsidRDefault="00182126" w:rsidP="00745131">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0,82</w:t>
            </w:r>
          </w:p>
          <w:p w14:paraId="3D8E0FA6" w14:textId="77777777" w:rsidR="00182126" w:rsidRPr="00741122" w:rsidRDefault="00182126" w:rsidP="00745131">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[0,68; 0,98]</w:t>
            </w:r>
          </w:p>
        </w:tc>
      </w:tr>
      <w:tr w:rsidR="00524FF2" w:rsidRPr="00741122" w14:paraId="6140B01C" w14:textId="77777777" w:rsidTr="000D4DF2">
        <w:trPr>
          <w:trHeight w:val="501"/>
        </w:trPr>
        <w:tc>
          <w:tcPr>
            <w:tcW w:w="2435" w:type="dxa"/>
            <w:noWrap/>
          </w:tcPr>
          <w:p w14:paraId="74735EFA" w14:textId="77777777" w:rsidR="00182126" w:rsidRPr="00741122" w:rsidRDefault="00182126" w:rsidP="000D4DF2">
            <w:pPr>
              <w:spacing w:line="0" w:lineRule="atLeast"/>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 najlepsze</w:t>
            </w:r>
            <w:r w:rsidR="00F77F8A">
              <w:rPr>
                <w:rFonts w:ascii="Times New Roman" w:eastAsia="Times New Roman" w:hAnsi="Times New Roman" w:cs="Times New Roman"/>
                <w:sz w:val="22"/>
                <w:szCs w:val="22"/>
                <w:lang w:val="lt-LT"/>
              </w:rPr>
              <w:t>j całkowitej odpowiedzi</w:t>
            </w:r>
            <w:r w:rsidRPr="00741122">
              <w:rPr>
                <w:rFonts w:ascii="Times New Roman" w:eastAsia="Times New Roman" w:hAnsi="Times New Roman" w:cs="Times New Roman"/>
                <w:sz w:val="22"/>
                <w:szCs w:val="22"/>
                <w:vertAlign w:val="superscript"/>
                <w:lang w:val="lt-LT"/>
              </w:rPr>
              <w:t>a</w:t>
            </w:r>
          </w:p>
        </w:tc>
        <w:tc>
          <w:tcPr>
            <w:tcW w:w="2335" w:type="dxa"/>
            <w:noWrap/>
          </w:tcPr>
          <w:p w14:paraId="090F9A7B" w14:textId="77777777" w:rsidR="00182126" w:rsidRPr="00741122" w:rsidRDefault="00182126" w:rsidP="000D4DF2">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20,1%</w:t>
            </w:r>
          </w:p>
        </w:tc>
        <w:tc>
          <w:tcPr>
            <w:tcW w:w="2335" w:type="dxa"/>
            <w:noWrap/>
          </w:tcPr>
          <w:p w14:paraId="36A60553" w14:textId="77777777" w:rsidR="00182126" w:rsidRPr="001566D8" w:rsidRDefault="00182126" w:rsidP="000D4DF2">
            <w:pPr>
              <w:spacing w:line="0" w:lineRule="atLeast"/>
              <w:jc w:val="center"/>
              <w:rPr>
                <w:rFonts w:ascii="Times New Roman" w:eastAsia="Times New Roman" w:hAnsi="Times New Roman" w:cs="Times New Roman"/>
                <w:sz w:val="22"/>
                <w:szCs w:val="22"/>
                <w:lang w:val="lt-LT"/>
              </w:rPr>
            </w:pPr>
            <w:r w:rsidRPr="001566D8">
              <w:rPr>
                <w:rFonts w:ascii="Times New Roman" w:eastAsia="Times New Roman" w:hAnsi="Times New Roman" w:cs="Times New Roman"/>
                <w:sz w:val="22"/>
                <w:szCs w:val="22"/>
                <w:lang w:val="lt-LT"/>
              </w:rPr>
              <w:t>34,1%</w:t>
            </w:r>
          </w:p>
          <w:p w14:paraId="1A27142D" w14:textId="77777777" w:rsidR="00182126" w:rsidRPr="001566D8" w:rsidRDefault="00182126" w:rsidP="000D4DF2">
            <w:pPr>
              <w:spacing w:line="0" w:lineRule="atLeast"/>
              <w:jc w:val="center"/>
              <w:rPr>
                <w:rFonts w:ascii="Times New Roman" w:eastAsia="Times New Roman" w:hAnsi="Times New Roman" w:cs="Times New Roman"/>
                <w:sz w:val="22"/>
                <w:szCs w:val="22"/>
                <w:lang w:val="lt-LT"/>
              </w:rPr>
            </w:pPr>
            <w:r w:rsidRPr="001566D8">
              <w:rPr>
                <w:rFonts w:ascii="Times New Roman" w:eastAsia="Times New Roman" w:hAnsi="Times New Roman" w:cs="Times New Roman"/>
                <w:sz w:val="22"/>
                <w:szCs w:val="22"/>
                <w:lang w:val="lt-LT"/>
              </w:rPr>
              <w:t>(p</w:t>
            </w:r>
            <w:r w:rsidR="00CC6348">
              <w:rPr>
                <w:rFonts w:ascii="Times New Roman" w:eastAsia="Times New Roman" w:hAnsi="Times New Roman" w:cs="Times New Roman"/>
                <w:sz w:val="22"/>
                <w:szCs w:val="22"/>
                <w:lang w:val="lt-LT"/>
              </w:rPr>
              <w:t> </w:t>
            </w:r>
            <w:r w:rsidRPr="001566D8">
              <w:rPr>
                <w:rFonts w:ascii="Times New Roman" w:eastAsia="Times New Roman" w:hAnsi="Times New Roman" w:cs="Times New Roman"/>
                <w:sz w:val="22"/>
                <w:szCs w:val="22"/>
                <w:lang w:val="lt-LT"/>
              </w:rPr>
              <w:t>&lt;</w:t>
            </w:r>
            <w:r w:rsidR="00CC6348">
              <w:rPr>
                <w:rFonts w:ascii="Times New Roman" w:eastAsia="Times New Roman" w:hAnsi="Times New Roman" w:cs="Times New Roman"/>
                <w:sz w:val="22"/>
                <w:szCs w:val="22"/>
                <w:lang w:val="lt-LT"/>
              </w:rPr>
              <w:t> </w:t>
            </w:r>
            <w:r w:rsidRPr="001566D8">
              <w:rPr>
                <w:rFonts w:ascii="Times New Roman" w:eastAsia="Times New Roman" w:hAnsi="Times New Roman" w:cs="Times New Roman"/>
                <w:sz w:val="22"/>
                <w:szCs w:val="22"/>
                <w:lang w:val="lt-LT"/>
              </w:rPr>
              <w:t>0,0001)</w:t>
            </w:r>
          </w:p>
        </w:tc>
        <w:tc>
          <w:tcPr>
            <w:tcW w:w="2394" w:type="dxa"/>
            <w:noWrap/>
          </w:tcPr>
          <w:p w14:paraId="683DBFB6" w14:textId="77777777" w:rsidR="00182126" w:rsidRPr="001566D8" w:rsidRDefault="00182126" w:rsidP="000D4DF2">
            <w:pPr>
              <w:spacing w:line="0" w:lineRule="atLeast"/>
              <w:jc w:val="center"/>
              <w:rPr>
                <w:rFonts w:ascii="Times New Roman" w:eastAsia="Times New Roman" w:hAnsi="Times New Roman" w:cs="Times New Roman"/>
                <w:sz w:val="22"/>
                <w:szCs w:val="22"/>
                <w:lang w:val="lt-LT"/>
              </w:rPr>
            </w:pPr>
            <w:r w:rsidRPr="001566D8">
              <w:rPr>
                <w:rFonts w:ascii="Times New Roman" w:eastAsia="Times New Roman" w:hAnsi="Times New Roman" w:cs="Times New Roman"/>
                <w:sz w:val="22"/>
                <w:szCs w:val="22"/>
                <w:lang w:val="lt-LT"/>
              </w:rPr>
              <w:t>30,4%</w:t>
            </w:r>
          </w:p>
          <w:p w14:paraId="23F0A041" w14:textId="77777777" w:rsidR="00182126" w:rsidRPr="001566D8" w:rsidRDefault="00182126" w:rsidP="000D4DF2">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w:t>
            </w:r>
            <w:r w:rsidR="00CC634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CC634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0,0023)</w:t>
            </w:r>
          </w:p>
        </w:tc>
      </w:tr>
    </w:tbl>
    <w:p w14:paraId="09B0FB7D" w14:textId="741E5F4C" w:rsidR="00C00EA5" w:rsidRPr="00741122" w:rsidRDefault="00071CFE" w:rsidP="00F12C6A">
      <w:pPr>
        <w:numPr>
          <w:ilvl w:val="0"/>
          <w:numId w:val="16"/>
        </w:numPr>
        <w:tabs>
          <w:tab w:val="left" w:pos="567"/>
        </w:tabs>
        <w:spacing w:line="0" w:lineRule="atLeast"/>
        <w:ind w:left="567" w:hanging="567"/>
        <w:rPr>
          <w:rFonts w:ascii="Times New Roman" w:eastAsia="Times New Roman" w:hAnsi="Times New Roman"/>
          <w:lang w:val="lt-LT"/>
        </w:rPr>
      </w:pPr>
      <w:r w:rsidRPr="00741122">
        <w:rPr>
          <w:rFonts w:ascii="Times New Roman" w:eastAsia="Times New Roman" w:hAnsi="Times New Roman"/>
          <w:lang w:val="lt-LT"/>
        </w:rPr>
        <w:t>pacjenci z mierzalną chorobą na początku badania</w:t>
      </w:r>
      <w:r w:rsidR="00754B1C">
        <w:rPr>
          <w:rFonts w:ascii="Times New Roman" w:eastAsia="Times New Roman" w:hAnsi="Times New Roman"/>
          <w:lang w:val="lt-LT"/>
        </w:rPr>
        <w:t>.</w:t>
      </w:r>
    </w:p>
    <w:p w14:paraId="65ACB1AA" w14:textId="77777777" w:rsidR="00071CFE" w:rsidRPr="00741122" w:rsidRDefault="00071CFE" w:rsidP="00307BD1">
      <w:pPr>
        <w:spacing w:line="0" w:lineRule="atLeast"/>
        <w:rPr>
          <w:rFonts w:ascii="Times New Roman" w:eastAsia="Times New Roman" w:hAnsi="Times New Roman"/>
          <w:sz w:val="22"/>
          <w:lang w:val="lt-LT"/>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2410"/>
        <w:gridCol w:w="2277"/>
        <w:gridCol w:w="2401"/>
      </w:tblGrid>
      <w:tr w:rsidR="00307BD1" w:rsidRPr="00741122" w14:paraId="0EE74E3E" w14:textId="77777777" w:rsidTr="00524FF2">
        <w:trPr>
          <w:trHeight w:val="209"/>
        </w:trPr>
        <w:tc>
          <w:tcPr>
            <w:tcW w:w="9498" w:type="dxa"/>
            <w:gridSpan w:val="4"/>
            <w:vAlign w:val="center"/>
          </w:tcPr>
          <w:p w14:paraId="2D28BCFF" w14:textId="77777777" w:rsidR="00307BD1" w:rsidRPr="00741122" w:rsidRDefault="00307BD1" w:rsidP="00307BD1">
            <w:pPr>
              <w:spacing w:line="0" w:lineRule="atLeast"/>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Przeżycie całkowite</w:t>
            </w:r>
          </w:p>
        </w:tc>
      </w:tr>
      <w:tr w:rsidR="00307BD1" w:rsidRPr="00741122" w14:paraId="359B29EB" w14:textId="77777777" w:rsidTr="001245EC">
        <w:trPr>
          <w:trHeight w:val="744"/>
        </w:trPr>
        <w:tc>
          <w:tcPr>
            <w:tcW w:w="2410" w:type="dxa"/>
            <w:tcBorders>
              <w:bottom w:val="nil"/>
            </w:tcBorders>
          </w:tcPr>
          <w:p w14:paraId="5AB15E90" w14:textId="77777777" w:rsidR="00307BD1" w:rsidRPr="00741122" w:rsidRDefault="00182126" w:rsidP="00795829">
            <w:pPr>
              <w:spacing w:line="0" w:lineRule="atLeast"/>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(miesiące)</w:t>
            </w:r>
          </w:p>
        </w:tc>
        <w:tc>
          <w:tcPr>
            <w:tcW w:w="2410" w:type="dxa"/>
            <w:tcBorders>
              <w:bottom w:val="nil"/>
            </w:tcBorders>
          </w:tcPr>
          <w:p w14:paraId="6185A36F" w14:textId="77777777" w:rsidR="00307BD1" w:rsidRPr="00741122" w:rsidRDefault="00307BD1" w:rsidP="00182126">
            <w:pPr>
              <w:spacing w:line="0" w:lineRule="atLeast"/>
              <w:ind w:right="790"/>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13,1</w:t>
            </w:r>
          </w:p>
        </w:tc>
        <w:tc>
          <w:tcPr>
            <w:tcW w:w="2277" w:type="dxa"/>
            <w:tcBorders>
              <w:bottom w:val="nil"/>
            </w:tcBorders>
          </w:tcPr>
          <w:p w14:paraId="5EDBD375" w14:textId="77777777" w:rsidR="00307BD1" w:rsidRPr="00741122" w:rsidRDefault="00307BD1" w:rsidP="000D4DF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13,6</w:t>
            </w:r>
          </w:p>
          <w:p w14:paraId="324C0C31" w14:textId="77777777" w:rsidR="00307BD1" w:rsidRDefault="00307BD1" w:rsidP="000D4DF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 = 0,4203)</w:t>
            </w:r>
          </w:p>
          <w:p w14:paraId="2A7C81BA" w14:textId="77777777" w:rsidR="00795829" w:rsidRPr="00741122" w:rsidRDefault="00795829" w:rsidP="000D4DF2">
            <w:pPr>
              <w:jc w:val="center"/>
              <w:rPr>
                <w:rFonts w:ascii="Times New Roman" w:eastAsia="Times New Roman" w:hAnsi="Times New Roman" w:cs="Times New Roman"/>
                <w:sz w:val="22"/>
                <w:szCs w:val="22"/>
                <w:lang w:val="lt-LT"/>
              </w:rPr>
            </w:pPr>
          </w:p>
        </w:tc>
        <w:tc>
          <w:tcPr>
            <w:tcW w:w="2401" w:type="dxa"/>
            <w:tcBorders>
              <w:bottom w:val="nil"/>
            </w:tcBorders>
          </w:tcPr>
          <w:p w14:paraId="058992D1" w14:textId="77777777" w:rsidR="00307BD1" w:rsidRPr="00741122" w:rsidRDefault="00307BD1" w:rsidP="000D4DF2">
            <w:pPr>
              <w:jc w:val="center"/>
              <w:rPr>
                <w:rFonts w:ascii="Times New Roman" w:eastAsia="Times New Roman" w:hAnsi="Times New Roman" w:cs="Times New Roman"/>
                <w:w w:val="98"/>
                <w:sz w:val="22"/>
                <w:szCs w:val="22"/>
                <w:lang w:val="lt-LT"/>
              </w:rPr>
            </w:pPr>
            <w:r w:rsidRPr="00741122">
              <w:rPr>
                <w:rFonts w:ascii="Times New Roman" w:eastAsia="Times New Roman" w:hAnsi="Times New Roman" w:cs="Times New Roman"/>
                <w:w w:val="98"/>
                <w:sz w:val="22"/>
                <w:szCs w:val="22"/>
                <w:lang w:val="lt-LT"/>
              </w:rPr>
              <w:t>13,4</w:t>
            </w:r>
          </w:p>
          <w:p w14:paraId="09D21207" w14:textId="77777777" w:rsidR="00307BD1" w:rsidRDefault="00307BD1" w:rsidP="000D4DF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 = 0,7613)</w:t>
            </w:r>
          </w:p>
          <w:p w14:paraId="5B0A4F90" w14:textId="77777777" w:rsidR="00795829" w:rsidRPr="00741122" w:rsidRDefault="00795829" w:rsidP="000D4DF2">
            <w:pPr>
              <w:jc w:val="center"/>
              <w:rPr>
                <w:rFonts w:ascii="Times New Roman" w:eastAsia="Times New Roman" w:hAnsi="Times New Roman" w:cs="Times New Roman"/>
                <w:w w:val="98"/>
                <w:sz w:val="22"/>
                <w:szCs w:val="22"/>
                <w:lang w:val="lt-LT"/>
              </w:rPr>
            </w:pPr>
          </w:p>
        </w:tc>
      </w:tr>
      <w:tr w:rsidR="00182126" w:rsidRPr="00741122" w14:paraId="3F8EF6C2" w14:textId="77777777" w:rsidTr="001245EC">
        <w:trPr>
          <w:trHeight w:val="410"/>
        </w:trPr>
        <w:tc>
          <w:tcPr>
            <w:tcW w:w="2410" w:type="dxa"/>
            <w:tcBorders>
              <w:top w:val="nil"/>
            </w:tcBorders>
            <w:vAlign w:val="center"/>
          </w:tcPr>
          <w:p w14:paraId="1CA3F7B6" w14:textId="77777777" w:rsidR="00182126" w:rsidRPr="00741122" w:rsidRDefault="00182126" w:rsidP="00795829">
            <w:pPr>
              <w:spacing w:line="0" w:lineRule="atLeast"/>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 ryzyka</w:t>
            </w:r>
          </w:p>
        </w:tc>
        <w:tc>
          <w:tcPr>
            <w:tcW w:w="2410" w:type="dxa"/>
            <w:tcBorders>
              <w:top w:val="nil"/>
            </w:tcBorders>
          </w:tcPr>
          <w:p w14:paraId="5962C4B4" w14:textId="77777777" w:rsidR="00182126" w:rsidRPr="00741122" w:rsidRDefault="00182126" w:rsidP="00182126">
            <w:pPr>
              <w:spacing w:line="0" w:lineRule="atLeast"/>
              <w:ind w:right="790"/>
              <w:jc w:val="center"/>
              <w:rPr>
                <w:rFonts w:ascii="Times New Roman" w:eastAsia="Times New Roman" w:hAnsi="Times New Roman" w:cs="Times New Roman"/>
                <w:sz w:val="22"/>
                <w:szCs w:val="22"/>
                <w:lang w:val="lt-LT"/>
              </w:rPr>
            </w:pPr>
          </w:p>
        </w:tc>
        <w:tc>
          <w:tcPr>
            <w:tcW w:w="2277" w:type="dxa"/>
            <w:tcBorders>
              <w:top w:val="nil"/>
            </w:tcBorders>
            <w:vAlign w:val="center"/>
          </w:tcPr>
          <w:p w14:paraId="3D210116" w14:textId="77777777" w:rsidR="00182126" w:rsidRPr="00741122" w:rsidRDefault="00182126" w:rsidP="00307BD1">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0,93 </w:t>
            </w:r>
          </w:p>
          <w:p w14:paraId="36337EB6" w14:textId="77777777" w:rsidR="00182126" w:rsidRPr="00741122" w:rsidRDefault="00182126" w:rsidP="00307BD1">
            <w:pPr>
              <w:spacing w:line="0" w:lineRule="atLeast"/>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[0,78; 1,11]</w:t>
            </w:r>
          </w:p>
        </w:tc>
        <w:tc>
          <w:tcPr>
            <w:tcW w:w="2401" w:type="dxa"/>
            <w:tcBorders>
              <w:top w:val="nil"/>
            </w:tcBorders>
            <w:vAlign w:val="center"/>
          </w:tcPr>
          <w:p w14:paraId="7090DE29" w14:textId="77777777" w:rsidR="00182126" w:rsidRPr="00741122" w:rsidRDefault="00182126" w:rsidP="00307BD1">
            <w:pPr>
              <w:spacing w:line="0" w:lineRule="atLeast"/>
              <w:jc w:val="center"/>
              <w:rPr>
                <w:rFonts w:ascii="Times New Roman" w:eastAsia="Times New Roman" w:hAnsi="Times New Roman" w:cs="Times New Roman"/>
                <w:w w:val="99"/>
                <w:sz w:val="22"/>
                <w:szCs w:val="22"/>
                <w:lang w:val="lt-LT"/>
              </w:rPr>
            </w:pPr>
            <w:r w:rsidRPr="00741122">
              <w:rPr>
                <w:rFonts w:ascii="Times New Roman" w:eastAsia="Times New Roman" w:hAnsi="Times New Roman" w:cs="Times New Roman"/>
                <w:w w:val="98"/>
                <w:sz w:val="22"/>
                <w:szCs w:val="22"/>
                <w:lang w:val="lt-LT"/>
              </w:rPr>
              <w:t>1,03</w:t>
            </w:r>
            <w:r w:rsidRPr="00741122">
              <w:rPr>
                <w:rFonts w:ascii="Times New Roman" w:eastAsia="Times New Roman" w:hAnsi="Times New Roman" w:cs="Times New Roman"/>
                <w:w w:val="99"/>
                <w:sz w:val="22"/>
                <w:szCs w:val="22"/>
                <w:lang w:val="lt-LT"/>
              </w:rPr>
              <w:t xml:space="preserve"> </w:t>
            </w:r>
          </w:p>
          <w:p w14:paraId="00A7C721" w14:textId="437B4AD5" w:rsidR="00182126" w:rsidRPr="00741122" w:rsidRDefault="00182126" w:rsidP="00307BD1">
            <w:pPr>
              <w:spacing w:line="0" w:lineRule="atLeast"/>
              <w:jc w:val="center"/>
              <w:rPr>
                <w:rFonts w:ascii="Times New Roman" w:eastAsia="Times New Roman" w:hAnsi="Times New Roman" w:cs="Times New Roman"/>
                <w:w w:val="98"/>
                <w:sz w:val="22"/>
                <w:szCs w:val="22"/>
                <w:lang w:val="lt-LT"/>
              </w:rPr>
            </w:pPr>
            <w:r w:rsidRPr="00741122">
              <w:rPr>
                <w:rFonts w:ascii="Times New Roman" w:eastAsia="Times New Roman" w:hAnsi="Times New Roman" w:cs="Times New Roman"/>
                <w:w w:val="99"/>
                <w:sz w:val="22"/>
                <w:szCs w:val="22"/>
                <w:lang w:val="lt-LT"/>
              </w:rPr>
              <w:t>[0,86</w:t>
            </w:r>
            <w:r w:rsidR="00D76214">
              <w:rPr>
                <w:rFonts w:ascii="Times New Roman" w:eastAsia="Times New Roman" w:hAnsi="Times New Roman" w:cs="Times New Roman"/>
                <w:w w:val="99"/>
                <w:sz w:val="22"/>
                <w:szCs w:val="22"/>
                <w:lang w:val="lt-LT"/>
              </w:rPr>
              <w:t>;</w:t>
            </w:r>
            <w:r w:rsidRPr="00741122">
              <w:rPr>
                <w:rFonts w:ascii="Times New Roman" w:eastAsia="Times New Roman" w:hAnsi="Times New Roman" w:cs="Times New Roman"/>
                <w:w w:val="99"/>
                <w:sz w:val="22"/>
                <w:szCs w:val="22"/>
                <w:lang w:val="lt-LT"/>
              </w:rPr>
              <w:t xml:space="preserve"> 1,23]</w:t>
            </w:r>
          </w:p>
        </w:tc>
      </w:tr>
    </w:tbl>
    <w:p w14:paraId="6A9D4C0A" w14:textId="6748E892" w:rsidR="00071CFE" w:rsidRDefault="00071CFE" w:rsidP="00FC2AA4">
      <w:pPr>
        <w:rPr>
          <w:rFonts w:ascii="Times New Roman" w:eastAsia="Times New Roman" w:hAnsi="Times New Roman" w:cs="Times New Roman"/>
          <w:sz w:val="22"/>
          <w:szCs w:val="22"/>
          <w:lang w:val="lt-LT"/>
        </w:rPr>
      </w:pPr>
    </w:p>
    <w:p w14:paraId="7AC5614D" w14:textId="0A912E03" w:rsidR="005A5F0A" w:rsidRPr="002231C7" w:rsidRDefault="005A5F0A" w:rsidP="005A5F0A">
      <w:pPr>
        <w:tabs>
          <w:tab w:val="left" w:pos="567"/>
        </w:tabs>
        <w:autoSpaceDE w:val="0"/>
        <w:autoSpaceDN w:val="0"/>
        <w:adjustRightInd w:val="0"/>
        <w:rPr>
          <w:rFonts w:ascii="Times New Roman" w:hAnsi="Times New Roman" w:cs="Times New Roman"/>
          <w:i/>
          <w:iCs/>
          <w:sz w:val="22"/>
          <w:szCs w:val="22"/>
          <w:lang w:val="pl-PL" w:eastAsia="en-US"/>
        </w:rPr>
      </w:pPr>
      <w:r w:rsidRPr="002231C7">
        <w:rPr>
          <w:rFonts w:ascii="Times New Roman" w:eastAsia="Times New Roman" w:hAnsi="Times New Roman" w:cs="Times New Roman"/>
          <w:i/>
          <w:sz w:val="22"/>
          <w:szCs w:val="22"/>
          <w:lang w:val="pl-PL" w:eastAsia="en-US"/>
        </w:rPr>
        <w:t xml:space="preserve">Leczenie pierwszego rzutu </w:t>
      </w:r>
      <w:r w:rsidR="00B65AF7" w:rsidRPr="002231C7">
        <w:rPr>
          <w:rFonts w:ascii="Times New Roman" w:hAnsi="Times New Roman" w:cs="Times New Roman"/>
          <w:i/>
          <w:iCs/>
          <w:sz w:val="22"/>
          <w:szCs w:val="22"/>
          <w:lang w:val="pl-PL"/>
        </w:rPr>
        <w:t>u pacjentów z niepłaskonabłonkowym NSCLC z aktywującymi mutacjami w genie EGFR w skojarzeniu z erlotynibem</w:t>
      </w:r>
    </w:p>
    <w:p w14:paraId="0132BAD1" w14:textId="77777777" w:rsidR="005A5F0A" w:rsidRPr="002231C7" w:rsidRDefault="005A5F0A" w:rsidP="005A5F0A">
      <w:pPr>
        <w:tabs>
          <w:tab w:val="left" w:pos="567"/>
        </w:tabs>
        <w:autoSpaceDE w:val="0"/>
        <w:autoSpaceDN w:val="0"/>
        <w:adjustRightInd w:val="0"/>
        <w:rPr>
          <w:rFonts w:ascii="Times New Roman" w:hAnsi="Times New Roman" w:cs="Times New Roman"/>
          <w:i/>
          <w:iCs/>
          <w:sz w:val="22"/>
          <w:szCs w:val="22"/>
          <w:lang w:val="pl-PL" w:eastAsia="en-US"/>
        </w:rPr>
      </w:pPr>
    </w:p>
    <w:p w14:paraId="12359083" w14:textId="77777777" w:rsidR="005A5F0A" w:rsidRPr="002231C7" w:rsidRDefault="005A5F0A" w:rsidP="005A5F0A">
      <w:pPr>
        <w:keepNext/>
        <w:tabs>
          <w:tab w:val="left" w:pos="567"/>
        </w:tabs>
        <w:autoSpaceDE w:val="0"/>
        <w:autoSpaceDN w:val="0"/>
        <w:adjustRightInd w:val="0"/>
        <w:rPr>
          <w:rFonts w:ascii="Times New Roman" w:hAnsi="Times New Roman" w:cs="Times New Roman"/>
          <w:i/>
          <w:iCs/>
          <w:sz w:val="22"/>
          <w:szCs w:val="22"/>
          <w:lang w:val="pl-PL" w:eastAsia="en-US"/>
        </w:rPr>
      </w:pPr>
      <w:r w:rsidRPr="002231C7">
        <w:rPr>
          <w:rFonts w:ascii="Times New Roman" w:eastAsia="Times New Roman" w:hAnsi="Times New Roman" w:cs="Times New Roman"/>
          <w:i/>
          <w:sz w:val="22"/>
          <w:szCs w:val="22"/>
          <w:lang w:val="pl-PL" w:eastAsia="en-US"/>
        </w:rPr>
        <w:t>JO25567</w:t>
      </w:r>
    </w:p>
    <w:p w14:paraId="2BF5A7FE" w14:textId="18421725" w:rsidR="005A5F0A" w:rsidRPr="002231C7" w:rsidRDefault="00B65AF7" w:rsidP="005A5F0A">
      <w:pPr>
        <w:tabs>
          <w:tab w:val="left" w:pos="567"/>
        </w:tabs>
        <w:autoSpaceDE w:val="0"/>
        <w:autoSpaceDN w:val="0"/>
        <w:adjustRightInd w:val="0"/>
        <w:rPr>
          <w:rFonts w:ascii="Times New Roman" w:hAnsi="Times New Roman" w:cs="Times New Roman"/>
          <w:iCs/>
          <w:sz w:val="22"/>
          <w:szCs w:val="22"/>
          <w:lang w:val="pl-PL" w:eastAsia="en-US"/>
        </w:rPr>
      </w:pPr>
      <w:r w:rsidRPr="002231C7">
        <w:rPr>
          <w:rFonts w:ascii="Times New Roman" w:hAnsi="Times New Roman" w:cs="Times New Roman"/>
          <w:sz w:val="22"/>
          <w:szCs w:val="22"/>
          <w:lang w:val="pl-PL"/>
        </w:rPr>
        <w:t>Badanie JO25567 było randomizowanym, otwartym, wieloośrodkowym badaniem klinicznym II fazy przeprowadzonym w Japonii w celu oceny skuteczności i bezpieczeństwa bewacyzumabu stosowanego w skojarzeniu z erlotynibem u pacjentów z niepłaskonabłonkowym NSCLC z aktywującymi mutacjami w genie EGFR (delecja eksonu 19 lub mutacja L858R eksonu 21), którzy nie otrzymywali wcześniejszego leczenia systemowego w stopniu IIIB/IV lub chorobie nawrotowej</w:t>
      </w:r>
      <w:r w:rsidR="005A5F0A" w:rsidRPr="002231C7">
        <w:rPr>
          <w:rFonts w:ascii="Times New Roman" w:eastAsia="Times New Roman" w:hAnsi="Times New Roman" w:cs="Times New Roman"/>
          <w:sz w:val="22"/>
          <w:szCs w:val="22"/>
          <w:lang w:val="pl-PL" w:eastAsia="en-US"/>
        </w:rPr>
        <w:t>.</w:t>
      </w:r>
    </w:p>
    <w:p w14:paraId="0A3A754F" w14:textId="77777777" w:rsidR="005A5F0A" w:rsidRPr="002231C7" w:rsidRDefault="005A5F0A" w:rsidP="005A5F0A">
      <w:pPr>
        <w:tabs>
          <w:tab w:val="left" w:pos="567"/>
        </w:tabs>
        <w:autoSpaceDE w:val="0"/>
        <w:autoSpaceDN w:val="0"/>
        <w:adjustRightInd w:val="0"/>
        <w:rPr>
          <w:rFonts w:ascii="Times New Roman" w:hAnsi="Times New Roman" w:cs="Times New Roman"/>
          <w:iCs/>
          <w:sz w:val="22"/>
          <w:szCs w:val="22"/>
          <w:lang w:val="pl-PL" w:eastAsia="en-US"/>
        </w:rPr>
      </w:pPr>
    </w:p>
    <w:p w14:paraId="13CA730F" w14:textId="1CADC774" w:rsidR="005A5F0A" w:rsidRPr="002231C7" w:rsidRDefault="00B65AF7" w:rsidP="005A5F0A">
      <w:pPr>
        <w:tabs>
          <w:tab w:val="left" w:pos="567"/>
        </w:tabs>
        <w:autoSpaceDE w:val="0"/>
        <w:autoSpaceDN w:val="0"/>
        <w:adjustRightInd w:val="0"/>
        <w:rPr>
          <w:rFonts w:ascii="Times New Roman" w:hAnsi="Times New Roman" w:cs="Times New Roman"/>
          <w:sz w:val="22"/>
          <w:szCs w:val="22"/>
          <w:lang w:val="pl-PL"/>
        </w:rPr>
      </w:pPr>
      <w:r w:rsidRPr="002231C7">
        <w:rPr>
          <w:rFonts w:ascii="Times New Roman" w:hAnsi="Times New Roman" w:cs="Times New Roman"/>
          <w:sz w:val="22"/>
          <w:szCs w:val="22"/>
          <w:lang w:val="pl-PL"/>
        </w:rPr>
        <w:t>Pierwszorzędowym punktem końcowym był czas przeżycia wolny od progresji (PFS) na podstawie niezależnej oceny. Drugorzędowe punkty końcowe obejmowały czas przeżycia całkowitego, wskaźnik odpowiedzi, wskaźnik kontroli choroby, czas trwania odpowiedzi oraz bezpieczeństwo.</w:t>
      </w:r>
    </w:p>
    <w:p w14:paraId="6CE7822A" w14:textId="77777777" w:rsidR="002231C7" w:rsidRPr="002231C7" w:rsidRDefault="002231C7" w:rsidP="005A5F0A">
      <w:pPr>
        <w:tabs>
          <w:tab w:val="left" w:pos="567"/>
        </w:tabs>
        <w:autoSpaceDE w:val="0"/>
        <w:autoSpaceDN w:val="0"/>
        <w:adjustRightInd w:val="0"/>
        <w:rPr>
          <w:rFonts w:ascii="Times New Roman" w:hAnsi="Times New Roman" w:cs="Times New Roman"/>
          <w:iCs/>
          <w:sz w:val="22"/>
          <w:szCs w:val="22"/>
          <w:lang w:val="pl-PL" w:eastAsia="en-US"/>
        </w:rPr>
      </w:pPr>
    </w:p>
    <w:p w14:paraId="7895E60A" w14:textId="788AFA2E" w:rsidR="005A5F0A" w:rsidRPr="002231C7" w:rsidRDefault="00B65AF7" w:rsidP="005A5F0A">
      <w:pPr>
        <w:tabs>
          <w:tab w:val="left" w:pos="567"/>
        </w:tabs>
        <w:autoSpaceDE w:val="0"/>
        <w:autoSpaceDN w:val="0"/>
        <w:adjustRightInd w:val="0"/>
        <w:rPr>
          <w:rFonts w:ascii="Times New Roman" w:hAnsi="Times New Roman" w:cs="Times New Roman"/>
          <w:sz w:val="22"/>
          <w:szCs w:val="22"/>
          <w:lang w:val="pl-PL"/>
        </w:rPr>
      </w:pPr>
      <w:r w:rsidRPr="002231C7">
        <w:rPr>
          <w:rFonts w:ascii="Times New Roman" w:hAnsi="Times New Roman" w:cs="Times New Roman"/>
          <w:sz w:val="22"/>
          <w:szCs w:val="22"/>
          <w:lang w:val="pl-PL"/>
        </w:rPr>
        <w:t xml:space="preserve">Status mutacji w genie EGFR określano u każdego pacjenta przed włączeniem do badania; 154 pacjentów zrandomizowano do grupy przyjmującej erlotynib + bewacyzumab (erlotynib doustnie 150 mg/dobę + bewacyzumab [15 mg/kg mc. we wlewie dożylnym co 3 tygodnie]) lub erlotynib w monoterapii (doustnie 150 mg/dobę) do czasu progresji choroby (PD) lub wystąpienia nieakceptowalnej toksyczności. Zgodnie z protokołem badania, w przypadku braku PD, przerwanie przyjmowania jednego badanego leku w </w:t>
      </w:r>
      <w:r w:rsidRPr="002231C7">
        <w:rPr>
          <w:rFonts w:ascii="Times New Roman" w:hAnsi="Times New Roman" w:cs="Times New Roman"/>
          <w:sz w:val="22"/>
          <w:szCs w:val="22"/>
          <w:lang w:val="pl-PL"/>
        </w:rPr>
        <w:lastRenderedPageBreak/>
        <w:t>grupie przyjmującej erlotynib + bewacyzumab nie prowadziło do przerwania przyjmowania drugiego badanego leku.</w:t>
      </w:r>
    </w:p>
    <w:p w14:paraId="1BFE3F87" w14:textId="77777777" w:rsidR="002231C7" w:rsidRPr="002231C7" w:rsidRDefault="002231C7" w:rsidP="005A5F0A">
      <w:pPr>
        <w:tabs>
          <w:tab w:val="left" w:pos="567"/>
        </w:tabs>
        <w:autoSpaceDE w:val="0"/>
        <w:autoSpaceDN w:val="0"/>
        <w:adjustRightInd w:val="0"/>
        <w:rPr>
          <w:rFonts w:ascii="Times New Roman" w:hAnsi="Times New Roman" w:cs="Times New Roman"/>
          <w:iCs/>
          <w:sz w:val="22"/>
          <w:szCs w:val="22"/>
          <w:lang w:val="pl-PL" w:eastAsia="en-US"/>
        </w:rPr>
      </w:pPr>
    </w:p>
    <w:p w14:paraId="29A6F9E8" w14:textId="2B2D5BBC" w:rsidR="005A5F0A" w:rsidRPr="002231C7" w:rsidRDefault="005A5F0A" w:rsidP="005A5F0A">
      <w:pPr>
        <w:tabs>
          <w:tab w:val="left" w:pos="567"/>
        </w:tabs>
        <w:autoSpaceDE w:val="0"/>
        <w:autoSpaceDN w:val="0"/>
        <w:adjustRightInd w:val="0"/>
        <w:rPr>
          <w:rFonts w:ascii="Times New Roman" w:hAnsi="Times New Roman" w:cs="Times New Roman"/>
          <w:iCs/>
          <w:sz w:val="22"/>
          <w:szCs w:val="22"/>
          <w:lang w:val="pl-PL" w:eastAsia="en-US"/>
        </w:rPr>
      </w:pPr>
      <w:r w:rsidRPr="002231C7">
        <w:rPr>
          <w:rFonts w:ascii="Times New Roman" w:eastAsia="Times New Roman" w:hAnsi="Times New Roman" w:cs="Times New Roman"/>
          <w:sz w:val="22"/>
          <w:szCs w:val="22"/>
          <w:lang w:val="pl-PL" w:eastAsia="en-US"/>
        </w:rPr>
        <w:t xml:space="preserve">Wyniki </w:t>
      </w:r>
      <w:r w:rsidR="000B473B" w:rsidRPr="002231C7">
        <w:rPr>
          <w:rFonts w:ascii="Times New Roman" w:eastAsia="Times New Roman" w:hAnsi="Times New Roman" w:cs="Times New Roman"/>
          <w:sz w:val="22"/>
          <w:szCs w:val="22"/>
          <w:lang w:val="pl-PL" w:eastAsia="en-US"/>
        </w:rPr>
        <w:t xml:space="preserve">badania </w:t>
      </w:r>
      <w:r w:rsidRPr="002231C7">
        <w:rPr>
          <w:rFonts w:ascii="Times New Roman" w:eastAsia="Times New Roman" w:hAnsi="Times New Roman" w:cs="Times New Roman"/>
          <w:sz w:val="22"/>
          <w:szCs w:val="22"/>
          <w:lang w:val="pl-PL" w:eastAsia="en-US"/>
        </w:rPr>
        <w:t>dotyczące skuteczności przedstawiono w Tabeli 14.</w:t>
      </w:r>
    </w:p>
    <w:p w14:paraId="05CDFEE5" w14:textId="77777777" w:rsidR="005A5F0A" w:rsidRPr="002231C7" w:rsidRDefault="005A5F0A" w:rsidP="005A5F0A">
      <w:pPr>
        <w:tabs>
          <w:tab w:val="left" w:pos="567"/>
        </w:tabs>
        <w:autoSpaceDE w:val="0"/>
        <w:autoSpaceDN w:val="0"/>
        <w:adjustRightInd w:val="0"/>
        <w:rPr>
          <w:rFonts w:ascii="Times New Roman" w:hAnsi="Times New Roman" w:cs="Times New Roman"/>
          <w:iCs/>
          <w:sz w:val="22"/>
          <w:szCs w:val="22"/>
          <w:lang w:val="pl-PL" w:eastAsia="en-US"/>
        </w:rPr>
      </w:pPr>
    </w:p>
    <w:p w14:paraId="4AB840DA" w14:textId="3F705724" w:rsidR="005A5F0A" w:rsidRPr="002231C7" w:rsidRDefault="005A5F0A" w:rsidP="005A5F0A">
      <w:pPr>
        <w:keepNext/>
        <w:autoSpaceDE w:val="0"/>
        <w:autoSpaceDN w:val="0"/>
        <w:adjustRightInd w:val="0"/>
        <w:rPr>
          <w:rFonts w:ascii="Times New Roman" w:hAnsi="Times New Roman" w:cs="Times New Roman"/>
          <w:b/>
          <w:bCs/>
          <w:color w:val="000000"/>
          <w:sz w:val="22"/>
          <w:szCs w:val="22"/>
          <w:lang w:val="pl-PL" w:eastAsia="en-GB"/>
        </w:rPr>
      </w:pPr>
      <w:r w:rsidRPr="002231C7">
        <w:rPr>
          <w:rFonts w:ascii="Times New Roman" w:eastAsia="Times New Roman" w:hAnsi="Times New Roman" w:cs="Times New Roman"/>
          <w:b/>
          <w:color w:val="000000"/>
          <w:sz w:val="22"/>
          <w:szCs w:val="22"/>
          <w:lang w:val="pl-PL" w:eastAsia="en-GB"/>
        </w:rPr>
        <w:t>Tabela 14. Wyniki badania JO25567</w:t>
      </w:r>
      <w:r w:rsidR="000B473B" w:rsidRPr="002231C7">
        <w:rPr>
          <w:rFonts w:ascii="Times New Roman" w:eastAsia="Times New Roman" w:hAnsi="Times New Roman" w:cs="Times New Roman"/>
          <w:b/>
          <w:color w:val="000000"/>
          <w:sz w:val="22"/>
          <w:szCs w:val="22"/>
          <w:lang w:val="pl-PL" w:eastAsia="en-GB"/>
        </w:rPr>
        <w:t xml:space="preserve"> dotyczące skuteczności</w:t>
      </w:r>
    </w:p>
    <w:p w14:paraId="199CC4BD" w14:textId="77777777" w:rsidR="005A5F0A" w:rsidRPr="005A5F0A" w:rsidRDefault="005A5F0A" w:rsidP="005A5F0A">
      <w:pPr>
        <w:keepNext/>
        <w:autoSpaceDE w:val="0"/>
        <w:autoSpaceDN w:val="0"/>
        <w:adjustRightInd w:val="0"/>
        <w:rPr>
          <w:rFonts w:ascii="Times New Roman" w:hAnsi="Times New Roman" w:cs="Times New Roman"/>
          <w:b/>
          <w:bCs/>
          <w:color w:val="000000"/>
          <w:sz w:val="22"/>
          <w:szCs w:val="22"/>
          <w:lang w:val="pl-PL" w:eastAsia="en-US"/>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4"/>
        <w:gridCol w:w="3095"/>
        <w:gridCol w:w="3095"/>
      </w:tblGrid>
      <w:tr w:rsidR="005A5F0A" w:rsidRPr="005A5F0A" w14:paraId="299395A8" w14:textId="77777777" w:rsidTr="00954C0A">
        <w:trPr>
          <w:tblHeader/>
        </w:trPr>
        <w:tc>
          <w:tcPr>
            <w:tcW w:w="3094" w:type="dxa"/>
          </w:tcPr>
          <w:p w14:paraId="2E343C76" w14:textId="77777777" w:rsidR="005A5F0A" w:rsidRPr="005A5F0A" w:rsidRDefault="005A5F0A" w:rsidP="005A5F0A">
            <w:pPr>
              <w:keepNext/>
              <w:autoSpaceDE w:val="0"/>
              <w:autoSpaceDN w:val="0"/>
              <w:adjustRightInd w:val="0"/>
              <w:rPr>
                <w:rFonts w:ascii="Times New Roman" w:hAnsi="Times New Roman" w:cs="Times New Roman"/>
                <w:b/>
                <w:bCs/>
                <w:color w:val="000000"/>
                <w:sz w:val="22"/>
                <w:szCs w:val="22"/>
                <w:lang w:val="pl-PL" w:eastAsia="en-US"/>
              </w:rPr>
            </w:pPr>
          </w:p>
        </w:tc>
        <w:tc>
          <w:tcPr>
            <w:tcW w:w="3095" w:type="dxa"/>
          </w:tcPr>
          <w:p w14:paraId="25003E61" w14:textId="77777777" w:rsidR="005A5F0A" w:rsidRPr="005A5F0A" w:rsidRDefault="005A5F0A" w:rsidP="005A5F0A">
            <w:pPr>
              <w:keepNext/>
              <w:tabs>
                <w:tab w:val="left" w:pos="567"/>
              </w:tabs>
              <w:autoSpaceDE w:val="0"/>
              <w:autoSpaceDN w:val="0"/>
              <w:adjustRightInd w:val="0"/>
              <w:jc w:val="center"/>
              <w:rPr>
                <w:rFonts w:ascii="Times New Roman" w:hAnsi="Times New Roman" w:cs="Times New Roman"/>
                <w:b/>
                <w:bCs/>
                <w:sz w:val="22"/>
                <w:szCs w:val="22"/>
                <w:lang w:val="pl-PL" w:eastAsia="en-US"/>
              </w:rPr>
            </w:pPr>
            <w:r w:rsidRPr="005A5F0A">
              <w:rPr>
                <w:rFonts w:ascii="Times New Roman" w:eastAsia="Times New Roman" w:hAnsi="Times New Roman" w:cs="Times New Roman"/>
                <w:b/>
                <w:sz w:val="22"/>
                <w:lang w:val="pl-PL" w:eastAsia="en-US"/>
              </w:rPr>
              <w:t>Erlotynib</w:t>
            </w:r>
          </w:p>
          <w:p w14:paraId="1565DBF8" w14:textId="77777777" w:rsidR="005A5F0A" w:rsidRPr="005A5F0A" w:rsidRDefault="005A5F0A" w:rsidP="005A5F0A">
            <w:pPr>
              <w:keepNext/>
              <w:tabs>
                <w:tab w:val="left" w:pos="567"/>
              </w:tabs>
              <w:autoSpaceDE w:val="0"/>
              <w:autoSpaceDN w:val="0"/>
              <w:adjustRightInd w:val="0"/>
              <w:spacing w:line="260" w:lineRule="exact"/>
              <w:jc w:val="center"/>
              <w:rPr>
                <w:rFonts w:ascii="Times New Roman" w:hAnsi="Times New Roman" w:cs="Times New Roman"/>
                <w:b/>
                <w:bCs/>
                <w:sz w:val="13"/>
                <w:szCs w:val="13"/>
                <w:lang w:val="pl-PL" w:eastAsia="en-US"/>
              </w:rPr>
            </w:pPr>
            <w:r w:rsidRPr="005A5F0A">
              <w:rPr>
                <w:rFonts w:ascii="Times New Roman" w:eastAsia="Times New Roman" w:hAnsi="Times New Roman" w:cs="Times New Roman"/>
                <w:b/>
                <w:sz w:val="22"/>
                <w:lang w:val="pl-PL" w:eastAsia="en-US"/>
              </w:rPr>
              <w:t>N = 77</w:t>
            </w:r>
            <w:r w:rsidRPr="005A5F0A">
              <w:rPr>
                <w:rFonts w:ascii="Times New Roman" w:eastAsia="Times New Roman" w:hAnsi="Times New Roman" w:cs="Times New Roman"/>
                <w:b/>
                <w:sz w:val="22"/>
                <w:vertAlign w:val="superscript"/>
                <w:lang w:val="pl-PL" w:eastAsia="en-US"/>
              </w:rPr>
              <w:t>#</w:t>
            </w:r>
          </w:p>
        </w:tc>
        <w:tc>
          <w:tcPr>
            <w:tcW w:w="3095" w:type="dxa"/>
          </w:tcPr>
          <w:p w14:paraId="7FB46C91" w14:textId="77777777" w:rsidR="005A5F0A" w:rsidRPr="005A5F0A" w:rsidRDefault="005A5F0A" w:rsidP="005A5F0A">
            <w:pPr>
              <w:keepNext/>
              <w:tabs>
                <w:tab w:val="left" w:pos="567"/>
              </w:tabs>
              <w:autoSpaceDE w:val="0"/>
              <w:autoSpaceDN w:val="0"/>
              <w:adjustRightInd w:val="0"/>
              <w:jc w:val="center"/>
              <w:rPr>
                <w:rFonts w:ascii="Times New Roman" w:hAnsi="Times New Roman" w:cs="Times New Roman"/>
                <w:b/>
                <w:bCs/>
                <w:sz w:val="22"/>
                <w:szCs w:val="22"/>
                <w:lang w:val="pl-PL" w:eastAsia="en-US"/>
              </w:rPr>
            </w:pPr>
            <w:r w:rsidRPr="005A5F0A">
              <w:rPr>
                <w:rFonts w:ascii="Times New Roman" w:eastAsia="Times New Roman" w:hAnsi="Times New Roman" w:cs="Times New Roman"/>
                <w:b/>
                <w:sz w:val="22"/>
                <w:lang w:val="pl-PL" w:eastAsia="en-US"/>
              </w:rPr>
              <w:t>Erlotynib + bewacyzumab</w:t>
            </w:r>
          </w:p>
          <w:p w14:paraId="47B5EEB6" w14:textId="77777777" w:rsidR="005A5F0A" w:rsidRPr="005A5F0A" w:rsidRDefault="005A5F0A" w:rsidP="005A5F0A">
            <w:pPr>
              <w:keepNext/>
              <w:autoSpaceDE w:val="0"/>
              <w:autoSpaceDN w:val="0"/>
              <w:adjustRightInd w:val="0"/>
              <w:jc w:val="center"/>
              <w:rPr>
                <w:rFonts w:ascii="Times New Roman" w:hAnsi="Times New Roman" w:cs="Times New Roman"/>
                <w:b/>
                <w:bCs/>
                <w:color w:val="000000"/>
                <w:sz w:val="22"/>
                <w:szCs w:val="22"/>
                <w:lang w:val="pl-PL" w:eastAsia="en-GB"/>
              </w:rPr>
            </w:pPr>
            <w:r w:rsidRPr="005A5F0A">
              <w:rPr>
                <w:rFonts w:ascii="Times New Roman" w:eastAsia="Times New Roman" w:hAnsi="Times New Roman" w:cs="Times New Roman"/>
                <w:b/>
                <w:color w:val="000000"/>
                <w:sz w:val="22"/>
                <w:szCs w:val="24"/>
                <w:lang w:val="pl-PL" w:eastAsia="en-GB"/>
              </w:rPr>
              <w:t>N = 75</w:t>
            </w:r>
            <w:r w:rsidRPr="005A5F0A">
              <w:rPr>
                <w:rFonts w:ascii="Times New Roman" w:eastAsia="Times New Roman" w:hAnsi="Times New Roman" w:cs="Times New Roman"/>
                <w:b/>
                <w:color w:val="000000"/>
                <w:sz w:val="22"/>
                <w:szCs w:val="24"/>
                <w:vertAlign w:val="superscript"/>
                <w:lang w:val="pl-PL" w:eastAsia="en-GB"/>
              </w:rPr>
              <w:t>#</w:t>
            </w:r>
          </w:p>
        </w:tc>
      </w:tr>
      <w:tr w:rsidR="005A5F0A" w:rsidRPr="00C70451" w14:paraId="09C3F13F" w14:textId="77777777" w:rsidTr="00954C0A">
        <w:tc>
          <w:tcPr>
            <w:tcW w:w="3094" w:type="dxa"/>
          </w:tcPr>
          <w:p w14:paraId="1DE12A32" w14:textId="6D13FFE4" w:rsidR="005A5F0A" w:rsidRPr="005A5F0A" w:rsidRDefault="00FD6677" w:rsidP="005A5F0A">
            <w:pPr>
              <w:autoSpaceDE w:val="0"/>
              <w:autoSpaceDN w:val="0"/>
              <w:adjustRightInd w:val="0"/>
              <w:rPr>
                <w:rFonts w:ascii="Times New Roman" w:hAnsi="Times New Roman" w:cs="Times New Roman"/>
                <w:bCs/>
                <w:color w:val="000000"/>
                <w:sz w:val="22"/>
                <w:szCs w:val="22"/>
                <w:lang w:val="pl-PL" w:eastAsia="en-GB"/>
              </w:rPr>
            </w:pPr>
            <w:r>
              <w:rPr>
                <w:rFonts w:ascii="Times New Roman" w:eastAsia="Times New Roman" w:hAnsi="Times New Roman" w:cs="Times New Roman"/>
                <w:color w:val="000000"/>
                <w:sz w:val="22"/>
                <w:szCs w:val="24"/>
                <w:lang w:val="pl-PL" w:eastAsia="en-GB"/>
              </w:rPr>
              <w:t>Czas przeżycia wolny od progresji</w:t>
            </w:r>
            <w:r w:rsidR="005A5F0A" w:rsidRPr="005A5F0A">
              <w:rPr>
                <w:rFonts w:ascii="Times New Roman" w:eastAsia="Times New Roman" w:hAnsi="Times New Roman" w:cs="Times New Roman"/>
                <w:color w:val="000000"/>
                <w:sz w:val="22"/>
                <w:szCs w:val="24"/>
                <w:lang w:val="pl-PL" w:eastAsia="en-GB"/>
              </w:rPr>
              <w:t>^ (miesiące)</w:t>
            </w:r>
          </w:p>
        </w:tc>
        <w:tc>
          <w:tcPr>
            <w:tcW w:w="3095" w:type="dxa"/>
          </w:tcPr>
          <w:p w14:paraId="621C83AC" w14:textId="77777777" w:rsidR="005A5F0A" w:rsidRPr="005A5F0A" w:rsidRDefault="005A5F0A" w:rsidP="005A5F0A">
            <w:pPr>
              <w:keepNext/>
              <w:autoSpaceDE w:val="0"/>
              <w:autoSpaceDN w:val="0"/>
              <w:adjustRightInd w:val="0"/>
              <w:jc w:val="center"/>
              <w:rPr>
                <w:rFonts w:ascii="Times New Roman" w:hAnsi="Times New Roman" w:cs="Times New Roman"/>
                <w:b/>
                <w:bCs/>
                <w:color w:val="000000"/>
                <w:sz w:val="22"/>
                <w:szCs w:val="22"/>
                <w:lang w:val="pl-PL" w:eastAsia="en-US"/>
              </w:rPr>
            </w:pPr>
          </w:p>
        </w:tc>
        <w:tc>
          <w:tcPr>
            <w:tcW w:w="3095" w:type="dxa"/>
          </w:tcPr>
          <w:p w14:paraId="7AF45092" w14:textId="77777777" w:rsidR="005A5F0A" w:rsidRPr="005A5F0A" w:rsidRDefault="005A5F0A" w:rsidP="005A5F0A">
            <w:pPr>
              <w:keepNext/>
              <w:autoSpaceDE w:val="0"/>
              <w:autoSpaceDN w:val="0"/>
              <w:adjustRightInd w:val="0"/>
              <w:jc w:val="center"/>
              <w:rPr>
                <w:rFonts w:ascii="Times New Roman" w:hAnsi="Times New Roman" w:cs="Times New Roman"/>
                <w:b/>
                <w:bCs/>
                <w:color w:val="000000"/>
                <w:sz w:val="22"/>
                <w:szCs w:val="22"/>
                <w:lang w:val="pl-PL" w:eastAsia="en-US"/>
              </w:rPr>
            </w:pPr>
          </w:p>
        </w:tc>
      </w:tr>
      <w:tr w:rsidR="005A5F0A" w:rsidRPr="005A5F0A" w14:paraId="09688485" w14:textId="77777777" w:rsidTr="00954C0A">
        <w:tc>
          <w:tcPr>
            <w:tcW w:w="3094" w:type="dxa"/>
          </w:tcPr>
          <w:p w14:paraId="3D0AA945" w14:textId="77777777" w:rsidR="005A5F0A" w:rsidRPr="005A5F0A" w:rsidRDefault="005A5F0A" w:rsidP="005A5F0A">
            <w:pPr>
              <w:autoSpaceDE w:val="0"/>
              <w:autoSpaceDN w:val="0"/>
              <w:adjustRightInd w:val="0"/>
              <w:ind w:left="567"/>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Mediana</w:t>
            </w:r>
          </w:p>
        </w:tc>
        <w:tc>
          <w:tcPr>
            <w:tcW w:w="3095" w:type="dxa"/>
          </w:tcPr>
          <w:p w14:paraId="5D0C9C6C" w14:textId="77777777" w:rsidR="005A5F0A" w:rsidRPr="005A5F0A" w:rsidRDefault="005A5F0A" w:rsidP="005A5F0A">
            <w:pPr>
              <w:keepNext/>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9,7</w:t>
            </w:r>
          </w:p>
        </w:tc>
        <w:tc>
          <w:tcPr>
            <w:tcW w:w="3095" w:type="dxa"/>
          </w:tcPr>
          <w:p w14:paraId="47D9CBB4" w14:textId="77777777" w:rsidR="005A5F0A" w:rsidRPr="005A5F0A" w:rsidRDefault="005A5F0A" w:rsidP="005A5F0A">
            <w:pPr>
              <w:keepNext/>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16,0</w:t>
            </w:r>
          </w:p>
        </w:tc>
      </w:tr>
      <w:tr w:rsidR="005A5F0A" w:rsidRPr="005A5F0A" w14:paraId="2689D9A6" w14:textId="77777777" w:rsidTr="00954C0A">
        <w:tc>
          <w:tcPr>
            <w:tcW w:w="3094" w:type="dxa"/>
          </w:tcPr>
          <w:p w14:paraId="09B0AAC7" w14:textId="77777777" w:rsidR="005A5F0A" w:rsidRPr="005A5F0A" w:rsidRDefault="005A5F0A" w:rsidP="005A5F0A">
            <w:pPr>
              <w:autoSpaceDE w:val="0"/>
              <w:autoSpaceDN w:val="0"/>
              <w:adjustRightInd w:val="0"/>
              <w:ind w:left="567"/>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HR (95% CI)</w:t>
            </w:r>
          </w:p>
        </w:tc>
        <w:tc>
          <w:tcPr>
            <w:tcW w:w="6190" w:type="dxa"/>
            <w:gridSpan w:val="2"/>
          </w:tcPr>
          <w:p w14:paraId="59943A35" w14:textId="77777777" w:rsidR="005A5F0A" w:rsidRPr="005A5F0A" w:rsidRDefault="005A5F0A" w:rsidP="005A5F0A">
            <w:pPr>
              <w:keepNext/>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0,54 (0,36; 0,79)</w:t>
            </w:r>
          </w:p>
        </w:tc>
      </w:tr>
      <w:tr w:rsidR="005A5F0A" w:rsidRPr="005A5F0A" w14:paraId="0EAAE3BF" w14:textId="77777777" w:rsidTr="00954C0A">
        <w:tc>
          <w:tcPr>
            <w:tcW w:w="3094" w:type="dxa"/>
          </w:tcPr>
          <w:p w14:paraId="116F7958" w14:textId="7617434B" w:rsidR="005A5F0A" w:rsidRPr="005A5F0A" w:rsidRDefault="000B473B" w:rsidP="005A5F0A">
            <w:pPr>
              <w:autoSpaceDE w:val="0"/>
              <w:autoSpaceDN w:val="0"/>
              <w:adjustRightInd w:val="0"/>
              <w:ind w:left="567"/>
              <w:rPr>
                <w:rFonts w:ascii="Times New Roman" w:hAnsi="Times New Roman" w:cs="Times New Roman"/>
                <w:bCs/>
                <w:color w:val="000000"/>
                <w:sz w:val="22"/>
                <w:szCs w:val="22"/>
                <w:lang w:val="pl-PL" w:eastAsia="en-GB"/>
              </w:rPr>
            </w:pPr>
            <w:r>
              <w:rPr>
                <w:rFonts w:ascii="Times New Roman" w:eastAsia="Times New Roman" w:hAnsi="Times New Roman" w:cs="Times New Roman"/>
                <w:color w:val="000000"/>
                <w:sz w:val="22"/>
                <w:szCs w:val="24"/>
                <w:lang w:val="pl-PL" w:eastAsia="en-GB"/>
              </w:rPr>
              <w:t>W</w:t>
            </w:r>
            <w:r w:rsidR="005A5F0A" w:rsidRPr="005A5F0A">
              <w:rPr>
                <w:rFonts w:ascii="Times New Roman" w:eastAsia="Times New Roman" w:hAnsi="Times New Roman" w:cs="Times New Roman"/>
                <w:color w:val="000000"/>
                <w:sz w:val="22"/>
                <w:szCs w:val="24"/>
                <w:lang w:val="pl-PL" w:eastAsia="en-GB"/>
              </w:rPr>
              <w:t>artość p</w:t>
            </w:r>
          </w:p>
        </w:tc>
        <w:tc>
          <w:tcPr>
            <w:tcW w:w="6190" w:type="dxa"/>
            <w:gridSpan w:val="2"/>
          </w:tcPr>
          <w:p w14:paraId="7C8ED5BE" w14:textId="77777777" w:rsidR="005A5F0A" w:rsidRPr="005A5F0A" w:rsidRDefault="005A5F0A" w:rsidP="005A5F0A">
            <w:pPr>
              <w:keepNext/>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0,0015</w:t>
            </w:r>
          </w:p>
        </w:tc>
      </w:tr>
      <w:tr w:rsidR="005A5F0A" w:rsidRPr="005A5F0A" w14:paraId="7C414650" w14:textId="77777777" w:rsidTr="00954C0A">
        <w:tc>
          <w:tcPr>
            <w:tcW w:w="3094" w:type="dxa"/>
          </w:tcPr>
          <w:p w14:paraId="4CEFC478" w14:textId="334CAEC9" w:rsidR="005A5F0A" w:rsidRPr="005A5F0A" w:rsidRDefault="005A5F0A" w:rsidP="005A5F0A">
            <w:pPr>
              <w:keepNext/>
              <w:autoSpaceDE w:val="0"/>
              <w:autoSpaceDN w:val="0"/>
              <w:adjustRightInd w:val="0"/>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 xml:space="preserve">Całkowity </w:t>
            </w:r>
            <w:r w:rsidR="00FD6677">
              <w:rPr>
                <w:rFonts w:ascii="Times New Roman" w:eastAsia="Times New Roman" w:hAnsi="Times New Roman" w:cs="Times New Roman"/>
                <w:color w:val="000000"/>
                <w:sz w:val="22"/>
                <w:szCs w:val="24"/>
                <w:lang w:val="pl-PL" w:eastAsia="en-GB"/>
              </w:rPr>
              <w:t>wskaźnik</w:t>
            </w:r>
            <w:r w:rsidRPr="005A5F0A">
              <w:rPr>
                <w:rFonts w:ascii="Times New Roman" w:eastAsia="Times New Roman" w:hAnsi="Times New Roman" w:cs="Times New Roman"/>
                <w:color w:val="000000"/>
                <w:sz w:val="22"/>
                <w:szCs w:val="24"/>
                <w:lang w:val="pl-PL" w:eastAsia="en-GB"/>
              </w:rPr>
              <w:t xml:space="preserve"> odpowiedzi</w:t>
            </w:r>
          </w:p>
        </w:tc>
        <w:tc>
          <w:tcPr>
            <w:tcW w:w="3095" w:type="dxa"/>
          </w:tcPr>
          <w:p w14:paraId="2550FE45" w14:textId="77777777" w:rsidR="005A5F0A" w:rsidRPr="005A5F0A" w:rsidRDefault="005A5F0A" w:rsidP="005A5F0A">
            <w:pPr>
              <w:keepNext/>
              <w:autoSpaceDE w:val="0"/>
              <w:autoSpaceDN w:val="0"/>
              <w:adjustRightInd w:val="0"/>
              <w:jc w:val="center"/>
              <w:rPr>
                <w:rFonts w:ascii="Times New Roman" w:hAnsi="Times New Roman" w:cs="Times New Roman"/>
                <w:b/>
                <w:bCs/>
                <w:color w:val="000000"/>
                <w:sz w:val="22"/>
                <w:szCs w:val="22"/>
                <w:lang w:val="pl-PL" w:eastAsia="en-US"/>
              </w:rPr>
            </w:pPr>
          </w:p>
        </w:tc>
        <w:tc>
          <w:tcPr>
            <w:tcW w:w="3095" w:type="dxa"/>
          </w:tcPr>
          <w:p w14:paraId="2F376C44" w14:textId="77777777" w:rsidR="005A5F0A" w:rsidRPr="005A5F0A" w:rsidRDefault="005A5F0A" w:rsidP="005A5F0A">
            <w:pPr>
              <w:keepNext/>
              <w:autoSpaceDE w:val="0"/>
              <w:autoSpaceDN w:val="0"/>
              <w:adjustRightInd w:val="0"/>
              <w:jc w:val="center"/>
              <w:rPr>
                <w:rFonts w:ascii="Times New Roman" w:hAnsi="Times New Roman" w:cs="Times New Roman"/>
                <w:b/>
                <w:bCs/>
                <w:color w:val="000000"/>
                <w:sz w:val="22"/>
                <w:szCs w:val="22"/>
                <w:lang w:val="pl-PL" w:eastAsia="en-US"/>
              </w:rPr>
            </w:pPr>
          </w:p>
        </w:tc>
      </w:tr>
      <w:tr w:rsidR="005A5F0A" w:rsidRPr="005A5F0A" w14:paraId="4E4796D5" w14:textId="77777777" w:rsidTr="00954C0A">
        <w:tc>
          <w:tcPr>
            <w:tcW w:w="3094" w:type="dxa"/>
          </w:tcPr>
          <w:p w14:paraId="6F33748E" w14:textId="1FDA30A9" w:rsidR="005A5F0A" w:rsidRPr="005A5F0A" w:rsidRDefault="00FD6677" w:rsidP="005A5F0A">
            <w:pPr>
              <w:keepNext/>
              <w:autoSpaceDE w:val="0"/>
              <w:autoSpaceDN w:val="0"/>
              <w:adjustRightInd w:val="0"/>
              <w:ind w:left="567"/>
              <w:rPr>
                <w:rFonts w:ascii="Times New Roman" w:hAnsi="Times New Roman" w:cs="Times New Roman"/>
                <w:bCs/>
                <w:color w:val="000000"/>
                <w:sz w:val="22"/>
                <w:szCs w:val="22"/>
                <w:lang w:val="pl-PL" w:eastAsia="en-GB"/>
              </w:rPr>
            </w:pPr>
            <w:r>
              <w:rPr>
                <w:rFonts w:ascii="Times New Roman" w:eastAsia="Times New Roman" w:hAnsi="Times New Roman" w:cs="Times New Roman"/>
                <w:color w:val="000000"/>
                <w:sz w:val="22"/>
                <w:szCs w:val="24"/>
                <w:lang w:val="pl-PL" w:eastAsia="en-GB"/>
              </w:rPr>
              <w:t>Odsetek</w:t>
            </w:r>
            <w:r w:rsidR="005A5F0A" w:rsidRPr="005A5F0A">
              <w:rPr>
                <w:rFonts w:ascii="Times New Roman" w:eastAsia="Times New Roman" w:hAnsi="Times New Roman" w:cs="Times New Roman"/>
                <w:color w:val="000000"/>
                <w:sz w:val="22"/>
                <w:szCs w:val="24"/>
                <w:lang w:val="pl-PL" w:eastAsia="en-GB"/>
              </w:rPr>
              <w:t xml:space="preserve"> (n)</w:t>
            </w:r>
          </w:p>
        </w:tc>
        <w:tc>
          <w:tcPr>
            <w:tcW w:w="3095" w:type="dxa"/>
          </w:tcPr>
          <w:p w14:paraId="240B516A" w14:textId="77777777" w:rsidR="005A5F0A" w:rsidRPr="005A5F0A" w:rsidRDefault="005A5F0A" w:rsidP="005A5F0A">
            <w:pPr>
              <w:keepNext/>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63,6% (49)</w:t>
            </w:r>
          </w:p>
        </w:tc>
        <w:tc>
          <w:tcPr>
            <w:tcW w:w="3095" w:type="dxa"/>
          </w:tcPr>
          <w:p w14:paraId="613F23A7" w14:textId="77777777" w:rsidR="005A5F0A" w:rsidRPr="005A5F0A" w:rsidRDefault="005A5F0A" w:rsidP="005A5F0A">
            <w:pPr>
              <w:keepNext/>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69,3% (52)</w:t>
            </w:r>
          </w:p>
        </w:tc>
      </w:tr>
      <w:tr w:rsidR="005A5F0A" w:rsidRPr="005A5F0A" w14:paraId="2667EF51" w14:textId="77777777" w:rsidTr="00954C0A">
        <w:tc>
          <w:tcPr>
            <w:tcW w:w="3094" w:type="dxa"/>
          </w:tcPr>
          <w:p w14:paraId="2B724910" w14:textId="60629898" w:rsidR="005A5F0A" w:rsidRPr="005A5F0A" w:rsidRDefault="000B473B" w:rsidP="005A5F0A">
            <w:pPr>
              <w:keepNext/>
              <w:autoSpaceDE w:val="0"/>
              <w:autoSpaceDN w:val="0"/>
              <w:adjustRightInd w:val="0"/>
              <w:ind w:left="567"/>
              <w:rPr>
                <w:rFonts w:ascii="Times New Roman" w:hAnsi="Times New Roman" w:cs="Times New Roman"/>
                <w:bCs/>
                <w:color w:val="000000"/>
                <w:sz w:val="22"/>
                <w:szCs w:val="22"/>
                <w:lang w:val="pl-PL" w:eastAsia="en-GB"/>
              </w:rPr>
            </w:pPr>
            <w:r>
              <w:rPr>
                <w:rFonts w:ascii="Times New Roman" w:eastAsia="Times New Roman" w:hAnsi="Times New Roman" w:cs="Times New Roman"/>
                <w:color w:val="000000"/>
                <w:sz w:val="22"/>
                <w:szCs w:val="24"/>
                <w:lang w:val="pl-PL" w:eastAsia="en-GB"/>
              </w:rPr>
              <w:t>W</w:t>
            </w:r>
            <w:r w:rsidR="005A5F0A" w:rsidRPr="005A5F0A">
              <w:rPr>
                <w:rFonts w:ascii="Times New Roman" w:eastAsia="Times New Roman" w:hAnsi="Times New Roman" w:cs="Times New Roman"/>
                <w:color w:val="000000"/>
                <w:sz w:val="22"/>
                <w:szCs w:val="24"/>
                <w:lang w:val="pl-PL" w:eastAsia="en-GB"/>
              </w:rPr>
              <w:t>artość p</w:t>
            </w:r>
          </w:p>
        </w:tc>
        <w:tc>
          <w:tcPr>
            <w:tcW w:w="6190" w:type="dxa"/>
            <w:gridSpan w:val="2"/>
          </w:tcPr>
          <w:p w14:paraId="5A69C2ED" w14:textId="77777777" w:rsidR="005A5F0A" w:rsidRPr="005A5F0A" w:rsidRDefault="005A5F0A" w:rsidP="005A5F0A">
            <w:pPr>
              <w:keepNext/>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0,4951</w:t>
            </w:r>
          </w:p>
        </w:tc>
      </w:tr>
      <w:tr w:rsidR="005A5F0A" w:rsidRPr="005A5F0A" w14:paraId="4D0684A2" w14:textId="77777777" w:rsidTr="00954C0A">
        <w:tc>
          <w:tcPr>
            <w:tcW w:w="3094" w:type="dxa"/>
          </w:tcPr>
          <w:p w14:paraId="7C54BB82" w14:textId="6D246438" w:rsidR="005A5F0A" w:rsidRPr="005A5F0A" w:rsidRDefault="00FD6677" w:rsidP="005A5F0A">
            <w:pPr>
              <w:autoSpaceDE w:val="0"/>
              <w:autoSpaceDN w:val="0"/>
              <w:adjustRightInd w:val="0"/>
              <w:rPr>
                <w:rFonts w:ascii="Times New Roman" w:hAnsi="Times New Roman" w:cs="Times New Roman"/>
                <w:bCs/>
                <w:color w:val="000000"/>
                <w:sz w:val="22"/>
                <w:szCs w:val="22"/>
                <w:lang w:val="pl-PL" w:eastAsia="en-GB"/>
              </w:rPr>
            </w:pPr>
            <w:r>
              <w:rPr>
                <w:rFonts w:ascii="Times New Roman" w:eastAsia="Times New Roman" w:hAnsi="Times New Roman" w:cs="Times New Roman"/>
                <w:color w:val="000000"/>
                <w:sz w:val="22"/>
                <w:szCs w:val="24"/>
                <w:lang w:val="pl-PL" w:eastAsia="en-GB"/>
              </w:rPr>
              <w:t>C</w:t>
            </w:r>
            <w:r w:rsidR="005A5F0A" w:rsidRPr="005A5F0A">
              <w:rPr>
                <w:rFonts w:ascii="Times New Roman" w:eastAsia="Times New Roman" w:hAnsi="Times New Roman" w:cs="Times New Roman"/>
                <w:color w:val="000000"/>
                <w:sz w:val="22"/>
                <w:szCs w:val="24"/>
                <w:lang w:val="pl-PL" w:eastAsia="en-GB"/>
              </w:rPr>
              <w:t xml:space="preserve">zas przeżycia </w:t>
            </w:r>
            <w:r>
              <w:rPr>
                <w:rFonts w:ascii="Times New Roman" w:eastAsia="Times New Roman" w:hAnsi="Times New Roman" w:cs="Times New Roman"/>
                <w:color w:val="000000"/>
                <w:sz w:val="22"/>
                <w:szCs w:val="24"/>
                <w:lang w:val="pl-PL" w:eastAsia="en-GB"/>
              </w:rPr>
              <w:t>całkowitego</w:t>
            </w:r>
            <w:r w:rsidR="00F13123">
              <w:rPr>
                <w:rFonts w:ascii="Times New Roman" w:eastAsia="Times New Roman" w:hAnsi="Times New Roman" w:cs="Times New Roman"/>
                <w:color w:val="000000"/>
                <w:sz w:val="22"/>
                <w:szCs w:val="24"/>
                <w:lang w:val="pl-PL" w:eastAsia="en-GB"/>
              </w:rPr>
              <w:t>*</w:t>
            </w:r>
            <w:r>
              <w:rPr>
                <w:rFonts w:ascii="Times New Roman" w:eastAsia="Times New Roman" w:hAnsi="Times New Roman" w:cs="Times New Roman"/>
                <w:color w:val="000000"/>
                <w:sz w:val="22"/>
                <w:szCs w:val="24"/>
                <w:lang w:val="pl-PL" w:eastAsia="en-GB"/>
              </w:rPr>
              <w:t xml:space="preserve"> </w:t>
            </w:r>
            <w:r w:rsidR="005A5F0A" w:rsidRPr="005A5F0A">
              <w:rPr>
                <w:rFonts w:ascii="Times New Roman" w:eastAsia="Times New Roman" w:hAnsi="Times New Roman" w:cs="Times New Roman"/>
                <w:color w:val="000000"/>
                <w:sz w:val="22"/>
                <w:szCs w:val="24"/>
                <w:lang w:val="pl-PL" w:eastAsia="en-GB"/>
              </w:rPr>
              <w:t>(miesiące)</w:t>
            </w:r>
          </w:p>
        </w:tc>
        <w:tc>
          <w:tcPr>
            <w:tcW w:w="3095" w:type="dxa"/>
          </w:tcPr>
          <w:p w14:paraId="59AA5632" w14:textId="77777777" w:rsidR="005A5F0A" w:rsidRPr="005A5F0A" w:rsidRDefault="005A5F0A" w:rsidP="005A5F0A">
            <w:pPr>
              <w:autoSpaceDE w:val="0"/>
              <w:autoSpaceDN w:val="0"/>
              <w:adjustRightInd w:val="0"/>
              <w:jc w:val="center"/>
              <w:rPr>
                <w:rFonts w:ascii="Times New Roman" w:hAnsi="Times New Roman" w:cs="Times New Roman"/>
                <w:b/>
                <w:bCs/>
                <w:color w:val="000000"/>
                <w:sz w:val="22"/>
                <w:szCs w:val="22"/>
                <w:lang w:val="pl-PL" w:eastAsia="en-US"/>
              </w:rPr>
            </w:pPr>
          </w:p>
        </w:tc>
        <w:tc>
          <w:tcPr>
            <w:tcW w:w="3095" w:type="dxa"/>
          </w:tcPr>
          <w:p w14:paraId="76B9B29F" w14:textId="77777777" w:rsidR="005A5F0A" w:rsidRPr="005A5F0A" w:rsidRDefault="005A5F0A" w:rsidP="005A5F0A">
            <w:pPr>
              <w:autoSpaceDE w:val="0"/>
              <w:autoSpaceDN w:val="0"/>
              <w:adjustRightInd w:val="0"/>
              <w:jc w:val="center"/>
              <w:rPr>
                <w:rFonts w:ascii="Times New Roman" w:hAnsi="Times New Roman" w:cs="Times New Roman"/>
                <w:b/>
                <w:bCs/>
                <w:color w:val="000000"/>
                <w:sz w:val="22"/>
                <w:szCs w:val="22"/>
                <w:lang w:val="pl-PL" w:eastAsia="en-US"/>
              </w:rPr>
            </w:pPr>
          </w:p>
        </w:tc>
      </w:tr>
      <w:tr w:rsidR="005A5F0A" w:rsidRPr="005A5F0A" w14:paraId="4F9A6631" w14:textId="77777777" w:rsidTr="00954C0A">
        <w:tc>
          <w:tcPr>
            <w:tcW w:w="3094" w:type="dxa"/>
          </w:tcPr>
          <w:p w14:paraId="0E1B12E5" w14:textId="77777777" w:rsidR="005A5F0A" w:rsidRPr="005A5F0A" w:rsidRDefault="005A5F0A" w:rsidP="005A5F0A">
            <w:pPr>
              <w:autoSpaceDE w:val="0"/>
              <w:autoSpaceDN w:val="0"/>
              <w:adjustRightInd w:val="0"/>
              <w:ind w:left="567"/>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Mediana</w:t>
            </w:r>
          </w:p>
        </w:tc>
        <w:tc>
          <w:tcPr>
            <w:tcW w:w="3095" w:type="dxa"/>
          </w:tcPr>
          <w:p w14:paraId="3FB09F14" w14:textId="77777777" w:rsidR="005A5F0A" w:rsidRPr="005A5F0A" w:rsidRDefault="005A5F0A" w:rsidP="005A5F0A">
            <w:pPr>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47,4</w:t>
            </w:r>
          </w:p>
        </w:tc>
        <w:tc>
          <w:tcPr>
            <w:tcW w:w="3095" w:type="dxa"/>
          </w:tcPr>
          <w:p w14:paraId="75D38B78" w14:textId="77777777" w:rsidR="005A5F0A" w:rsidRPr="005A5F0A" w:rsidRDefault="005A5F0A" w:rsidP="005A5F0A">
            <w:pPr>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47,0</w:t>
            </w:r>
          </w:p>
        </w:tc>
      </w:tr>
      <w:tr w:rsidR="005A5F0A" w:rsidRPr="005A5F0A" w14:paraId="4F4AD9F9" w14:textId="77777777" w:rsidTr="00954C0A">
        <w:tc>
          <w:tcPr>
            <w:tcW w:w="3094" w:type="dxa"/>
          </w:tcPr>
          <w:p w14:paraId="714F3958" w14:textId="77777777" w:rsidR="005A5F0A" w:rsidRPr="005A5F0A" w:rsidRDefault="005A5F0A" w:rsidP="005A5F0A">
            <w:pPr>
              <w:autoSpaceDE w:val="0"/>
              <w:autoSpaceDN w:val="0"/>
              <w:adjustRightInd w:val="0"/>
              <w:ind w:left="567"/>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HR (95% CI)</w:t>
            </w:r>
          </w:p>
        </w:tc>
        <w:tc>
          <w:tcPr>
            <w:tcW w:w="6190" w:type="dxa"/>
            <w:gridSpan w:val="2"/>
          </w:tcPr>
          <w:p w14:paraId="0757D31E" w14:textId="77777777" w:rsidR="005A5F0A" w:rsidRPr="005A5F0A" w:rsidRDefault="005A5F0A" w:rsidP="005A5F0A">
            <w:pPr>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0,81 (0,53; 1,23)</w:t>
            </w:r>
          </w:p>
        </w:tc>
      </w:tr>
      <w:tr w:rsidR="005A5F0A" w:rsidRPr="005A5F0A" w14:paraId="20F8FC19" w14:textId="77777777" w:rsidTr="00954C0A">
        <w:tc>
          <w:tcPr>
            <w:tcW w:w="3094" w:type="dxa"/>
          </w:tcPr>
          <w:p w14:paraId="05990884" w14:textId="6EE37F88" w:rsidR="005A5F0A" w:rsidRPr="005A5F0A" w:rsidRDefault="000B473B" w:rsidP="005A5F0A">
            <w:pPr>
              <w:autoSpaceDE w:val="0"/>
              <w:autoSpaceDN w:val="0"/>
              <w:adjustRightInd w:val="0"/>
              <w:ind w:left="567"/>
              <w:rPr>
                <w:rFonts w:ascii="Times New Roman" w:hAnsi="Times New Roman" w:cs="Times New Roman"/>
                <w:bCs/>
                <w:color w:val="000000"/>
                <w:sz w:val="22"/>
                <w:szCs w:val="22"/>
                <w:lang w:val="pl-PL" w:eastAsia="en-GB"/>
              </w:rPr>
            </w:pPr>
            <w:r>
              <w:rPr>
                <w:rFonts w:ascii="Times New Roman" w:eastAsia="Times New Roman" w:hAnsi="Times New Roman" w:cs="Times New Roman"/>
                <w:color w:val="000000"/>
                <w:sz w:val="22"/>
                <w:szCs w:val="24"/>
                <w:lang w:val="pl-PL" w:eastAsia="en-GB"/>
              </w:rPr>
              <w:t>W</w:t>
            </w:r>
            <w:r w:rsidR="005A5F0A" w:rsidRPr="005A5F0A">
              <w:rPr>
                <w:rFonts w:ascii="Times New Roman" w:eastAsia="Times New Roman" w:hAnsi="Times New Roman" w:cs="Times New Roman"/>
                <w:color w:val="000000"/>
                <w:sz w:val="22"/>
                <w:szCs w:val="24"/>
                <w:lang w:val="pl-PL" w:eastAsia="en-GB"/>
              </w:rPr>
              <w:t>artość p</w:t>
            </w:r>
          </w:p>
        </w:tc>
        <w:tc>
          <w:tcPr>
            <w:tcW w:w="6190" w:type="dxa"/>
            <w:gridSpan w:val="2"/>
          </w:tcPr>
          <w:p w14:paraId="5AE8685F" w14:textId="77777777" w:rsidR="005A5F0A" w:rsidRPr="005A5F0A" w:rsidRDefault="005A5F0A" w:rsidP="005A5F0A">
            <w:pPr>
              <w:autoSpaceDE w:val="0"/>
              <w:autoSpaceDN w:val="0"/>
              <w:adjustRightInd w:val="0"/>
              <w:jc w:val="center"/>
              <w:rPr>
                <w:rFonts w:ascii="Times New Roman" w:hAnsi="Times New Roman" w:cs="Times New Roman"/>
                <w:bCs/>
                <w:color w:val="000000"/>
                <w:sz w:val="22"/>
                <w:szCs w:val="22"/>
                <w:lang w:val="pl-PL" w:eastAsia="en-GB"/>
              </w:rPr>
            </w:pPr>
            <w:r w:rsidRPr="005A5F0A">
              <w:rPr>
                <w:rFonts w:ascii="Times New Roman" w:eastAsia="Times New Roman" w:hAnsi="Times New Roman" w:cs="Times New Roman"/>
                <w:color w:val="000000"/>
                <w:sz w:val="22"/>
                <w:szCs w:val="24"/>
                <w:lang w:val="pl-PL" w:eastAsia="en-GB"/>
              </w:rPr>
              <w:t>0,3267</w:t>
            </w:r>
          </w:p>
        </w:tc>
      </w:tr>
    </w:tbl>
    <w:p w14:paraId="0AEC2107" w14:textId="0579B0FD" w:rsidR="005A5F0A" w:rsidRPr="00D876E9" w:rsidRDefault="005A5F0A" w:rsidP="005A5F0A">
      <w:pPr>
        <w:autoSpaceDE w:val="0"/>
        <w:autoSpaceDN w:val="0"/>
        <w:adjustRightInd w:val="0"/>
        <w:ind w:left="567" w:hanging="567"/>
        <w:rPr>
          <w:rFonts w:ascii="Times New Roman" w:hAnsi="Times New Roman" w:cs="Times New Roman"/>
          <w:bCs/>
          <w:color w:val="000000"/>
          <w:lang w:val="pl-PL" w:eastAsia="en-GB"/>
        </w:rPr>
      </w:pPr>
      <w:r w:rsidRPr="005A5F0A">
        <w:rPr>
          <w:rFonts w:ascii="Times New Roman" w:eastAsia="Times New Roman" w:hAnsi="Times New Roman" w:cs="Times New Roman"/>
          <w:color w:val="000000"/>
          <w:szCs w:val="24"/>
          <w:vertAlign w:val="superscript"/>
          <w:lang w:val="pl-PL" w:eastAsia="en-GB"/>
        </w:rPr>
        <w:t>#</w:t>
      </w:r>
      <w:r w:rsidRPr="005A5F0A">
        <w:rPr>
          <w:rFonts w:ascii="Times New Roman" w:eastAsia="Times New Roman" w:hAnsi="Times New Roman" w:cs="Times New Roman"/>
          <w:color w:val="000000"/>
          <w:szCs w:val="24"/>
          <w:lang w:val="pl-PL" w:eastAsia="en-GB"/>
        </w:rPr>
        <w:t xml:space="preserve"> </w:t>
      </w:r>
      <w:r w:rsidRPr="005A5F0A">
        <w:rPr>
          <w:rFonts w:ascii="Times New Roman" w:eastAsia="Times New Roman" w:hAnsi="Times New Roman" w:cs="Times New Roman"/>
          <w:color w:val="000000"/>
          <w:szCs w:val="24"/>
          <w:lang w:val="pl-PL" w:eastAsia="en-GB"/>
        </w:rPr>
        <w:tab/>
      </w:r>
      <w:r w:rsidR="000B473B" w:rsidRPr="00D876E9">
        <w:rPr>
          <w:rFonts w:ascii="Times New Roman" w:eastAsia="Times New Roman" w:hAnsi="Times New Roman" w:cs="Times New Roman"/>
          <w:color w:val="000000"/>
          <w:lang w:val="pl-PL" w:eastAsia="en-GB"/>
        </w:rPr>
        <w:t>Ogółem z</w:t>
      </w:r>
      <w:r w:rsidRPr="00D876E9">
        <w:rPr>
          <w:rFonts w:ascii="Times New Roman" w:eastAsia="Times New Roman" w:hAnsi="Times New Roman" w:cs="Times New Roman"/>
          <w:color w:val="000000"/>
          <w:lang w:val="pl-PL" w:eastAsia="en-GB"/>
        </w:rPr>
        <w:t>randomizowano 154 pacjentów (stan sprawności 0 lub</w:t>
      </w:r>
      <w:r w:rsidR="000B473B" w:rsidRPr="00D876E9">
        <w:rPr>
          <w:rFonts w:ascii="Times New Roman" w:eastAsia="Times New Roman" w:hAnsi="Times New Roman" w:cs="Times New Roman"/>
          <w:color w:val="000000"/>
          <w:lang w:val="pl-PL" w:eastAsia="en-GB"/>
        </w:rPr>
        <w:t> </w:t>
      </w:r>
      <w:r w:rsidRPr="00D876E9">
        <w:rPr>
          <w:rFonts w:ascii="Times New Roman" w:eastAsia="Times New Roman" w:hAnsi="Times New Roman" w:cs="Times New Roman"/>
          <w:color w:val="000000"/>
          <w:lang w:val="pl-PL" w:eastAsia="en-GB"/>
        </w:rPr>
        <w:t>1 w</w:t>
      </w:r>
      <w:r w:rsidR="000B473B" w:rsidRPr="00D876E9">
        <w:rPr>
          <w:rFonts w:ascii="Times New Roman" w:eastAsia="Times New Roman" w:hAnsi="Times New Roman" w:cs="Times New Roman"/>
          <w:color w:val="000000"/>
          <w:lang w:val="pl-PL" w:eastAsia="en-GB"/>
        </w:rPr>
        <w:t>g</w:t>
      </w:r>
      <w:r w:rsidRPr="00D876E9">
        <w:rPr>
          <w:rFonts w:ascii="Times New Roman" w:eastAsia="Times New Roman" w:hAnsi="Times New Roman" w:cs="Times New Roman"/>
          <w:color w:val="000000"/>
          <w:lang w:val="pl-PL" w:eastAsia="en-GB"/>
        </w:rPr>
        <w:t xml:space="preserve"> skali ECOG). Jednakże dwóch </w:t>
      </w:r>
      <w:r w:rsidR="000B473B" w:rsidRPr="00D876E9">
        <w:rPr>
          <w:rFonts w:ascii="Times New Roman" w:eastAsia="Times New Roman" w:hAnsi="Times New Roman" w:cs="Times New Roman"/>
          <w:color w:val="000000"/>
          <w:lang w:val="pl-PL" w:eastAsia="en-GB"/>
        </w:rPr>
        <w:t xml:space="preserve">spośród </w:t>
      </w:r>
      <w:r w:rsidRPr="00D876E9">
        <w:rPr>
          <w:rFonts w:ascii="Times New Roman" w:eastAsia="Times New Roman" w:hAnsi="Times New Roman" w:cs="Times New Roman"/>
          <w:color w:val="000000"/>
          <w:lang w:val="pl-PL" w:eastAsia="en-GB"/>
        </w:rPr>
        <w:t>zrandomizowanych pacjentów przerwało udział w badaniu</w:t>
      </w:r>
      <w:r w:rsidR="000B473B" w:rsidRPr="00D876E9">
        <w:rPr>
          <w:rFonts w:ascii="Times New Roman" w:hAnsi="Times New Roman" w:cs="Times New Roman"/>
          <w:lang w:val="pl-PL"/>
        </w:rPr>
        <w:t>przed rozpoczęciem przyjmowania jakiegokolwiek badanego leku.</w:t>
      </w:r>
    </w:p>
    <w:p w14:paraId="1FBBCA22" w14:textId="584A1628" w:rsidR="005A5F0A" w:rsidRPr="00D876E9" w:rsidRDefault="005A5F0A" w:rsidP="005A5F0A">
      <w:pPr>
        <w:autoSpaceDE w:val="0"/>
        <w:autoSpaceDN w:val="0"/>
        <w:adjustRightInd w:val="0"/>
        <w:ind w:left="567" w:hanging="567"/>
        <w:rPr>
          <w:rFonts w:ascii="Times New Roman" w:hAnsi="Times New Roman" w:cs="Times New Roman"/>
          <w:bCs/>
          <w:color w:val="000000"/>
          <w:lang w:val="pl-PL" w:eastAsia="en-GB"/>
        </w:rPr>
      </w:pPr>
      <w:r w:rsidRPr="00D876E9">
        <w:rPr>
          <w:rFonts w:ascii="Times New Roman" w:eastAsia="Times New Roman" w:hAnsi="Times New Roman" w:cs="Times New Roman"/>
          <w:color w:val="000000"/>
          <w:lang w:val="pl-PL" w:eastAsia="en-GB"/>
        </w:rPr>
        <w:t xml:space="preserve">^ </w:t>
      </w:r>
      <w:r w:rsidRPr="00D876E9">
        <w:rPr>
          <w:rFonts w:ascii="Times New Roman" w:eastAsia="Times New Roman" w:hAnsi="Times New Roman" w:cs="Times New Roman"/>
          <w:color w:val="000000"/>
          <w:lang w:val="pl-PL" w:eastAsia="en-GB"/>
        </w:rPr>
        <w:tab/>
      </w:r>
      <w:r w:rsidR="000B473B" w:rsidRPr="00D876E9">
        <w:rPr>
          <w:rFonts w:ascii="Times New Roman" w:hAnsi="Times New Roman" w:cs="Times New Roman"/>
          <w:lang w:val="pl-PL"/>
        </w:rPr>
        <w:t>Zaślepiona niezależna ocena (analiza pierwszorzędowa zaplanowana w protokole).</w:t>
      </w:r>
    </w:p>
    <w:p w14:paraId="024643DC" w14:textId="73431060" w:rsidR="005A5F0A" w:rsidRPr="00D876E9" w:rsidRDefault="005A5F0A" w:rsidP="005A5F0A">
      <w:pPr>
        <w:autoSpaceDE w:val="0"/>
        <w:autoSpaceDN w:val="0"/>
        <w:adjustRightInd w:val="0"/>
        <w:ind w:left="567" w:hanging="567"/>
        <w:rPr>
          <w:rFonts w:ascii="Times New Roman" w:hAnsi="Times New Roman" w:cs="Times New Roman"/>
          <w:bCs/>
          <w:color w:val="000000"/>
          <w:lang w:val="pl-PL" w:eastAsia="en-GB"/>
        </w:rPr>
      </w:pPr>
      <w:r w:rsidRPr="00D876E9">
        <w:rPr>
          <w:rFonts w:ascii="Times New Roman" w:eastAsia="Times New Roman" w:hAnsi="Times New Roman" w:cs="Times New Roman"/>
          <w:color w:val="000000"/>
          <w:lang w:val="pl-PL" w:eastAsia="en-GB"/>
        </w:rPr>
        <w:t xml:space="preserve">* </w:t>
      </w:r>
      <w:r w:rsidRPr="00D876E9">
        <w:rPr>
          <w:rFonts w:ascii="Times New Roman" w:eastAsia="Times New Roman" w:hAnsi="Times New Roman" w:cs="Times New Roman"/>
          <w:color w:val="000000"/>
          <w:lang w:val="pl-PL" w:eastAsia="en-GB"/>
        </w:rPr>
        <w:tab/>
      </w:r>
      <w:r w:rsidR="000B473B" w:rsidRPr="00D876E9">
        <w:rPr>
          <w:rFonts w:ascii="Times New Roman" w:hAnsi="Times New Roman" w:cs="Times New Roman"/>
          <w:lang w:val="pl-PL"/>
        </w:rPr>
        <w:t xml:space="preserve">Analiza eksploracyjna: ostateczne wyniki analizy czasu przeżycia całkowitego w momencie odcięcia danych 31 października 2017 r., około 59% pacjentów zmarło. </w:t>
      </w:r>
    </w:p>
    <w:p w14:paraId="5CA609AA" w14:textId="77777777" w:rsidR="005A5F0A" w:rsidRPr="005A5F0A" w:rsidRDefault="005A5F0A" w:rsidP="005A5F0A">
      <w:pPr>
        <w:autoSpaceDE w:val="0"/>
        <w:autoSpaceDN w:val="0"/>
        <w:adjustRightInd w:val="0"/>
        <w:ind w:left="720" w:hanging="720"/>
        <w:rPr>
          <w:rFonts w:ascii="Times New Roman" w:hAnsi="Times New Roman" w:cs="Times New Roman"/>
          <w:bCs/>
          <w:color w:val="000000"/>
          <w:szCs w:val="22"/>
          <w:lang w:val="pl-PL" w:eastAsia="en-US"/>
        </w:rPr>
      </w:pPr>
    </w:p>
    <w:p w14:paraId="68CDA82F" w14:textId="4BE0022E" w:rsidR="005A5F0A" w:rsidRPr="005A5F0A" w:rsidRDefault="005A5F0A" w:rsidP="005A5F0A">
      <w:pPr>
        <w:autoSpaceDE w:val="0"/>
        <w:autoSpaceDN w:val="0"/>
        <w:adjustRightInd w:val="0"/>
        <w:rPr>
          <w:rFonts w:ascii="Times New Roman" w:hAnsi="Times New Roman" w:cs="Times New Roman"/>
          <w:bCs/>
          <w:color w:val="000000"/>
          <w:szCs w:val="22"/>
          <w:lang w:val="pl-PL" w:eastAsia="en-GB"/>
        </w:rPr>
      </w:pPr>
      <w:r w:rsidRPr="005A5F0A">
        <w:rPr>
          <w:rFonts w:ascii="Times New Roman" w:eastAsia="Times New Roman" w:hAnsi="Times New Roman" w:cs="Times New Roman"/>
          <w:color w:val="000000"/>
          <w:szCs w:val="24"/>
          <w:lang w:val="pl-PL" w:eastAsia="en-GB"/>
        </w:rPr>
        <w:t>CI, przedział ufności; HR, współczynnik ryzyka z niestratyfikowanej analizy regresji Coxa; NR, nieosiągnięt</w:t>
      </w:r>
      <w:r w:rsidR="000B473B">
        <w:rPr>
          <w:rFonts w:ascii="Times New Roman" w:eastAsia="Times New Roman" w:hAnsi="Times New Roman" w:cs="Times New Roman"/>
          <w:color w:val="000000"/>
          <w:szCs w:val="24"/>
          <w:lang w:val="pl-PL" w:eastAsia="en-GB"/>
        </w:rPr>
        <w:t>y</w:t>
      </w:r>
      <w:r w:rsidRPr="005A5F0A">
        <w:rPr>
          <w:rFonts w:ascii="Times New Roman" w:eastAsia="Times New Roman" w:hAnsi="Times New Roman" w:cs="Times New Roman"/>
          <w:color w:val="000000"/>
          <w:szCs w:val="24"/>
          <w:lang w:val="pl-PL" w:eastAsia="en-GB"/>
        </w:rPr>
        <w:t>.</w:t>
      </w:r>
    </w:p>
    <w:p w14:paraId="730F0A5E" w14:textId="77777777" w:rsidR="005A5F0A" w:rsidRPr="00741122" w:rsidRDefault="005A5F0A" w:rsidP="00FC2AA4">
      <w:pPr>
        <w:rPr>
          <w:rFonts w:ascii="Times New Roman" w:eastAsia="Times New Roman" w:hAnsi="Times New Roman" w:cs="Times New Roman"/>
          <w:sz w:val="22"/>
          <w:szCs w:val="22"/>
          <w:lang w:val="lt-LT"/>
        </w:rPr>
      </w:pPr>
    </w:p>
    <w:p w14:paraId="2F7AFF97" w14:textId="77777777" w:rsidR="00071CFE" w:rsidRPr="00741122" w:rsidRDefault="00071CFE" w:rsidP="002E35A7">
      <w:pPr>
        <w:keepNext/>
        <w:rPr>
          <w:rFonts w:ascii="Times New Roman" w:eastAsia="Times New Roman" w:hAnsi="Times New Roman" w:cs="Times New Roman"/>
          <w:i/>
          <w:sz w:val="22"/>
          <w:szCs w:val="22"/>
          <w:u w:val="single"/>
          <w:lang w:val="lt-LT"/>
        </w:rPr>
      </w:pPr>
      <w:bookmarkStart w:id="40" w:name="page38"/>
      <w:bookmarkEnd w:id="40"/>
      <w:r w:rsidRPr="00741122">
        <w:rPr>
          <w:rFonts w:ascii="Times New Roman" w:eastAsia="Times New Roman" w:hAnsi="Times New Roman" w:cs="Times New Roman"/>
          <w:i/>
          <w:sz w:val="22"/>
          <w:szCs w:val="22"/>
          <w:u w:val="single"/>
          <w:lang w:val="lt-LT"/>
        </w:rPr>
        <w:t>Zaawansowany i (lub) rozsiany rak nerki (ang. advanced and/or metastatic Renal Cell Cancer – mRCC)</w:t>
      </w:r>
    </w:p>
    <w:p w14:paraId="1CAC032C" w14:textId="77777777" w:rsidR="00071CFE" w:rsidRPr="00741122" w:rsidRDefault="00071CFE" w:rsidP="002E35A7">
      <w:pPr>
        <w:keepNext/>
        <w:rPr>
          <w:rFonts w:ascii="Times New Roman" w:eastAsia="Times New Roman" w:hAnsi="Times New Roman" w:cs="Times New Roman"/>
          <w:sz w:val="22"/>
          <w:szCs w:val="22"/>
          <w:lang w:val="lt-LT"/>
        </w:rPr>
      </w:pPr>
    </w:p>
    <w:p w14:paraId="0E02751F" w14:textId="77777777" w:rsidR="00071CFE" w:rsidRPr="00741122" w:rsidRDefault="004F202C" w:rsidP="002E35A7">
      <w:pPr>
        <w:keepNext/>
        <w:rPr>
          <w:rFonts w:ascii="Times New Roman" w:eastAsia="Times New Roman" w:hAnsi="Times New Roman"/>
          <w:i/>
          <w:sz w:val="22"/>
          <w:lang w:val="lt-LT"/>
        </w:rPr>
      </w:pPr>
      <w:r>
        <w:rPr>
          <w:rFonts w:ascii="Times New Roman" w:eastAsia="Times New Roman" w:hAnsi="Times New Roman"/>
          <w:i/>
          <w:sz w:val="22"/>
          <w:lang w:val="lt-LT"/>
        </w:rPr>
        <w:t>Bewacyzumab</w:t>
      </w:r>
      <w:r w:rsidR="00071CFE" w:rsidRPr="00741122">
        <w:rPr>
          <w:rFonts w:ascii="Times New Roman" w:eastAsia="Times New Roman" w:hAnsi="Times New Roman"/>
          <w:i/>
          <w:sz w:val="22"/>
          <w:lang w:val="lt-LT"/>
        </w:rPr>
        <w:t xml:space="preserve"> w s</w:t>
      </w:r>
      <w:r w:rsidR="009C55FE" w:rsidRPr="00741122">
        <w:rPr>
          <w:rFonts w:ascii="Times New Roman" w:eastAsia="Times New Roman" w:hAnsi="Times New Roman"/>
          <w:i/>
          <w:sz w:val="22"/>
          <w:lang w:val="lt-LT"/>
        </w:rPr>
        <w:t>kojarzeniu z interferonem alfa-</w:t>
      </w:r>
      <w:r w:rsidR="00071CFE" w:rsidRPr="00741122">
        <w:rPr>
          <w:rFonts w:ascii="Times New Roman" w:eastAsia="Times New Roman" w:hAnsi="Times New Roman"/>
          <w:i/>
          <w:sz w:val="22"/>
          <w:lang w:val="lt-LT"/>
        </w:rPr>
        <w:t>2a w leczeniu pierwszego rzutu pacjentów z zaawansowanym i (lub) rozsianym rakiem nerki (BO17705)</w:t>
      </w:r>
    </w:p>
    <w:p w14:paraId="0F53DA57" w14:textId="77777777" w:rsidR="00071CFE" w:rsidRPr="00BE638B" w:rsidRDefault="00071CFE" w:rsidP="002E35A7">
      <w:pPr>
        <w:keepNext/>
        <w:rPr>
          <w:rFonts w:ascii="Times New Roman" w:eastAsia="Times New Roman" w:hAnsi="Times New Roman"/>
          <w:sz w:val="22"/>
          <w:lang w:val="lt-LT"/>
        </w:rPr>
      </w:pPr>
    </w:p>
    <w:p w14:paraId="1EEBF84D" w14:textId="20859526" w:rsidR="00071CFE" w:rsidRPr="00741122" w:rsidRDefault="00071CFE" w:rsidP="002E35A7">
      <w:pPr>
        <w:rPr>
          <w:rFonts w:ascii="Times New Roman" w:eastAsia="Times New Roman" w:hAnsi="Times New Roman"/>
          <w:sz w:val="22"/>
          <w:szCs w:val="22"/>
          <w:lang w:val="lt-LT"/>
        </w:rPr>
      </w:pPr>
      <w:r w:rsidRPr="00741122">
        <w:rPr>
          <w:rFonts w:ascii="Times New Roman" w:eastAsia="Times New Roman" w:hAnsi="Times New Roman"/>
          <w:sz w:val="22"/>
          <w:lang w:val="lt-LT"/>
        </w:rPr>
        <w:t xml:space="preserve">W randomizowanym badaniu III fazy, z podwójnie ślepą próbą przeprowadzono ocenę skuteczności </w:t>
      </w:r>
      <w:r w:rsidR="00BB7260" w:rsidRPr="00741122">
        <w:rPr>
          <w:rFonts w:ascii="Times New Roman" w:eastAsia="Times New Roman" w:hAnsi="Times New Roman"/>
          <w:sz w:val="22"/>
          <w:lang w:val="lt-LT"/>
        </w:rPr>
        <w:t>i</w:t>
      </w:r>
      <w:r w:rsidR="009C55FE" w:rsidRPr="00741122">
        <w:rPr>
          <w:rFonts w:ascii="Times New Roman" w:eastAsia="Times New Roman" w:hAnsi="Times New Roman"/>
          <w:sz w:val="22"/>
          <w:lang w:val="lt-LT"/>
        </w:rPr>
        <w:t xml:space="preserve"> </w:t>
      </w:r>
      <w:r w:rsidRPr="00741122">
        <w:rPr>
          <w:rFonts w:ascii="Times New Roman" w:eastAsia="Times New Roman" w:hAnsi="Times New Roman"/>
          <w:sz w:val="22"/>
          <w:lang w:val="lt-LT"/>
        </w:rPr>
        <w:t xml:space="preserve">bezpieczeństwa </w:t>
      </w:r>
      <w:r w:rsidR="004F202C">
        <w:rPr>
          <w:rFonts w:ascii="Times New Roman" w:eastAsia="Times New Roman" w:hAnsi="Times New Roman" w:cs="Times New Roman"/>
          <w:sz w:val="22"/>
          <w:szCs w:val="22"/>
          <w:lang w:val="lt-LT"/>
        </w:rPr>
        <w:t>bewacyzumabu</w:t>
      </w:r>
      <w:r w:rsidRPr="00741122">
        <w:rPr>
          <w:rFonts w:ascii="Times New Roman" w:eastAsia="Times New Roman" w:hAnsi="Times New Roman"/>
          <w:sz w:val="22"/>
          <w:lang w:val="lt-LT"/>
        </w:rPr>
        <w:t xml:space="preserve"> w skojarzeniu z interferonem (IFN) alfa-2a w porównaniu do</w:t>
      </w:r>
      <w:r w:rsidR="009C55FE" w:rsidRPr="00741122">
        <w:rPr>
          <w:rFonts w:ascii="Times New Roman" w:eastAsia="Times New Roman" w:hAnsi="Times New Roman"/>
          <w:sz w:val="22"/>
          <w:lang w:val="lt-LT"/>
        </w:rPr>
        <w:t xml:space="preserve"> </w:t>
      </w:r>
      <w:r w:rsidRPr="00741122">
        <w:rPr>
          <w:rFonts w:ascii="Times New Roman" w:eastAsia="Times New Roman" w:hAnsi="Times New Roman"/>
          <w:sz w:val="22"/>
          <w:lang w:val="lt-LT"/>
        </w:rPr>
        <w:t>samego interferonu alfa-2a stosowanych jako leczenie pierwszego rzutu w mRCC. 649</w:t>
      </w:r>
      <w:r w:rsidR="009C55FE" w:rsidRPr="00741122">
        <w:rPr>
          <w:rFonts w:ascii="Times New Roman" w:eastAsia="Times New Roman" w:hAnsi="Times New Roman"/>
          <w:sz w:val="22"/>
          <w:lang w:val="lt-LT"/>
        </w:rPr>
        <w:t xml:space="preserve"> </w:t>
      </w:r>
      <w:r w:rsidRPr="00741122">
        <w:rPr>
          <w:rFonts w:ascii="Times New Roman" w:eastAsia="Times New Roman" w:hAnsi="Times New Roman"/>
          <w:sz w:val="22"/>
          <w:lang w:val="lt-LT"/>
        </w:rPr>
        <w:t xml:space="preserve">zrandomizowanych do </w:t>
      </w:r>
      <w:r w:rsidRPr="00741122">
        <w:rPr>
          <w:rFonts w:ascii="Times New Roman" w:eastAsia="Times New Roman" w:hAnsi="Times New Roman"/>
          <w:sz w:val="22"/>
          <w:szCs w:val="22"/>
          <w:lang w:val="lt-LT"/>
        </w:rPr>
        <w:t>badania pacjentów (641 leczonych) miało ocenianą sprawność wg skali</w:t>
      </w:r>
      <w:r w:rsidR="009C55FE"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 xml:space="preserve">Karnofsky’iego (ang. </w:t>
      </w:r>
      <w:r w:rsidRPr="00FD7F9C">
        <w:rPr>
          <w:rFonts w:ascii="Times New Roman" w:eastAsia="Times New Roman" w:hAnsi="Times New Roman"/>
          <w:sz w:val="22"/>
          <w:szCs w:val="22"/>
          <w:lang w:val="lt-LT"/>
        </w:rPr>
        <w:t>Karnofsky Performance Status</w:t>
      </w:r>
      <w:r w:rsidRPr="003C3911">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 KPS), która wynosiła ≥</w:t>
      </w:r>
      <w:r w:rsidR="00EA5C1E">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70%, nie występowały</w:t>
      </w:r>
      <w:r w:rsidR="009C55FE"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u nich przerzuty do ośrodkowego układu nerwowego a sprawność poszczególnych narządów była</w:t>
      </w:r>
      <w:r w:rsidR="009C55FE"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zadowalająca. Z powodu pierwotnego raka jasnokomórkowego nerki pacjentów poddano nefrektomii.</w:t>
      </w:r>
      <w:r w:rsidR="009C55FE" w:rsidRPr="00741122">
        <w:rPr>
          <w:rFonts w:ascii="Times New Roman" w:eastAsia="Times New Roman" w:hAnsi="Times New Roman"/>
          <w:sz w:val="22"/>
          <w:szCs w:val="22"/>
          <w:lang w:val="lt-LT"/>
        </w:rPr>
        <w:t xml:space="preserve"> </w:t>
      </w:r>
      <w:r w:rsidR="004F202C">
        <w:rPr>
          <w:rFonts w:ascii="Times New Roman" w:eastAsia="Times New Roman" w:hAnsi="Times New Roman" w:cs="Times New Roman"/>
          <w:sz w:val="22"/>
          <w:szCs w:val="22"/>
          <w:lang w:val="lt-LT"/>
        </w:rPr>
        <w:t>Bewacyzumab</w:t>
      </w:r>
      <w:r w:rsidR="005F5CA0" w:rsidRPr="00741122">
        <w:rPr>
          <w:rFonts w:ascii="Times New Roman" w:eastAsia="Times New Roman" w:hAnsi="Times New Roman"/>
          <w:sz w:val="22"/>
          <w:szCs w:val="22"/>
          <w:lang w:val="lt-LT"/>
        </w:rPr>
        <w:t xml:space="preserve"> w dawce 10 </w:t>
      </w:r>
      <w:r w:rsidRPr="00741122">
        <w:rPr>
          <w:rFonts w:ascii="Times New Roman" w:eastAsia="Times New Roman" w:hAnsi="Times New Roman"/>
          <w:sz w:val="22"/>
          <w:szCs w:val="22"/>
          <w:lang w:val="lt-LT"/>
        </w:rPr>
        <w:t>mg/kg</w:t>
      </w:r>
      <w:r w:rsidR="00EA5C1E">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mc. był podawany raz na dwa tygodnie do czasu progresji choroby.</w:t>
      </w:r>
      <w:r w:rsidR="009C55FE"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Interferon alfa-2a był podawany do 52</w:t>
      </w:r>
      <w:r w:rsidR="00C57888">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tygodnia lub do czasu progresji choroby w zalecanej dawce</w:t>
      </w:r>
      <w:r w:rsidR="009C55FE" w:rsidRPr="00741122">
        <w:rPr>
          <w:rFonts w:ascii="Times New Roman" w:eastAsia="Times New Roman" w:hAnsi="Times New Roman"/>
          <w:sz w:val="22"/>
          <w:szCs w:val="22"/>
          <w:lang w:val="lt-LT"/>
        </w:rPr>
        <w:t xml:space="preserve"> </w:t>
      </w:r>
      <w:r w:rsidR="005F5CA0" w:rsidRPr="00741122">
        <w:rPr>
          <w:rFonts w:ascii="Times New Roman" w:eastAsia="Times New Roman" w:hAnsi="Times New Roman"/>
          <w:sz w:val="22"/>
          <w:szCs w:val="22"/>
          <w:lang w:val="lt-LT"/>
        </w:rPr>
        <w:t>9</w:t>
      </w:r>
      <w:r w:rsidR="005C4342">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mln j</w:t>
      </w:r>
      <w:r w:rsidR="00EA5C1E">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m. 3 razy na tydzień, z możliwością redukcji dawki do 3</w:t>
      </w:r>
      <w:r w:rsidR="005C4342">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mln j</w:t>
      </w:r>
      <w:r w:rsidR="00EA5C1E">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m. 3 razy na tydzień w 2</w:t>
      </w:r>
      <w:r w:rsidR="002C69FD">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etapach. Pacjenci byli poddani stratyfikacji ze względu na kraj i wskaźnik prognostyczny Motzera. Ramiona badania były dobrze zrównoważone pod względem czynników prognostycznych.</w:t>
      </w:r>
    </w:p>
    <w:p w14:paraId="5DA15A64" w14:textId="77777777" w:rsidR="00071CFE" w:rsidRPr="00741122" w:rsidRDefault="00071CFE" w:rsidP="002E35A7">
      <w:pPr>
        <w:rPr>
          <w:rFonts w:ascii="Times New Roman" w:eastAsia="Times New Roman" w:hAnsi="Times New Roman"/>
          <w:sz w:val="22"/>
          <w:szCs w:val="22"/>
          <w:lang w:val="lt-LT"/>
        </w:rPr>
      </w:pPr>
    </w:p>
    <w:p w14:paraId="1215A5EB" w14:textId="77777777" w:rsidR="00071CFE" w:rsidRPr="00741122" w:rsidRDefault="00071CFE" w:rsidP="002E35A7">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Pierwszorzędowym punktem końcowym było przeżycie całkowite, z drugorzędowym punktem końcowym dla tego badania zawierającym czas przeżycia bez progresji choroby. Dodan</w:t>
      </w:r>
      <w:r w:rsidR="005F5CA0" w:rsidRPr="00741122">
        <w:rPr>
          <w:rFonts w:ascii="Times New Roman" w:eastAsia="Times New Roman" w:hAnsi="Times New Roman"/>
          <w:sz w:val="22"/>
          <w:szCs w:val="22"/>
          <w:lang w:val="lt-LT"/>
        </w:rPr>
        <w:t xml:space="preserve">ie </w:t>
      </w:r>
      <w:r w:rsidR="004F202C">
        <w:rPr>
          <w:rFonts w:ascii="Times New Roman" w:eastAsia="Times New Roman" w:hAnsi="Times New Roman" w:cs="Times New Roman"/>
          <w:sz w:val="22"/>
          <w:szCs w:val="22"/>
          <w:lang w:val="lt-LT"/>
        </w:rPr>
        <w:t>bewacyzumabu</w:t>
      </w:r>
      <w:r w:rsidR="005F5CA0" w:rsidRPr="00741122">
        <w:rPr>
          <w:rFonts w:ascii="Times New Roman" w:eastAsia="Times New Roman" w:hAnsi="Times New Roman"/>
          <w:sz w:val="22"/>
          <w:szCs w:val="22"/>
          <w:lang w:val="lt-LT"/>
        </w:rPr>
        <w:t xml:space="preserve"> do INF alfa</w:t>
      </w:r>
      <w:r w:rsidRPr="00741122">
        <w:rPr>
          <w:rFonts w:ascii="Times New Roman" w:eastAsia="Times New Roman" w:hAnsi="Times New Roman"/>
          <w:sz w:val="22"/>
          <w:szCs w:val="22"/>
          <w:lang w:val="lt-LT"/>
        </w:rPr>
        <w:t xml:space="preserve">-2a znacząco zwiększyło czas przeżycia bez progresji choroby (ang. </w:t>
      </w:r>
      <w:r w:rsidRPr="00FD7F9C">
        <w:rPr>
          <w:rFonts w:ascii="Times New Roman" w:eastAsia="Times New Roman" w:hAnsi="Times New Roman"/>
          <w:sz w:val="22"/>
          <w:szCs w:val="22"/>
          <w:lang w:val="lt-LT"/>
        </w:rPr>
        <w:t>progression</w:t>
      </w:r>
      <w:r w:rsidRPr="00242700">
        <w:rPr>
          <w:rFonts w:ascii="Times New Roman" w:eastAsia="Times New Roman" w:hAnsi="Times New Roman"/>
          <w:sz w:val="22"/>
          <w:szCs w:val="22"/>
          <w:lang w:val="lt-LT"/>
        </w:rPr>
        <w:t xml:space="preserve"> </w:t>
      </w:r>
      <w:r w:rsidRPr="00FD7F9C">
        <w:rPr>
          <w:rFonts w:ascii="Times New Roman" w:eastAsia="Times New Roman" w:hAnsi="Times New Roman"/>
          <w:sz w:val="22"/>
          <w:szCs w:val="22"/>
          <w:lang w:val="lt-LT"/>
        </w:rPr>
        <w:t xml:space="preserve">free survival </w:t>
      </w:r>
      <w:r w:rsidRPr="00741122">
        <w:rPr>
          <w:rFonts w:ascii="Times New Roman" w:eastAsia="Times New Roman" w:hAnsi="Times New Roman"/>
          <w:sz w:val="22"/>
          <w:szCs w:val="22"/>
          <w:lang w:val="lt-LT"/>
        </w:rPr>
        <w:t>-</w:t>
      </w:r>
      <w:r w:rsidRPr="00741122">
        <w:rPr>
          <w:rFonts w:ascii="Times New Roman" w:eastAsia="Times New Roman" w:hAnsi="Times New Roman"/>
          <w:i/>
          <w:sz w:val="22"/>
          <w:szCs w:val="22"/>
          <w:lang w:val="lt-LT"/>
        </w:rPr>
        <w:t xml:space="preserve"> </w:t>
      </w:r>
      <w:r w:rsidRPr="00741122">
        <w:rPr>
          <w:rFonts w:ascii="Times New Roman" w:eastAsia="Times New Roman" w:hAnsi="Times New Roman"/>
          <w:sz w:val="22"/>
          <w:szCs w:val="22"/>
          <w:lang w:val="lt-LT"/>
        </w:rPr>
        <w:t>PFS) oraz odsetek odpowiedzi nowotworu na leczenie. Wyniki te zostały potwierdzone</w:t>
      </w:r>
      <w:r w:rsidRPr="00741122">
        <w:rPr>
          <w:rFonts w:ascii="Times New Roman" w:eastAsia="Times New Roman" w:hAnsi="Times New Roman"/>
          <w:i/>
          <w:sz w:val="22"/>
          <w:szCs w:val="22"/>
          <w:lang w:val="lt-LT"/>
        </w:rPr>
        <w:t xml:space="preserve"> </w:t>
      </w:r>
      <w:r w:rsidRPr="00741122">
        <w:rPr>
          <w:rFonts w:ascii="Times New Roman" w:eastAsia="Times New Roman" w:hAnsi="Times New Roman"/>
          <w:sz w:val="22"/>
          <w:szCs w:val="22"/>
          <w:lang w:val="lt-LT"/>
        </w:rPr>
        <w:t>przez niezależną ocenę radiologiczną. Jednakże wzrost przeżycia całkowitego o 2 miesiące</w:t>
      </w:r>
      <w:r w:rsidR="005F5CA0"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w pierwszorzędowym punkcie końcowym nie był zna</w:t>
      </w:r>
      <w:r w:rsidR="008409C7">
        <w:rPr>
          <w:rFonts w:ascii="Times New Roman" w:eastAsia="Times New Roman" w:hAnsi="Times New Roman"/>
          <w:sz w:val="22"/>
          <w:szCs w:val="22"/>
          <w:lang w:val="lt-LT"/>
        </w:rPr>
        <w:t>mienny</w:t>
      </w:r>
      <w:r w:rsidRPr="00741122">
        <w:rPr>
          <w:rFonts w:ascii="Times New Roman" w:eastAsia="Times New Roman" w:hAnsi="Times New Roman"/>
          <w:sz w:val="22"/>
          <w:szCs w:val="22"/>
          <w:lang w:val="lt-LT"/>
        </w:rPr>
        <w:t xml:space="preserve"> (HR</w:t>
      </w:r>
      <w:r w:rsidR="00242700">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w:t>
      </w:r>
      <w:r w:rsidR="00C57888">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 xml:space="preserve">0,91). Duży odsetek pacjentów (w przybliżeniu 63% IFN/placebo; </w:t>
      </w:r>
      <w:r w:rsidRPr="00741122">
        <w:rPr>
          <w:rFonts w:ascii="Times New Roman" w:eastAsia="Times New Roman" w:hAnsi="Times New Roman"/>
          <w:sz w:val="22"/>
          <w:szCs w:val="22"/>
          <w:lang w:val="lt-LT"/>
        </w:rPr>
        <w:lastRenderedPageBreak/>
        <w:t xml:space="preserve">55% </w:t>
      </w:r>
      <w:r w:rsidR="004F202C">
        <w:rPr>
          <w:rFonts w:ascii="Times New Roman" w:eastAsia="Times New Roman" w:hAnsi="Times New Roman" w:cs="Times New Roman"/>
          <w:sz w:val="22"/>
          <w:szCs w:val="22"/>
          <w:lang w:val="lt-LT"/>
        </w:rPr>
        <w:t>bewacyzumab</w:t>
      </w:r>
      <w:r w:rsidRPr="00741122">
        <w:rPr>
          <w:rFonts w:ascii="Times New Roman" w:eastAsia="Times New Roman" w:hAnsi="Times New Roman"/>
          <w:sz w:val="22"/>
          <w:szCs w:val="22"/>
          <w:lang w:val="lt-LT"/>
        </w:rPr>
        <w:t xml:space="preserve">/IFN) otrzymał różne </w:t>
      </w:r>
      <w:r w:rsidR="008409C7">
        <w:rPr>
          <w:rFonts w:ascii="Times New Roman" w:eastAsia="Times New Roman" w:hAnsi="Times New Roman"/>
          <w:sz w:val="22"/>
          <w:szCs w:val="22"/>
          <w:lang w:val="lt-LT"/>
        </w:rPr>
        <w:t>nieokreślone</w:t>
      </w:r>
      <w:r w:rsidR="008409C7"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leczenie przeciwnowotworowe po zakończeniu badania, w</w:t>
      </w:r>
      <w:r w:rsidR="00242700">
        <w:rPr>
          <w:rFonts w:ascii="Times New Roman" w:eastAsia="Times New Roman" w:hAnsi="Times New Roman"/>
          <w:sz w:val="22"/>
          <w:szCs w:val="22"/>
          <w:lang w:val="lt-LT"/>
        </w:rPr>
        <w:t xml:space="preserve"> tym</w:t>
      </w:r>
      <w:r w:rsidRPr="00741122">
        <w:rPr>
          <w:rFonts w:ascii="Times New Roman" w:eastAsia="Times New Roman" w:hAnsi="Times New Roman"/>
          <w:sz w:val="22"/>
          <w:szCs w:val="22"/>
          <w:lang w:val="lt-LT"/>
        </w:rPr>
        <w:t xml:space="preserve"> leki przeciwnowotworowe, które mogą mieć wpływ na analizę przeżycia całkowitego.</w:t>
      </w:r>
    </w:p>
    <w:p w14:paraId="638AD7F3" w14:textId="77777777" w:rsidR="00071CFE" w:rsidRPr="00741122" w:rsidRDefault="00071CFE" w:rsidP="002E35A7">
      <w:pPr>
        <w:rPr>
          <w:rFonts w:ascii="Times New Roman" w:eastAsia="Times New Roman" w:hAnsi="Times New Roman" w:cs="Times New Roman"/>
          <w:sz w:val="22"/>
          <w:szCs w:val="22"/>
          <w:lang w:val="lt-LT"/>
        </w:rPr>
      </w:pPr>
    </w:p>
    <w:p w14:paraId="608B6C3A" w14:textId="72E34529" w:rsidR="00071CFE" w:rsidRPr="00741122" w:rsidRDefault="00071CFE" w:rsidP="002E35A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Wyniki dotyczące skuteczności zostały przedstawione w Tabeli </w:t>
      </w:r>
      <w:r w:rsidR="005A5F0A" w:rsidRPr="00741122">
        <w:rPr>
          <w:rFonts w:ascii="Times New Roman" w:eastAsia="Times New Roman" w:hAnsi="Times New Roman" w:cs="Times New Roman"/>
          <w:sz w:val="22"/>
          <w:szCs w:val="22"/>
          <w:lang w:val="lt-LT"/>
        </w:rPr>
        <w:t>1</w:t>
      </w:r>
      <w:r w:rsidR="005A5F0A">
        <w:rPr>
          <w:rFonts w:ascii="Times New Roman" w:eastAsia="Times New Roman" w:hAnsi="Times New Roman" w:cs="Times New Roman"/>
          <w:sz w:val="22"/>
          <w:szCs w:val="22"/>
          <w:lang w:val="lt-LT"/>
        </w:rPr>
        <w:t>5</w:t>
      </w:r>
      <w:r w:rsidRPr="00741122">
        <w:rPr>
          <w:rFonts w:ascii="Times New Roman" w:eastAsia="Times New Roman" w:hAnsi="Times New Roman" w:cs="Times New Roman"/>
          <w:sz w:val="22"/>
          <w:szCs w:val="22"/>
          <w:lang w:val="lt-LT"/>
        </w:rPr>
        <w:t>.</w:t>
      </w:r>
    </w:p>
    <w:p w14:paraId="5FC3DCF0" w14:textId="77777777" w:rsidR="00071CFE" w:rsidRPr="00741122" w:rsidRDefault="00071CFE" w:rsidP="002E35A7">
      <w:pPr>
        <w:rPr>
          <w:rFonts w:ascii="Times New Roman" w:eastAsia="Times New Roman" w:hAnsi="Times New Roman" w:cs="Times New Roman"/>
          <w:sz w:val="22"/>
          <w:szCs w:val="22"/>
          <w:lang w:val="lt-LT"/>
        </w:rPr>
      </w:pPr>
    </w:p>
    <w:p w14:paraId="77FFC44B" w14:textId="40725F96" w:rsidR="00071CFE" w:rsidRPr="00741122" w:rsidRDefault="00403C18" w:rsidP="002E35A7">
      <w:pPr>
        <w:rPr>
          <w:rFonts w:ascii="Times New Roman" w:eastAsia="Times New Roman" w:hAnsi="Times New Roman"/>
          <w:b/>
          <w:sz w:val="22"/>
          <w:lang w:val="lt-LT"/>
        </w:rPr>
      </w:pPr>
      <w:bookmarkStart w:id="41" w:name="page39"/>
      <w:bookmarkEnd w:id="41"/>
      <w:r w:rsidRPr="00741122">
        <w:rPr>
          <w:rFonts w:ascii="Times New Roman" w:eastAsia="Times New Roman" w:hAnsi="Times New Roman"/>
          <w:b/>
          <w:sz w:val="22"/>
          <w:lang w:val="lt-LT"/>
        </w:rPr>
        <w:t xml:space="preserve">Tabela </w:t>
      </w:r>
      <w:r w:rsidR="005A5F0A" w:rsidRPr="00741122">
        <w:rPr>
          <w:rFonts w:ascii="Times New Roman" w:eastAsia="Times New Roman" w:hAnsi="Times New Roman"/>
          <w:b/>
          <w:sz w:val="22"/>
          <w:lang w:val="lt-LT"/>
        </w:rPr>
        <w:t>1</w:t>
      </w:r>
      <w:r w:rsidR="005A5F0A">
        <w:rPr>
          <w:rFonts w:ascii="Times New Roman" w:eastAsia="Times New Roman" w:hAnsi="Times New Roman"/>
          <w:b/>
          <w:sz w:val="22"/>
          <w:lang w:val="lt-LT"/>
        </w:rPr>
        <w:t>5</w:t>
      </w:r>
      <w:r w:rsidR="00402641">
        <w:rPr>
          <w:rFonts w:ascii="Times New Roman" w:eastAsia="Times New Roman" w:hAnsi="Times New Roman"/>
          <w:b/>
          <w:sz w:val="22"/>
          <w:lang w:val="lt-LT"/>
        </w:rPr>
        <w:t>.</w:t>
      </w:r>
      <w:r w:rsidR="00071CFE" w:rsidRPr="00741122">
        <w:rPr>
          <w:rFonts w:ascii="Times New Roman" w:eastAsia="Times New Roman" w:hAnsi="Times New Roman"/>
          <w:b/>
          <w:sz w:val="22"/>
          <w:lang w:val="lt-LT"/>
        </w:rPr>
        <w:t xml:space="preserve"> Wyniki badania BO17705 dotyczące skuteczności</w:t>
      </w:r>
    </w:p>
    <w:p w14:paraId="2A1A5AAC" w14:textId="77777777" w:rsidR="00352C8F" w:rsidRPr="00741122" w:rsidRDefault="00352C8F" w:rsidP="002E35A7">
      <w:pPr>
        <w:rPr>
          <w:rFonts w:ascii="Times New Roman" w:eastAsia="Times New Roman" w:hAnsi="Times New Roman"/>
          <w:b/>
          <w:sz w:val="22"/>
          <w:lang w:val="lt-LT"/>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6"/>
        <w:gridCol w:w="2540"/>
        <w:gridCol w:w="2541"/>
      </w:tblGrid>
      <w:tr w:rsidR="00352C8F" w:rsidRPr="00741122" w14:paraId="3AC37719" w14:textId="77777777" w:rsidTr="006D25F9">
        <w:trPr>
          <w:trHeight w:val="300"/>
          <w:tblHeader/>
        </w:trPr>
        <w:tc>
          <w:tcPr>
            <w:tcW w:w="3986" w:type="dxa"/>
            <w:vMerge w:val="restart"/>
            <w:noWrap/>
            <w:vAlign w:val="bottom"/>
            <w:hideMark/>
          </w:tcPr>
          <w:p w14:paraId="501541D7" w14:textId="77777777" w:rsidR="00352C8F" w:rsidRPr="00741122" w:rsidRDefault="00352C8F" w:rsidP="007C78C0">
            <w:pPr>
              <w:keepNext/>
              <w:rPr>
                <w:rFonts w:ascii="Times New Roman" w:hAnsi="Times New Roman" w:cs="Times New Roman"/>
                <w:color w:val="000000"/>
                <w:sz w:val="22"/>
                <w:szCs w:val="22"/>
                <w:lang w:val="lt-LT"/>
              </w:rPr>
            </w:pPr>
          </w:p>
        </w:tc>
        <w:tc>
          <w:tcPr>
            <w:tcW w:w="5081" w:type="dxa"/>
            <w:gridSpan w:val="2"/>
            <w:noWrap/>
            <w:hideMark/>
          </w:tcPr>
          <w:p w14:paraId="5A8BA846" w14:textId="77777777" w:rsidR="00352C8F" w:rsidRPr="009120CF" w:rsidRDefault="00352C8F" w:rsidP="007C78C0">
            <w:pPr>
              <w:keepNext/>
              <w:jc w:val="center"/>
              <w:rPr>
                <w:rFonts w:ascii="Times New Roman" w:hAnsi="Times New Roman" w:cs="Times New Roman"/>
                <w:b/>
                <w:color w:val="000000"/>
                <w:sz w:val="22"/>
                <w:szCs w:val="22"/>
                <w:lang w:val="lt-LT"/>
              </w:rPr>
            </w:pPr>
            <w:r w:rsidRPr="009120CF">
              <w:rPr>
                <w:rFonts w:ascii="Times New Roman" w:hAnsi="Times New Roman" w:cs="Times New Roman"/>
                <w:b/>
                <w:color w:val="000000"/>
                <w:sz w:val="22"/>
                <w:szCs w:val="22"/>
                <w:lang w:val="lt-LT"/>
              </w:rPr>
              <w:t>BO17705</w:t>
            </w:r>
          </w:p>
        </w:tc>
      </w:tr>
      <w:tr w:rsidR="00352C8F" w:rsidRPr="00741122" w14:paraId="7418403D" w14:textId="77777777" w:rsidTr="006D25F9">
        <w:trPr>
          <w:trHeight w:val="300"/>
          <w:tblHeader/>
        </w:trPr>
        <w:tc>
          <w:tcPr>
            <w:tcW w:w="3986" w:type="dxa"/>
            <w:vMerge/>
            <w:noWrap/>
            <w:vAlign w:val="bottom"/>
            <w:hideMark/>
          </w:tcPr>
          <w:p w14:paraId="77BCC29C" w14:textId="77777777" w:rsidR="00352C8F" w:rsidRPr="00741122" w:rsidRDefault="00352C8F" w:rsidP="007C78C0">
            <w:pPr>
              <w:keepNext/>
              <w:rPr>
                <w:rFonts w:ascii="Times New Roman" w:hAnsi="Times New Roman" w:cs="Times New Roman"/>
                <w:color w:val="000000"/>
                <w:sz w:val="22"/>
                <w:szCs w:val="22"/>
                <w:lang w:val="lt-LT"/>
              </w:rPr>
            </w:pPr>
          </w:p>
        </w:tc>
        <w:tc>
          <w:tcPr>
            <w:tcW w:w="2540" w:type="dxa"/>
            <w:noWrap/>
            <w:hideMark/>
          </w:tcPr>
          <w:p w14:paraId="1F82D448" w14:textId="77777777" w:rsidR="00352C8F" w:rsidRPr="009120CF" w:rsidRDefault="00352C8F" w:rsidP="007C78C0">
            <w:pPr>
              <w:keepNext/>
              <w:jc w:val="center"/>
              <w:rPr>
                <w:rFonts w:ascii="Times New Roman" w:hAnsi="Times New Roman" w:cs="Times New Roman"/>
                <w:b/>
                <w:color w:val="000000"/>
                <w:sz w:val="22"/>
                <w:szCs w:val="22"/>
                <w:lang w:val="lt-LT"/>
              </w:rPr>
            </w:pPr>
            <w:r w:rsidRPr="009120CF">
              <w:rPr>
                <w:rFonts w:ascii="Times New Roman" w:hAnsi="Times New Roman" w:cs="Times New Roman"/>
                <w:b/>
                <w:color w:val="000000"/>
                <w:sz w:val="22"/>
                <w:szCs w:val="22"/>
                <w:lang w:val="lt-LT"/>
              </w:rPr>
              <w:t>Placebo+ IFN</w:t>
            </w:r>
            <w:r w:rsidRPr="009120CF">
              <w:rPr>
                <w:rFonts w:ascii="Times New Roman" w:hAnsi="Times New Roman" w:cs="Times New Roman"/>
                <w:b/>
                <w:color w:val="000000"/>
                <w:sz w:val="22"/>
                <w:szCs w:val="22"/>
                <w:vertAlign w:val="superscript"/>
                <w:lang w:val="lt-LT"/>
              </w:rPr>
              <w:t>a</w:t>
            </w:r>
          </w:p>
        </w:tc>
        <w:tc>
          <w:tcPr>
            <w:tcW w:w="2540" w:type="dxa"/>
            <w:noWrap/>
            <w:hideMark/>
          </w:tcPr>
          <w:p w14:paraId="7916A080" w14:textId="6BF2996E" w:rsidR="00352C8F" w:rsidRPr="009120CF" w:rsidRDefault="00352C8F" w:rsidP="007C78C0">
            <w:pPr>
              <w:keepNext/>
              <w:jc w:val="center"/>
              <w:rPr>
                <w:rFonts w:ascii="Times New Roman" w:hAnsi="Times New Roman" w:cs="Times New Roman"/>
                <w:b/>
                <w:color w:val="000000"/>
                <w:sz w:val="22"/>
                <w:szCs w:val="22"/>
                <w:lang w:val="lt-LT"/>
              </w:rPr>
            </w:pPr>
            <w:r w:rsidRPr="009120CF">
              <w:rPr>
                <w:rFonts w:ascii="Times New Roman" w:hAnsi="Times New Roman" w:cs="Times New Roman"/>
                <w:b/>
                <w:color w:val="000000"/>
                <w:sz w:val="22"/>
                <w:szCs w:val="22"/>
                <w:lang w:val="lt-LT"/>
              </w:rPr>
              <w:t>B</w:t>
            </w:r>
            <w:r w:rsidR="00816AFF">
              <w:rPr>
                <w:rFonts w:ascii="Times New Roman" w:hAnsi="Times New Roman" w:cs="Times New Roman"/>
                <w:b/>
                <w:color w:val="000000"/>
                <w:sz w:val="22"/>
                <w:szCs w:val="22"/>
                <w:lang w:val="lt-LT"/>
              </w:rPr>
              <w:t>V</w:t>
            </w:r>
            <w:r w:rsidRPr="009120CF">
              <w:rPr>
                <w:rFonts w:ascii="Times New Roman" w:hAnsi="Times New Roman" w:cs="Times New Roman"/>
                <w:b/>
                <w:color w:val="000000"/>
                <w:sz w:val="22"/>
                <w:szCs w:val="22"/>
                <w:vertAlign w:val="superscript"/>
                <w:lang w:val="lt-LT"/>
              </w:rPr>
              <w:t>b</w:t>
            </w:r>
            <w:r w:rsidRPr="009120CF">
              <w:rPr>
                <w:rFonts w:ascii="Times New Roman" w:hAnsi="Times New Roman" w:cs="Times New Roman"/>
                <w:b/>
                <w:color w:val="000000"/>
                <w:sz w:val="22"/>
                <w:szCs w:val="22"/>
                <w:lang w:val="lt-LT"/>
              </w:rPr>
              <w:t xml:space="preserve"> + IFN</w:t>
            </w:r>
            <w:r w:rsidRPr="009120CF">
              <w:rPr>
                <w:rFonts w:ascii="Times New Roman" w:hAnsi="Times New Roman" w:cs="Times New Roman"/>
                <w:b/>
                <w:color w:val="000000"/>
                <w:sz w:val="22"/>
                <w:szCs w:val="22"/>
                <w:vertAlign w:val="superscript"/>
                <w:lang w:val="lt-LT"/>
              </w:rPr>
              <w:t>a</w:t>
            </w:r>
          </w:p>
        </w:tc>
      </w:tr>
      <w:tr w:rsidR="00352C8F" w:rsidRPr="00741122" w14:paraId="35F3A7BB" w14:textId="77777777" w:rsidTr="006D25F9">
        <w:trPr>
          <w:trHeight w:val="340"/>
        </w:trPr>
        <w:tc>
          <w:tcPr>
            <w:tcW w:w="3986" w:type="dxa"/>
            <w:noWrap/>
            <w:hideMark/>
          </w:tcPr>
          <w:p w14:paraId="61655A2C" w14:textId="77777777" w:rsidR="00352C8F" w:rsidRPr="00741122" w:rsidRDefault="00352C8F" w:rsidP="009120CF">
            <w:pPr>
              <w:ind w:left="5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Liczba pacjentów</w:t>
            </w:r>
          </w:p>
        </w:tc>
        <w:tc>
          <w:tcPr>
            <w:tcW w:w="2540" w:type="dxa"/>
            <w:noWrap/>
            <w:hideMark/>
          </w:tcPr>
          <w:p w14:paraId="08412720" w14:textId="77777777" w:rsidR="00352C8F" w:rsidRPr="00741122" w:rsidRDefault="00352C8F"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322</w:t>
            </w:r>
          </w:p>
        </w:tc>
        <w:tc>
          <w:tcPr>
            <w:tcW w:w="2540" w:type="dxa"/>
            <w:noWrap/>
            <w:hideMark/>
          </w:tcPr>
          <w:p w14:paraId="4686A1A2" w14:textId="77777777" w:rsidR="00352C8F" w:rsidRPr="00741122" w:rsidRDefault="00352C8F"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327</w:t>
            </w:r>
          </w:p>
        </w:tc>
      </w:tr>
      <w:tr w:rsidR="00352C8F" w:rsidRPr="00C70451" w14:paraId="4F7AFEA6" w14:textId="77777777" w:rsidTr="006D25F9">
        <w:trPr>
          <w:trHeight w:val="69"/>
        </w:trPr>
        <w:tc>
          <w:tcPr>
            <w:tcW w:w="3986" w:type="dxa"/>
            <w:noWrap/>
            <w:hideMark/>
          </w:tcPr>
          <w:p w14:paraId="5F768FA4" w14:textId="77777777" w:rsidR="00352C8F" w:rsidRPr="00741122" w:rsidRDefault="00352C8F" w:rsidP="007C78C0">
            <w:pPr>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Czas przeżycia wolny od progresji</w:t>
            </w:r>
            <w:r w:rsidR="007C78C0">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 miesiącach)</w:t>
            </w:r>
          </w:p>
        </w:tc>
        <w:tc>
          <w:tcPr>
            <w:tcW w:w="2540" w:type="dxa"/>
            <w:noWrap/>
            <w:hideMark/>
          </w:tcPr>
          <w:p w14:paraId="62717732" w14:textId="77777777" w:rsidR="00352C8F" w:rsidRPr="00741122" w:rsidRDefault="00352C8F" w:rsidP="007C78C0">
            <w:pPr>
              <w:keepNext/>
              <w:jc w:val="center"/>
              <w:rPr>
                <w:rFonts w:ascii="Times New Roman" w:hAnsi="Times New Roman" w:cs="Times New Roman"/>
                <w:color w:val="000000"/>
                <w:sz w:val="22"/>
                <w:szCs w:val="22"/>
                <w:lang w:val="lt-LT"/>
              </w:rPr>
            </w:pPr>
          </w:p>
        </w:tc>
        <w:tc>
          <w:tcPr>
            <w:tcW w:w="2540" w:type="dxa"/>
            <w:noWrap/>
            <w:hideMark/>
          </w:tcPr>
          <w:p w14:paraId="35F6933B" w14:textId="77777777" w:rsidR="00352C8F" w:rsidRPr="00741122" w:rsidRDefault="00352C8F" w:rsidP="007C78C0">
            <w:pPr>
              <w:keepNext/>
              <w:jc w:val="center"/>
              <w:rPr>
                <w:rFonts w:ascii="Times New Roman" w:hAnsi="Times New Roman" w:cs="Times New Roman"/>
                <w:color w:val="000000"/>
                <w:sz w:val="22"/>
                <w:szCs w:val="22"/>
                <w:lang w:val="lt-LT"/>
              </w:rPr>
            </w:pPr>
          </w:p>
        </w:tc>
      </w:tr>
      <w:tr w:rsidR="00352C8F" w:rsidRPr="00741122" w14:paraId="6B7791A6" w14:textId="77777777" w:rsidTr="006D25F9">
        <w:trPr>
          <w:trHeight w:val="263"/>
        </w:trPr>
        <w:tc>
          <w:tcPr>
            <w:tcW w:w="3986" w:type="dxa"/>
            <w:noWrap/>
          </w:tcPr>
          <w:p w14:paraId="3C87F355" w14:textId="77777777" w:rsidR="00352C8F" w:rsidRPr="00741122" w:rsidRDefault="00352C8F" w:rsidP="007C78C0">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(miesiące)</w:t>
            </w:r>
          </w:p>
        </w:tc>
        <w:tc>
          <w:tcPr>
            <w:tcW w:w="2540" w:type="dxa"/>
            <w:noWrap/>
          </w:tcPr>
          <w:p w14:paraId="468ED33A" w14:textId="77777777" w:rsidR="00352C8F" w:rsidRPr="00741122" w:rsidRDefault="00352C8F"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5,4</w:t>
            </w:r>
          </w:p>
        </w:tc>
        <w:tc>
          <w:tcPr>
            <w:tcW w:w="2540" w:type="dxa"/>
            <w:noWrap/>
          </w:tcPr>
          <w:p w14:paraId="704A3F9E" w14:textId="77777777" w:rsidR="00352C8F" w:rsidRPr="00741122" w:rsidRDefault="00352C8F"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10,2</w:t>
            </w:r>
          </w:p>
        </w:tc>
      </w:tr>
      <w:tr w:rsidR="006D25F9" w:rsidRPr="00741122" w14:paraId="3228E3B9" w14:textId="77777777" w:rsidTr="006D25F9">
        <w:trPr>
          <w:trHeight w:val="913"/>
        </w:trPr>
        <w:tc>
          <w:tcPr>
            <w:tcW w:w="3986" w:type="dxa"/>
            <w:noWrap/>
          </w:tcPr>
          <w:p w14:paraId="651B73E1" w14:textId="77777777" w:rsidR="006D25F9" w:rsidRPr="00741122" w:rsidRDefault="006D25F9" w:rsidP="007C78C0">
            <w:pPr>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ryzyka</w:t>
            </w:r>
          </w:p>
          <w:p w14:paraId="69397233" w14:textId="77777777" w:rsidR="006D25F9" w:rsidRPr="00741122" w:rsidRDefault="006D25F9" w:rsidP="007C78C0">
            <w:pPr>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95% C</w:t>
            </w:r>
            <w:r w:rsidRPr="00B44E6F">
              <w:rPr>
                <w:rFonts w:ascii="Times New Roman" w:eastAsia="Times New Roman" w:hAnsi="Times New Roman" w:cs="Times New Roman"/>
                <w:bCs/>
                <w:sz w:val="22"/>
                <w:szCs w:val="22"/>
                <w:lang w:val="lt-LT"/>
              </w:rPr>
              <w:t>I</w:t>
            </w:r>
          </w:p>
        </w:tc>
        <w:tc>
          <w:tcPr>
            <w:tcW w:w="5081" w:type="dxa"/>
            <w:gridSpan w:val="2"/>
            <w:noWrap/>
          </w:tcPr>
          <w:p w14:paraId="5BDF0B35" w14:textId="77777777" w:rsidR="006D25F9" w:rsidRPr="00741122" w:rsidRDefault="006D25F9"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0,63</w:t>
            </w:r>
          </w:p>
          <w:p w14:paraId="16BDD3B0" w14:textId="54F4F8D0" w:rsidR="006D25F9" w:rsidRPr="002A186F" w:rsidRDefault="006D25F9" w:rsidP="007C78C0">
            <w:pPr>
              <w:jc w:val="center"/>
              <w:rPr>
                <w:rFonts w:ascii="Times New Roman" w:hAnsi="Times New Roman" w:cs="Times New Roman"/>
                <w:color w:val="000000"/>
                <w:sz w:val="22"/>
                <w:szCs w:val="22"/>
                <w:lang w:val="lt-LT"/>
              </w:rPr>
            </w:pPr>
            <w:r w:rsidRPr="002A186F">
              <w:rPr>
                <w:rFonts w:ascii="Times New Roman" w:hAnsi="Times New Roman" w:cs="Times New Roman"/>
                <w:color w:val="000000"/>
                <w:sz w:val="22"/>
                <w:szCs w:val="22"/>
                <w:lang w:val="lt-LT"/>
              </w:rPr>
              <w:t>0,52</w:t>
            </w:r>
            <w:r w:rsidR="00B7516D">
              <w:rPr>
                <w:rFonts w:ascii="Times New Roman" w:hAnsi="Times New Roman" w:cs="Times New Roman"/>
                <w:color w:val="000000"/>
                <w:sz w:val="22"/>
                <w:szCs w:val="22"/>
                <w:lang w:val="lt-LT"/>
              </w:rPr>
              <w:t>;</w:t>
            </w:r>
            <w:r w:rsidRPr="002A186F">
              <w:rPr>
                <w:rFonts w:ascii="Times New Roman" w:hAnsi="Times New Roman" w:cs="Times New Roman"/>
                <w:color w:val="000000"/>
                <w:sz w:val="22"/>
                <w:szCs w:val="22"/>
                <w:lang w:val="lt-LT"/>
              </w:rPr>
              <w:t xml:space="preserve"> 0,75</w:t>
            </w:r>
          </w:p>
          <w:p w14:paraId="0B6EBBD7" w14:textId="22FA338F" w:rsidR="006D25F9" w:rsidRPr="00741122" w:rsidRDefault="006D25F9" w:rsidP="007C78C0">
            <w:pPr>
              <w:jc w:val="center"/>
              <w:rPr>
                <w:rFonts w:ascii="Times New Roman" w:hAnsi="Times New Roman" w:cs="Times New Roman"/>
                <w:color w:val="000000"/>
                <w:sz w:val="22"/>
                <w:szCs w:val="22"/>
                <w:lang w:val="lt-LT"/>
              </w:rPr>
            </w:pPr>
            <w:r w:rsidRPr="002A186F">
              <w:rPr>
                <w:rFonts w:ascii="Times New Roman" w:hAnsi="Times New Roman" w:cs="Times New Roman"/>
                <w:color w:val="000000"/>
                <w:sz w:val="22"/>
                <w:szCs w:val="22"/>
                <w:lang w:val="lt-LT"/>
              </w:rPr>
              <w:t>(</w:t>
            </w:r>
            <w:r w:rsidR="00104810">
              <w:rPr>
                <w:rFonts w:ascii="Times New Roman" w:hAnsi="Times New Roman" w:cs="Times New Roman"/>
                <w:color w:val="000000"/>
                <w:sz w:val="22"/>
                <w:szCs w:val="22"/>
                <w:lang w:val="lt-LT"/>
              </w:rPr>
              <w:t xml:space="preserve">wartość </w:t>
            </w:r>
            <w:r w:rsidRPr="002A186F">
              <w:rPr>
                <w:rFonts w:ascii="Times New Roman" w:hAnsi="Times New Roman" w:cs="Times New Roman"/>
                <w:color w:val="000000"/>
                <w:sz w:val="22"/>
                <w:szCs w:val="22"/>
                <w:lang w:val="lt-LT"/>
              </w:rPr>
              <w:t>p &lt; 0,0001)</w:t>
            </w:r>
          </w:p>
        </w:tc>
      </w:tr>
      <w:tr w:rsidR="00352C8F" w:rsidRPr="00C70451" w14:paraId="1345B74C" w14:textId="77777777" w:rsidTr="006D25F9">
        <w:trPr>
          <w:trHeight w:val="656"/>
        </w:trPr>
        <w:tc>
          <w:tcPr>
            <w:tcW w:w="3986" w:type="dxa"/>
            <w:noWrap/>
            <w:hideMark/>
          </w:tcPr>
          <w:p w14:paraId="65B50805" w14:textId="77777777" w:rsidR="00352C8F" w:rsidRPr="00741122" w:rsidRDefault="00352C8F" w:rsidP="00667C1B">
            <w:pPr>
              <w:ind w:left="5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Całkowity współczynnik odpowiedzi (%) w grupie pacjentów ze zmianami mierzalnymi</w:t>
            </w:r>
            <w:r w:rsidRPr="00741122">
              <w:rPr>
                <w:rFonts w:ascii="Times New Roman" w:hAnsi="Times New Roman" w:cs="Times New Roman"/>
                <w:color w:val="000000"/>
                <w:sz w:val="22"/>
                <w:szCs w:val="22"/>
                <w:lang w:val="lt-LT"/>
              </w:rPr>
              <w:t xml:space="preserve"> </w:t>
            </w:r>
          </w:p>
        </w:tc>
        <w:tc>
          <w:tcPr>
            <w:tcW w:w="2540" w:type="dxa"/>
            <w:noWrap/>
            <w:hideMark/>
          </w:tcPr>
          <w:p w14:paraId="6D01A385" w14:textId="77777777" w:rsidR="00352C8F" w:rsidRPr="00741122" w:rsidRDefault="00352C8F" w:rsidP="00910905">
            <w:pPr>
              <w:keepNext/>
              <w:jc w:val="center"/>
              <w:rPr>
                <w:rFonts w:ascii="Times New Roman" w:hAnsi="Times New Roman" w:cs="Times New Roman"/>
                <w:color w:val="000000"/>
                <w:sz w:val="22"/>
                <w:szCs w:val="22"/>
                <w:lang w:val="lt-LT"/>
              </w:rPr>
            </w:pPr>
          </w:p>
          <w:p w14:paraId="72EB213F" w14:textId="77777777" w:rsidR="00352C8F" w:rsidRPr="00741122" w:rsidRDefault="00352C8F" w:rsidP="00910905">
            <w:pPr>
              <w:keepNext/>
              <w:jc w:val="center"/>
              <w:rPr>
                <w:rFonts w:ascii="Times New Roman" w:hAnsi="Times New Roman" w:cs="Times New Roman"/>
                <w:color w:val="000000"/>
                <w:sz w:val="22"/>
                <w:szCs w:val="22"/>
                <w:lang w:val="lt-LT"/>
              </w:rPr>
            </w:pPr>
          </w:p>
        </w:tc>
        <w:tc>
          <w:tcPr>
            <w:tcW w:w="2540" w:type="dxa"/>
            <w:noWrap/>
            <w:hideMark/>
          </w:tcPr>
          <w:p w14:paraId="41675883" w14:textId="77777777" w:rsidR="00352C8F" w:rsidRPr="00741122" w:rsidRDefault="00352C8F" w:rsidP="00910905">
            <w:pPr>
              <w:keepNext/>
              <w:jc w:val="center"/>
              <w:rPr>
                <w:rFonts w:ascii="Times New Roman" w:hAnsi="Times New Roman" w:cs="Times New Roman"/>
                <w:color w:val="000000"/>
                <w:sz w:val="22"/>
                <w:szCs w:val="22"/>
                <w:lang w:val="lt-LT"/>
              </w:rPr>
            </w:pPr>
          </w:p>
          <w:p w14:paraId="34BB5F59" w14:textId="77777777" w:rsidR="00352C8F" w:rsidRPr="00741122" w:rsidRDefault="00352C8F" w:rsidP="00910905">
            <w:pPr>
              <w:keepNext/>
              <w:jc w:val="center"/>
              <w:rPr>
                <w:rFonts w:ascii="Times New Roman" w:hAnsi="Times New Roman" w:cs="Times New Roman"/>
                <w:color w:val="000000"/>
                <w:sz w:val="22"/>
                <w:szCs w:val="22"/>
                <w:lang w:val="lt-LT"/>
              </w:rPr>
            </w:pPr>
          </w:p>
        </w:tc>
      </w:tr>
      <w:tr w:rsidR="00352C8F" w:rsidRPr="00741122" w14:paraId="6F608EE9" w14:textId="77777777" w:rsidTr="006D25F9">
        <w:trPr>
          <w:trHeight w:val="369"/>
        </w:trPr>
        <w:tc>
          <w:tcPr>
            <w:tcW w:w="3986" w:type="dxa"/>
            <w:noWrap/>
          </w:tcPr>
          <w:p w14:paraId="7495898A" w14:textId="77777777" w:rsidR="00352C8F" w:rsidRPr="00741122" w:rsidRDefault="00C57888" w:rsidP="007C78C0">
            <w:pPr>
              <w:ind w:left="567"/>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w:t>
            </w:r>
          </w:p>
        </w:tc>
        <w:tc>
          <w:tcPr>
            <w:tcW w:w="2540" w:type="dxa"/>
            <w:noWrap/>
          </w:tcPr>
          <w:p w14:paraId="27CA7669" w14:textId="77777777" w:rsidR="00352C8F" w:rsidRPr="00741122" w:rsidRDefault="00352C8F"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289</w:t>
            </w:r>
          </w:p>
        </w:tc>
        <w:tc>
          <w:tcPr>
            <w:tcW w:w="2540" w:type="dxa"/>
            <w:noWrap/>
          </w:tcPr>
          <w:p w14:paraId="1D2D569D" w14:textId="77777777" w:rsidR="00352C8F" w:rsidRPr="00741122" w:rsidRDefault="00352C8F"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306</w:t>
            </w:r>
          </w:p>
        </w:tc>
      </w:tr>
      <w:tr w:rsidR="00352C8F" w:rsidRPr="00741122" w14:paraId="24955BDF" w14:textId="77777777" w:rsidTr="006D25F9">
        <w:trPr>
          <w:trHeight w:val="346"/>
        </w:trPr>
        <w:tc>
          <w:tcPr>
            <w:tcW w:w="3986" w:type="dxa"/>
            <w:noWrap/>
            <w:vAlign w:val="center"/>
          </w:tcPr>
          <w:p w14:paraId="66578497" w14:textId="77777777" w:rsidR="00352C8F" w:rsidRPr="00741122" w:rsidRDefault="00352C8F" w:rsidP="007C78C0">
            <w:pPr>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(w procentach)</w:t>
            </w:r>
          </w:p>
        </w:tc>
        <w:tc>
          <w:tcPr>
            <w:tcW w:w="2540" w:type="dxa"/>
            <w:noWrap/>
          </w:tcPr>
          <w:p w14:paraId="4686901D" w14:textId="77777777" w:rsidR="00352C8F" w:rsidRPr="00741122" w:rsidRDefault="00771846"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12,</w:t>
            </w:r>
            <w:r w:rsidR="00352C8F" w:rsidRPr="00741122">
              <w:rPr>
                <w:rFonts w:ascii="Times New Roman" w:hAnsi="Times New Roman" w:cs="Times New Roman"/>
                <w:color w:val="000000"/>
                <w:sz w:val="22"/>
                <w:szCs w:val="22"/>
                <w:lang w:val="lt-LT"/>
              </w:rPr>
              <w:t>8%</w:t>
            </w:r>
          </w:p>
        </w:tc>
        <w:tc>
          <w:tcPr>
            <w:tcW w:w="2540" w:type="dxa"/>
            <w:noWrap/>
          </w:tcPr>
          <w:p w14:paraId="33537AA8" w14:textId="77777777" w:rsidR="00352C8F" w:rsidRPr="00741122" w:rsidRDefault="00771846"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31,</w:t>
            </w:r>
            <w:r w:rsidR="00352C8F" w:rsidRPr="00741122">
              <w:rPr>
                <w:rFonts w:ascii="Times New Roman" w:hAnsi="Times New Roman" w:cs="Times New Roman"/>
                <w:color w:val="000000"/>
                <w:sz w:val="22"/>
                <w:szCs w:val="22"/>
                <w:lang w:val="lt-LT"/>
              </w:rPr>
              <w:t>4%</w:t>
            </w:r>
          </w:p>
        </w:tc>
      </w:tr>
      <w:tr w:rsidR="00352C8F" w:rsidRPr="00741122" w14:paraId="723FB810" w14:textId="77777777" w:rsidTr="006D25F9">
        <w:trPr>
          <w:trHeight w:val="300"/>
        </w:trPr>
        <w:tc>
          <w:tcPr>
            <w:tcW w:w="3986" w:type="dxa"/>
            <w:noWrap/>
          </w:tcPr>
          <w:p w14:paraId="10F22F84" w14:textId="77777777" w:rsidR="00352C8F" w:rsidRPr="00741122" w:rsidRDefault="00352C8F" w:rsidP="007C78C0">
            <w:pPr>
              <w:rPr>
                <w:rFonts w:ascii="Times New Roman" w:hAnsi="Times New Roman" w:cs="Times New Roman"/>
                <w:color w:val="000000"/>
                <w:sz w:val="22"/>
                <w:szCs w:val="22"/>
                <w:lang w:val="lt-LT"/>
              </w:rPr>
            </w:pPr>
          </w:p>
        </w:tc>
        <w:tc>
          <w:tcPr>
            <w:tcW w:w="5081" w:type="dxa"/>
            <w:gridSpan w:val="2"/>
            <w:noWrap/>
          </w:tcPr>
          <w:p w14:paraId="36158297" w14:textId="675EEA5F" w:rsidR="00352C8F" w:rsidRPr="00741122" w:rsidRDefault="00352C8F" w:rsidP="007C78C0">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w:t>
            </w:r>
            <w:r w:rsidR="00104810">
              <w:rPr>
                <w:rFonts w:ascii="Times New Roman" w:hAnsi="Times New Roman" w:cs="Times New Roman"/>
                <w:color w:val="000000"/>
                <w:sz w:val="22"/>
                <w:szCs w:val="22"/>
                <w:lang w:val="lt-LT"/>
              </w:rPr>
              <w:t xml:space="preserve">wartość </w:t>
            </w:r>
            <w:r w:rsidRPr="00741122">
              <w:rPr>
                <w:rFonts w:ascii="Times New Roman" w:hAnsi="Times New Roman" w:cs="Times New Roman"/>
                <w:color w:val="000000"/>
                <w:sz w:val="22"/>
                <w:szCs w:val="22"/>
                <w:lang w:val="lt-LT"/>
              </w:rPr>
              <w:t>p</w:t>
            </w:r>
            <w:r w:rsidR="00771846" w:rsidRPr="00741122">
              <w:rPr>
                <w:rFonts w:ascii="Times New Roman" w:hAnsi="Times New Roman" w:cs="Times New Roman"/>
                <w:color w:val="000000"/>
                <w:sz w:val="22"/>
                <w:szCs w:val="22"/>
                <w:lang w:val="lt-LT"/>
              </w:rPr>
              <w:t> &lt; 0,</w:t>
            </w:r>
            <w:r w:rsidRPr="00741122">
              <w:rPr>
                <w:rFonts w:ascii="Times New Roman" w:hAnsi="Times New Roman" w:cs="Times New Roman"/>
                <w:color w:val="000000"/>
                <w:sz w:val="22"/>
                <w:szCs w:val="22"/>
                <w:lang w:val="lt-LT"/>
              </w:rPr>
              <w:t>0001)</w:t>
            </w:r>
          </w:p>
        </w:tc>
      </w:tr>
    </w:tbl>
    <w:p w14:paraId="11853C85" w14:textId="3FB78F92" w:rsidR="00071CFE" w:rsidRPr="00F6225D" w:rsidRDefault="00071CFE" w:rsidP="00100305">
      <w:pPr>
        <w:numPr>
          <w:ilvl w:val="0"/>
          <w:numId w:val="17"/>
        </w:numPr>
        <w:tabs>
          <w:tab w:val="left" w:pos="567"/>
        </w:tabs>
        <w:spacing w:line="192" w:lineRule="auto"/>
        <w:ind w:left="662" w:hanging="662"/>
        <w:rPr>
          <w:rFonts w:ascii="Times New Roman" w:eastAsia="Times New Roman" w:hAnsi="Times New Roman" w:cs="Times New Roman"/>
          <w:lang w:val="lt-LT"/>
        </w:rPr>
      </w:pPr>
      <w:r w:rsidRPr="00741122">
        <w:rPr>
          <w:rFonts w:ascii="Times New Roman" w:eastAsia="Times New Roman" w:hAnsi="Times New Roman" w:cs="Times New Roman"/>
          <w:lang w:val="lt-LT"/>
        </w:rPr>
        <w:t>Interferon alfa-2a 9</w:t>
      </w:r>
      <w:r w:rsidR="00C63339">
        <w:rPr>
          <w:rFonts w:ascii="Times New Roman" w:eastAsia="Times New Roman" w:hAnsi="Times New Roman" w:cs="Times New Roman"/>
          <w:lang w:val="lt-LT"/>
        </w:rPr>
        <w:t> </w:t>
      </w:r>
      <w:r w:rsidRPr="00741122">
        <w:rPr>
          <w:rFonts w:ascii="Times New Roman" w:eastAsia="Times New Roman" w:hAnsi="Times New Roman" w:cs="Times New Roman"/>
          <w:lang w:val="lt-LT"/>
        </w:rPr>
        <w:t>mln j</w:t>
      </w:r>
      <w:r w:rsidR="00254E7E">
        <w:rPr>
          <w:rFonts w:ascii="Times New Roman" w:eastAsia="Times New Roman" w:hAnsi="Times New Roman" w:cs="Times New Roman"/>
          <w:lang w:val="lt-LT"/>
        </w:rPr>
        <w:t>.</w:t>
      </w:r>
      <w:r w:rsidRPr="00741122">
        <w:rPr>
          <w:rFonts w:ascii="Times New Roman" w:eastAsia="Times New Roman" w:hAnsi="Times New Roman" w:cs="Times New Roman"/>
          <w:lang w:val="lt-LT"/>
        </w:rPr>
        <w:t xml:space="preserve">m. 3 </w:t>
      </w:r>
      <w:r w:rsidR="00100305" w:rsidRPr="00100305">
        <w:rPr>
          <w:rFonts w:ascii="Times New Roman" w:eastAsia="Times New Roman" w:hAnsi="Times New Roman" w:cs="Times New Roman"/>
          <w:lang w:val="lt-LT"/>
        </w:rPr>
        <w:t>×</w:t>
      </w:r>
      <w:r w:rsidRPr="00741122">
        <w:rPr>
          <w:rFonts w:ascii="Times New Roman" w:eastAsia="Times New Roman" w:hAnsi="Times New Roman" w:cs="Times New Roman"/>
          <w:lang w:val="lt-LT"/>
        </w:rPr>
        <w:t xml:space="preserve"> na tydzień</w:t>
      </w:r>
    </w:p>
    <w:p w14:paraId="3F6F73C9" w14:textId="77777777" w:rsidR="00071CFE" w:rsidRPr="00741122" w:rsidRDefault="00071CFE">
      <w:pPr>
        <w:spacing w:line="11" w:lineRule="exact"/>
        <w:rPr>
          <w:rFonts w:ascii="Times New Roman" w:eastAsia="Times New Roman" w:hAnsi="Times New Roman" w:cs="Times New Roman"/>
          <w:vertAlign w:val="superscript"/>
          <w:lang w:val="lt-LT"/>
        </w:rPr>
      </w:pPr>
    </w:p>
    <w:p w14:paraId="31B9CC13" w14:textId="77777777" w:rsidR="00071CFE" w:rsidRPr="00F6225D" w:rsidRDefault="00D52528" w:rsidP="00F12C6A">
      <w:pPr>
        <w:numPr>
          <w:ilvl w:val="0"/>
          <w:numId w:val="17"/>
        </w:numPr>
        <w:tabs>
          <w:tab w:val="left" w:pos="567"/>
        </w:tabs>
        <w:spacing w:line="209" w:lineRule="auto"/>
        <w:ind w:left="662" w:hanging="662"/>
        <w:rPr>
          <w:rFonts w:ascii="Times New Roman" w:eastAsia="Times New Roman" w:hAnsi="Times New Roman" w:cs="Times New Roman"/>
          <w:lang w:val="lt-LT"/>
        </w:rPr>
      </w:pPr>
      <w:r w:rsidRPr="00741122">
        <w:rPr>
          <w:rFonts w:ascii="Times New Roman" w:eastAsia="Times New Roman" w:hAnsi="Times New Roman" w:cs="Times New Roman"/>
          <w:lang w:val="lt-LT"/>
        </w:rPr>
        <w:t>Bewacyzumab 10 </w:t>
      </w:r>
      <w:r w:rsidR="00071CFE" w:rsidRPr="00741122">
        <w:rPr>
          <w:rFonts w:ascii="Times New Roman" w:eastAsia="Times New Roman" w:hAnsi="Times New Roman" w:cs="Times New Roman"/>
          <w:lang w:val="lt-LT"/>
        </w:rPr>
        <w:t>mg/kg</w:t>
      </w:r>
      <w:r w:rsidR="00254E7E">
        <w:rPr>
          <w:rFonts w:ascii="Times New Roman" w:eastAsia="Times New Roman" w:hAnsi="Times New Roman" w:cs="Times New Roman"/>
          <w:lang w:val="lt-LT"/>
        </w:rPr>
        <w:t> mc.</w:t>
      </w:r>
      <w:r w:rsidR="00071CFE" w:rsidRPr="00741122">
        <w:rPr>
          <w:rFonts w:ascii="Times New Roman" w:eastAsia="Times New Roman" w:hAnsi="Times New Roman" w:cs="Times New Roman"/>
          <w:lang w:val="lt-LT"/>
        </w:rPr>
        <w:t xml:space="preserve"> co 2 tygodnie</w:t>
      </w:r>
    </w:p>
    <w:p w14:paraId="3FD6B784" w14:textId="77777777" w:rsidR="00071CFE" w:rsidRPr="00741122" w:rsidRDefault="00071CFE">
      <w:pPr>
        <w:spacing w:line="263" w:lineRule="exact"/>
        <w:rPr>
          <w:rFonts w:ascii="Times New Roman" w:eastAsia="Times New Roman" w:hAnsi="Times New Roman" w:cs="Times New Roman"/>
          <w:lang w:val="lt-LT"/>
        </w:rPr>
      </w:pP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8"/>
        <w:gridCol w:w="2591"/>
        <w:gridCol w:w="2558"/>
      </w:tblGrid>
      <w:tr w:rsidR="00412CFE" w:rsidRPr="00741122" w14:paraId="37149674" w14:textId="77777777" w:rsidTr="006D25F9">
        <w:trPr>
          <w:trHeight w:val="278"/>
        </w:trPr>
        <w:tc>
          <w:tcPr>
            <w:tcW w:w="3978" w:type="dxa"/>
            <w:noWrap/>
            <w:hideMark/>
          </w:tcPr>
          <w:p w14:paraId="2B4B08CA" w14:textId="77777777" w:rsidR="00412CFE" w:rsidRPr="00741122" w:rsidRDefault="00412CFE" w:rsidP="009A27F1">
            <w:pPr>
              <w:keepNext/>
              <w:spacing w:line="0" w:lineRule="atLeast"/>
              <w:ind w:left="10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Całkowity czas przeżycia</w:t>
            </w:r>
          </w:p>
        </w:tc>
        <w:tc>
          <w:tcPr>
            <w:tcW w:w="5149" w:type="dxa"/>
            <w:gridSpan w:val="2"/>
            <w:noWrap/>
            <w:vAlign w:val="bottom"/>
            <w:hideMark/>
          </w:tcPr>
          <w:p w14:paraId="789CEBF2" w14:textId="77777777" w:rsidR="00412CFE" w:rsidRPr="00741122" w:rsidRDefault="00412CFE" w:rsidP="009A27F1">
            <w:pPr>
              <w:jc w:val="center"/>
              <w:rPr>
                <w:rFonts w:ascii="Times New Roman" w:hAnsi="Times New Roman" w:cs="Times New Roman"/>
                <w:color w:val="000000"/>
                <w:sz w:val="22"/>
                <w:szCs w:val="22"/>
                <w:lang w:val="lt-LT"/>
              </w:rPr>
            </w:pPr>
          </w:p>
        </w:tc>
      </w:tr>
      <w:tr w:rsidR="00412CFE" w:rsidRPr="00741122" w14:paraId="4EF8FF3C" w14:textId="77777777" w:rsidTr="006D25F9">
        <w:trPr>
          <w:trHeight w:val="278"/>
        </w:trPr>
        <w:tc>
          <w:tcPr>
            <w:tcW w:w="3978" w:type="dxa"/>
            <w:noWrap/>
            <w:hideMark/>
          </w:tcPr>
          <w:p w14:paraId="2BDCBD94" w14:textId="77777777" w:rsidR="00412CFE" w:rsidRPr="00741122" w:rsidRDefault="00412CFE" w:rsidP="009A27F1">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(miesiące)</w:t>
            </w:r>
          </w:p>
        </w:tc>
        <w:tc>
          <w:tcPr>
            <w:tcW w:w="2591" w:type="dxa"/>
            <w:noWrap/>
            <w:vAlign w:val="center"/>
            <w:hideMark/>
          </w:tcPr>
          <w:p w14:paraId="4E619DA6" w14:textId="77777777" w:rsidR="00412CFE" w:rsidRPr="00741122" w:rsidRDefault="00412CFE"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21,3</w:t>
            </w:r>
          </w:p>
        </w:tc>
        <w:tc>
          <w:tcPr>
            <w:tcW w:w="2557" w:type="dxa"/>
            <w:noWrap/>
            <w:vAlign w:val="center"/>
            <w:hideMark/>
          </w:tcPr>
          <w:p w14:paraId="11E9BCB4" w14:textId="77777777" w:rsidR="00412CFE" w:rsidRPr="00741122" w:rsidRDefault="00412CFE"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23,3</w:t>
            </w:r>
          </w:p>
        </w:tc>
      </w:tr>
      <w:tr w:rsidR="00412CFE" w:rsidRPr="00741122" w14:paraId="3D919A0F" w14:textId="77777777" w:rsidTr="006D25F9">
        <w:trPr>
          <w:trHeight w:val="697"/>
        </w:trPr>
        <w:tc>
          <w:tcPr>
            <w:tcW w:w="3978" w:type="dxa"/>
            <w:noWrap/>
            <w:hideMark/>
          </w:tcPr>
          <w:p w14:paraId="41648354" w14:textId="77777777" w:rsidR="00E076BE" w:rsidRDefault="00E076BE" w:rsidP="009A27F1">
            <w:pPr>
              <w:ind w:left="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Współczynnik ryzyka</w:t>
            </w:r>
          </w:p>
          <w:p w14:paraId="480F01E2" w14:textId="54FA141C" w:rsidR="00412CFE" w:rsidRPr="00741122" w:rsidRDefault="00412CFE" w:rsidP="009A27F1">
            <w:pPr>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95% C</w:t>
            </w:r>
            <w:r w:rsidR="00307766">
              <w:rPr>
                <w:rFonts w:ascii="Times New Roman" w:eastAsia="Times New Roman" w:hAnsi="Times New Roman" w:cs="Times New Roman"/>
                <w:sz w:val="22"/>
                <w:szCs w:val="22"/>
                <w:lang w:val="lt-LT"/>
              </w:rPr>
              <w:t>I</w:t>
            </w:r>
          </w:p>
        </w:tc>
        <w:tc>
          <w:tcPr>
            <w:tcW w:w="5149" w:type="dxa"/>
            <w:gridSpan w:val="2"/>
            <w:noWrap/>
            <w:hideMark/>
          </w:tcPr>
          <w:p w14:paraId="02C8292D" w14:textId="77777777" w:rsidR="00412CFE" w:rsidRPr="00741122" w:rsidRDefault="00412CFE" w:rsidP="007935C3">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0,91</w:t>
            </w:r>
          </w:p>
          <w:p w14:paraId="53E0504E" w14:textId="18E25A21" w:rsidR="00412CFE" w:rsidRPr="00741122" w:rsidRDefault="00412CFE" w:rsidP="007935C3">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0,76</w:t>
            </w:r>
            <w:r w:rsidR="00B7516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1,10</w:t>
            </w:r>
          </w:p>
          <w:p w14:paraId="5F759994" w14:textId="146F7057" w:rsidR="00412CFE" w:rsidRPr="00741122" w:rsidRDefault="00412CFE" w:rsidP="009A27F1">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t>
            </w:r>
            <w:r w:rsidR="00104810">
              <w:rPr>
                <w:rFonts w:ascii="Times New Roman" w:eastAsia="Times New Roman" w:hAnsi="Times New Roman" w:cs="Times New Roman"/>
                <w:sz w:val="22"/>
                <w:szCs w:val="22"/>
                <w:lang w:val="lt-LT"/>
              </w:rPr>
              <w:t xml:space="preserve">wartość </w:t>
            </w:r>
            <w:r w:rsidRPr="00741122">
              <w:rPr>
                <w:rFonts w:ascii="Times New Roman" w:eastAsia="Times New Roman" w:hAnsi="Times New Roman" w:cs="Times New Roman"/>
                <w:sz w:val="22"/>
                <w:szCs w:val="22"/>
                <w:lang w:val="lt-LT"/>
              </w:rPr>
              <w:t xml:space="preserve">p </w:t>
            </w:r>
            <w:r w:rsidR="0002274A">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0,3360)</w:t>
            </w:r>
          </w:p>
        </w:tc>
      </w:tr>
    </w:tbl>
    <w:p w14:paraId="15CFFC61" w14:textId="77777777" w:rsidR="00071CFE" w:rsidRPr="00741122" w:rsidRDefault="00071CFE" w:rsidP="002C52CD">
      <w:pPr>
        <w:rPr>
          <w:rFonts w:ascii="Times New Roman" w:eastAsia="Times New Roman" w:hAnsi="Times New Roman"/>
          <w:sz w:val="22"/>
          <w:lang w:val="lt-LT"/>
        </w:rPr>
      </w:pPr>
    </w:p>
    <w:p w14:paraId="6711E14A" w14:textId="19BE34E5" w:rsidR="00071CFE" w:rsidRPr="00741122" w:rsidRDefault="00071CFE" w:rsidP="002C52CD">
      <w:pPr>
        <w:rPr>
          <w:rFonts w:ascii="Times New Roman" w:eastAsia="Times New Roman" w:hAnsi="Times New Roman" w:cs="Times New Roman"/>
          <w:sz w:val="22"/>
          <w:szCs w:val="22"/>
          <w:lang w:val="lt-LT"/>
        </w:rPr>
      </w:pPr>
      <w:r w:rsidRPr="00741122">
        <w:rPr>
          <w:rFonts w:ascii="Times New Roman" w:eastAsia="Times New Roman" w:hAnsi="Times New Roman"/>
          <w:sz w:val="22"/>
          <w:lang w:val="lt-LT"/>
        </w:rPr>
        <w:t xml:space="preserve">Wieloczynnikowy model badawczy regresji Cox’a, wykorzystujący selekcję wsteczną wykazał, że niezależnie od rodzaju leczenia następujące wyjściowe czynniki prognostyczne były silnie związane z czasem przeżycia: płeć, liczba białych krwinek, liczba płytek krwi, zmniejszenie masy ciała w ciągu 6 </w:t>
      </w:r>
      <w:r w:rsidRPr="00741122">
        <w:rPr>
          <w:rFonts w:ascii="Times New Roman" w:eastAsia="Times New Roman" w:hAnsi="Times New Roman" w:cs="Times New Roman"/>
          <w:sz w:val="22"/>
          <w:szCs w:val="22"/>
          <w:lang w:val="lt-LT"/>
        </w:rPr>
        <w:t>miesięcy przed włączeniem do badania, liczba miejsc przerzutowania, suma najdłuższych średnic zmian, wynik w skali Motzera. Po uwzględnieniu tych wyjściowych czynników ryzyka uzyskano współczynnik ryzyka 0,78 (95% CI [0,63;</w:t>
      </w:r>
      <w:r w:rsidR="00EF406C">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0,96], p</w:t>
      </w:r>
      <w:r w:rsidR="00254E7E">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254E7E">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0,0219), wskazujący na 22% zmniejszenie ryzyka zgonu pacjentów w ramieniu badania otrzymującym </w:t>
      </w:r>
      <w:r w:rsidR="004F202C">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 IFN alfa-2a w porównaniu z ramieniem otrzymującym IFN alfa-2a.</w:t>
      </w:r>
    </w:p>
    <w:p w14:paraId="33FCBBBC" w14:textId="77777777" w:rsidR="00071CFE" w:rsidRPr="00741122" w:rsidRDefault="00071CFE" w:rsidP="002C52CD">
      <w:pPr>
        <w:rPr>
          <w:rFonts w:ascii="Times New Roman" w:eastAsia="Times New Roman" w:hAnsi="Times New Roman" w:cs="Times New Roman"/>
          <w:sz w:val="22"/>
          <w:szCs w:val="22"/>
          <w:lang w:val="lt-LT"/>
        </w:rPr>
      </w:pPr>
    </w:p>
    <w:p w14:paraId="01BAEBB3" w14:textId="77777777" w:rsidR="00071CFE" w:rsidRPr="00741122" w:rsidRDefault="00071CFE" w:rsidP="00412CFE">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Dziewięćdziesięciu siedmiu (97) pacjentom w ramien</w:t>
      </w:r>
      <w:r w:rsidR="00B17622" w:rsidRPr="00741122">
        <w:rPr>
          <w:rFonts w:ascii="Times New Roman" w:eastAsia="Times New Roman" w:hAnsi="Times New Roman" w:cs="Times New Roman"/>
          <w:sz w:val="22"/>
          <w:szCs w:val="22"/>
          <w:lang w:val="lt-LT"/>
        </w:rPr>
        <w:t>iu otrzymującym interferon alfa</w:t>
      </w:r>
      <w:r w:rsidRPr="00741122">
        <w:rPr>
          <w:rFonts w:ascii="Times New Roman" w:eastAsia="Times New Roman" w:hAnsi="Times New Roman" w:cs="Times New Roman"/>
          <w:sz w:val="22"/>
          <w:szCs w:val="22"/>
          <w:lang w:val="lt-LT"/>
        </w:rPr>
        <w:t xml:space="preserve">-2a i 131 pacjentom w ramieniu otrzymującym </w:t>
      </w:r>
      <w:r w:rsidR="004F202C">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zmniejszono dawkę interferonu alfa-2a z 9</w:t>
      </w:r>
      <w:r w:rsidR="00C6333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mln</w:t>
      </w:r>
      <w:r w:rsidR="00C5788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j.m. do</w:t>
      </w:r>
      <w:r w:rsidR="00B17622" w:rsidRPr="00741122">
        <w:rPr>
          <w:rFonts w:ascii="Times New Roman" w:eastAsia="Times New Roman" w:hAnsi="Times New Roman" w:cs="Times New Roman"/>
          <w:sz w:val="22"/>
          <w:szCs w:val="22"/>
          <w:lang w:val="lt-LT"/>
        </w:rPr>
        <w:t xml:space="preserve"> 6</w:t>
      </w:r>
      <w:r w:rsidR="00C6333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mln</w:t>
      </w:r>
      <w:r w:rsidR="00C5788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j.m. lub 3</w:t>
      </w:r>
      <w:r w:rsidR="00C6333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mln</w:t>
      </w:r>
      <w:r w:rsidR="00C5788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j.m. 3 razy na tydzień, jak to było ustalone na wstępie w protokole. Zmniejszenie dawki interferonu alfa-2a nie miało wpływu na skuteczność skojarzenia </w:t>
      </w:r>
      <w:r w:rsidR="004F202C">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i interferonu alfa-2a, w oparciu o odsetek występowania przeżyć do progresji choroby (PFS) w czasie, jak wykazano to w analizie podgrup badania. </w:t>
      </w:r>
      <w:r w:rsidR="006C42FD">
        <w:rPr>
          <w:rFonts w:ascii="Times New Roman" w:eastAsia="Times New Roman" w:hAnsi="Times New Roman" w:cs="Times New Roman"/>
          <w:sz w:val="22"/>
          <w:szCs w:val="22"/>
          <w:lang w:val="lt-LT"/>
        </w:rPr>
        <w:t xml:space="preserve">U </w:t>
      </w:r>
      <w:r w:rsidRPr="00741122">
        <w:rPr>
          <w:rFonts w:ascii="Times New Roman" w:eastAsia="Times New Roman" w:hAnsi="Times New Roman" w:cs="Times New Roman"/>
          <w:sz w:val="22"/>
          <w:szCs w:val="22"/>
          <w:lang w:val="lt-LT"/>
        </w:rPr>
        <w:t>131 pacjentów w ramieniu otrzymujący</w:t>
      </w:r>
      <w:r w:rsidR="006C42FD">
        <w:rPr>
          <w:rFonts w:ascii="Times New Roman" w:eastAsia="Times New Roman" w:hAnsi="Times New Roman" w:cs="Times New Roman"/>
          <w:sz w:val="22"/>
          <w:szCs w:val="22"/>
          <w:lang w:val="lt-LT"/>
        </w:rPr>
        <w:t>m</w:t>
      </w:r>
      <w:r w:rsidRPr="00741122">
        <w:rPr>
          <w:rFonts w:ascii="Times New Roman" w:eastAsia="Times New Roman" w:hAnsi="Times New Roman" w:cs="Times New Roman"/>
          <w:sz w:val="22"/>
          <w:szCs w:val="22"/>
          <w:lang w:val="lt-LT"/>
        </w:rPr>
        <w:t xml:space="preserve"> bewacyzumab</w:t>
      </w:r>
      <w:r w:rsidR="0041161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 interferon alfa-2a, którym zmniejszono dawkę i pozostawali </w:t>
      </w:r>
      <w:r w:rsidR="006C42FD">
        <w:rPr>
          <w:rFonts w:ascii="Times New Roman" w:eastAsia="Times New Roman" w:hAnsi="Times New Roman" w:cs="Times New Roman"/>
          <w:sz w:val="22"/>
          <w:szCs w:val="22"/>
          <w:lang w:val="lt-LT"/>
        </w:rPr>
        <w:t xml:space="preserve">oni </w:t>
      </w:r>
      <w:r w:rsidRPr="00741122">
        <w:rPr>
          <w:rFonts w:ascii="Times New Roman" w:eastAsia="Times New Roman" w:hAnsi="Times New Roman" w:cs="Times New Roman"/>
          <w:sz w:val="22"/>
          <w:szCs w:val="22"/>
          <w:lang w:val="lt-LT"/>
        </w:rPr>
        <w:t>leczeni dawką interferonu alfa-2a wynoszącą 6</w:t>
      </w:r>
      <w:r w:rsidR="00C6333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mln</w:t>
      </w:r>
      <w:r w:rsidR="00C5788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j.m. lub 3</w:t>
      </w:r>
      <w:r w:rsidR="00C6333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mln</w:t>
      </w:r>
      <w:r w:rsidR="00C57888">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j.m.</w:t>
      </w:r>
      <w:r w:rsidR="006C42F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czas do progresji choroby w 6</w:t>
      </w:r>
      <w:r w:rsidR="00254E7E">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12</w:t>
      </w:r>
      <w:r w:rsidR="00254E7E">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i 18</w:t>
      </w:r>
      <w:r w:rsidR="00254E7E">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miesiącu, wynos</w:t>
      </w:r>
      <w:r w:rsidR="006C42FD">
        <w:rPr>
          <w:rFonts w:ascii="Times New Roman" w:eastAsia="Times New Roman" w:hAnsi="Times New Roman" w:cs="Times New Roman"/>
          <w:sz w:val="22"/>
          <w:szCs w:val="22"/>
          <w:lang w:val="lt-LT"/>
        </w:rPr>
        <w:t>ił</w:t>
      </w:r>
      <w:r w:rsidRPr="00741122">
        <w:rPr>
          <w:rFonts w:ascii="Times New Roman" w:eastAsia="Times New Roman" w:hAnsi="Times New Roman" w:cs="Times New Roman"/>
          <w:sz w:val="22"/>
          <w:szCs w:val="22"/>
          <w:lang w:val="lt-LT"/>
        </w:rPr>
        <w:t xml:space="preserve"> odpowiednio: 73, 52 i 21%, w porównaniu </w:t>
      </w:r>
      <w:r w:rsidR="00254E7E">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61, 43 i 17% w całej populacji pacjentów otrzymujących </w:t>
      </w:r>
      <w:r w:rsidR="004F202C">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z interferonem alfa-2a.</w:t>
      </w:r>
    </w:p>
    <w:p w14:paraId="7AF0E1AE" w14:textId="5F753808" w:rsidR="00071CFE" w:rsidRDefault="00071CFE" w:rsidP="00412CFE">
      <w:pPr>
        <w:rPr>
          <w:rFonts w:ascii="Times New Roman" w:eastAsia="Times New Roman" w:hAnsi="Times New Roman" w:cs="Times New Roman"/>
          <w:sz w:val="22"/>
          <w:szCs w:val="22"/>
          <w:lang w:val="lt-LT"/>
        </w:rPr>
      </w:pPr>
    </w:p>
    <w:p w14:paraId="1F30F024" w14:textId="77777777" w:rsidR="005A5F0A" w:rsidRPr="002231C7" w:rsidRDefault="005A5F0A" w:rsidP="005A5F0A">
      <w:pPr>
        <w:pStyle w:val="CM2"/>
        <w:keepNext/>
        <w:widowControl/>
        <w:spacing w:line="240" w:lineRule="auto"/>
        <w:rPr>
          <w:sz w:val="22"/>
          <w:szCs w:val="22"/>
          <w:lang w:val="pl-PL"/>
        </w:rPr>
      </w:pPr>
      <w:r w:rsidRPr="002231C7">
        <w:rPr>
          <w:i/>
          <w:sz w:val="22"/>
          <w:lang w:val="pl-PL"/>
        </w:rPr>
        <w:lastRenderedPageBreak/>
        <w:t>AVF2938</w:t>
      </w:r>
    </w:p>
    <w:p w14:paraId="7D5DFEC8" w14:textId="4AD08C01" w:rsidR="000B473B" w:rsidRPr="000B473B" w:rsidRDefault="000B473B" w:rsidP="000B473B">
      <w:pPr>
        <w:autoSpaceDE w:val="0"/>
        <w:autoSpaceDN w:val="0"/>
        <w:adjustRightInd w:val="0"/>
        <w:rPr>
          <w:rFonts w:ascii="Arial" w:hAnsi="Arial"/>
          <w:color w:val="000000"/>
          <w:sz w:val="16"/>
          <w:szCs w:val="16"/>
          <w:lang w:val="pl-PL" w:eastAsia="pl-PL"/>
        </w:rPr>
      </w:pPr>
      <w:r w:rsidRPr="000B473B">
        <w:rPr>
          <w:rFonts w:ascii="Times New Roman" w:hAnsi="Times New Roman" w:cs="Times New Roman"/>
          <w:color w:val="000000"/>
          <w:sz w:val="22"/>
          <w:szCs w:val="22"/>
          <w:lang w:val="pl-PL" w:eastAsia="pl-PL"/>
        </w:rPr>
        <w:t xml:space="preserve">Przeprowadzono randomizowane, podwójnie </w:t>
      </w:r>
      <w:r>
        <w:rPr>
          <w:rFonts w:ascii="Times New Roman" w:hAnsi="Times New Roman" w:cs="Times New Roman"/>
          <w:color w:val="000000"/>
          <w:sz w:val="22"/>
          <w:szCs w:val="22"/>
          <w:lang w:val="pl-PL" w:eastAsia="pl-PL"/>
        </w:rPr>
        <w:t>zaślepione badanie kliniczne II </w:t>
      </w:r>
      <w:r w:rsidRPr="000B473B">
        <w:rPr>
          <w:rFonts w:ascii="Times New Roman" w:hAnsi="Times New Roman" w:cs="Times New Roman"/>
          <w:color w:val="000000"/>
          <w:sz w:val="22"/>
          <w:szCs w:val="22"/>
          <w:lang w:val="pl-PL" w:eastAsia="pl-PL"/>
        </w:rPr>
        <w:t xml:space="preserve">fazy porównujące </w:t>
      </w:r>
      <w:r>
        <w:rPr>
          <w:rFonts w:ascii="Times New Roman" w:hAnsi="Times New Roman" w:cs="Times New Roman"/>
          <w:color w:val="000000"/>
          <w:sz w:val="22"/>
          <w:szCs w:val="22"/>
          <w:lang w:val="pl-PL" w:eastAsia="pl-PL"/>
        </w:rPr>
        <w:t>bewacyzumab 10 </w:t>
      </w:r>
      <w:r w:rsidRPr="000B473B">
        <w:rPr>
          <w:rFonts w:ascii="Times New Roman" w:hAnsi="Times New Roman" w:cs="Times New Roman"/>
          <w:color w:val="000000"/>
          <w:sz w:val="22"/>
          <w:szCs w:val="22"/>
          <w:lang w:val="pl-PL" w:eastAsia="pl-PL"/>
        </w:rPr>
        <w:t xml:space="preserve">mg/kg mc. w dwutygodniowym schemacie podawania z tą samą dawką </w:t>
      </w:r>
      <w:r w:rsidR="000D3335">
        <w:rPr>
          <w:rFonts w:ascii="Times New Roman" w:hAnsi="Times New Roman" w:cs="Times New Roman"/>
          <w:color w:val="000000"/>
          <w:sz w:val="22"/>
          <w:szCs w:val="22"/>
          <w:lang w:val="pl-PL" w:eastAsia="pl-PL"/>
        </w:rPr>
        <w:t>bewacyzumabu</w:t>
      </w:r>
    </w:p>
    <w:p w14:paraId="3EC91DED" w14:textId="77777777" w:rsidR="00E25691" w:rsidRDefault="000B473B" w:rsidP="000B473B">
      <w:pPr>
        <w:pStyle w:val="CM2"/>
        <w:widowControl/>
        <w:spacing w:line="240" w:lineRule="auto"/>
        <w:rPr>
          <w:rFonts w:eastAsia="Calibri"/>
          <w:color w:val="000000"/>
          <w:sz w:val="22"/>
          <w:szCs w:val="22"/>
          <w:lang w:val="pl-PL" w:eastAsia="pl-PL"/>
        </w:rPr>
      </w:pPr>
      <w:r w:rsidRPr="000B473B">
        <w:rPr>
          <w:rFonts w:eastAsia="Calibri"/>
          <w:color w:val="000000"/>
          <w:sz w:val="22"/>
          <w:szCs w:val="22"/>
          <w:lang w:val="pl-PL" w:eastAsia="pl-PL"/>
        </w:rPr>
        <w:t>w skojarzeniu z dawką</w:t>
      </w:r>
      <w:r w:rsidR="000D3335">
        <w:rPr>
          <w:rFonts w:eastAsia="Calibri"/>
          <w:color w:val="000000"/>
          <w:sz w:val="22"/>
          <w:szCs w:val="22"/>
          <w:lang w:val="pl-PL" w:eastAsia="pl-PL"/>
        </w:rPr>
        <w:t xml:space="preserve"> 150 </w:t>
      </w:r>
      <w:r w:rsidRPr="000B473B">
        <w:rPr>
          <w:rFonts w:eastAsia="Calibri"/>
          <w:color w:val="000000"/>
          <w:sz w:val="22"/>
          <w:szCs w:val="22"/>
          <w:lang w:val="pl-PL" w:eastAsia="pl-PL"/>
        </w:rPr>
        <w:t>mg erlotynibu na dobę w grupie pacjentów z jasnokomórkowym rakiem nerki z przerzutami. W badaniu</w:t>
      </w:r>
      <w:r w:rsidR="000D3335">
        <w:rPr>
          <w:rFonts w:eastAsia="Calibri"/>
          <w:color w:val="000000"/>
          <w:sz w:val="22"/>
          <w:szCs w:val="22"/>
          <w:lang w:val="pl-PL" w:eastAsia="pl-PL"/>
        </w:rPr>
        <w:t xml:space="preserve"> zrandomizowano do leczenia 104 </w:t>
      </w:r>
      <w:r w:rsidRPr="000B473B">
        <w:rPr>
          <w:rFonts w:eastAsia="Calibri"/>
          <w:color w:val="000000"/>
          <w:sz w:val="22"/>
          <w:szCs w:val="22"/>
          <w:lang w:val="pl-PL" w:eastAsia="pl-PL"/>
        </w:rPr>
        <w:t>pacjentó</w:t>
      </w:r>
      <w:r w:rsidR="000D3335">
        <w:rPr>
          <w:rFonts w:eastAsia="Calibri"/>
          <w:color w:val="000000"/>
          <w:sz w:val="22"/>
          <w:szCs w:val="22"/>
          <w:lang w:val="pl-PL" w:eastAsia="pl-PL"/>
        </w:rPr>
        <w:t>w:</w:t>
      </w:r>
      <w:r w:rsidRPr="000B473B">
        <w:rPr>
          <w:rFonts w:eastAsia="Calibri"/>
          <w:color w:val="000000"/>
          <w:sz w:val="22"/>
          <w:szCs w:val="22"/>
          <w:lang w:val="pl-PL" w:eastAsia="pl-PL"/>
        </w:rPr>
        <w:t xml:space="preserve"> </w:t>
      </w:r>
      <w:r w:rsidR="000D3335">
        <w:rPr>
          <w:rFonts w:eastAsia="Calibri"/>
          <w:color w:val="000000"/>
          <w:sz w:val="22"/>
          <w:szCs w:val="22"/>
          <w:lang w:val="pl-PL" w:eastAsia="pl-PL"/>
        </w:rPr>
        <w:t>53 </w:t>
      </w:r>
      <w:r w:rsidRPr="000B473B">
        <w:rPr>
          <w:rFonts w:eastAsia="Calibri"/>
          <w:color w:val="000000"/>
          <w:sz w:val="22"/>
          <w:szCs w:val="22"/>
          <w:lang w:val="pl-PL" w:eastAsia="pl-PL"/>
        </w:rPr>
        <w:t xml:space="preserve">pacjentów otrzymywało </w:t>
      </w:r>
      <w:r w:rsidR="000D3335">
        <w:rPr>
          <w:rFonts w:eastAsia="Calibri"/>
          <w:color w:val="000000"/>
          <w:sz w:val="22"/>
          <w:szCs w:val="22"/>
          <w:lang w:val="pl-PL" w:eastAsia="pl-PL"/>
        </w:rPr>
        <w:t>bewacyzumab w dawce 10 mg/kg mc. co 2 </w:t>
      </w:r>
      <w:r w:rsidRPr="000B473B">
        <w:rPr>
          <w:rFonts w:eastAsia="Calibri"/>
          <w:color w:val="000000"/>
          <w:sz w:val="22"/>
          <w:szCs w:val="22"/>
          <w:lang w:val="pl-PL" w:eastAsia="pl-PL"/>
        </w:rPr>
        <w:t xml:space="preserve">tygodnie razem z placebo, </w:t>
      </w:r>
      <w:r w:rsidR="000D3335">
        <w:rPr>
          <w:rFonts w:eastAsia="Calibri"/>
          <w:color w:val="000000"/>
          <w:sz w:val="22"/>
          <w:szCs w:val="22"/>
          <w:lang w:val="pl-PL" w:eastAsia="pl-PL"/>
        </w:rPr>
        <w:t>51 pacjentów otrzymywało bewacyzumab w dawce 10 mg/kg mc. co 2 </w:t>
      </w:r>
      <w:r w:rsidRPr="000B473B">
        <w:rPr>
          <w:rFonts w:eastAsia="Calibri"/>
          <w:color w:val="000000"/>
          <w:sz w:val="22"/>
          <w:szCs w:val="22"/>
          <w:lang w:val="pl-PL" w:eastAsia="pl-PL"/>
        </w:rPr>
        <w:t>t</w:t>
      </w:r>
      <w:r w:rsidR="000D3335">
        <w:rPr>
          <w:rFonts w:eastAsia="Calibri"/>
          <w:color w:val="000000"/>
          <w:sz w:val="22"/>
          <w:szCs w:val="22"/>
          <w:lang w:val="pl-PL" w:eastAsia="pl-PL"/>
        </w:rPr>
        <w:t>ygodnie razem z erlotynibem 150 </w:t>
      </w:r>
      <w:r w:rsidRPr="000B473B">
        <w:rPr>
          <w:rFonts w:eastAsia="Calibri"/>
          <w:color w:val="000000"/>
          <w:sz w:val="22"/>
          <w:szCs w:val="22"/>
          <w:lang w:val="pl-PL" w:eastAsia="pl-PL"/>
        </w:rPr>
        <w:t xml:space="preserve">mg na dobę. Analiza pierwszorzędowego punktu końcowego nie wykazała różnicy między ramionami </w:t>
      </w:r>
      <w:r w:rsidR="000D3335">
        <w:rPr>
          <w:rFonts w:eastAsia="Calibri"/>
          <w:color w:val="000000"/>
          <w:sz w:val="22"/>
          <w:szCs w:val="22"/>
          <w:lang w:val="pl-PL" w:eastAsia="pl-PL"/>
        </w:rPr>
        <w:t xml:space="preserve">bewacyzumab </w:t>
      </w:r>
      <w:r w:rsidRPr="000B473B">
        <w:rPr>
          <w:rFonts w:eastAsia="Calibri"/>
          <w:color w:val="000000"/>
          <w:sz w:val="22"/>
          <w:szCs w:val="22"/>
          <w:lang w:val="pl-PL" w:eastAsia="pl-PL"/>
        </w:rPr>
        <w:t xml:space="preserve">+ placebo i </w:t>
      </w:r>
      <w:r w:rsidR="000D3335">
        <w:rPr>
          <w:rFonts w:eastAsia="Calibri"/>
          <w:color w:val="000000"/>
          <w:sz w:val="22"/>
          <w:szCs w:val="22"/>
          <w:lang w:val="pl-PL" w:eastAsia="pl-PL"/>
        </w:rPr>
        <w:t xml:space="preserve">bewacyzumab </w:t>
      </w:r>
      <w:r w:rsidRPr="000B473B">
        <w:rPr>
          <w:rFonts w:eastAsia="Calibri"/>
          <w:color w:val="000000"/>
          <w:sz w:val="22"/>
          <w:szCs w:val="22"/>
          <w:lang w:val="pl-PL" w:eastAsia="pl-PL"/>
        </w:rPr>
        <w:t>+ erlotynib (mediana czasu wolnego od progresji 8,5 vs. 9,9). Siedmiu pacjentów w każdym z ramion wykazał</w:t>
      </w:r>
      <w:r w:rsidR="000D3335">
        <w:rPr>
          <w:rFonts w:eastAsia="Calibri"/>
          <w:color w:val="000000"/>
          <w:sz w:val="22"/>
          <w:szCs w:val="22"/>
          <w:lang w:val="pl-PL" w:eastAsia="pl-PL"/>
        </w:rPr>
        <w:t>o obiektywną</w:t>
      </w:r>
      <w:r w:rsidRPr="000B473B">
        <w:rPr>
          <w:rFonts w:eastAsia="Calibri"/>
          <w:color w:val="000000"/>
          <w:sz w:val="22"/>
          <w:szCs w:val="22"/>
          <w:lang w:val="pl-PL" w:eastAsia="pl-PL"/>
        </w:rPr>
        <w:t xml:space="preserve"> odpowiedź. Dodanie erlotynibu do bewacyzumabu nie spowodowało poprawy czasu przeżycia cał</w:t>
      </w:r>
      <w:r w:rsidR="000D3335">
        <w:rPr>
          <w:rFonts w:eastAsia="Calibri"/>
          <w:color w:val="000000"/>
          <w:sz w:val="22"/>
          <w:szCs w:val="22"/>
          <w:lang w:val="pl-PL" w:eastAsia="pl-PL"/>
        </w:rPr>
        <w:t>kowitego – OS (HR = 1,764; p = </w:t>
      </w:r>
      <w:r w:rsidRPr="000B473B">
        <w:rPr>
          <w:rFonts w:eastAsia="Calibri"/>
          <w:color w:val="000000"/>
          <w:sz w:val="22"/>
          <w:szCs w:val="22"/>
          <w:lang w:val="pl-PL" w:eastAsia="pl-PL"/>
        </w:rPr>
        <w:t>0,1789), długości czasu występowania obie</w:t>
      </w:r>
      <w:r w:rsidR="000D3335">
        <w:rPr>
          <w:rFonts w:eastAsia="Calibri"/>
          <w:color w:val="000000"/>
          <w:sz w:val="22"/>
          <w:szCs w:val="22"/>
          <w:lang w:val="pl-PL" w:eastAsia="pl-PL"/>
        </w:rPr>
        <w:t>ktywnej odpowiedzi (6,7 vs. 9,1 </w:t>
      </w:r>
      <w:r w:rsidRPr="000B473B">
        <w:rPr>
          <w:rFonts w:eastAsia="Calibri"/>
          <w:color w:val="000000"/>
          <w:sz w:val="22"/>
          <w:szCs w:val="22"/>
          <w:lang w:val="pl-PL" w:eastAsia="pl-PL"/>
        </w:rPr>
        <w:t>miesiąca) czy czasu do progresji objawó</w:t>
      </w:r>
      <w:r w:rsidR="000D3335">
        <w:rPr>
          <w:rFonts w:eastAsia="Calibri"/>
          <w:color w:val="000000"/>
          <w:sz w:val="22"/>
          <w:szCs w:val="22"/>
          <w:lang w:val="pl-PL" w:eastAsia="pl-PL"/>
        </w:rPr>
        <w:t>w (HR = 1,172; p = </w:t>
      </w:r>
      <w:r w:rsidRPr="000B473B">
        <w:rPr>
          <w:rFonts w:eastAsia="Calibri"/>
          <w:color w:val="000000"/>
          <w:sz w:val="22"/>
          <w:szCs w:val="22"/>
          <w:lang w:val="pl-PL" w:eastAsia="pl-PL"/>
        </w:rPr>
        <w:t>0,5076).</w:t>
      </w:r>
    </w:p>
    <w:p w14:paraId="2EF385A4" w14:textId="77777777" w:rsidR="005A5F0A" w:rsidRPr="00741122" w:rsidRDefault="005A5F0A" w:rsidP="00412CFE">
      <w:pPr>
        <w:rPr>
          <w:rFonts w:ascii="Times New Roman" w:eastAsia="Times New Roman" w:hAnsi="Times New Roman" w:cs="Times New Roman"/>
          <w:sz w:val="22"/>
          <w:szCs w:val="22"/>
          <w:lang w:val="lt-LT"/>
        </w:rPr>
      </w:pPr>
    </w:p>
    <w:p w14:paraId="060EBE23" w14:textId="77777777" w:rsidR="00071CFE" w:rsidRPr="00741122" w:rsidRDefault="00071CFE" w:rsidP="005A497F">
      <w:pPr>
        <w:keepNext/>
        <w:keepLines/>
        <w:rPr>
          <w:rFonts w:ascii="Times New Roman" w:eastAsia="Times New Roman" w:hAnsi="Times New Roman" w:cs="Times New Roman"/>
          <w:i/>
          <w:sz w:val="22"/>
          <w:szCs w:val="22"/>
          <w:lang w:val="lt-LT"/>
        </w:rPr>
      </w:pPr>
      <w:bookmarkStart w:id="42" w:name="page40"/>
      <w:bookmarkEnd w:id="42"/>
      <w:r w:rsidRPr="00741122">
        <w:rPr>
          <w:rFonts w:ascii="Times New Roman" w:eastAsia="Times New Roman" w:hAnsi="Times New Roman" w:cs="Times New Roman"/>
          <w:i/>
          <w:sz w:val="22"/>
          <w:szCs w:val="22"/>
          <w:lang w:val="lt-LT"/>
        </w:rPr>
        <w:t>AVF0890</w:t>
      </w:r>
    </w:p>
    <w:p w14:paraId="7EA0FABC" w14:textId="000009F7" w:rsidR="00071CFE" w:rsidRPr="00741122" w:rsidRDefault="00071CFE" w:rsidP="005A497F">
      <w:pPr>
        <w:keepNext/>
        <w:keepLine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To randomizowane badanie II fazy zaprojektowano by porównać skuteczność i bezpieczeństwo stosowania bewacyzumabu vs. placebo. Ogólnie do badania przydzielono losowo 116 pacjentów</w:t>
      </w:r>
      <w:r w:rsidR="00330B9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39 (n</w:t>
      </w:r>
      <w:r w:rsidR="00EF0453">
        <w:rPr>
          <w:rFonts w:ascii="Times New Roman" w:eastAsia="Times New Roman" w:hAnsi="Times New Roman" w:cs="Times New Roman"/>
          <w:sz w:val="22"/>
          <w:szCs w:val="22"/>
          <w:lang w:val="lt-LT"/>
        </w:rPr>
        <w:t> </w:t>
      </w:r>
      <w:r w:rsidR="00411610" w:rsidRPr="00741122">
        <w:rPr>
          <w:rFonts w:ascii="Times New Roman" w:eastAsia="Times New Roman" w:hAnsi="Times New Roman" w:cs="Times New Roman"/>
          <w:sz w:val="22"/>
          <w:szCs w:val="22"/>
          <w:lang w:val="lt-LT"/>
        </w:rPr>
        <w:t>=</w:t>
      </w:r>
      <w:r w:rsidR="00EF0453">
        <w:rPr>
          <w:rFonts w:ascii="Times New Roman" w:eastAsia="Times New Roman" w:hAnsi="Times New Roman" w:cs="Times New Roman"/>
          <w:sz w:val="22"/>
          <w:szCs w:val="22"/>
          <w:lang w:val="lt-LT"/>
        </w:rPr>
        <w:t> </w:t>
      </w:r>
      <w:r w:rsidR="00411610" w:rsidRPr="00741122">
        <w:rPr>
          <w:rFonts w:ascii="Times New Roman" w:eastAsia="Times New Roman" w:hAnsi="Times New Roman" w:cs="Times New Roman"/>
          <w:sz w:val="22"/>
          <w:szCs w:val="22"/>
          <w:lang w:val="lt-LT"/>
        </w:rPr>
        <w:t>39) otrzymywało bewacyzumab 3 </w:t>
      </w:r>
      <w:r w:rsidRPr="00741122">
        <w:rPr>
          <w:rFonts w:ascii="Times New Roman" w:eastAsia="Times New Roman" w:hAnsi="Times New Roman" w:cs="Times New Roman"/>
          <w:sz w:val="22"/>
          <w:szCs w:val="22"/>
          <w:lang w:val="lt-LT"/>
        </w:rPr>
        <w:t>mg/kg</w:t>
      </w:r>
      <w:r w:rsidR="00CD0D5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co 2 tygod</w:t>
      </w:r>
      <w:r w:rsidR="00411610" w:rsidRPr="00741122">
        <w:rPr>
          <w:rFonts w:ascii="Times New Roman" w:eastAsia="Times New Roman" w:hAnsi="Times New Roman" w:cs="Times New Roman"/>
          <w:sz w:val="22"/>
          <w:szCs w:val="22"/>
          <w:lang w:val="lt-LT"/>
        </w:rPr>
        <w:t>nie, 37 (n</w:t>
      </w:r>
      <w:r w:rsidR="00EF0453">
        <w:rPr>
          <w:rFonts w:ascii="Times New Roman" w:eastAsia="Times New Roman" w:hAnsi="Times New Roman" w:cs="Times New Roman"/>
          <w:sz w:val="22"/>
          <w:szCs w:val="22"/>
          <w:lang w:val="lt-LT"/>
        </w:rPr>
        <w:t> </w:t>
      </w:r>
      <w:r w:rsidR="00411610" w:rsidRPr="00741122">
        <w:rPr>
          <w:rFonts w:ascii="Times New Roman" w:eastAsia="Times New Roman" w:hAnsi="Times New Roman" w:cs="Times New Roman"/>
          <w:sz w:val="22"/>
          <w:szCs w:val="22"/>
          <w:lang w:val="lt-LT"/>
        </w:rPr>
        <w:t>=</w:t>
      </w:r>
      <w:r w:rsidR="00EF0453">
        <w:rPr>
          <w:rFonts w:ascii="Times New Roman" w:eastAsia="Times New Roman" w:hAnsi="Times New Roman" w:cs="Times New Roman"/>
          <w:sz w:val="22"/>
          <w:szCs w:val="22"/>
          <w:lang w:val="lt-LT"/>
        </w:rPr>
        <w:t> </w:t>
      </w:r>
      <w:r w:rsidR="00411610" w:rsidRPr="00741122">
        <w:rPr>
          <w:rFonts w:ascii="Times New Roman" w:eastAsia="Times New Roman" w:hAnsi="Times New Roman" w:cs="Times New Roman"/>
          <w:sz w:val="22"/>
          <w:szCs w:val="22"/>
          <w:lang w:val="lt-LT"/>
        </w:rPr>
        <w:t>37) bewacyzumab 10 </w:t>
      </w:r>
      <w:r w:rsidRPr="00741122">
        <w:rPr>
          <w:rFonts w:ascii="Times New Roman" w:eastAsia="Times New Roman" w:hAnsi="Times New Roman" w:cs="Times New Roman"/>
          <w:sz w:val="22"/>
          <w:szCs w:val="22"/>
          <w:lang w:val="lt-LT"/>
        </w:rPr>
        <w:t>mg/kg</w:t>
      </w:r>
      <w:r w:rsidR="00CD0D5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co 2 tygodnie a 40 (n</w:t>
      </w:r>
      <w:r w:rsidR="00EF045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EF045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40) placebo. Analiza w trakcie badania wykaza</w:t>
      </w:r>
      <w:r w:rsidR="00411610" w:rsidRPr="00741122">
        <w:rPr>
          <w:rFonts w:ascii="Times New Roman" w:eastAsia="Times New Roman" w:hAnsi="Times New Roman" w:cs="Times New Roman"/>
          <w:sz w:val="22"/>
          <w:szCs w:val="22"/>
          <w:lang w:val="lt-LT"/>
        </w:rPr>
        <w:t>ła, że w grupie otrzymującej 10 </w:t>
      </w:r>
      <w:r w:rsidRPr="00741122">
        <w:rPr>
          <w:rFonts w:ascii="Times New Roman" w:eastAsia="Times New Roman" w:hAnsi="Times New Roman" w:cs="Times New Roman"/>
          <w:sz w:val="22"/>
          <w:szCs w:val="22"/>
          <w:lang w:val="lt-LT"/>
        </w:rPr>
        <w:t>mg/kg</w:t>
      </w:r>
      <w:r w:rsidR="00EF0453">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bewacyzumabu w porównaniu z grupą placebo wystąpiła mała różnica dotycząca wydłużenia czasu do progresji choroby (współczynnik ryzyka względnego, 2,55; p</w:t>
      </w:r>
      <w:r w:rsidR="00CD0D5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&lt;</w:t>
      </w:r>
      <w:r w:rsidR="00CD0D5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0,001). Zaobserwowano również graniczną znamienność między czasem do progresji </w:t>
      </w:r>
      <w:r w:rsidR="00411610" w:rsidRPr="00741122">
        <w:rPr>
          <w:rFonts w:ascii="Times New Roman" w:eastAsia="Times New Roman" w:hAnsi="Times New Roman" w:cs="Times New Roman"/>
          <w:sz w:val="22"/>
          <w:szCs w:val="22"/>
          <w:lang w:val="lt-LT"/>
        </w:rPr>
        <w:t>choroby w grupie otrzymującej 3 </w:t>
      </w:r>
      <w:r w:rsidRPr="00741122">
        <w:rPr>
          <w:rFonts w:ascii="Times New Roman" w:eastAsia="Times New Roman" w:hAnsi="Times New Roman" w:cs="Times New Roman"/>
          <w:sz w:val="22"/>
          <w:szCs w:val="22"/>
          <w:lang w:val="lt-LT"/>
        </w:rPr>
        <w:t>mg/kg</w:t>
      </w:r>
      <w:r w:rsidR="00CD0D5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bewacyzumabu w porównaniu do grupy placebo (współczynnik ryzyka względnego, 1,26; p</w:t>
      </w:r>
      <w:r w:rsidR="00CD0D57">
        <w:rPr>
          <w:rFonts w:ascii="Times New Roman" w:eastAsia="Times New Roman" w:hAnsi="Times New Roman" w:cs="Times New Roman"/>
          <w:sz w:val="22"/>
          <w:szCs w:val="22"/>
          <w:lang w:val="lt-LT"/>
        </w:rPr>
        <w:t> </w:t>
      </w:r>
      <w:r w:rsidR="00002B20">
        <w:rPr>
          <w:rFonts w:ascii="Times New Roman" w:eastAsia="Times New Roman" w:hAnsi="Times New Roman" w:cs="Times New Roman"/>
          <w:sz w:val="22"/>
          <w:szCs w:val="22"/>
          <w:lang w:val="lt-LT"/>
        </w:rPr>
        <w:t>=</w:t>
      </w:r>
      <w:r w:rsidR="00CD0D5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0,053). Czworo pacjentów miało obiektywną (częściową) odpowiedź na leczenie, </w:t>
      </w:r>
      <w:r w:rsidR="00E43E0B">
        <w:rPr>
          <w:rFonts w:ascii="Times New Roman" w:eastAsia="Times New Roman" w:hAnsi="Times New Roman" w:cs="Times New Roman"/>
          <w:sz w:val="22"/>
          <w:szCs w:val="22"/>
          <w:lang w:val="lt-LT"/>
        </w:rPr>
        <w:t xml:space="preserve">a </w:t>
      </w:r>
      <w:r w:rsidR="00F93C93">
        <w:rPr>
          <w:rFonts w:ascii="Times New Roman" w:eastAsia="Times New Roman" w:hAnsi="Times New Roman" w:cs="Times New Roman"/>
          <w:sz w:val="22"/>
          <w:szCs w:val="22"/>
          <w:lang w:val="lt-LT"/>
        </w:rPr>
        <w:t>u wszystkich</w:t>
      </w:r>
      <w:r w:rsidRPr="00741122">
        <w:rPr>
          <w:rFonts w:ascii="Times New Roman" w:eastAsia="Times New Roman" w:hAnsi="Times New Roman" w:cs="Times New Roman"/>
          <w:sz w:val="22"/>
          <w:szCs w:val="22"/>
          <w:lang w:val="lt-LT"/>
        </w:rPr>
        <w:t xml:space="preserve"> którzy otrzymali </w:t>
      </w:r>
      <w:r w:rsidR="00411610" w:rsidRPr="00741122">
        <w:rPr>
          <w:rFonts w:ascii="Times New Roman" w:eastAsia="Times New Roman" w:hAnsi="Times New Roman" w:cs="Times New Roman"/>
          <w:sz w:val="22"/>
          <w:szCs w:val="22"/>
          <w:lang w:val="lt-LT"/>
        </w:rPr>
        <w:t>bewacyzumab w dawce 10 </w:t>
      </w:r>
      <w:r w:rsidRPr="00741122">
        <w:rPr>
          <w:rFonts w:ascii="Times New Roman" w:eastAsia="Times New Roman" w:hAnsi="Times New Roman" w:cs="Times New Roman"/>
          <w:sz w:val="22"/>
          <w:szCs w:val="22"/>
          <w:lang w:val="lt-LT"/>
        </w:rPr>
        <w:t>mg/kg</w:t>
      </w:r>
      <w:r w:rsidR="00CD0D57">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mc. współczynnik całkowitej odpowiedzi na leczenie </w:t>
      </w:r>
      <w:r w:rsidR="00100305">
        <w:rPr>
          <w:rFonts w:ascii="Times New Roman" w:eastAsia="Times New Roman" w:hAnsi="Times New Roman" w:cs="Times New Roman"/>
          <w:sz w:val="22"/>
          <w:szCs w:val="22"/>
          <w:lang w:val="lt-LT"/>
        </w:rPr>
        <w:t xml:space="preserve">(ORR) </w:t>
      </w:r>
      <w:r w:rsidR="00F93C93">
        <w:rPr>
          <w:rFonts w:ascii="Times New Roman" w:eastAsia="Times New Roman" w:hAnsi="Times New Roman" w:cs="Times New Roman"/>
          <w:sz w:val="22"/>
          <w:szCs w:val="22"/>
          <w:lang w:val="lt-LT"/>
        </w:rPr>
        <w:t>wynosił</w:t>
      </w:r>
      <w:r w:rsidR="00F93C93"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10%.</w:t>
      </w:r>
    </w:p>
    <w:p w14:paraId="00BFFD14" w14:textId="77777777" w:rsidR="00071CFE" w:rsidRPr="00741122" w:rsidRDefault="00071CFE" w:rsidP="00412CFE">
      <w:pPr>
        <w:rPr>
          <w:rFonts w:ascii="Times New Roman" w:eastAsia="Times New Roman" w:hAnsi="Times New Roman" w:cs="Times New Roman"/>
          <w:sz w:val="22"/>
          <w:szCs w:val="22"/>
          <w:lang w:val="lt-LT"/>
        </w:rPr>
      </w:pPr>
    </w:p>
    <w:p w14:paraId="605CA8A1" w14:textId="77777777" w:rsidR="002C52CD" w:rsidRPr="00741122" w:rsidRDefault="00071CFE" w:rsidP="00B82E4B">
      <w:pPr>
        <w:keepNext/>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Rak jajnika, rak jajowodu i pierwotny rak otrzewnej</w:t>
      </w:r>
    </w:p>
    <w:p w14:paraId="5DBE0373" w14:textId="77777777" w:rsidR="002C52CD" w:rsidRPr="00741122" w:rsidRDefault="002C52CD" w:rsidP="00B82E4B">
      <w:pPr>
        <w:keepNext/>
        <w:rPr>
          <w:rFonts w:ascii="Times New Roman" w:eastAsia="Times New Roman" w:hAnsi="Times New Roman" w:cs="Times New Roman"/>
          <w:i/>
          <w:sz w:val="22"/>
          <w:szCs w:val="22"/>
          <w:u w:val="single"/>
          <w:lang w:val="lt-LT"/>
        </w:rPr>
      </w:pPr>
    </w:p>
    <w:p w14:paraId="5D974BB6" w14:textId="77777777" w:rsidR="00071CFE" w:rsidRPr="00741122" w:rsidRDefault="00071CFE" w:rsidP="00B82E4B">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Leczenie pierwszego rzutu u pacjentek z rakiem jajnika</w:t>
      </w:r>
    </w:p>
    <w:p w14:paraId="10406567" w14:textId="77777777" w:rsidR="00412CFE" w:rsidRPr="00741122" w:rsidRDefault="00412CFE" w:rsidP="00B82E4B">
      <w:pPr>
        <w:rPr>
          <w:rFonts w:ascii="Times New Roman" w:eastAsia="Times New Roman" w:hAnsi="Times New Roman" w:cs="Times New Roman"/>
          <w:i/>
          <w:sz w:val="22"/>
          <w:szCs w:val="22"/>
          <w:lang w:val="lt-LT"/>
        </w:rPr>
      </w:pPr>
    </w:p>
    <w:p w14:paraId="117EE38F" w14:textId="77777777" w:rsidR="00071CFE" w:rsidRPr="00741122" w:rsidRDefault="00071CFE" w:rsidP="00B82E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Skuteczność i bezpieczeństwo </w:t>
      </w:r>
      <w:r w:rsidR="004F202C">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pierwszej linii leczenia u pacjentek z rakiem jajnika, rakiem jajowodu i pierwotnym rakiem otrzewnej były przedmiotem dwóch badań fazy III (GOG-0218 i BO17707), w których oceniano </w:t>
      </w:r>
      <w:r w:rsidR="004F202C">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dodany do schematu zawierającego karboplatynę i paklitaksel, w porównaniu </w:t>
      </w:r>
      <w:r w:rsidR="00CD0D57">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sam</w:t>
      </w:r>
      <w:r w:rsidR="00CD0D57">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chemioterapi</w:t>
      </w:r>
      <w:r w:rsidR="00CD0D57">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karboplatyną z paklitakselem.</w:t>
      </w:r>
    </w:p>
    <w:p w14:paraId="4BEC8ED5" w14:textId="77777777" w:rsidR="00071CFE" w:rsidRPr="00741122" w:rsidRDefault="00071CFE" w:rsidP="00B82E4B">
      <w:pPr>
        <w:rPr>
          <w:rFonts w:ascii="Times New Roman" w:eastAsia="Times New Roman" w:hAnsi="Times New Roman" w:cs="Times New Roman"/>
          <w:sz w:val="22"/>
          <w:szCs w:val="22"/>
          <w:lang w:val="lt-LT"/>
        </w:rPr>
      </w:pPr>
    </w:p>
    <w:p w14:paraId="4D306FD3" w14:textId="77777777" w:rsidR="00071CFE" w:rsidRPr="00741122" w:rsidRDefault="00071CFE" w:rsidP="00B82E4B">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GOG-0218</w:t>
      </w:r>
    </w:p>
    <w:p w14:paraId="563EC173" w14:textId="77777777" w:rsidR="00071CFE" w:rsidRPr="00741122" w:rsidRDefault="00071CFE" w:rsidP="00B82E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Badanie GOG-0218 było wieloośrodkowym randomizowanym badaniem fazy III, z podwójnie ślepą próbą i kontrolą placebo, prowadzonym w trzech grupach. W badaniu tym oceniano </w:t>
      </w:r>
      <w:r w:rsidR="004F202C">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dodany do zatwierdzonej chemioterapii (karboplatyna i paklitaksel) u chorych na zaawansowanego (w stadium IIIB, IIIC i IV wg klasyfikacji FIGO, wersja z 1988 r.) raka jajnika, raka jajowodu lub pierwotnego raka otrzewnej.</w:t>
      </w:r>
    </w:p>
    <w:p w14:paraId="409043C6" w14:textId="77777777" w:rsidR="00071CFE" w:rsidRPr="00741122" w:rsidRDefault="00071CFE" w:rsidP="00B82E4B">
      <w:pPr>
        <w:rPr>
          <w:rFonts w:ascii="Times New Roman" w:eastAsia="Times New Roman" w:hAnsi="Times New Roman" w:cs="Times New Roman"/>
          <w:sz w:val="22"/>
          <w:szCs w:val="22"/>
          <w:lang w:val="lt-LT"/>
        </w:rPr>
      </w:pPr>
    </w:p>
    <w:p w14:paraId="7984EB74" w14:textId="77777777" w:rsidR="00071CFE" w:rsidRPr="00741122" w:rsidRDefault="00071CFE" w:rsidP="00B82E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 badania zostały wyłączone pacjentki leczone uprzednio bewacyzumabem lub otrzymujące leczenie systemowe z powodu raka jajnika (np. chemioterapię, terapię przeciwciałami monoklonalnymi, inhibitorami kinazy tyrozynowej lub terapię hormonalną) oraz pacjentki poddawane naświetlaniom jamy brzusznej lub miednicy.</w:t>
      </w:r>
    </w:p>
    <w:p w14:paraId="7B49A9E3" w14:textId="77777777" w:rsidR="00071CFE" w:rsidRPr="00741122" w:rsidRDefault="00071CFE" w:rsidP="00B82E4B">
      <w:pPr>
        <w:rPr>
          <w:rFonts w:ascii="Times New Roman" w:eastAsia="Times New Roman" w:hAnsi="Times New Roman" w:cs="Times New Roman"/>
          <w:sz w:val="22"/>
          <w:szCs w:val="22"/>
          <w:lang w:val="lt-LT"/>
        </w:rPr>
      </w:pPr>
    </w:p>
    <w:p w14:paraId="54076745" w14:textId="77777777" w:rsidR="00071CFE" w:rsidRPr="00741122" w:rsidRDefault="00071CFE" w:rsidP="0023471C">
      <w:pPr>
        <w:keepNex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Łącznie zrandomizowano 1873 pacjentek w równych proporcjach do leczenia według następujących schematów:</w:t>
      </w:r>
    </w:p>
    <w:p w14:paraId="3B119B02" w14:textId="77777777" w:rsidR="00071CFE" w:rsidRPr="00741122" w:rsidRDefault="00071CFE" w:rsidP="0023471C">
      <w:pPr>
        <w:keepNext/>
        <w:rPr>
          <w:rFonts w:ascii="Times New Roman" w:eastAsia="Times New Roman" w:hAnsi="Times New Roman"/>
          <w:lang w:val="lt-LT"/>
        </w:rPr>
      </w:pPr>
    </w:p>
    <w:p w14:paraId="2D746682" w14:textId="21954218" w:rsidR="00071CFE" w:rsidRPr="00741122" w:rsidRDefault="00071CFE" w:rsidP="008326F1">
      <w:pPr>
        <w:numPr>
          <w:ilvl w:val="0"/>
          <w:numId w:val="85"/>
        </w:numPr>
        <w:tabs>
          <w:tab w:val="left" w:pos="567"/>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Grupa CPP: pięć cykli placebo (początek podawania w cyklu 2) w skojarzeniu z karboplatyną (AUC 6) i paklitak</w:t>
      </w:r>
      <w:r w:rsidR="00411610" w:rsidRPr="00741122">
        <w:rPr>
          <w:rFonts w:ascii="Times New Roman" w:eastAsia="Times New Roman" w:hAnsi="Times New Roman" w:cs="Times New Roman"/>
          <w:sz w:val="22"/>
          <w:szCs w:val="22"/>
          <w:lang w:val="lt-LT"/>
        </w:rPr>
        <w:t>selem (175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przez 6 cykli, a następnie placebo w monoterapii, przez maksymalnie 15 miesięcy</w:t>
      </w:r>
      <w:r w:rsidR="00100305">
        <w:rPr>
          <w:rFonts w:ascii="Times New Roman" w:eastAsia="Times New Roman" w:hAnsi="Times New Roman" w:cs="Times New Roman"/>
          <w:sz w:val="22"/>
          <w:szCs w:val="22"/>
          <w:lang w:val="lt-LT"/>
        </w:rPr>
        <w:t>.</w:t>
      </w:r>
    </w:p>
    <w:p w14:paraId="658D4757" w14:textId="0E721D21" w:rsidR="00071CFE" w:rsidRPr="00741122" w:rsidRDefault="00071CFE" w:rsidP="008326F1">
      <w:pPr>
        <w:numPr>
          <w:ilvl w:val="0"/>
          <w:numId w:val="85"/>
        </w:numPr>
        <w:tabs>
          <w:tab w:val="left" w:pos="567"/>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 xml:space="preserve">Grupa CPB15: </w:t>
      </w:r>
      <w:r w:rsidR="00411610" w:rsidRPr="00741122">
        <w:rPr>
          <w:rFonts w:ascii="Times New Roman" w:eastAsia="Times New Roman" w:hAnsi="Times New Roman" w:cs="Times New Roman"/>
          <w:sz w:val="22"/>
          <w:szCs w:val="22"/>
          <w:lang w:val="lt-LT"/>
        </w:rPr>
        <w:t xml:space="preserve">pięć cykli </w:t>
      </w:r>
      <w:r w:rsidR="00B14B20">
        <w:rPr>
          <w:rFonts w:ascii="Times New Roman" w:eastAsia="Times New Roman" w:hAnsi="Times New Roman" w:cs="Times New Roman"/>
          <w:sz w:val="22"/>
          <w:szCs w:val="22"/>
          <w:lang w:val="lt-LT"/>
        </w:rPr>
        <w:t>bewacyzumabu</w:t>
      </w:r>
      <w:r w:rsidR="00411610" w:rsidRPr="00741122">
        <w:rPr>
          <w:rFonts w:ascii="Times New Roman" w:eastAsia="Times New Roman" w:hAnsi="Times New Roman" w:cs="Times New Roman"/>
          <w:sz w:val="22"/>
          <w:szCs w:val="22"/>
          <w:lang w:val="lt-LT"/>
        </w:rPr>
        <w:t xml:space="preserve"> (15 </w:t>
      </w:r>
      <w:r w:rsidRPr="00741122">
        <w:rPr>
          <w:rFonts w:ascii="Times New Roman" w:eastAsia="Times New Roman" w:hAnsi="Times New Roman" w:cs="Times New Roman"/>
          <w:sz w:val="22"/>
          <w:szCs w:val="22"/>
          <w:lang w:val="lt-LT"/>
        </w:rPr>
        <w:t>mg/kg</w:t>
      </w:r>
      <w:r w:rsidR="00577FB8">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raz na trzy tygodnie, początek podawania w cyklu 2) w skojarzeniu z karboplatyną (AUC 6) i paklitakselem </w:t>
      </w:r>
      <w:r w:rsidR="00411610" w:rsidRPr="00741122">
        <w:rPr>
          <w:rFonts w:ascii="Times New Roman" w:eastAsia="Times New Roman" w:hAnsi="Times New Roman" w:cs="Times New Roman"/>
          <w:sz w:val="22"/>
          <w:szCs w:val="22"/>
          <w:lang w:val="lt-LT"/>
        </w:rPr>
        <w:t>(175 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przez 6 cykli, a następnie placebo w monoterapii, przez maksymalnie 15 miesięcy</w:t>
      </w:r>
      <w:r w:rsidR="00100305">
        <w:rPr>
          <w:rFonts w:ascii="Times New Roman" w:eastAsia="Times New Roman" w:hAnsi="Times New Roman" w:cs="Times New Roman"/>
          <w:sz w:val="22"/>
          <w:szCs w:val="22"/>
          <w:lang w:val="lt-LT"/>
        </w:rPr>
        <w:t>.</w:t>
      </w:r>
    </w:p>
    <w:p w14:paraId="77F6C4B2" w14:textId="77777777" w:rsidR="00071CFE" w:rsidRPr="00741122" w:rsidRDefault="00071CFE" w:rsidP="008326F1">
      <w:pPr>
        <w:numPr>
          <w:ilvl w:val="0"/>
          <w:numId w:val="85"/>
        </w:numPr>
        <w:tabs>
          <w:tab w:val="left" w:pos="567"/>
        </w:tabs>
        <w:ind w:left="567" w:hanging="567"/>
        <w:rPr>
          <w:rFonts w:ascii="Times New Roman" w:eastAsia="Arial" w:hAnsi="Times New Roman" w:cs="Times New Roman"/>
          <w:sz w:val="22"/>
          <w:szCs w:val="22"/>
          <w:lang w:val="lt-LT"/>
        </w:rPr>
      </w:pPr>
      <w:bookmarkStart w:id="43" w:name="page41"/>
      <w:bookmarkEnd w:id="43"/>
      <w:r w:rsidRPr="00741122">
        <w:rPr>
          <w:rFonts w:ascii="Times New Roman" w:eastAsia="Times New Roman" w:hAnsi="Times New Roman" w:cs="Times New Roman"/>
          <w:sz w:val="22"/>
          <w:szCs w:val="22"/>
          <w:lang w:val="lt-LT"/>
        </w:rPr>
        <w:t xml:space="preserve">Grupa CPB15+: </w:t>
      </w:r>
      <w:r w:rsidR="00411610" w:rsidRPr="00741122">
        <w:rPr>
          <w:rFonts w:ascii="Times New Roman" w:eastAsia="Times New Roman" w:hAnsi="Times New Roman" w:cs="Times New Roman"/>
          <w:sz w:val="22"/>
          <w:szCs w:val="22"/>
          <w:lang w:val="lt-LT"/>
        </w:rPr>
        <w:t xml:space="preserve">pięć cykli </w:t>
      </w:r>
      <w:r w:rsidR="00B14B20">
        <w:rPr>
          <w:rFonts w:ascii="Times New Roman" w:eastAsia="Times New Roman" w:hAnsi="Times New Roman" w:cs="Times New Roman"/>
          <w:sz w:val="22"/>
          <w:szCs w:val="22"/>
          <w:lang w:val="lt-LT"/>
        </w:rPr>
        <w:t>bewacyzumabu</w:t>
      </w:r>
      <w:r w:rsidR="00411610" w:rsidRPr="00741122">
        <w:rPr>
          <w:rFonts w:ascii="Times New Roman" w:eastAsia="Times New Roman" w:hAnsi="Times New Roman" w:cs="Times New Roman"/>
          <w:sz w:val="22"/>
          <w:szCs w:val="22"/>
          <w:lang w:val="lt-LT"/>
        </w:rPr>
        <w:t xml:space="preserve"> (15 </w:t>
      </w:r>
      <w:r w:rsidRPr="00741122">
        <w:rPr>
          <w:rFonts w:ascii="Times New Roman" w:eastAsia="Times New Roman" w:hAnsi="Times New Roman" w:cs="Times New Roman"/>
          <w:sz w:val="22"/>
          <w:szCs w:val="22"/>
          <w:lang w:val="lt-LT"/>
        </w:rPr>
        <w:t>mg/kg</w:t>
      </w:r>
      <w:r w:rsidR="00577FB8">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raz na trzy tygodnie, początek podawania w cyklu 2) w skojarzeniu z karboplaty</w:t>
      </w:r>
      <w:r w:rsidR="00411610" w:rsidRPr="00741122">
        <w:rPr>
          <w:rFonts w:ascii="Times New Roman" w:eastAsia="Times New Roman" w:hAnsi="Times New Roman" w:cs="Times New Roman"/>
          <w:sz w:val="22"/>
          <w:szCs w:val="22"/>
          <w:lang w:val="lt-LT"/>
        </w:rPr>
        <w:t>ną (AUC 6) i paklitakselem (175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przez 6</w:t>
      </w:r>
      <w:r w:rsidR="00ED1A82" w:rsidRPr="00741122">
        <w:rPr>
          <w:rFonts w:ascii="Times New Roman" w:eastAsia="Times New Roman" w:hAnsi="Times New Roman" w:cs="Times New Roman"/>
          <w:sz w:val="22"/>
          <w:szCs w:val="22"/>
          <w:lang w:val="lt-LT"/>
        </w:rPr>
        <w:t xml:space="preserve"> cykli, a następnie </w:t>
      </w:r>
      <w:r w:rsidR="00B14B20">
        <w:rPr>
          <w:rFonts w:ascii="Times New Roman" w:eastAsia="Times New Roman" w:hAnsi="Times New Roman" w:cs="Times New Roman"/>
          <w:sz w:val="22"/>
          <w:szCs w:val="22"/>
          <w:lang w:val="lt-LT"/>
        </w:rPr>
        <w:t>bewacyzumab</w:t>
      </w:r>
      <w:r w:rsidR="00ED1A82" w:rsidRPr="00741122">
        <w:rPr>
          <w:rFonts w:ascii="Times New Roman" w:eastAsia="Times New Roman" w:hAnsi="Times New Roman" w:cs="Times New Roman"/>
          <w:sz w:val="22"/>
          <w:szCs w:val="22"/>
          <w:lang w:val="lt-LT"/>
        </w:rPr>
        <w:t xml:space="preserve"> (15 </w:t>
      </w:r>
      <w:r w:rsidRPr="00741122">
        <w:rPr>
          <w:rFonts w:ascii="Times New Roman" w:eastAsia="Times New Roman" w:hAnsi="Times New Roman" w:cs="Times New Roman"/>
          <w:sz w:val="22"/>
          <w:szCs w:val="22"/>
          <w:lang w:val="lt-LT"/>
        </w:rPr>
        <w:t>mg/kg</w:t>
      </w:r>
      <w:r w:rsidR="00577FB8">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raz na trzy tygodnie) w monoterapii, przez maksymalnie 15 miesięcy.</w:t>
      </w:r>
    </w:p>
    <w:p w14:paraId="50E4D6AD" w14:textId="77777777" w:rsidR="00071CFE" w:rsidRPr="00741122" w:rsidRDefault="00071CFE" w:rsidP="00B82E4B">
      <w:pPr>
        <w:rPr>
          <w:rFonts w:ascii="Times New Roman" w:eastAsia="Times New Roman" w:hAnsi="Times New Roman" w:cs="Times New Roman"/>
          <w:sz w:val="22"/>
          <w:szCs w:val="22"/>
          <w:lang w:val="lt-LT"/>
        </w:rPr>
      </w:pPr>
    </w:p>
    <w:p w14:paraId="760C87FB" w14:textId="77777777" w:rsidR="00071CFE" w:rsidRPr="00741122" w:rsidRDefault="00071CFE" w:rsidP="00B82E4B">
      <w:pPr>
        <w:tabs>
          <w:tab w:val="left" w:pos="567"/>
        </w:tab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Większość chorych włączonych do badania należała do rasy białej (87% w trzech ramionach); mediana wieku wynosiła 60 lat w grupach CPP i CPB15 oraz 59 w grupie CPB15+; 29% pacjentów w grupach CPP i CPB15 i 26% w grupie CPB15+ było w wieku powyżej 65 lat. Ogółem, u około 50% pacjentów sprawność według klasyfikacji GOG w czasie włączenia do badania wynosiła 0, u 43% chorych stopień sprawności wynosił 1 i u 7% - 2. U większości chorych rozpoznano raka jajnika (82% w grupach CPP i CPB15, 85% w grupie CPB15+). Pierwotnego raka otrzewnej rozpoznano u 16% chorych w grupie CPP, u 15% w grupie CPB15, 13% w grupie CPB15+, raka jajowodu rozpoznano odpowiednio u 1%, 3% i 2% chorych w grup</w:t>
      </w:r>
      <w:r w:rsidR="00577FB8">
        <w:rPr>
          <w:rFonts w:ascii="Times New Roman" w:eastAsia="Times New Roman" w:hAnsi="Times New Roman" w:cs="Times New Roman"/>
          <w:sz w:val="22"/>
          <w:szCs w:val="22"/>
          <w:lang w:val="lt-LT"/>
        </w:rPr>
        <w:t>ach</w:t>
      </w:r>
      <w:r w:rsidRPr="00741122">
        <w:rPr>
          <w:rFonts w:ascii="Times New Roman" w:eastAsia="Times New Roman" w:hAnsi="Times New Roman" w:cs="Times New Roman"/>
          <w:sz w:val="22"/>
          <w:szCs w:val="22"/>
          <w:lang w:val="lt-LT"/>
        </w:rPr>
        <w:t xml:space="preserve"> CPP, CPB15 i CPB15+. Typem histologicznym stwierdzanym u większości pacjentek był gruczolakorak surowiczy (85% w grupach CPP i CPB15, 86% w CPB15+). Ogółem, u około 34% chorych stwierdzono III stopień zaawansowania choroby według klasyfikacji FIGO i przeprowadzono optymalny zabieg cytoredukcyjny z makros</w:t>
      </w:r>
      <w:r w:rsidR="001D3AF3">
        <w:rPr>
          <w:rFonts w:ascii="Times New Roman" w:eastAsia="Times New Roman" w:hAnsi="Times New Roman" w:cs="Times New Roman"/>
          <w:sz w:val="22"/>
          <w:szCs w:val="22"/>
          <w:lang w:val="lt-LT"/>
        </w:rPr>
        <w:t>k</w:t>
      </w:r>
      <w:r w:rsidRPr="00741122">
        <w:rPr>
          <w:rFonts w:ascii="Times New Roman" w:eastAsia="Times New Roman" w:hAnsi="Times New Roman" w:cs="Times New Roman"/>
          <w:sz w:val="22"/>
          <w:szCs w:val="22"/>
          <w:lang w:val="lt-LT"/>
        </w:rPr>
        <w:t>opową chorobą resztkową, u 40% pacjentek z zaawansowaniem choroby III przeprowadzono suboptymalną cytoredukcję guza, u 26% pacjentek w badaniu stopień zaawansowania choroby wynosił IV.</w:t>
      </w:r>
    </w:p>
    <w:p w14:paraId="59C99FEB" w14:textId="77777777" w:rsidR="00071CFE" w:rsidRPr="00741122" w:rsidRDefault="00071CFE" w:rsidP="00B82E4B">
      <w:pPr>
        <w:tabs>
          <w:tab w:val="left" w:pos="567"/>
        </w:tabs>
        <w:rPr>
          <w:rFonts w:ascii="Times New Roman" w:eastAsia="Times New Roman" w:hAnsi="Times New Roman" w:cs="Times New Roman"/>
          <w:sz w:val="22"/>
          <w:szCs w:val="22"/>
          <w:lang w:val="lt-LT"/>
        </w:rPr>
      </w:pPr>
    </w:p>
    <w:p w14:paraId="2708DE67" w14:textId="77777777" w:rsidR="00071CFE" w:rsidRPr="00741122" w:rsidRDefault="00071CFE" w:rsidP="00B82E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Pierwszorzędowym punktem końcowym był czas wolny od progresji (PFS) oceniany przez badacza na podstawie obrazów radiologicznych lub stężenia CA-125 lub nasilenia objawów, zgodnie z założeniami protokołu. Dodatkowo przeprowadzono zaplanowaną prospektywnie analizę danych z cenzurowaniem progresji stwierdzanej na podstawie CA-125, a także przeprowadzono niezależną ocenę parametru PFS na podstawie dokumentacji radiologicznej.</w:t>
      </w:r>
    </w:p>
    <w:p w14:paraId="1A48DBB4" w14:textId="77777777" w:rsidR="00071CFE" w:rsidRPr="00741122" w:rsidRDefault="00071CFE" w:rsidP="00B82E4B">
      <w:pPr>
        <w:rPr>
          <w:rFonts w:ascii="Times New Roman" w:eastAsia="Times New Roman" w:hAnsi="Times New Roman" w:cs="Times New Roman"/>
          <w:sz w:val="22"/>
          <w:szCs w:val="22"/>
          <w:lang w:val="lt-LT"/>
        </w:rPr>
      </w:pPr>
    </w:p>
    <w:p w14:paraId="78214A66" w14:textId="77777777" w:rsidR="00071CFE" w:rsidRPr="00741122" w:rsidRDefault="00071CFE" w:rsidP="00B82E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badaniu osiągnięto pierwszorzędowy punkt końcowy, tzn. wydłużenie czasu wolnego od progresji. W porównaniu z pacjentkami otrzymującymi wyłącznie chemioterapię w pierwszej linii leczenia (karboplatyna i paklitaksel), w grupie chorych otrzymujących bewacyzumab w dawce 15</w:t>
      </w:r>
      <w:r w:rsidR="0076036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mg/kg</w:t>
      </w:r>
      <w:r w:rsidR="00C831F9">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raz na trzy tygodnie łącznie z chemioterapią</w:t>
      </w:r>
      <w:r w:rsidR="00C831F9">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a następnie bewacyzumab w monoterapii (CPB15+), obserwowano znaczące klinicznie oraz istotne statystycznie wydłużenie PFS.</w:t>
      </w:r>
    </w:p>
    <w:p w14:paraId="30302C3B" w14:textId="77777777" w:rsidR="00071CFE" w:rsidRPr="00741122" w:rsidRDefault="00071CFE" w:rsidP="00B82E4B">
      <w:pPr>
        <w:rPr>
          <w:rFonts w:ascii="Times New Roman" w:eastAsia="Times New Roman" w:hAnsi="Times New Roman" w:cs="Times New Roman"/>
          <w:sz w:val="22"/>
          <w:szCs w:val="22"/>
          <w:lang w:val="lt-LT"/>
        </w:rPr>
      </w:pPr>
    </w:p>
    <w:p w14:paraId="431DB2F8" w14:textId="77777777" w:rsidR="00071CFE" w:rsidRPr="00741122" w:rsidRDefault="00071CFE" w:rsidP="00B82E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grupie chorych otrzymujących bewacyzumab wyłącznie w skojarzeniu z chemioterapią, bez kontynuacji bewacyzumabu w monoterapii (CPB15), nie obserwowano istotnego klinicznie wydłużenia czasu wolnego od progresji.</w:t>
      </w:r>
    </w:p>
    <w:p w14:paraId="65679E45" w14:textId="77777777" w:rsidR="00071CFE" w:rsidRPr="00741122" w:rsidRDefault="00071CFE" w:rsidP="00B82E4B">
      <w:pPr>
        <w:rPr>
          <w:rFonts w:ascii="Times New Roman" w:eastAsia="Times New Roman" w:hAnsi="Times New Roman" w:cs="Times New Roman"/>
          <w:sz w:val="22"/>
          <w:szCs w:val="22"/>
          <w:lang w:val="lt-LT"/>
        </w:rPr>
      </w:pPr>
    </w:p>
    <w:p w14:paraId="532FB686" w14:textId="218A3BB7" w:rsidR="00071CFE" w:rsidRPr="00741122" w:rsidRDefault="00071CFE" w:rsidP="00B82E4B">
      <w:pPr>
        <w:rPr>
          <w:rFonts w:ascii="Times New Roman" w:eastAsia="Times New Roman" w:hAnsi="Times New Roman" w:cs="Times New Roman"/>
          <w:sz w:val="22"/>
          <w:szCs w:val="22"/>
          <w:lang w:val="lt-LT"/>
        </w:rPr>
      </w:pPr>
      <w:bookmarkStart w:id="44" w:name="page42"/>
      <w:bookmarkEnd w:id="44"/>
      <w:r w:rsidRPr="00741122">
        <w:rPr>
          <w:rFonts w:ascii="Times New Roman" w:eastAsia="Times New Roman" w:hAnsi="Times New Roman" w:cs="Times New Roman"/>
          <w:sz w:val="22"/>
          <w:szCs w:val="22"/>
          <w:lang w:val="lt-LT"/>
        </w:rPr>
        <w:t xml:space="preserve">Wyniki badania przedstawiono w Tabeli </w:t>
      </w:r>
      <w:r w:rsidR="005A5F0A" w:rsidRPr="00741122">
        <w:rPr>
          <w:rFonts w:ascii="Times New Roman" w:eastAsia="Times New Roman" w:hAnsi="Times New Roman" w:cs="Times New Roman"/>
          <w:sz w:val="22"/>
          <w:szCs w:val="22"/>
          <w:lang w:val="lt-LT"/>
        </w:rPr>
        <w:t>1</w:t>
      </w:r>
      <w:r w:rsidR="005A5F0A">
        <w:rPr>
          <w:rFonts w:ascii="Times New Roman" w:eastAsia="Times New Roman" w:hAnsi="Times New Roman" w:cs="Times New Roman"/>
          <w:sz w:val="22"/>
          <w:szCs w:val="22"/>
          <w:lang w:val="lt-LT"/>
        </w:rPr>
        <w:t>6</w:t>
      </w:r>
      <w:r w:rsidRPr="00741122">
        <w:rPr>
          <w:rFonts w:ascii="Times New Roman" w:eastAsia="Times New Roman" w:hAnsi="Times New Roman" w:cs="Times New Roman"/>
          <w:sz w:val="22"/>
          <w:szCs w:val="22"/>
          <w:lang w:val="lt-LT"/>
        </w:rPr>
        <w:t>.</w:t>
      </w:r>
    </w:p>
    <w:p w14:paraId="687A1D60" w14:textId="77777777" w:rsidR="00071CFE" w:rsidRPr="00741122" w:rsidRDefault="00071CFE" w:rsidP="00B82E4B">
      <w:pPr>
        <w:rPr>
          <w:rFonts w:ascii="Times New Roman" w:eastAsia="Times New Roman" w:hAnsi="Times New Roman" w:cs="Times New Roman"/>
          <w:sz w:val="22"/>
          <w:szCs w:val="22"/>
          <w:lang w:val="lt-LT"/>
        </w:rPr>
      </w:pPr>
    </w:p>
    <w:p w14:paraId="2FC5DEE4" w14:textId="58503DD3" w:rsidR="00071CFE" w:rsidRPr="00741122" w:rsidRDefault="00403C18" w:rsidP="00B82E4B">
      <w:pPr>
        <w:keepNext/>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Tabela </w:t>
      </w:r>
      <w:r w:rsidR="005A5F0A" w:rsidRPr="00741122">
        <w:rPr>
          <w:rFonts w:ascii="Times New Roman" w:eastAsia="Times New Roman" w:hAnsi="Times New Roman" w:cs="Times New Roman"/>
          <w:b/>
          <w:sz w:val="22"/>
          <w:szCs w:val="22"/>
          <w:lang w:val="lt-LT"/>
        </w:rPr>
        <w:t>1</w:t>
      </w:r>
      <w:r w:rsidR="005A5F0A">
        <w:rPr>
          <w:rFonts w:ascii="Times New Roman" w:eastAsia="Times New Roman" w:hAnsi="Times New Roman" w:cs="Times New Roman"/>
          <w:b/>
          <w:sz w:val="22"/>
          <w:szCs w:val="22"/>
          <w:lang w:val="lt-LT"/>
        </w:rPr>
        <w:t>6</w:t>
      </w:r>
      <w:r w:rsidR="00C831F9">
        <w:rPr>
          <w:rFonts w:ascii="Times New Roman" w:eastAsia="Times New Roman" w:hAnsi="Times New Roman" w:cs="Times New Roman"/>
          <w:b/>
          <w:sz w:val="22"/>
          <w:szCs w:val="22"/>
          <w:lang w:val="lt-LT"/>
        </w:rPr>
        <w:t>.</w:t>
      </w:r>
      <w:r w:rsidR="00071CFE" w:rsidRPr="00741122">
        <w:rPr>
          <w:rFonts w:ascii="Times New Roman" w:eastAsia="Times New Roman" w:hAnsi="Times New Roman" w:cs="Times New Roman"/>
          <w:b/>
          <w:sz w:val="22"/>
          <w:szCs w:val="22"/>
          <w:lang w:val="lt-LT"/>
        </w:rPr>
        <w:t xml:space="preserve"> Wyniki badania GOG-0218 dotyczące skuteczności</w:t>
      </w:r>
    </w:p>
    <w:p w14:paraId="5504A3B3" w14:textId="77777777" w:rsidR="00071CFE" w:rsidRPr="00B82E4B" w:rsidRDefault="00071CFE" w:rsidP="00B82E4B">
      <w:pPr>
        <w:keepNext/>
        <w:rPr>
          <w:rFonts w:ascii="Times New Roman" w:eastAsia="Times New Roman" w:hAnsi="Times New Roman"/>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1"/>
        <w:gridCol w:w="1225"/>
        <w:gridCol w:w="1483"/>
        <w:gridCol w:w="1483"/>
      </w:tblGrid>
      <w:tr w:rsidR="00745131" w:rsidRPr="00741122" w14:paraId="257F544E" w14:textId="77777777" w:rsidTr="00F533B1">
        <w:trPr>
          <w:trHeight w:val="300"/>
        </w:trPr>
        <w:tc>
          <w:tcPr>
            <w:tcW w:w="5000" w:type="pct"/>
            <w:gridSpan w:val="4"/>
            <w:noWrap/>
            <w:vAlign w:val="bottom"/>
            <w:hideMark/>
          </w:tcPr>
          <w:p w14:paraId="2E08DFD2" w14:textId="77777777" w:rsidR="00745131" w:rsidRPr="00741122" w:rsidRDefault="00B815C6" w:rsidP="00B815C6">
            <w:pPr>
              <w:keepNext/>
              <w:ind w:left="57"/>
              <w:rPr>
                <w:rFonts w:ascii="Times New Roman" w:hAnsi="Times New Roman" w:cs="Times New Roman"/>
                <w:color w:val="000000"/>
                <w:sz w:val="22"/>
                <w:szCs w:val="22"/>
                <w:lang w:val="lt-LT"/>
              </w:rPr>
            </w:pPr>
            <w:r>
              <w:rPr>
                <w:rFonts w:ascii="Times New Roman" w:eastAsia="Times New Roman" w:hAnsi="Times New Roman" w:cs="Times New Roman"/>
                <w:sz w:val="22"/>
                <w:szCs w:val="22"/>
                <w:lang w:val="lt-LT"/>
              </w:rPr>
              <w:t>Czas wolny od progresji</w:t>
            </w:r>
            <w:r w:rsidR="00745131" w:rsidRPr="00741122">
              <w:rPr>
                <w:rFonts w:ascii="Times New Roman" w:eastAsia="Times New Roman" w:hAnsi="Times New Roman" w:cs="Times New Roman"/>
                <w:sz w:val="22"/>
                <w:szCs w:val="22"/>
                <w:vertAlign w:val="superscript"/>
                <w:lang w:val="lt-LT"/>
              </w:rPr>
              <w:t>1</w:t>
            </w:r>
          </w:p>
        </w:tc>
      </w:tr>
      <w:tr w:rsidR="00745131" w:rsidRPr="00741122" w14:paraId="6CB4B04A" w14:textId="77777777" w:rsidTr="00F533B1">
        <w:trPr>
          <w:trHeight w:val="374"/>
        </w:trPr>
        <w:tc>
          <w:tcPr>
            <w:tcW w:w="2113" w:type="pct"/>
            <w:noWrap/>
            <w:hideMark/>
          </w:tcPr>
          <w:p w14:paraId="20D20616" w14:textId="77777777" w:rsidR="00745131" w:rsidRPr="00741122" w:rsidRDefault="00745131" w:rsidP="00745131">
            <w:pPr>
              <w:keepNext/>
              <w:rPr>
                <w:rFonts w:ascii="Times New Roman" w:hAnsi="Times New Roman" w:cs="Times New Roman"/>
                <w:color w:val="000000"/>
                <w:sz w:val="22"/>
                <w:szCs w:val="22"/>
                <w:lang w:val="lt-LT"/>
              </w:rPr>
            </w:pPr>
          </w:p>
        </w:tc>
        <w:tc>
          <w:tcPr>
            <w:tcW w:w="986" w:type="pct"/>
            <w:noWrap/>
            <w:hideMark/>
          </w:tcPr>
          <w:p w14:paraId="344033FD" w14:textId="77777777" w:rsidR="00745131" w:rsidRPr="00741122" w:rsidRDefault="00745131" w:rsidP="0074513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CPP</w:t>
            </w:r>
          </w:p>
          <w:p w14:paraId="1E173B04" w14:textId="77777777" w:rsidR="00745131" w:rsidRPr="00741122" w:rsidRDefault="00745131" w:rsidP="0074513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625)</w:t>
            </w:r>
          </w:p>
        </w:tc>
        <w:tc>
          <w:tcPr>
            <w:tcW w:w="986" w:type="pct"/>
            <w:noWrap/>
            <w:hideMark/>
          </w:tcPr>
          <w:p w14:paraId="7C3FD494" w14:textId="77777777" w:rsidR="00745131" w:rsidRPr="00741122" w:rsidRDefault="00745131" w:rsidP="0074513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37CB2096" w14:textId="77777777" w:rsidR="00745131" w:rsidRPr="00741122" w:rsidRDefault="00745131" w:rsidP="0074513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625)</w:t>
            </w:r>
          </w:p>
        </w:tc>
        <w:tc>
          <w:tcPr>
            <w:tcW w:w="916" w:type="pct"/>
            <w:noWrap/>
            <w:hideMark/>
          </w:tcPr>
          <w:p w14:paraId="06ADE6D9" w14:textId="77777777" w:rsidR="00745131" w:rsidRPr="00741122" w:rsidRDefault="00745131" w:rsidP="0074513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587DC9D4" w14:textId="77777777" w:rsidR="00745131" w:rsidRPr="00741122" w:rsidRDefault="00745131" w:rsidP="0074513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623)</w:t>
            </w:r>
          </w:p>
        </w:tc>
      </w:tr>
      <w:tr w:rsidR="00745131" w:rsidRPr="00741122" w14:paraId="035C471D" w14:textId="77777777" w:rsidTr="00F533B1">
        <w:trPr>
          <w:trHeight w:val="184"/>
        </w:trPr>
        <w:tc>
          <w:tcPr>
            <w:tcW w:w="2113" w:type="pct"/>
            <w:noWrap/>
          </w:tcPr>
          <w:p w14:paraId="6ADC04C3" w14:textId="77777777" w:rsidR="00745131" w:rsidRPr="00741122" w:rsidRDefault="00745131" w:rsidP="00D9472E">
            <w:pPr>
              <w:keepNext/>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czasu wolnego od</w:t>
            </w:r>
            <w:r w:rsidR="00D9472E">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progresji (miesiące)</w:t>
            </w:r>
          </w:p>
        </w:tc>
        <w:tc>
          <w:tcPr>
            <w:tcW w:w="986" w:type="pct"/>
            <w:noWrap/>
            <w:vAlign w:val="center"/>
          </w:tcPr>
          <w:p w14:paraId="15AF8CAD" w14:textId="77777777" w:rsidR="00745131" w:rsidRPr="00741122" w:rsidRDefault="00745131" w:rsidP="008440AA">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10,6</w:t>
            </w:r>
          </w:p>
        </w:tc>
        <w:tc>
          <w:tcPr>
            <w:tcW w:w="986" w:type="pct"/>
            <w:noWrap/>
            <w:vAlign w:val="center"/>
          </w:tcPr>
          <w:p w14:paraId="0AB4889D" w14:textId="77777777" w:rsidR="00745131" w:rsidRPr="00741122" w:rsidRDefault="00745131" w:rsidP="008440AA">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11,6</w:t>
            </w:r>
          </w:p>
        </w:tc>
        <w:tc>
          <w:tcPr>
            <w:tcW w:w="916" w:type="pct"/>
            <w:noWrap/>
            <w:vAlign w:val="center"/>
          </w:tcPr>
          <w:p w14:paraId="4AE9B89D" w14:textId="77777777" w:rsidR="00745131" w:rsidRPr="00741122" w:rsidRDefault="00745131" w:rsidP="008440AA">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14,7</w:t>
            </w:r>
          </w:p>
        </w:tc>
      </w:tr>
      <w:tr w:rsidR="00745131" w:rsidRPr="00741122" w14:paraId="1BB04F3F" w14:textId="77777777" w:rsidTr="00F533B1">
        <w:trPr>
          <w:trHeight w:val="346"/>
        </w:trPr>
        <w:tc>
          <w:tcPr>
            <w:tcW w:w="2113" w:type="pct"/>
            <w:noWrap/>
          </w:tcPr>
          <w:p w14:paraId="0620E27B" w14:textId="77777777" w:rsidR="00745131" w:rsidRPr="00741122" w:rsidRDefault="00745131" w:rsidP="00D9472E">
            <w:pPr>
              <w:keepNext/>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w:t>
            </w:r>
            <w:r w:rsidR="008440AA">
              <w:rPr>
                <w:rFonts w:ascii="Times New Roman" w:eastAsia="Times New Roman" w:hAnsi="Times New Roman" w:cs="Times New Roman"/>
                <w:sz w:val="22"/>
                <w:szCs w:val="22"/>
                <w:lang w:val="lt-LT"/>
              </w:rPr>
              <w:t>zyka (95% CI)</w:t>
            </w:r>
            <w:r w:rsidRPr="00741122">
              <w:rPr>
                <w:rFonts w:ascii="Times New Roman" w:eastAsia="Times New Roman" w:hAnsi="Times New Roman" w:cs="Times New Roman"/>
                <w:sz w:val="22"/>
                <w:szCs w:val="22"/>
                <w:vertAlign w:val="superscript"/>
                <w:lang w:val="lt-LT"/>
              </w:rPr>
              <w:t>2</w:t>
            </w:r>
          </w:p>
        </w:tc>
        <w:tc>
          <w:tcPr>
            <w:tcW w:w="986" w:type="pct"/>
            <w:noWrap/>
          </w:tcPr>
          <w:p w14:paraId="369D2BFA" w14:textId="77777777" w:rsidR="00745131" w:rsidRPr="00741122" w:rsidRDefault="00745131" w:rsidP="00745131">
            <w:pPr>
              <w:jc w:val="center"/>
              <w:rPr>
                <w:rFonts w:ascii="Times New Roman" w:hAnsi="Times New Roman" w:cs="Times New Roman"/>
                <w:color w:val="000000"/>
                <w:sz w:val="22"/>
                <w:szCs w:val="22"/>
                <w:lang w:val="lt-LT"/>
              </w:rPr>
            </w:pPr>
          </w:p>
        </w:tc>
        <w:tc>
          <w:tcPr>
            <w:tcW w:w="986" w:type="pct"/>
            <w:noWrap/>
          </w:tcPr>
          <w:p w14:paraId="46ACDE80"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0,89</w:t>
            </w:r>
          </w:p>
          <w:p w14:paraId="70E0B5AE" w14:textId="5CF66D78"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(0,78</w:t>
            </w:r>
            <w:r w:rsidR="00D7621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1,02)</w:t>
            </w:r>
          </w:p>
        </w:tc>
        <w:tc>
          <w:tcPr>
            <w:tcW w:w="916" w:type="pct"/>
            <w:noWrap/>
          </w:tcPr>
          <w:p w14:paraId="77A6C49A"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0,70</w:t>
            </w:r>
          </w:p>
          <w:p w14:paraId="53D13377" w14:textId="74D26F08"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(0,61</w:t>
            </w:r>
            <w:r w:rsidR="00C55B3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0,81)</w:t>
            </w:r>
          </w:p>
        </w:tc>
      </w:tr>
      <w:tr w:rsidR="00745131" w:rsidRPr="00741122" w14:paraId="3FA70C3C" w14:textId="77777777" w:rsidTr="00F533B1">
        <w:trPr>
          <w:trHeight w:val="131"/>
        </w:trPr>
        <w:tc>
          <w:tcPr>
            <w:tcW w:w="2113" w:type="pct"/>
            <w:noWrap/>
          </w:tcPr>
          <w:p w14:paraId="55DCF6C2" w14:textId="77777777" w:rsidR="00745131" w:rsidRPr="00741122" w:rsidRDefault="008440AA" w:rsidP="00745131">
            <w:pPr>
              <w:ind w:left="567"/>
              <w:rPr>
                <w:rFonts w:ascii="Times New Roman" w:hAnsi="Times New Roman" w:cs="Times New Roman"/>
                <w:color w:val="000000"/>
                <w:sz w:val="22"/>
                <w:szCs w:val="22"/>
                <w:lang w:val="lt-LT"/>
              </w:rPr>
            </w:pPr>
            <w:r>
              <w:rPr>
                <w:rFonts w:ascii="Times New Roman" w:eastAsia="Times New Roman" w:hAnsi="Times New Roman" w:cs="Times New Roman"/>
                <w:sz w:val="22"/>
                <w:szCs w:val="22"/>
                <w:lang w:val="lt-LT"/>
              </w:rPr>
              <w:t>wartość p</w:t>
            </w:r>
            <w:r w:rsidR="00745131" w:rsidRPr="00741122">
              <w:rPr>
                <w:rFonts w:ascii="Times New Roman" w:eastAsia="Times New Roman" w:hAnsi="Times New Roman" w:cs="Times New Roman"/>
                <w:sz w:val="22"/>
                <w:szCs w:val="22"/>
                <w:vertAlign w:val="superscript"/>
                <w:lang w:val="lt-LT"/>
              </w:rPr>
              <w:t>3, 4</w:t>
            </w:r>
          </w:p>
        </w:tc>
        <w:tc>
          <w:tcPr>
            <w:tcW w:w="986" w:type="pct"/>
            <w:noWrap/>
          </w:tcPr>
          <w:p w14:paraId="18F34646" w14:textId="77777777" w:rsidR="00745131" w:rsidRPr="00741122" w:rsidRDefault="00745131" w:rsidP="00745131">
            <w:pPr>
              <w:jc w:val="center"/>
              <w:rPr>
                <w:rFonts w:ascii="Times New Roman" w:hAnsi="Times New Roman" w:cs="Times New Roman"/>
                <w:color w:val="000000"/>
                <w:sz w:val="22"/>
                <w:szCs w:val="22"/>
                <w:lang w:val="lt-LT"/>
              </w:rPr>
            </w:pPr>
          </w:p>
        </w:tc>
        <w:tc>
          <w:tcPr>
            <w:tcW w:w="986" w:type="pct"/>
            <w:noWrap/>
          </w:tcPr>
          <w:p w14:paraId="47DB9E15"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0,0437</w:t>
            </w:r>
          </w:p>
        </w:tc>
        <w:tc>
          <w:tcPr>
            <w:tcW w:w="916" w:type="pct"/>
            <w:noWrap/>
          </w:tcPr>
          <w:p w14:paraId="4F4C5D60"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&lt; 0,0001</w:t>
            </w:r>
          </w:p>
        </w:tc>
      </w:tr>
      <w:tr w:rsidR="00745131" w:rsidRPr="00741122" w14:paraId="6FA7210B" w14:textId="77777777" w:rsidTr="00F533B1">
        <w:trPr>
          <w:trHeight w:val="300"/>
        </w:trPr>
        <w:tc>
          <w:tcPr>
            <w:tcW w:w="5000" w:type="pct"/>
            <w:gridSpan w:val="4"/>
            <w:noWrap/>
            <w:vAlign w:val="bottom"/>
            <w:hideMark/>
          </w:tcPr>
          <w:p w14:paraId="068D23E8" w14:textId="77777777" w:rsidR="00745131" w:rsidRPr="00741122" w:rsidRDefault="00745131" w:rsidP="00745131">
            <w:pPr>
              <w:rPr>
                <w:rFonts w:ascii="Times New Roman" w:hAnsi="Times New Roman" w:cs="Times New Roman"/>
                <w:color w:val="000000"/>
                <w:sz w:val="22"/>
                <w:szCs w:val="22"/>
                <w:lang w:val="lt-LT"/>
              </w:rPr>
            </w:pPr>
            <w:r w:rsidRPr="00741122">
              <w:rPr>
                <w:rFonts w:ascii="Times New Roman" w:eastAsia="Times New Roman" w:hAnsi="Times New Roman" w:cs="Times New Roman"/>
                <w:w w:val="99"/>
                <w:sz w:val="22"/>
                <w:szCs w:val="22"/>
                <w:lang w:val="lt-LT"/>
              </w:rPr>
              <w:t>Współ</w:t>
            </w:r>
            <w:r w:rsidR="008440AA">
              <w:rPr>
                <w:rFonts w:ascii="Times New Roman" w:eastAsia="Times New Roman" w:hAnsi="Times New Roman" w:cs="Times New Roman"/>
                <w:w w:val="99"/>
                <w:sz w:val="22"/>
                <w:szCs w:val="22"/>
                <w:lang w:val="lt-LT"/>
              </w:rPr>
              <w:t>czynnik obiektywnych odpowiedzi</w:t>
            </w:r>
            <w:r w:rsidRPr="00741122">
              <w:rPr>
                <w:rFonts w:ascii="Times New Roman" w:eastAsia="Times New Roman" w:hAnsi="Times New Roman" w:cs="Times New Roman"/>
                <w:w w:val="99"/>
                <w:sz w:val="22"/>
                <w:szCs w:val="22"/>
                <w:vertAlign w:val="superscript"/>
                <w:lang w:val="lt-LT"/>
              </w:rPr>
              <w:t>5</w:t>
            </w:r>
          </w:p>
        </w:tc>
      </w:tr>
      <w:tr w:rsidR="00745131" w:rsidRPr="00741122" w14:paraId="605E9B7A" w14:textId="77777777" w:rsidTr="00F533B1">
        <w:trPr>
          <w:trHeight w:val="472"/>
        </w:trPr>
        <w:tc>
          <w:tcPr>
            <w:tcW w:w="2113" w:type="pct"/>
            <w:noWrap/>
            <w:hideMark/>
          </w:tcPr>
          <w:p w14:paraId="79AB91D0" w14:textId="77777777" w:rsidR="00745131" w:rsidRPr="00741122" w:rsidRDefault="00745131" w:rsidP="00745131">
            <w:pPr>
              <w:rPr>
                <w:rFonts w:ascii="Times New Roman" w:hAnsi="Times New Roman" w:cs="Times New Roman"/>
                <w:color w:val="000000"/>
                <w:sz w:val="22"/>
                <w:szCs w:val="22"/>
                <w:lang w:val="lt-LT"/>
              </w:rPr>
            </w:pPr>
          </w:p>
          <w:p w14:paraId="4605CB47" w14:textId="77777777" w:rsidR="00745131" w:rsidRPr="00741122" w:rsidRDefault="00745131" w:rsidP="00745131">
            <w:pPr>
              <w:rPr>
                <w:rFonts w:ascii="Times New Roman" w:hAnsi="Times New Roman" w:cs="Times New Roman"/>
                <w:color w:val="000000"/>
                <w:sz w:val="22"/>
                <w:szCs w:val="22"/>
                <w:lang w:val="lt-LT"/>
              </w:rPr>
            </w:pPr>
          </w:p>
        </w:tc>
        <w:tc>
          <w:tcPr>
            <w:tcW w:w="986" w:type="pct"/>
            <w:noWrap/>
            <w:hideMark/>
          </w:tcPr>
          <w:p w14:paraId="6754403A"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CPP</w:t>
            </w:r>
          </w:p>
          <w:p w14:paraId="2630DE51"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396)</w:t>
            </w:r>
          </w:p>
        </w:tc>
        <w:tc>
          <w:tcPr>
            <w:tcW w:w="986" w:type="pct"/>
            <w:noWrap/>
            <w:hideMark/>
          </w:tcPr>
          <w:p w14:paraId="3BCD9CD2"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5A06047F"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393)</w:t>
            </w:r>
          </w:p>
        </w:tc>
        <w:tc>
          <w:tcPr>
            <w:tcW w:w="916" w:type="pct"/>
            <w:noWrap/>
            <w:hideMark/>
          </w:tcPr>
          <w:p w14:paraId="33E75EAB"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4E279A7D"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403)</w:t>
            </w:r>
          </w:p>
        </w:tc>
      </w:tr>
      <w:tr w:rsidR="00745131" w:rsidRPr="00741122" w14:paraId="098CBBFF" w14:textId="77777777" w:rsidTr="00F533B1">
        <w:trPr>
          <w:trHeight w:val="196"/>
        </w:trPr>
        <w:tc>
          <w:tcPr>
            <w:tcW w:w="2113" w:type="pct"/>
            <w:noWrap/>
          </w:tcPr>
          <w:p w14:paraId="287F9101" w14:textId="77777777" w:rsidR="00745131" w:rsidRPr="00741122" w:rsidRDefault="00745131" w:rsidP="00DF7DB2">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pacjentów z obiektywną odpowiedzią na leczenie</w:t>
            </w:r>
          </w:p>
        </w:tc>
        <w:tc>
          <w:tcPr>
            <w:tcW w:w="986" w:type="pct"/>
            <w:noWrap/>
            <w:vAlign w:val="center"/>
          </w:tcPr>
          <w:p w14:paraId="40EAAC9A" w14:textId="77777777" w:rsidR="00745131" w:rsidRPr="00741122" w:rsidRDefault="00745131" w:rsidP="008440AA">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63,4</w:t>
            </w:r>
          </w:p>
        </w:tc>
        <w:tc>
          <w:tcPr>
            <w:tcW w:w="986" w:type="pct"/>
            <w:noWrap/>
            <w:vAlign w:val="center"/>
          </w:tcPr>
          <w:p w14:paraId="05EC769A" w14:textId="77777777" w:rsidR="00745131" w:rsidRPr="00741122" w:rsidRDefault="00745131" w:rsidP="008440AA">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66,2</w:t>
            </w:r>
          </w:p>
        </w:tc>
        <w:tc>
          <w:tcPr>
            <w:tcW w:w="916" w:type="pct"/>
            <w:noWrap/>
            <w:vAlign w:val="center"/>
          </w:tcPr>
          <w:p w14:paraId="5B8E9F93" w14:textId="77777777" w:rsidR="00745131" w:rsidRPr="00741122" w:rsidRDefault="00745131" w:rsidP="008440AA">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66,0</w:t>
            </w:r>
          </w:p>
        </w:tc>
      </w:tr>
      <w:tr w:rsidR="00745131" w:rsidRPr="00741122" w14:paraId="60821765" w14:textId="77777777" w:rsidTr="00F533B1">
        <w:trPr>
          <w:trHeight w:val="306"/>
        </w:trPr>
        <w:tc>
          <w:tcPr>
            <w:tcW w:w="2113" w:type="pct"/>
            <w:noWrap/>
          </w:tcPr>
          <w:p w14:paraId="7714E732" w14:textId="77777777" w:rsidR="00745131" w:rsidRPr="00741122" w:rsidRDefault="00745131" w:rsidP="00745131">
            <w:pPr>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wartość p</w:t>
            </w:r>
          </w:p>
        </w:tc>
        <w:tc>
          <w:tcPr>
            <w:tcW w:w="986" w:type="pct"/>
            <w:noWrap/>
          </w:tcPr>
          <w:p w14:paraId="77F666E4" w14:textId="77777777" w:rsidR="00745131" w:rsidRPr="00741122" w:rsidRDefault="00745131" w:rsidP="00745131">
            <w:pPr>
              <w:jc w:val="center"/>
              <w:rPr>
                <w:rFonts w:ascii="Times New Roman" w:hAnsi="Times New Roman" w:cs="Times New Roman"/>
                <w:color w:val="000000"/>
                <w:sz w:val="22"/>
                <w:szCs w:val="22"/>
                <w:lang w:val="lt-LT"/>
              </w:rPr>
            </w:pPr>
          </w:p>
        </w:tc>
        <w:tc>
          <w:tcPr>
            <w:tcW w:w="986" w:type="pct"/>
            <w:noWrap/>
          </w:tcPr>
          <w:p w14:paraId="42D6313D"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0,2341</w:t>
            </w:r>
          </w:p>
        </w:tc>
        <w:tc>
          <w:tcPr>
            <w:tcW w:w="916" w:type="pct"/>
            <w:noWrap/>
          </w:tcPr>
          <w:p w14:paraId="2E2BC71B" w14:textId="77777777" w:rsidR="00745131" w:rsidRPr="00741122" w:rsidRDefault="00745131" w:rsidP="0074513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0,2041</w:t>
            </w:r>
          </w:p>
        </w:tc>
      </w:tr>
      <w:tr w:rsidR="00745131" w:rsidRPr="00741122" w14:paraId="191FE80F" w14:textId="77777777" w:rsidTr="00F533B1">
        <w:trPr>
          <w:trHeight w:val="300"/>
        </w:trPr>
        <w:tc>
          <w:tcPr>
            <w:tcW w:w="5000" w:type="pct"/>
            <w:gridSpan w:val="4"/>
            <w:noWrap/>
            <w:vAlign w:val="bottom"/>
            <w:hideMark/>
          </w:tcPr>
          <w:p w14:paraId="79C86D8E" w14:textId="77777777" w:rsidR="00745131" w:rsidRPr="00741122" w:rsidRDefault="001852BA" w:rsidP="004C5D03">
            <w:pPr>
              <w:keepNext/>
              <w:rPr>
                <w:rFonts w:ascii="Times New Roman" w:hAnsi="Times New Roman" w:cs="Times New Roman"/>
                <w:color w:val="000000"/>
                <w:sz w:val="22"/>
                <w:szCs w:val="22"/>
                <w:lang w:val="lt-LT"/>
              </w:rPr>
            </w:pPr>
            <w:r>
              <w:rPr>
                <w:rFonts w:ascii="Times New Roman" w:eastAsia="Times New Roman" w:hAnsi="Times New Roman" w:cs="Times New Roman"/>
                <w:sz w:val="22"/>
                <w:szCs w:val="22"/>
                <w:lang w:val="lt-LT"/>
              </w:rPr>
              <w:lastRenderedPageBreak/>
              <w:t>Całkowity czas przeżycia</w:t>
            </w:r>
            <w:r w:rsidR="00745131" w:rsidRPr="00741122">
              <w:rPr>
                <w:rFonts w:ascii="Times New Roman" w:eastAsia="Times New Roman" w:hAnsi="Times New Roman" w:cs="Times New Roman"/>
                <w:sz w:val="22"/>
                <w:szCs w:val="22"/>
                <w:vertAlign w:val="superscript"/>
                <w:lang w:val="lt-LT"/>
              </w:rPr>
              <w:t>6</w:t>
            </w:r>
          </w:p>
        </w:tc>
      </w:tr>
      <w:tr w:rsidR="00745131" w:rsidRPr="00741122" w14:paraId="08FB2BBF" w14:textId="77777777" w:rsidTr="00F533B1">
        <w:trPr>
          <w:trHeight w:val="483"/>
        </w:trPr>
        <w:tc>
          <w:tcPr>
            <w:tcW w:w="2113" w:type="pct"/>
            <w:noWrap/>
            <w:hideMark/>
          </w:tcPr>
          <w:p w14:paraId="78164A82" w14:textId="77777777" w:rsidR="00745131" w:rsidRPr="00741122" w:rsidRDefault="00745131" w:rsidP="004C5D03">
            <w:pPr>
              <w:keepNext/>
              <w:rPr>
                <w:rFonts w:ascii="Times New Roman" w:hAnsi="Times New Roman" w:cs="Times New Roman"/>
                <w:color w:val="000000"/>
                <w:sz w:val="22"/>
                <w:szCs w:val="22"/>
                <w:lang w:val="lt-LT"/>
              </w:rPr>
            </w:pPr>
          </w:p>
        </w:tc>
        <w:tc>
          <w:tcPr>
            <w:tcW w:w="986" w:type="pct"/>
            <w:noWrap/>
            <w:hideMark/>
          </w:tcPr>
          <w:p w14:paraId="0A354CE0"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CPP</w:t>
            </w:r>
          </w:p>
          <w:p w14:paraId="39D2D35D"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625)</w:t>
            </w:r>
          </w:p>
        </w:tc>
        <w:tc>
          <w:tcPr>
            <w:tcW w:w="986" w:type="pct"/>
            <w:noWrap/>
            <w:hideMark/>
          </w:tcPr>
          <w:p w14:paraId="68037425"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678B95B7"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625)</w:t>
            </w:r>
          </w:p>
        </w:tc>
        <w:tc>
          <w:tcPr>
            <w:tcW w:w="916" w:type="pct"/>
            <w:noWrap/>
            <w:hideMark/>
          </w:tcPr>
          <w:p w14:paraId="70FB8B5B"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7D1E2840"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623)</w:t>
            </w:r>
          </w:p>
        </w:tc>
      </w:tr>
      <w:tr w:rsidR="00745131" w:rsidRPr="00741122" w14:paraId="55ECF76B" w14:textId="77777777" w:rsidTr="00F533B1">
        <w:trPr>
          <w:trHeight w:val="149"/>
        </w:trPr>
        <w:tc>
          <w:tcPr>
            <w:tcW w:w="2113" w:type="pct"/>
            <w:noWrap/>
          </w:tcPr>
          <w:p w14:paraId="26C9E1AE" w14:textId="77777777" w:rsidR="00745131" w:rsidRPr="001852BA" w:rsidRDefault="00745131" w:rsidP="004C5D03">
            <w:pPr>
              <w:keepNext/>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całkowi</w:t>
            </w:r>
            <w:r w:rsidR="001852BA">
              <w:rPr>
                <w:rFonts w:ascii="Times New Roman" w:eastAsia="Times New Roman" w:hAnsi="Times New Roman" w:cs="Times New Roman"/>
                <w:sz w:val="22"/>
                <w:szCs w:val="22"/>
                <w:lang w:val="lt-LT"/>
              </w:rPr>
              <w:t>tego czasu przeżycia (miesiące)</w:t>
            </w:r>
          </w:p>
        </w:tc>
        <w:tc>
          <w:tcPr>
            <w:tcW w:w="986" w:type="pct"/>
            <w:noWrap/>
            <w:vAlign w:val="center"/>
          </w:tcPr>
          <w:p w14:paraId="29E398E5"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40,6</w:t>
            </w:r>
          </w:p>
        </w:tc>
        <w:tc>
          <w:tcPr>
            <w:tcW w:w="986" w:type="pct"/>
            <w:noWrap/>
            <w:vAlign w:val="center"/>
          </w:tcPr>
          <w:p w14:paraId="1B6D4403"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38,8</w:t>
            </w:r>
          </w:p>
        </w:tc>
        <w:tc>
          <w:tcPr>
            <w:tcW w:w="916" w:type="pct"/>
            <w:noWrap/>
            <w:vAlign w:val="center"/>
          </w:tcPr>
          <w:p w14:paraId="49D6F11E" w14:textId="77777777" w:rsidR="00745131" w:rsidRPr="00741122" w:rsidRDefault="00745131"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43,8</w:t>
            </w:r>
          </w:p>
        </w:tc>
      </w:tr>
      <w:tr w:rsidR="00745131" w:rsidRPr="00741122" w14:paraId="326868A9" w14:textId="77777777" w:rsidTr="00F533B1">
        <w:trPr>
          <w:trHeight w:val="263"/>
        </w:trPr>
        <w:tc>
          <w:tcPr>
            <w:tcW w:w="2113" w:type="pct"/>
            <w:noWrap/>
            <w:vAlign w:val="center"/>
          </w:tcPr>
          <w:p w14:paraId="7EDCB6CF" w14:textId="77777777" w:rsidR="00745131" w:rsidRPr="00741122" w:rsidRDefault="00745131" w:rsidP="001413CB">
            <w:pPr>
              <w:ind w:left="567"/>
              <w:rPr>
                <w:rFonts w:ascii="Times New Roman" w:eastAsia="Times New Roman" w:hAnsi="Times New Roman" w:cs="Times New Roman"/>
                <w:sz w:val="22"/>
                <w:szCs w:val="22"/>
                <w:vertAlign w:val="superscript"/>
                <w:lang w:val="lt-LT"/>
              </w:rPr>
            </w:pPr>
            <w:r w:rsidRPr="00741122">
              <w:rPr>
                <w:rFonts w:ascii="Times New Roman" w:eastAsia="Times New Roman" w:hAnsi="Times New Roman" w:cs="Times New Roman"/>
                <w:sz w:val="22"/>
                <w:szCs w:val="22"/>
                <w:lang w:val="lt-LT"/>
              </w:rPr>
              <w:t>Współczynnik ryzyka</w:t>
            </w:r>
            <w:r w:rsidR="001413CB">
              <w:rPr>
                <w:rFonts w:ascii="Times New Roman" w:eastAsia="Times New Roman" w:hAnsi="Times New Roman" w:cs="Times New Roman"/>
                <w:sz w:val="22"/>
                <w:szCs w:val="22"/>
                <w:lang w:val="lt-LT"/>
              </w:rPr>
              <w:t xml:space="preserve"> (95% CI)</w:t>
            </w:r>
            <w:r w:rsidRPr="00741122">
              <w:rPr>
                <w:rFonts w:ascii="Times New Roman" w:eastAsia="Times New Roman" w:hAnsi="Times New Roman" w:cs="Times New Roman"/>
                <w:sz w:val="22"/>
                <w:szCs w:val="22"/>
                <w:vertAlign w:val="superscript"/>
                <w:lang w:val="lt-LT"/>
              </w:rPr>
              <w:t>2</w:t>
            </w:r>
          </w:p>
        </w:tc>
        <w:tc>
          <w:tcPr>
            <w:tcW w:w="986" w:type="pct"/>
            <w:noWrap/>
          </w:tcPr>
          <w:p w14:paraId="745E1576" w14:textId="77777777" w:rsidR="00745131" w:rsidRPr="00741122" w:rsidRDefault="00745131" w:rsidP="00745131">
            <w:pPr>
              <w:jc w:val="center"/>
              <w:rPr>
                <w:rFonts w:ascii="Times New Roman" w:hAnsi="Times New Roman" w:cs="Times New Roman"/>
                <w:color w:val="000000"/>
                <w:sz w:val="22"/>
                <w:szCs w:val="22"/>
                <w:lang w:val="lt-LT"/>
              </w:rPr>
            </w:pPr>
          </w:p>
        </w:tc>
        <w:tc>
          <w:tcPr>
            <w:tcW w:w="986" w:type="pct"/>
            <w:noWrap/>
            <w:vAlign w:val="bottom"/>
          </w:tcPr>
          <w:p w14:paraId="586A5038" w14:textId="47FA68F6" w:rsidR="00745131" w:rsidRPr="001413CB" w:rsidRDefault="001413CB" w:rsidP="008440AA">
            <w:pPr>
              <w:spacing w:line="400" w:lineRule="atLeast"/>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1,07 (0,91</w:t>
            </w:r>
            <w:r w:rsidR="00C55B37">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 xml:space="preserve"> 1,25)</w:t>
            </w:r>
          </w:p>
        </w:tc>
        <w:tc>
          <w:tcPr>
            <w:tcW w:w="916" w:type="pct"/>
            <w:noWrap/>
            <w:vAlign w:val="center"/>
          </w:tcPr>
          <w:p w14:paraId="01945408" w14:textId="6C99844D" w:rsidR="00745131" w:rsidRPr="001413CB" w:rsidRDefault="001413CB" w:rsidP="001413CB">
            <w:pPr>
              <w:spacing w:line="400" w:lineRule="atLeast"/>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0,88 (0,75</w:t>
            </w:r>
            <w:r w:rsidR="00C55B37">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 xml:space="preserve"> 1,04)</w:t>
            </w:r>
          </w:p>
        </w:tc>
      </w:tr>
      <w:tr w:rsidR="00745131" w:rsidRPr="00741122" w14:paraId="68B1490F" w14:textId="77777777" w:rsidTr="00F533B1">
        <w:trPr>
          <w:trHeight w:val="268"/>
        </w:trPr>
        <w:tc>
          <w:tcPr>
            <w:tcW w:w="2113" w:type="pct"/>
            <w:noWrap/>
          </w:tcPr>
          <w:p w14:paraId="6A83E63F" w14:textId="77777777" w:rsidR="00745131" w:rsidRPr="00741122" w:rsidRDefault="001413CB" w:rsidP="00745131">
            <w:pPr>
              <w:ind w:left="567"/>
              <w:rPr>
                <w:rFonts w:ascii="Times New Roman" w:hAnsi="Times New Roman" w:cs="Times New Roman"/>
                <w:color w:val="000000"/>
                <w:sz w:val="22"/>
                <w:szCs w:val="22"/>
                <w:lang w:val="lt-LT"/>
              </w:rPr>
            </w:pPr>
            <w:r>
              <w:rPr>
                <w:rFonts w:ascii="Times New Roman" w:eastAsia="Times New Roman" w:hAnsi="Times New Roman" w:cs="Times New Roman"/>
                <w:sz w:val="22"/>
                <w:szCs w:val="22"/>
                <w:lang w:val="lt-LT"/>
              </w:rPr>
              <w:t>wartość p</w:t>
            </w:r>
            <w:r w:rsidR="00745131" w:rsidRPr="00741122">
              <w:rPr>
                <w:rFonts w:ascii="Times New Roman" w:eastAsia="Times New Roman" w:hAnsi="Times New Roman" w:cs="Times New Roman"/>
                <w:sz w:val="22"/>
                <w:szCs w:val="22"/>
                <w:vertAlign w:val="superscript"/>
                <w:lang w:val="lt-LT"/>
              </w:rPr>
              <w:t>3</w:t>
            </w:r>
          </w:p>
        </w:tc>
        <w:tc>
          <w:tcPr>
            <w:tcW w:w="986" w:type="pct"/>
            <w:noWrap/>
          </w:tcPr>
          <w:p w14:paraId="6124F5D5" w14:textId="77777777" w:rsidR="00745131" w:rsidRPr="00741122" w:rsidRDefault="00745131" w:rsidP="00745131">
            <w:pPr>
              <w:jc w:val="center"/>
              <w:rPr>
                <w:rFonts w:ascii="Times New Roman" w:hAnsi="Times New Roman" w:cs="Times New Roman"/>
                <w:color w:val="000000"/>
                <w:sz w:val="22"/>
                <w:szCs w:val="22"/>
                <w:lang w:val="lt-LT"/>
              </w:rPr>
            </w:pPr>
          </w:p>
        </w:tc>
        <w:tc>
          <w:tcPr>
            <w:tcW w:w="986" w:type="pct"/>
            <w:noWrap/>
            <w:vAlign w:val="center"/>
          </w:tcPr>
          <w:p w14:paraId="61F7E6F6" w14:textId="77777777" w:rsidR="00745131" w:rsidRPr="00741122" w:rsidRDefault="00745131" w:rsidP="001413CB">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0,2197</w:t>
            </w:r>
          </w:p>
        </w:tc>
        <w:tc>
          <w:tcPr>
            <w:tcW w:w="916" w:type="pct"/>
            <w:noWrap/>
            <w:vAlign w:val="center"/>
          </w:tcPr>
          <w:p w14:paraId="7E644B7F" w14:textId="77777777" w:rsidR="00745131" w:rsidRPr="00741122" w:rsidRDefault="00745131" w:rsidP="001413CB">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0,0641</w:t>
            </w:r>
          </w:p>
        </w:tc>
      </w:tr>
    </w:tbl>
    <w:p w14:paraId="744CC373" w14:textId="77777777" w:rsidR="00071CFE" w:rsidRPr="00741122" w:rsidRDefault="00071CFE" w:rsidP="0074558A">
      <w:pPr>
        <w:numPr>
          <w:ilvl w:val="0"/>
          <w:numId w:val="20"/>
        </w:numPr>
        <w:tabs>
          <w:tab w:val="left" w:pos="0"/>
        </w:tabs>
        <w:ind w:left="567" w:hanging="567"/>
        <w:rPr>
          <w:rFonts w:ascii="Times New Roman" w:eastAsia="Times New Roman" w:hAnsi="Times New Roman"/>
          <w:lang w:val="lt-LT"/>
        </w:rPr>
      </w:pPr>
      <w:r w:rsidRPr="00741122">
        <w:rPr>
          <w:rFonts w:ascii="Times New Roman" w:eastAsia="Times New Roman" w:hAnsi="Times New Roman"/>
          <w:lang w:val="lt-LT"/>
        </w:rPr>
        <w:t>Analiza czasu wolnego od progresji oceniana przez badacza według protokołu GOG (niecenzurowana dla</w:t>
      </w:r>
      <w:r w:rsidR="00C831F9">
        <w:rPr>
          <w:rFonts w:ascii="Times New Roman" w:eastAsia="Times New Roman" w:hAnsi="Times New Roman"/>
          <w:lang w:val="lt-LT"/>
        </w:rPr>
        <w:t xml:space="preserve"> </w:t>
      </w:r>
      <w:r w:rsidR="009D1472" w:rsidRPr="00741122">
        <w:rPr>
          <w:rFonts w:ascii="Times New Roman" w:eastAsia="Times New Roman" w:hAnsi="Times New Roman"/>
          <w:lang w:val="lt-LT"/>
        </w:rPr>
        <w:t>progresji CA</w:t>
      </w:r>
      <w:r w:rsidRPr="00741122">
        <w:rPr>
          <w:rFonts w:ascii="Times New Roman" w:eastAsia="Times New Roman" w:hAnsi="Times New Roman"/>
          <w:lang w:val="lt-LT"/>
        </w:rPr>
        <w:t>-125 i terapii nieobjętej protokołem (NPT) przed progresją choroby) z datą odcięcia danych 25</w:t>
      </w:r>
      <w:r w:rsidR="007B19CC">
        <w:rPr>
          <w:rFonts w:ascii="Times New Roman" w:eastAsia="Times New Roman" w:hAnsi="Times New Roman"/>
          <w:lang w:val="lt-LT"/>
        </w:rPr>
        <w:t> </w:t>
      </w:r>
      <w:r w:rsidRPr="00741122">
        <w:rPr>
          <w:rFonts w:ascii="Times New Roman" w:eastAsia="Times New Roman" w:hAnsi="Times New Roman"/>
          <w:lang w:val="lt-LT"/>
        </w:rPr>
        <w:t>lutego 2010</w:t>
      </w:r>
      <w:r w:rsidR="00C831F9">
        <w:rPr>
          <w:rFonts w:ascii="Times New Roman" w:eastAsia="Times New Roman" w:hAnsi="Times New Roman"/>
          <w:lang w:val="lt-LT"/>
        </w:rPr>
        <w:t xml:space="preserve"> r</w:t>
      </w:r>
      <w:r w:rsidRPr="00741122">
        <w:rPr>
          <w:rFonts w:ascii="Times New Roman" w:eastAsia="Times New Roman" w:hAnsi="Times New Roman"/>
          <w:lang w:val="lt-LT"/>
        </w:rPr>
        <w:t>.</w:t>
      </w:r>
    </w:p>
    <w:p w14:paraId="3FF30E69" w14:textId="77777777" w:rsidR="00071CFE" w:rsidRPr="00F6225D" w:rsidRDefault="00FD7F9C" w:rsidP="0074558A">
      <w:pPr>
        <w:numPr>
          <w:ilvl w:val="0"/>
          <w:numId w:val="21"/>
        </w:numPr>
        <w:tabs>
          <w:tab w:val="left" w:pos="567"/>
        </w:tabs>
        <w:ind w:left="567" w:hanging="567"/>
        <w:rPr>
          <w:rFonts w:ascii="Times New Roman" w:eastAsia="Times New Roman" w:hAnsi="Times New Roman"/>
          <w:lang w:val="lt-LT"/>
        </w:rPr>
      </w:pPr>
      <w:r>
        <w:rPr>
          <w:rFonts w:ascii="Times New Roman" w:eastAsia="Times New Roman" w:hAnsi="Times New Roman"/>
          <w:lang w:val="lt-LT"/>
        </w:rPr>
        <w:t>z</w:t>
      </w:r>
      <w:r w:rsidR="00071CFE" w:rsidRPr="00741122">
        <w:rPr>
          <w:rFonts w:ascii="Times New Roman" w:eastAsia="Times New Roman" w:hAnsi="Times New Roman"/>
          <w:lang w:val="lt-LT"/>
        </w:rPr>
        <w:t>ależny od grupy kontrolnej; stratyfikowany współczynnik ryzyka</w:t>
      </w:r>
    </w:p>
    <w:p w14:paraId="6A7CA0E4" w14:textId="58755D21" w:rsidR="00071CFE" w:rsidRPr="00741122" w:rsidRDefault="00071CFE" w:rsidP="0074558A">
      <w:pPr>
        <w:ind w:left="567" w:hanging="567"/>
        <w:rPr>
          <w:rFonts w:ascii="Times New Roman" w:eastAsia="Times New Roman" w:hAnsi="Times New Roman"/>
          <w:lang w:val="lt-LT"/>
        </w:rPr>
      </w:pPr>
      <w:r w:rsidRPr="00B82E4B">
        <w:rPr>
          <w:rFonts w:ascii="Times New Roman" w:eastAsia="Times New Roman" w:hAnsi="Times New Roman"/>
          <w:vertAlign w:val="superscript"/>
          <w:lang w:val="lt-LT"/>
        </w:rPr>
        <w:t>3</w:t>
      </w:r>
      <w:r w:rsidR="009D1472" w:rsidRPr="00741122">
        <w:rPr>
          <w:rFonts w:ascii="Times New Roman" w:eastAsia="Times New Roman" w:hAnsi="Times New Roman"/>
          <w:sz w:val="25"/>
          <w:vertAlign w:val="superscript"/>
          <w:lang w:val="lt-LT"/>
        </w:rPr>
        <w:tab/>
      </w:r>
      <w:r w:rsidR="00FD7F9C">
        <w:rPr>
          <w:rFonts w:ascii="Times New Roman" w:eastAsia="Times New Roman" w:hAnsi="Times New Roman"/>
          <w:lang w:val="lt-LT"/>
        </w:rPr>
        <w:t>w</w:t>
      </w:r>
      <w:r w:rsidRPr="00741122">
        <w:rPr>
          <w:rFonts w:ascii="Times New Roman" w:eastAsia="Times New Roman" w:hAnsi="Times New Roman"/>
          <w:lang w:val="lt-LT"/>
        </w:rPr>
        <w:t>artość p w jednostronnym teście log</w:t>
      </w:r>
      <w:r w:rsidR="002810A5">
        <w:rPr>
          <w:rFonts w:ascii="Times New Roman" w:eastAsia="Times New Roman" w:hAnsi="Times New Roman"/>
          <w:lang w:val="lt-LT"/>
        </w:rPr>
        <w:t>-</w:t>
      </w:r>
      <w:r w:rsidRPr="00741122">
        <w:rPr>
          <w:rFonts w:ascii="Times New Roman" w:eastAsia="Times New Roman" w:hAnsi="Times New Roman"/>
          <w:lang w:val="lt-LT"/>
        </w:rPr>
        <w:t>rank</w:t>
      </w:r>
    </w:p>
    <w:p w14:paraId="4A35475C" w14:textId="77777777" w:rsidR="00071CFE" w:rsidRPr="00741122" w:rsidRDefault="00071CFE" w:rsidP="0074558A">
      <w:pPr>
        <w:ind w:left="567" w:hanging="567"/>
        <w:rPr>
          <w:rFonts w:ascii="Times New Roman" w:eastAsia="Times New Roman" w:hAnsi="Times New Roman"/>
          <w:lang w:val="lt-LT"/>
        </w:rPr>
      </w:pPr>
      <w:r w:rsidRPr="00B82E4B">
        <w:rPr>
          <w:rFonts w:ascii="Times New Roman" w:eastAsia="Times New Roman" w:hAnsi="Times New Roman"/>
          <w:vertAlign w:val="superscript"/>
          <w:lang w:val="lt-LT"/>
        </w:rPr>
        <w:t>4</w:t>
      </w:r>
      <w:r w:rsidR="009D1472" w:rsidRPr="00741122">
        <w:rPr>
          <w:rFonts w:ascii="Times New Roman" w:eastAsia="Times New Roman" w:hAnsi="Times New Roman"/>
          <w:sz w:val="25"/>
          <w:vertAlign w:val="superscript"/>
          <w:lang w:val="lt-LT"/>
        </w:rPr>
        <w:tab/>
      </w:r>
      <w:r w:rsidR="00FD7F9C">
        <w:rPr>
          <w:rFonts w:ascii="Times New Roman" w:eastAsia="Times New Roman" w:hAnsi="Times New Roman"/>
          <w:lang w:val="lt-LT"/>
        </w:rPr>
        <w:t>g</w:t>
      </w:r>
      <w:r w:rsidRPr="00741122">
        <w:rPr>
          <w:rFonts w:ascii="Times New Roman" w:eastAsia="Times New Roman" w:hAnsi="Times New Roman"/>
          <w:lang w:val="lt-LT"/>
        </w:rPr>
        <w:t>raniczna wartość p</w:t>
      </w:r>
      <w:r w:rsidR="007B19CC">
        <w:rPr>
          <w:rFonts w:ascii="Times New Roman" w:eastAsia="Times New Roman" w:hAnsi="Times New Roman"/>
          <w:lang w:val="lt-LT"/>
        </w:rPr>
        <w:t> </w:t>
      </w:r>
      <w:r w:rsidRPr="00741122">
        <w:rPr>
          <w:rFonts w:ascii="Times New Roman" w:eastAsia="Times New Roman" w:hAnsi="Times New Roman"/>
          <w:lang w:val="lt-LT"/>
        </w:rPr>
        <w:t>=</w:t>
      </w:r>
      <w:r w:rsidR="007B19CC">
        <w:rPr>
          <w:rFonts w:ascii="Times New Roman" w:eastAsia="Times New Roman" w:hAnsi="Times New Roman"/>
          <w:lang w:val="lt-LT"/>
        </w:rPr>
        <w:t> </w:t>
      </w:r>
      <w:r w:rsidRPr="00741122">
        <w:rPr>
          <w:rFonts w:ascii="Times New Roman" w:eastAsia="Times New Roman" w:hAnsi="Times New Roman"/>
          <w:lang w:val="lt-LT"/>
        </w:rPr>
        <w:t>0,0116</w:t>
      </w:r>
    </w:p>
    <w:p w14:paraId="78FF69E9" w14:textId="77777777" w:rsidR="00071CFE" w:rsidRPr="00F6225D" w:rsidRDefault="00FD7F9C" w:rsidP="0074558A">
      <w:pPr>
        <w:numPr>
          <w:ilvl w:val="0"/>
          <w:numId w:val="22"/>
        </w:numPr>
        <w:tabs>
          <w:tab w:val="left" w:pos="567"/>
        </w:tabs>
        <w:ind w:left="567" w:hanging="567"/>
        <w:rPr>
          <w:rFonts w:ascii="Times New Roman" w:eastAsia="Times New Roman" w:hAnsi="Times New Roman"/>
          <w:lang w:val="lt-LT"/>
        </w:rPr>
      </w:pPr>
      <w:r>
        <w:rPr>
          <w:rFonts w:ascii="Times New Roman" w:eastAsia="Times New Roman" w:hAnsi="Times New Roman"/>
          <w:lang w:val="lt-LT"/>
        </w:rPr>
        <w:t>p</w:t>
      </w:r>
      <w:r w:rsidR="00071CFE" w:rsidRPr="00741122">
        <w:rPr>
          <w:rFonts w:ascii="Times New Roman" w:eastAsia="Times New Roman" w:hAnsi="Times New Roman"/>
          <w:lang w:val="lt-LT"/>
        </w:rPr>
        <w:t>acjentki z chorobą mierzalną w chwili rozpoczęcia badania</w:t>
      </w:r>
    </w:p>
    <w:p w14:paraId="798F1982" w14:textId="77777777" w:rsidR="00071CFE" w:rsidRPr="00741122" w:rsidRDefault="00071CFE" w:rsidP="0074558A">
      <w:pPr>
        <w:ind w:left="567" w:hanging="567"/>
        <w:rPr>
          <w:rFonts w:ascii="Times New Roman" w:eastAsia="Times New Roman" w:hAnsi="Times New Roman"/>
          <w:lang w:val="lt-LT"/>
        </w:rPr>
      </w:pPr>
      <w:r w:rsidRPr="00B82E4B">
        <w:rPr>
          <w:rFonts w:ascii="Times New Roman" w:eastAsia="Times New Roman" w:hAnsi="Times New Roman"/>
          <w:vertAlign w:val="superscript"/>
          <w:lang w:val="lt-LT"/>
        </w:rPr>
        <w:t>6</w:t>
      </w:r>
      <w:r w:rsidR="009D1472" w:rsidRPr="00741122">
        <w:rPr>
          <w:rFonts w:ascii="Times New Roman" w:eastAsia="Times New Roman" w:hAnsi="Times New Roman"/>
          <w:lang w:val="lt-LT"/>
        </w:rPr>
        <w:tab/>
      </w:r>
      <w:r w:rsidRPr="00741122">
        <w:rPr>
          <w:rFonts w:ascii="Times New Roman" w:eastAsia="Times New Roman" w:hAnsi="Times New Roman"/>
          <w:lang w:val="lt-LT"/>
        </w:rPr>
        <w:t>Ostateczne wyniki analizy całkowitego czasu przeżycia przeprowadzonej w chwili, gdy 46,9% pacjentek zmarło</w:t>
      </w:r>
      <w:r w:rsidR="00C831F9">
        <w:rPr>
          <w:rFonts w:ascii="Times New Roman" w:eastAsia="Times New Roman" w:hAnsi="Times New Roman"/>
          <w:lang w:val="lt-LT"/>
        </w:rPr>
        <w:t>.</w:t>
      </w:r>
    </w:p>
    <w:p w14:paraId="01D298D3" w14:textId="77777777" w:rsidR="00071CFE" w:rsidRPr="00741122" w:rsidRDefault="00071CFE" w:rsidP="0074558A">
      <w:pPr>
        <w:rPr>
          <w:rFonts w:ascii="Times New Roman" w:eastAsia="Times New Roman" w:hAnsi="Times New Roman"/>
          <w:lang w:val="lt-LT"/>
        </w:rPr>
      </w:pPr>
    </w:p>
    <w:p w14:paraId="073D8F3A" w14:textId="77777777" w:rsidR="00071CFE" w:rsidRPr="00741122" w:rsidRDefault="00071CFE" w:rsidP="0074558A">
      <w:pPr>
        <w:rPr>
          <w:rFonts w:ascii="Times New Roman" w:eastAsia="Times New Roman" w:hAnsi="Times New Roman"/>
          <w:sz w:val="22"/>
          <w:lang w:val="lt-LT"/>
        </w:rPr>
      </w:pPr>
      <w:r w:rsidRPr="00741122">
        <w:rPr>
          <w:rFonts w:ascii="Times New Roman" w:eastAsia="Times New Roman" w:hAnsi="Times New Roman"/>
          <w:sz w:val="22"/>
          <w:lang w:val="lt-LT"/>
        </w:rPr>
        <w:t xml:space="preserve">W prospektywnie zaplanowanej analizie PFS, z datą odcięcia danych 29 września 2009 </w:t>
      </w:r>
      <w:r w:rsidR="00C831F9">
        <w:rPr>
          <w:rFonts w:ascii="Times New Roman" w:eastAsia="Times New Roman" w:hAnsi="Times New Roman"/>
          <w:sz w:val="22"/>
          <w:lang w:val="lt-LT"/>
        </w:rPr>
        <w:t xml:space="preserve">r. </w:t>
      </w:r>
      <w:r w:rsidRPr="00741122">
        <w:rPr>
          <w:rFonts w:ascii="Times New Roman" w:eastAsia="Times New Roman" w:hAnsi="Times New Roman"/>
          <w:sz w:val="22"/>
          <w:lang w:val="lt-LT"/>
        </w:rPr>
        <w:t>uzyskano następujące wyniki:</w:t>
      </w:r>
    </w:p>
    <w:p w14:paraId="5FAC5CDE" w14:textId="77777777" w:rsidR="00071CFE" w:rsidRPr="00741122" w:rsidRDefault="00071CFE" w:rsidP="0074558A">
      <w:pPr>
        <w:rPr>
          <w:rFonts w:ascii="Times New Roman" w:eastAsia="Times New Roman" w:hAnsi="Times New Roman" w:cs="Times New Roman"/>
          <w:sz w:val="22"/>
          <w:szCs w:val="22"/>
          <w:lang w:val="lt-LT"/>
        </w:rPr>
      </w:pPr>
    </w:p>
    <w:p w14:paraId="72739557" w14:textId="2982AF34" w:rsidR="00071CFE" w:rsidRPr="00741122" w:rsidRDefault="00071CFE" w:rsidP="00FB20D0">
      <w:pPr>
        <w:numPr>
          <w:ilvl w:val="0"/>
          <w:numId w:val="86"/>
        </w:numPr>
        <w:tabs>
          <w:tab w:val="left" w:pos="567"/>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 xml:space="preserve">W przewidzianej w protokole badania analizie PFS według oceny badaczy (bez cenzurowania progresji CA-125 i terapii nieobjętej protokołem [NPT]) w porównaniu CPB15+ </w:t>
      </w:r>
      <w:r w:rsidR="00C831F9">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CPP, gdzie mediany PFS wyniosły 10,4 miesiąca w ramieniu CP</w:t>
      </w:r>
      <w:r w:rsidR="00327D6D">
        <w:rPr>
          <w:rFonts w:ascii="Times New Roman" w:eastAsia="Times New Roman" w:hAnsi="Times New Roman" w:cs="Times New Roman"/>
          <w:sz w:val="22"/>
          <w:szCs w:val="22"/>
          <w:lang w:val="lt-LT"/>
        </w:rPr>
        <w:t xml:space="preserve">P i 14,1 miesiąca w ramieniu </w:t>
      </w:r>
      <w:r w:rsidR="00327D6D" w:rsidRPr="00741122">
        <w:rPr>
          <w:rFonts w:ascii="Times New Roman" w:eastAsia="Times New Roman" w:hAnsi="Times New Roman" w:cs="Times New Roman"/>
          <w:sz w:val="22"/>
          <w:szCs w:val="22"/>
          <w:lang w:val="lt-LT"/>
        </w:rPr>
        <w:t>CPB15+</w:t>
      </w:r>
      <w:r w:rsidRPr="00741122">
        <w:rPr>
          <w:rFonts w:ascii="Times New Roman" w:eastAsia="Times New Roman" w:hAnsi="Times New Roman" w:cs="Times New Roman"/>
          <w:sz w:val="22"/>
          <w:szCs w:val="22"/>
          <w:lang w:val="lt-LT"/>
        </w:rPr>
        <w:t>, wykazano stratyfikowany współczynnik ryzyka wynoszący 0,71 (95% CI: 0,61-0,83, wartość p w jednostronnym teście log</w:t>
      </w:r>
      <w:r w:rsidR="002810A5">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rank &lt;</w:t>
      </w:r>
      <w:r w:rsidR="00C831F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0,0001).</w:t>
      </w:r>
    </w:p>
    <w:p w14:paraId="57352051" w14:textId="15882D2B" w:rsidR="00071CFE" w:rsidRPr="00741122" w:rsidRDefault="00071CFE" w:rsidP="00FB20D0">
      <w:pPr>
        <w:numPr>
          <w:ilvl w:val="0"/>
          <w:numId w:val="86"/>
        </w:numPr>
        <w:tabs>
          <w:tab w:val="left" w:pos="567"/>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 xml:space="preserve">W głównej analizie PFS według oceny badaczy (z cenzurowaniem progresji CA-125 i terapii nieobjętej protokołem [NPT]) w porównaniu CPB15+ </w:t>
      </w:r>
      <w:r w:rsidR="00C831F9">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CPP, gdzie mediany PFS wyniosły 12,0 miesiąca w ramieniu CPP i 18,2 miesiąca w ramieniu CPB15+, wykazano stratyfikowany współczynnik ryzyka wynoszący 0,62 (95% CI: 0,52-0,75, wartość p w jednostronnym teście</w:t>
      </w:r>
      <w:r w:rsidR="002810A5">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log rank &lt;</w:t>
      </w:r>
      <w:r w:rsidR="00C831F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0,0001).</w:t>
      </w:r>
    </w:p>
    <w:p w14:paraId="2C25AB0E" w14:textId="243984D8" w:rsidR="00071CFE" w:rsidRPr="00741122" w:rsidRDefault="00071CFE" w:rsidP="00FB20D0">
      <w:pPr>
        <w:numPr>
          <w:ilvl w:val="0"/>
          <w:numId w:val="86"/>
        </w:numPr>
        <w:tabs>
          <w:tab w:val="left" w:pos="567"/>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W analizie PFS określon</w:t>
      </w:r>
      <w:r w:rsidR="00D637E1">
        <w:rPr>
          <w:rFonts w:ascii="Times New Roman" w:eastAsia="Times New Roman" w:hAnsi="Times New Roman" w:cs="Times New Roman"/>
          <w:sz w:val="22"/>
          <w:szCs w:val="22"/>
          <w:lang w:val="lt-LT"/>
        </w:rPr>
        <w:t>ej</w:t>
      </w:r>
      <w:r w:rsidRPr="00741122">
        <w:rPr>
          <w:rFonts w:ascii="Times New Roman" w:eastAsia="Times New Roman" w:hAnsi="Times New Roman" w:cs="Times New Roman"/>
          <w:sz w:val="22"/>
          <w:szCs w:val="22"/>
          <w:lang w:val="lt-LT"/>
        </w:rPr>
        <w:t xml:space="preserve"> przez niezależną komisję oceniającą (z cenzurowaniem terapii nieobjętej protokołem [NPT]) w porównaniu CPB15+ </w:t>
      </w:r>
      <w:r w:rsidR="00C831F9">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CPP, gdzie mediany PFS wyniosły 13,1 miesiąca w ramieniu CPP i 19,1 miesiąca w ramieniu CPB15+, wykazano stratyfikowany</w:t>
      </w:r>
      <w:r w:rsidRPr="00741122">
        <w:rPr>
          <w:rFonts w:ascii="Times New Roman" w:eastAsia="Times New Roman" w:hAnsi="Times New Roman"/>
          <w:sz w:val="22"/>
          <w:lang w:val="lt-LT"/>
        </w:rPr>
        <w:t xml:space="preserve"> </w:t>
      </w:r>
      <w:r w:rsidRPr="00741122">
        <w:rPr>
          <w:rFonts w:ascii="Times New Roman" w:eastAsia="Times New Roman" w:hAnsi="Times New Roman" w:cs="Times New Roman"/>
          <w:sz w:val="22"/>
          <w:szCs w:val="22"/>
          <w:lang w:val="lt-LT"/>
        </w:rPr>
        <w:t>współczynnik ryzyka wynoszący 0,62 (95% CI: 0,50-0,77, wartość p w jednostronnym teście log</w:t>
      </w:r>
      <w:r w:rsidR="002810A5">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rank &lt;</w:t>
      </w:r>
      <w:r w:rsidR="00C831F9">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0,0001).</w:t>
      </w:r>
    </w:p>
    <w:p w14:paraId="3C1FF394" w14:textId="77777777" w:rsidR="00D0675C" w:rsidRDefault="00D0675C" w:rsidP="0074558A">
      <w:pPr>
        <w:rPr>
          <w:rFonts w:ascii="Times New Roman" w:eastAsia="Times New Roman" w:hAnsi="Times New Roman" w:cs="Times New Roman"/>
          <w:sz w:val="22"/>
          <w:szCs w:val="22"/>
          <w:lang w:val="lt-LT"/>
        </w:rPr>
      </w:pPr>
      <w:bookmarkStart w:id="45" w:name="page43"/>
      <w:bookmarkEnd w:id="45"/>
    </w:p>
    <w:p w14:paraId="30D05726" w14:textId="79659C0E" w:rsidR="00071CFE" w:rsidRPr="00741122" w:rsidRDefault="00071CFE" w:rsidP="0074558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Wyniki analizy PFS w podgrupach chorych o różnym stopniu zaawansowania choroby i różnym stopniu cytoredukcji zostały przedstawione w Tabeli </w:t>
      </w:r>
      <w:r w:rsidR="00960DC8" w:rsidRPr="00741122">
        <w:rPr>
          <w:rFonts w:ascii="Times New Roman" w:eastAsia="Times New Roman" w:hAnsi="Times New Roman" w:cs="Times New Roman"/>
          <w:sz w:val="22"/>
          <w:szCs w:val="22"/>
          <w:lang w:val="lt-LT"/>
        </w:rPr>
        <w:t>1</w:t>
      </w:r>
      <w:r w:rsidR="00960DC8">
        <w:rPr>
          <w:rFonts w:ascii="Times New Roman" w:eastAsia="Times New Roman" w:hAnsi="Times New Roman" w:cs="Times New Roman"/>
          <w:sz w:val="22"/>
          <w:szCs w:val="22"/>
          <w:lang w:val="lt-LT"/>
        </w:rPr>
        <w:t>7</w:t>
      </w:r>
      <w:r w:rsidRPr="00741122">
        <w:rPr>
          <w:rFonts w:ascii="Times New Roman" w:eastAsia="Times New Roman" w:hAnsi="Times New Roman" w:cs="Times New Roman"/>
          <w:sz w:val="22"/>
          <w:szCs w:val="22"/>
          <w:lang w:val="lt-LT"/>
        </w:rPr>
        <w:t xml:space="preserve">. Wyniki te stanowią potwierdzenie danych dotyczących czasu wolnego od progresji przedstawionych w Tabeli </w:t>
      </w:r>
      <w:r w:rsidR="00960DC8" w:rsidRPr="00741122">
        <w:rPr>
          <w:rFonts w:ascii="Times New Roman" w:eastAsia="Times New Roman" w:hAnsi="Times New Roman" w:cs="Times New Roman"/>
          <w:sz w:val="22"/>
          <w:szCs w:val="22"/>
          <w:lang w:val="lt-LT"/>
        </w:rPr>
        <w:t>1</w:t>
      </w:r>
      <w:r w:rsidR="00960DC8">
        <w:rPr>
          <w:rFonts w:ascii="Times New Roman" w:eastAsia="Times New Roman" w:hAnsi="Times New Roman" w:cs="Times New Roman"/>
          <w:sz w:val="22"/>
          <w:szCs w:val="22"/>
          <w:lang w:val="lt-LT"/>
        </w:rPr>
        <w:t>6</w:t>
      </w:r>
      <w:r w:rsidRPr="00741122">
        <w:rPr>
          <w:rFonts w:ascii="Times New Roman" w:eastAsia="Times New Roman" w:hAnsi="Times New Roman" w:cs="Times New Roman"/>
          <w:sz w:val="22"/>
          <w:szCs w:val="22"/>
          <w:lang w:val="lt-LT"/>
        </w:rPr>
        <w:t>.</w:t>
      </w:r>
    </w:p>
    <w:p w14:paraId="43AC133D" w14:textId="77777777" w:rsidR="00071CFE" w:rsidRPr="00741122" w:rsidRDefault="00071CFE" w:rsidP="0074558A">
      <w:pPr>
        <w:rPr>
          <w:rFonts w:ascii="Times New Roman" w:eastAsia="Times New Roman" w:hAnsi="Times New Roman" w:cs="Times New Roman"/>
          <w:sz w:val="22"/>
          <w:szCs w:val="22"/>
          <w:lang w:val="lt-LT"/>
        </w:rPr>
      </w:pPr>
    </w:p>
    <w:p w14:paraId="3B6ADB1C" w14:textId="63DC150B" w:rsidR="00942535" w:rsidRPr="00741122" w:rsidRDefault="00403C18" w:rsidP="007C0024">
      <w:pPr>
        <w:rPr>
          <w:rFonts w:ascii="Times New Roman" w:eastAsia="Times New Roman" w:hAnsi="Times New Roman"/>
          <w:b/>
          <w:sz w:val="22"/>
          <w:szCs w:val="22"/>
          <w:lang w:val="lt-LT"/>
        </w:rPr>
      </w:pPr>
      <w:r w:rsidRPr="00741122">
        <w:rPr>
          <w:rFonts w:ascii="Times New Roman" w:eastAsia="Times New Roman" w:hAnsi="Times New Roman"/>
          <w:b/>
          <w:sz w:val="22"/>
          <w:szCs w:val="22"/>
          <w:lang w:val="lt-LT"/>
        </w:rPr>
        <w:t xml:space="preserve">Tabela </w:t>
      </w:r>
      <w:r w:rsidR="00960DC8" w:rsidRPr="00741122">
        <w:rPr>
          <w:rFonts w:ascii="Times New Roman" w:eastAsia="Times New Roman" w:hAnsi="Times New Roman"/>
          <w:b/>
          <w:sz w:val="22"/>
          <w:szCs w:val="22"/>
          <w:lang w:val="lt-LT"/>
        </w:rPr>
        <w:t>1</w:t>
      </w:r>
      <w:r w:rsidR="00960DC8">
        <w:rPr>
          <w:rFonts w:ascii="Times New Roman" w:eastAsia="Times New Roman" w:hAnsi="Times New Roman"/>
          <w:b/>
          <w:sz w:val="22"/>
          <w:szCs w:val="22"/>
          <w:lang w:val="lt-LT"/>
        </w:rPr>
        <w:t>7</w:t>
      </w:r>
      <w:r w:rsidR="00C831F9">
        <w:rPr>
          <w:rFonts w:ascii="Times New Roman" w:eastAsia="Times New Roman" w:hAnsi="Times New Roman"/>
          <w:b/>
          <w:sz w:val="22"/>
          <w:szCs w:val="22"/>
          <w:lang w:val="lt-LT"/>
        </w:rPr>
        <w:t>.</w:t>
      </w:r>
      <w:r w:rsidR="00942535" w:rsidRPr="00741122">
        <w:rPr>
          <w:rFonts w:ascii="Times New Roman" w:eastAsia="Times New Roman" w:hAnsi="Times New Roman"/>
          <w:b/>
          <w:sz w:val="22"/>
          <w:szCs w:val="22"/>
          <w:lang w:val="lt-LT"/>
        </w:rPr>
        <w:t xml:space="preserve"> </w:t>
      </w:r>
      <w:r w:rsidR="00071CFE" w:rsidRPr="00741122">
        <w:rPr>
          <w:rFonts w:ascii="Times New Roman" w:eastAsia="Times New Roman" w:hAnsi="Times New Roman"/>
          <w:b/>
          <w:sz w:val="22"/>
          <w:szCs w:val="22"/>
          <w:lang w:val="lt-LT"/>
        </w:rPr>
        <w:t>Wyniki badania GOG-218 dotyczące PFS</w:t>
      </w:r>
      <w:r w:rsidR="00071CFE" w:rsidRPr="00741122">
        <w:rPr>
          <w:rFonts w:ascii="Times New Roman" w:eastAsia="Times New Roman" w:hAnsi="Times New Roman"/>
          <w:b/>
          <w:sz w:val="22"/>
          <w:szCs w:val="22"/>
          <w:vertAlign w:val="superscript"/>
          <w:lang w:val="lt-LT"/>
        </w:rPr>
        <w:t>1</w:t>
      </w:r>
      <w:r w:rsidR="00071CFE" w:rsidRPr="00741122">
        <w:rPr>
          <w:rFonts w:ascii="Times New Roman" w:eastAsia="Times New Roman" w:hAnsi="Times New Roman"/>
          <w:b/>
          <w:sz w:val="22"/>
          <w:szCs w:val="22"/>
          <w:lang w:val="lt-LT"/>
        </w:rPr>
        <w:t xml:space="preserve"> u chorych z różnym stopniem zaawansowania </w:t>
      </w:r>
      <w:r w:rsidR="00942535" w:rsidRPr="00741122">
        <w:rPr>
          <w:rFonts w:ascii="Times New Roman" w:eastAsia="Times New Roman" w:hAnsi="Times New Roman"/>
          <w:b/>
          <w:sz w:val="22"/>
          <w:szCs w:val="22"/>
          <w:lang w:val="lt-LT"/>
        </w:rPr>
        <w:t>choroby i stopniem cytoredukcji</w:t>
      </w:r>
    </w:p>
    <w:p w14:paraId="0D6493BF" w14:textId="77777777" w:rsidR="00403C18" w:rsidRPr="00741122" w:rsidRDefault="00403C18" w:rsidP="007C0024">
      <w:pPr>
        <w:rPr>
          <w:rFonts w:ascii="Times New Roman" w:eastAsia="Times New Roman" w:hAnsi="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0"/>
        <w:gridCol w:w="1782"/>
        <w:gridCol w:w="1677"/>
        <w:gridCol w:w="1543"/>
      </w:tblGrid>
      <w:tr w:rsidR="00403C18" w:rsidRPr="008C2A94" w14:paraId="0DD259D7" w14:textId="77777777" w:rsidTr="00F533B1">
        <w:trPr>
          <w:trHeight w:val="300"/>
        </w:trPr>
        <w:tc>
          <w:tcPr>
            <w:tcW w:w="5000" w:type="pct"/>
            <w:gridSpan w:val="4"/>
            <w:noWrap/>
            <w:vAlign w:val="bottom"/>
            <w:hideMark/>
          </w:tcPr>
          <w:p w14:paraId="6684C04E" w14:textId="77777777" w:rsidR="00403C18" w:rsidRPr="00741122" w:rsidRDefault="00403C18" w:rsidP="007C0024">
            <w:pPr>
              <w:spacing w:line="0" w:lineRule="atLeast"/>
              <w:ind w:left="60"/>
              <w:rPr>
                <w:rFonts w:ascii="Times New Roman" w:eastAsia="Times New Roman" w:hAnsi="Times New Roman" w:cs="Times New Roman"/>
                <w:sz w:val="22"/>
                <w:szCs w:val="22"/>
                <w:vertAlign w:val="superscript"/>
                <w:lang w:val="lt-LT"/>
              </w:rPr>
            </w:pPr>
            <w:r w:rsidRPr="00741122">
              <w:rPr>
                <w:rFonts w:ascii="Times New Roman" w:eastAsia="Times New Roman" w:hAnsi="Times New Roman" w:cs="Times New Roman"/>
                <w:sz w:val="22"/>
                <w:szCs w:val="22"/>
                <w:lang w:val="lt-LT"/>
              </w:rPr>
              <w:t>Randomizowani pacjenci ze stopniem zaawansowania choro</w:t>
            </w:r>
            <w:r w:rsidR="00D0675C">
              <w:rPr>
                <w:rFonts w:ascii="Times New Roman" w:eastAsia="Times New Roman" w:hAnsi="Times New Roman" w:cs="Times New Roman"/>
                <w:sz w:val="22"/>
                <w:szCs w:val="22"/>
                <w:lang w:val="lt-LT"/>
              </w:rPr>
              <w:t>by III i optymalną cytoredukcją</w:t>
            </w:r>
            <w:r w:rsidRPr="00741122">
              <w:rPr>
                <w:rFonts w:ascii="Times New Roman" w:eastAsia="Times New Roman" w:hAnsi="Times New Roman" w:cs="Times New Roman"/>
                <w:sz w:val="22"/>
                <w:szCs w:val="22"/>
                <w:vertAlign w:val="superscript"/>
                <w:lang w:val="lt-LT"/>
              </w:rPr>
              <w:t>2,3</w:t>
            </w:r>
          </w:p>
        </w:tc>
      </w:tr>
      <w:tr w:rsidR="00403C18" w:rsidRPr="00741122" w14:paraId="31D01AC2" w14:textId="77777777" w:rsidTr="00F533B1">
        <w:trPr>
          <w:trHeight w:val="442"/>
        </w:trPr>
        <w:tc>
          <w:tcPr>
            <w:tcW w:w="1719" w:type="pct"/>
            <w:noWrap/>
            <w:hideMark/>
          </w:tcPr>
          <w:p w14:paraId="59CD36FD" w14:textId="77777777" w:rsidR="00403C18" w:rsidRPr="00741122" w:rsidRDefault="00403C18" w:rsidP="007C0024">
            <w:pPr>
              <w:rPr>
                <w:rFonts w:ascii="Times New Roman" w:hAnsi="Times New Roman" w:cs="Times New Roman"/>
                <w:color w:val="000000"/>
                <w:sz w:val="22"/>
                <w:szCs w:val="22"/>
                <w:lang w:val="lt-LT"/>
              </w:rPr>
            </w:pPr>
          </w:p>
        </w:tc>
        <w:tc>
          <w:tcPr>
            <w:tcW w:w="1169" w:type="pct"/>
            <w:noWrap/>
            <w:hideMark/>
          </w:tcPr>
          <w:p w14:paraId="30C3765B"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CPP</w:t>
            </w:r>
          </w:p>
          <w:p w14:paraId="55A050DB"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219)</w:t>
            </w:r>
          </w:p>
        </w:tc>
        <w:tc>
          <w:tcPr>
            <w:tcW w:w="1100" w:type="pct"/>
            <w:noWrap/>
            <w:hideMark/>
          </w:tcPr>
          <w:p w14:paraId="024ACC8F"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0A964C1D"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204)</w:t>
            </w:r>
          </w:p>
        </w:tc>
        <w:tc>
          <w:tcPr>
            <w:tcW w:w="1012" w:type="pct"/>
            <w:noWrap/>
            <w:hideMark/>
          </w:tcPr>
          <w:p w14:paraId="42F2B6ED"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74606A04"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216)</w:t>
            </w:r>
          </w:p>
        </w:tc>
      </w:tr>
      <w:tr w:rsidR="00403C18" w:rsidRPr="00741122" w14:paraId="655AA407" w14:textId="77777777" w:rsidTr="00F533B1">
        <w:trPr>
          <w:trHeight w:val="127"/>
        </w:trPr>
        <w:tc>
          <w:tcPr>
            <w:tcW w:w="1719" w:type="pct"/>
            <w:noWrap/>
          </w:tcPr>
          <w:p w14:paraId="179F4F55" w14:textId="77777777" w:rsidR="00403C18" w:rsidRPr="00741122" w:rsidRDefault="00403C18" w:rsidP="007C0024">
            <w:pPr>
              <w:tabs>
                <w:tab w:val="left" w:pos="567"/>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czasu wolnego od progresji (miesiące)</w:t>
            </w:r>
          </w:p>
        </w:tc>
        <w:tc>
          <w:tcPr>
            <w:tcW w:w="1169" w:type="pct"/>
            <w:noWrap/>
          </w:tcPr>
          <w:p w14:paraId="55B334F6"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12,4</w:t>
            </w:r>
          </w:p>
        </w:tc>
        <w:tc>
          <w:tcPr>
            <w:tcW w:w="1100" w:type="pct"/>
            <w:noWrap/>
          </w:tcPr>
          <w:p w14:paraId="5703AD56"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14,3</w:t>
            </w:r>
          </w:p>
        </w:tc>
        <w:tc>
          <w:tcPr>
            <w:tcW w:w="1012" w:type="pct"/>
            <w:noWrap/>
          </w:tcPr>
          <w:p w14:paraId="431DB2A1"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17,5</w:t>
            </w:r>
          </w:p>
        </w:tc>
      </w:tr>
      <w:tr w:rsidR="00403C18" w:rsidRPr="00741122" w14:paraId="031D4A80" w14:textId="77777777" w:rsidTr="00F533B1">
        <w:trPr>
          <w:trHeight w:val="509"/>
        </w:trPr>
        <w:tc>
          <w:tcPr>
            <w:tcW w:w="1719" w:type="pct"/>
            <w:noWrap/>
          </w:tcPr>
          <w:p w14:paraId="61537CB4" w14:textId="77777777" w:rsidR="00403C18" w:rsidRPr="00741122" w:rsidRDefault="00403C18" w:rsidP="007C0024">
            <w:pPr>
              <w:tabs>
                <w:tab w:val="left" w:pos="567"/>
              </w:tabs>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ryzyka</w:t>
            </w:r>
            <w:r w:rsidR="00D0675C">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(95% CI)</w:t>
            </w:r>
            <w:r w:rsidRPr="00741122">
              <w:rPr>
                <w:rFonts w:ascii="Times New Roman" w:eastAsia="Times New Roman" w:hAnsi="Times New Roman" w:cs="Times New Roman"/>
                <w:sz w:val="22"/>
                <w:szCs w:val="22"/>
                <w:vertAlign w:val="superscript"/>
                <w:lang w:val="lt-LT"/>
              </w:rPr>
              <w:t>4</w:t>
            </w:r>
          </w:p>
        </w:tc>
        <w:tc>
          <w:tcPr>
            <w:tcW w:w="1169" w:type="pct"/>
            <w:noWrap/>
          </w:tcPr>
          <w:p w14:paraId="5AE3EF43" w14:textId="77777777" w:rsidR="00403C18" w:rsidRPr="00741122" w:rsidRDefault="00403C18" w:rsidP="007C0024">
            <w:pPr>
              <w:jc w:val="center"/>
              <w:rPr>
                <w:rFonts w:ascii="Times New Roman" w:hAnsi="Times New Roman" w:cs="Times New Roman"/>
                <w:color w:val="000000"/>
                <w:sz w:val="22"/>
                <w:szCs w:val="22"/>
                <w:lang w:val="lt-LT"/>
              </w:rPr>
            </w:pPr>
          </w:p>
        </w:tc>
        <w:tc>
          <w:tcPr>
            <w:tcW w:w="1100" w:type="pct"/>
            <w:noWrap/>
          </w:tcPr>
          <w:p w14:paraId="755ED06D"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0,81</w:t>
            </w:r>
          </w:p>
          <w:p w14:paraId="516EE5CD" w14:textId="4DAA0B1D"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(0,62</w:t>
            </w:r>
            <w:r w:rsidR="00854D5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1,05)</w:t>
            </w:r>
          </w:p>
        </w:tc>
        <w:tc>
          <w:tcPr>
            <w:tcW w:w="1012" w:type="pct"/>
            <w:noWrap/>
          </w:tcPr>
          <w:p w14:paraId="2672BB39" w14:textId="77777777"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0,66</w:t>
            </w:r>
          </w:p>
          <w:p w14:paraId="1A8533B4" w14:textId="0F793DAA" w:rsidR="00403C18" w:rsidRPr="00741122" w:rsidRDefault="00403C18" w:rsidP="007C0024">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(0,50</w:t>
            </w:r>
            <w:r w:rsidR="00854D5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0,86)</w:t>
            </w:r>
          </w:p>
        </w:tc>
      </w:tr>
      <w:tr w:rsidR="00403C18" w:rsidRPr="00C70451" w14:paraId="76C01728" w14:textId="77777777" w:rsidTr="00F533B1">
        <w:trPr>
          <w:trHeight w:val="300"/>
        </w:trPr>
        <w:tc>
          <w:tcPr>
            <w:tcW w:w="5000" w:type="pct"/>
            <w:gridSpan w:val="4"/>
            <w:noWrap/>
            <w:vAlign w:val="bottom"/>
            <w:hideMark/>
          </w:tcPr>
          <w:p w14:paraId="15BFB644" w14:textId="77777777" w:rsidR="00403C18" w:rsidRPr="00741122" w:rsidRDefault="00403C18" w:rsidP="004C5D03">
            <w:pPr>
              <w:keepNext/>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lastRenderedPageBreak/>
              <w:t xml:space="preserve">Randomizowani pacjenci ze stopniem zaawansowania choroby </w:t>
            </w:r>
            <w:r w:rsidR="00B42BE8">
              <w:rPr>
                <w:rFonts w:ascii="Times New Roman" w:eastAsia="Times New Roman" w:hAnsi="Times New Roman" w:cs="Times New Roman"/>
                <w:sz w:val="22"/>
                <w:szCs w:val="22"/>
                <w:lang w:val="lt-LT"/>
              </w:rPr>
              <w:t>III i suboptymalną cytoredukcją</w:t>
            </w:r>
            <w:r w:rsidRPr="00741122">
              <w:rPr>
                <w:rFonts w:ascii="Times New Roman" w:eastAsia="Times New Roman" w:hAnsi="Times New Roman" w:cs="Times New Roman"/>
                <w:sz w:val="22"/>
                <w:szCs w:val="22"/>
                <w:vertAlign w:val="superscript"/>
                <w:lang w:val="lt-LT"/>
              </w:rPr>
              <w:t>3</w:t>
            </w:r>
          </w:p>
        </w:tc>
      </w:tr>
      <w:tr w:rsidR="00403C18" w:rsidRPr="00741122" w14:paraId="1A69BA80" w14:textId="77777777" w:rsidTr="00F533B1">
        <w:trPr>
          <w:trHeight w:val="382"/>
        </w:trPr>
        <w:tc>
          <w:tcPr>
            <w:tcW w:w="1719" w:type="pct"/>
            <w:noWrap/>
            <w:hideMark/>
          </w:tcPr>
          <w:p w14:paraId="4245632D" w14:textId="77777777" w:rsidR="00403C18" w:rsidRPr="00741122" w:rsidRDefault="00403C18" w:rsidP="004C5D03">
            <w:pPr>
              <w:keepNext/>
              <w:rPr>
                <w:rFonts w:ascii="Times New Roman" w:hAnsi="Times New Roman" w:cs="Times New Roman"/>
                <w:color w:val="000000"/>
                <w:sz w:val="22"/>
                <w:szCs w:val="22"/>
                <w:lang w:val="lt-LT"/>
              </w:rPr>
            </w:pPr>
          </w:p>
        </w:tc>
        <w:tc>
          <w:tcPr>
            <w:tcW w:w="1169" w:type="pct"/>
            <w:noWrap/>
            <w:hideMark/>
          </w:tcPr>
          <w:p w14:paraId="7AFA82BF"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CPP</w:t>
            </w:r>
          </w:p>
          <w:p w14:paraId="7776CB93"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253)</w:t>
            </w:r>
          </w:p>
        </w:tc>
        <w:tc>
          <w:tcPr>
            <w:tcW w:w="1100" w:type="pct"/>
            <w:noWrap/>
            <w:hideMark/>
          </w:tcPr>
          <w:p w14:paraId="236CBFB7"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1E0385F5"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256)</w:t>
            </w:r>
          </w:p>
        </w:tc>
        <w:tc>
          <w:tcPr>
            <w:tcW w:w="1012" w:type="pct"/>
            <w:noWrap/>
            <w:hideMark/>
          </w:tcPr>
          <w:p w14:paraId="0836BD82"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3710CBDD"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242)</w:t>
            </w:r>
          </w:p>
        </w:tc>
      </w:tr>
      <w:tr w:rsidR="00403C18" w:rsidRPr="00741122" w14:paraId="456FC06B" w14:textId="77777777" w:rsidTr="00F533B1">
        <w:trPr>
          <w:trHeight w:val="207"/>
        </w:trPr>
        <w:tc>
          <w:tcPr>
            <w:tcW w:w="1719" w:type="pct"/>
            <w:noWrap/>
          </w:tcPr>
          <w:p w14:paraId="6524727A" w14:textId="77777777" w:rsidR="00403C18" w:rsidRPr="00741122" w:rsidRDefault="00403C18" w:rsidP="004C5D03">
            <w:pPr>
              <w:keepNext/>
              <w:tabs>
                <w:tab w:val="left" w:pos="567"/>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czasu wolnego od progresji (miesiące)</w:t>
            </w:r>
          </w:p>
        </w:tc>
        <w:tc>
          <w:tcPr>
            <w:tcW w:w="1169" w:type="pct"/>
            <w:noWrap/>
          </w:tcPr>
          <w:p w14:paraId="42489214"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10,1</w:t>
            </w:r>
          </w:p>
        </w:tc>
        <w:tc>
          <w:tcPr>
            <w:tcW w:w="1100" w:type="pct"/>
            <w:noWrap/>
          </w:tcPr>
          <w:p w14:paraId="7518E859"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10,9</w:t>
            </w:r>
          </w:p>
        </w:tc>
        <w:tc>
          <w:tcPr>
            <w:tcW w:w="1012" w:type="pct"/>
            <w:noWrap/>
          </w:tcPr>
          <w:p w14:paraId="57968B6D" w14:textId="77777777" w:rsidR="00403C18" w:rsidRPr="00741122" w:rsidRDefault="00403C18" w:rsidP="004C5D03">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13,9</w:t>
            </w:r>
          </w:p>
        </w:tc>
      </w:tr>
      <w:tr w:rsidR="00403C18" w:rsidRPr="00741122" w14:paraId="1043E175" w14:textId="77777777" w:rsidTr="00F533B1">
        <w:trPr>
          <w:trHeight w:val="493"/>
        </w:trPr>
        <w:tc>
          <w:tcPr>
            <w:tcW w:w="1719" w:type="pct"/>
            <w:noWrap/>
          </w:tcPr>
          <w:p w14:paraId="6B35B152" w14:textId="77777777" w:rsidR="00403C18" w:rsidRPr="00741122" w:rsidRDefault="00403C18" w:rsidP="00D6619C">
            <w:pPr>
              <w:tabs>
                <w:tab w:val="left" w:pos="567"/>
              </w:tabs>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ryzyka</w:t>
            </w:r>
            <w:r w:rsidR="00D6619C">
              <w:rPr>
                <w:rFonts w:ascii="Times New Roman" w:eastAsia="Times New Roman" w:hAnsi="Times New Roman" w:cs="Times New Roman"/>
                <w:sz w:val="22"/>
                <w:szCs w:val="22"/>
                <w:lang w:val="lt-LT"/>
              </w:rPr>
              <w:t xml:space="preserve"> (95% CI)</w:t>
            </w:r>
            <w:r w:rsidRPr="00741122">
              <w:rPr>
                <w:rFonts w:ascii="Times New Roman" w:eastAsia="Times New Roman" w:hAnsi="Times New Roman" w:cs="Times New Roman"/>
                <w:sz w:val="22"/>
                <w:szCs w:val="22"/>
                <w:vertAlign w:val="superscript"/>
                <w:lang w:val="lt-LT"/>
              </w:rPr>
              <w:t>4</w:t>
            </w:r>
          </w:p>
        </w:tc>
        <w:tc>
          <w:tcPr>
            <w:tcW w:w="1169" w:type="pct"/>
            <w:noWrap/>
          </w:tcPr>
          <w:p w14:paraId="05E07893" w14:textId="77777777" w:rsidR="00403C18" w:rsidRPr="00741122" w:rsidRDefault="00403C18" w:rsidP="00E92B61">
            <w:pPr>
              <w:jc w:val="center"/>
              <w:rPr>
                <w:rFonts w:ascii="Times New Roman" w:hAnsi="Times New Roman" w:cs="Times New Roman"/>
                <w:color w:val="000000"/>
                <w:sz w:val="22"/>
                <w:szCs w:val="22"/>
                <w:lang w:val="lt-LT"/>
              </w:rPr>
            </w:pPr>
          </w:p>
        </w:tc>
        <w:tc>
          <w:tcPr>
            <w:tcW w:w="1100" w:type="pct"/>
            <w:noWrap/>
          </w:tcPr>
          <w:p w14:paraId="0F7E5488" w14:textId="77777777" w:rsidR="00403C18" w:rsidRPr="00741122" w:rsidRDefault="00403C18"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0,93</w:t>
            </w:r>
          </w:p>
          <w:p w14:paraId="7C7D9090" w14:textId="393F6C57" w:rsidR="00403C18" w:rsidRPr="00741122" w:rsidRDefault="00403C18" w:rsidP="00E92B61">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(0,77</w:t>
            </w:r>
            <w:r w:rsidR="00854D5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1,14)</w:t>
            </w:r>
          </w:p>
        </w:tc>
        <w:tc>
          <w:tcPr>
            <w:tcW w:w="1012" w:type="pct"/>
            <w:noWrap/>
          </w:tcPr>
          <w:p w14:paraId="781FD620" w14:textId="77777777" w:rsidR="00403C18" w:rsidRPr="00741122" w:rsidRDefault="00403C18"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0,78</w:t>
            </w:r>
          </w:p>
          <w:p w14:paraId="78668687" w14:textId="512C0751" w:rsidR="00403C18" w:rsidRPr="00741122" w:rsidRDefault="00403C18" w:rsidP="00E92B61">
            <w:pPr>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(0,63</w:t>
            </w:r>
            <w:r w:rsidR="00854D5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0,96)</w:t>
            </w:r>
          </w:p>
        </w:tc>
      </w:tr>
      <w:tr w:rsidR="00403C18" w:rsidRPr="00C70451" w14:paraId="32C30D95" w14:textId="77777777" w:rsidTr="00F533B1">
        <w:trPr>
          <w:trHeight w:val="300"/>
        </w:trPr>
        <w:tc>
          <w:tcPr>
            <w:tcW w:w="5000" w:type="pct"/>
            <w:gridSpan w:val="4"/>
            <w:noWrap/>
            <w:vAlign w:val="bottom"/>
            <w:hideMark/>
          </w:tcPr>
          <w:p w14:paraId="172CF516" w14:textId="77777777" w:rsidR="00403C18" w:rsidRPr="00741122" w:rsidRDefault="00403C18" w:rsidP="00F533B1">
            <w:pPr>
              <w:keepNext/>
              <w:keepLines/>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Randomizowani pacjenci ze stopniem zaawansowania choroby IV</w:t>
            </w:r>
          </w:p>
        </w:tc>
      </w:tr>
      <w:tr w:rsidR="00403C18" w:rsidRPr="00741122" w14:paraId="42E506EB" w14:textId="77777777" w:rsidTr="00F533B1">
        <w:trPr>
          <w:trHeight w:val="394"/>
        </w:trPr>
        <w:tc>
          <w:tcPr>
            <w:tcW w:w="1719" w:type="pct"/>
            <w:noWrap/>
            <w:hideMark/>
          </w:tcPr>
          <w:p w14:paraId="7FECD6A1" w14:textId="77777777" w:rsidR="00403C18" w:rsidRPr="00741122" w:rsidRDefault="00403C18" w:rsidP="00F533B1">
            <w:pPr>
              <w:keepNext/>
              <w:keepLines/>
              <w:rPr>
                <w:rFonts w:ascii="Times New Roman" w:hAnsi="Times New Roman" w:cs="Times New Roman"/>
                <w:color w:val="000000"/>
                <w:sz w:val="22"/>
                <w:szCs w:val="22"/>
                <w:lang w:val="lt-LT"/>
              </w:rPr>
            </w:pPr>
          </w:p>
        </w:tc>
        <w:tc>
          <w:tcPr>
            <w:tcW w:w="1169" w:type="pct"/>
            <w:noWrap/>
            <w:hideMark/>
          </w:tcPr>
          <w:p w14:paraId="3BF2E5F6"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CPP</w:t>
            </w:r>
          </w:p>
          <w:p w14:paraId="706CD16D"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153)</w:t>
            </w:r>
          </w:p>
        </w:tc>
        <w:tc>
          <w:tcPr>
            <w:tcW w:w="1100" w:type="pct"/>
            <w:noWrap/>
            <w:hideMark/>
          </w:tcPr>
          <w:p w14:paraId="19AB323E"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57B340E0"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165)</w:t>
            </w:r>
          </w:p>
        </w:tc>
        <w:tc>
          <w:tcPr>
            <w:tcW w:w="1012" w:type="pct"/>
            <w:noWrap/>
            <w:hideMark/>
          </w:tcPr>
          <w:p w14:paraId="12CCAEBD"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CPB15+</w:t>
            </w:r>
          </w:p>
          <w:p w14:paraId="51584893"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165)</w:t>
            </w:r>
          </w:p>
        </w:tc>
      </w:tr>
      <w:tr w:rsidR="00403C18" w:rsidRPr="00741122" w14:paraId="3FF0F14E" w14:textId="77777777" w:rsidTr="00F533B1">
        <w:trPr>
          <w:trHeight w:val="138"/>
        </w:trPr>
        <w:tc>
          <w:tcPr>
            <w:tcW w:w="1719" w:type="pct"/>
            <w:tcBorders>
              <w:bottom w:val="single" w:sz="4" w:space="0" w:color="auto"/>
            </w:tcBorders>
            <w:noWrap/>
          </w:tcPr>
          <w:p w14:paraId="67474534" w14:textId="77777777" w:rsidR="00403C18" w:rsidRPr="00741122" w:rsidRDefault="00403C18" w:rsidP="00F533B1">
            <w:pPr>
              <w:keepNext/>
              <w:keepLines/>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Mediana czasu wolnego od progresji (miesiące)</w:t>
            </w:r>
          </w:p>
        </w:tc>
        <w:tc>
          <w:tcPr>
            <w:tcW w:w="1169" w:type="pct"/>
            <w:tcBorders>
              <w:bottom w:val="single" w:sz="4" w:space="0" w:color="auto"/>
            </w:tcBorders>
            <w:noWrap/>
          </w:tcPr>
          <w:p w14:paraId="3436C1F2"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9,5</w:t>
            </w:r>
          </w:p>
        </w:tc>
        <w:tc>
          <w:tcPr>
            <w:tcW w:w="1100" w:type="pct"/>
            <w:tcBorders>
              <w:bottom w:val="single" w:sz="4" w:space="0" w:color="auto"/>
            </w:tcBorders>
            <w:noWrap/>
          </w:tcPr>
          <w:p w14:paraId="33BB2387"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10,4</w:t>
            </w:r>
          </w:p>
        </w:tc>
        <w:tc>
          <w:tcPr>
            <w:tcW w:w="1012" w:type="pct"/>
            <w:tcBorders>
              <w:bottom w:val="single" w:sz="4" w:space="0" w:color="auto"/>
            </w:tcBorders>
            <w:noWrap/>
          </w:tcPr>
          <w:p w14:paraId="2D4EB7E1"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12,8</w:t>
            </w:r>
          </w:p>
        </w:tc>
      </w:tr>
      <w:tr w:rsidR="00403C18" w:rsidRPr="00741122" w14:paraId="3F4E018A" w14:textId="77777777" w:rsidTr="00F533B1">
        <w:trPr>
          <w:trHeight w:val="477"/>
        </w:trPr>
        <w:tc>
          <w:tcPr>
            <w:tcW w:w="1719" w:type="pct"/>
            <w:tcBorders>
              <w:bottom w:val="single" w:sz="4" w:space="0" w:color="auto"/>
            </w:tcBorders>
            <w:noWrap/>
          </w:tcPr>
          <w:p w14:paraId="19660A84" w14:textId="77777777" w:rsidR="00403C18" w:rsidRPr="00741122" w:rsidRDefault="00403C18" w:rsidP="00F533B1">
            <w:pPr>
              <w:keepNext/>
              <w:keepLines/>
              <w:tabs>
                <w:tab w:val="left" w:pos="567"/>
              </w:tabs>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ryzyka</w:t>
            </w:r>
            <w:r w:rsidR="00D6619C">
              <w:rPr>
                <w:rFonts w:ascii="Times New Roman" w:eastAsia="Times New Roman" w:hAnsi="Times New Roman" w:cs="Times New Roman"/>
                <w:sz w:val="22"/>
                <w:szCs w:val="22"/>
                <w:lang w:val="lt-LT"/>
              </w:rPr>
              <w:t xml:space="preserve"> (95% CI)</w:t>
            </w:r>
            <w:r w:rsidRPr="00741122">
              <w:rPr>
                <w:rFonts w:ascii="Times New Roman" w:eastAsia="Times New Roman" w:hAnsi="Times New Roman" w:cs="Times New Roman"/>
                <w:sz w:val="22"/>
                <w:szCs w:val="22"/>
                <w:vertAlign w:val="superscript"/>
                <w:lang w:val="lt-LT"/>
              </w:rPr>
              <w:t>4</w:t>
            </w:r>
          </w:p>
        </w:tc>
        <w:tc>
          <w:tcPr>
            <w:tcW w:w="1169" w:type="pct"/>
            <w:tcBorders>
              <w:bottom w:val="single" w:sz="4" w:space="0" w:color="auto"/>
            </w:tcBorders>
            <w:noWrap/>
          </w:tcPr>
          <w:p w14:paraId="7AAE20DF" w14:textId="77777777" w:rsidR="00403C18" w:rsidRPr="00741122" w:rsidRDefault="00403C18" w:rsidP="00F533B1">
            <w:pPr>
              <w:keepNext/>
              <w:keepLines/>
              <w:jc w:val="center"/>
              <w:rPr>
                <w:rFonts w:ascii="Times New Roman" w:hAnsi="Times New Roman" w:cs="Times New Roman"/>
                <w:color w:val="000000"/>
                <w:sz w:val="22"/>
                <w:szCs w:val="22"/>
                <w:lang w:val="lt-LT"/>
              </w:rPr>
            </w:pPr>
          </w:p>
        </w:tc>
        <w:tc>
          <w:tcPr>
            <w:tcW w:w="1100" w:type="pct"/>
            <w:tcBorders>
              <w:bottom w:val="single" w:sz="4" w:space="0" w:color="auto"/>
            </w:tcBorders>
            <w:noWrap/>
          </w:tcPr>
          <w:p w14:paraId="053010B0"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0,90</w:t>
            </w:r>
          </w:p>
          <w:p w14:paraId="1FFCE537" w14:textId="212193BB"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(0,70</w:t>
            </w:r>
            <w:r w:rsidR="00854D5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1,16)</w:t>
            </w:r>
          </w:p>
        </w:tc>
        <w:tc>
          <w:tcPr>
            <w:tcW w:w="1012" w:type="pct"/>
            <w:tcBorders>
              <w:bottom w:val="single" w:sz="4" w:space="0" w:color="auto"/>
            </w:tcBorders>
            <w:noWrap/>
          </w:tcPr>
          <w:p w14:paraId="43F22813" w14:textId="7777777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0,64</w:t>
            </w:r>
          </w:p>
          <w:p w14:paraId="3BF84A7A" w14:textId="202D3697" w:rsidR="00403C18" w:rsidRPr="00741122" w:rsidRDefault="00403C18" w:rsidP="00F533B1">
            <w:pPr>
              <w:keepNext/>
              <w:keepLines/>
              <w:jc w:val="cente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(0,49</w:t>
            </w:r>
            <w:r w:rsidR="00854D5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0,82)</w:t>
            </w:r>
          </w:p>
        </w:tc>
      </w:tr>
    </w:tbl>
    <w:p w14:paraId="2E9DCF18" w14:textId="77777777" w:rsidR="00071CFE" w:rsidRPr="00741122" w:rsidRDefault="00071CFE" w:rsidP="0074558A">
      <w:pPr>
        <w:numPr>
          <w:ilvl w:val="0"/>
          <w:numId w:val="24"/>
        </w:numPr>
        <w:tabs>
          <w:tab w:val="left" w:pos="567"/>
        </w:tabs>
        <w:ind w:left="567" w:hanging="567"/>
        <w:rPr>
          <w:rFonts w:ascii="Times New Roman" w:eastAsia="Times New Roman" w:hAnsi="Times New Roman"/>
          <w:lang w:val="lt-LT"/>
        </w:rPr>
      </w:pPr>
      <w:r w:rsidRPr="00741122">
        <w:rPr>
          <w:rFonts w:ascii="Times New Roman" w:eastAsia="Times New Roman" w:hAnsi="Times New Roman"/>
          <w:lang w:val="lt-LT"/>
        </w:rPr>
        <w:t>Analiza czasu wolnego od progresji oceniana przez badacza według protokołu GOG (niecenzurowana dla progresji CA-125 i terapii nieobjętej protokołem (NPT) przed progresją choroby) z datą odcięcia danych 25</w:t>
      </w:r>
      <w:r w:rsidR="001D3AF3">
        <w:rPr>
          <w:rFonts w:ascii="Times New Roman" w:eastAsia="Times New Roman" w:hAnsi="Times New Roman"/>
          <w:lang w:val="lt-LT"/>
        </w:rPr>
        <w:t xml:space="preserve"> </w:t>
      </w:r>
      <w:r w:rsidRPr="00741122">
        <w:rPr>
          <w:rFonts w:ascii="Times New Roman" w:eastAsia="Times New Roman" w:hAnsi="Times New Roman"/>
          <w:lang w:val="lt-LT"/>
        </w:rPr>
        <w:t>lutego 2010</w:t>
      </w:r>
      <w:r w:rsidR="001D3AF3">
        <w:rPr>
          <w:rFonts w:ascii="Times New Roman" w:eastAsia="Times New Roman" w:hAnsi="Times New Roman"/>
          <w:lang w:val="lt-LT"/>
        </w:rPr>
        <w:t xml:space="preserve"> r</w:t>
      </w:r>
      <w:r w:rsidRPr="00741122">
        <w:rPr>
          <w:rFonts w:ascii="Times New Roman" w:eastAsia="Times New Roman" w:hAnsi="Times New Roman"/>
          <w:lang w:val="lt-LT"/>
        </w:rPr>
        <w:t>.</w:t>
      </w:r>
    </w:p>
    <w:p w14:paraId="771E9BE4" w14:textId="77777777" w:rsidR="008B57D2" w:rsidRPr="00741122" w:rsidRDefault="00FD7F9C" w:rsidP="0074558A">
      <w:pPr>
        <w:numPr>
          <w:ilvl w:val="0"/>
          <w:numId w:val="62"/>
        </w:numPr>
        <w:tabs>
          <w:tab w:val="left" w:pos="567"/>
        </w:tabs>
        <w:ind w:left="567" w:hanging="567"/>
        <w:rPr>
          <w:rFonts w:ascii="Times New Roman" w:eastAsia="Times New Roman" w:hAnsi="Times New Roman"/>
          <w:lang w:val="lt-LT"/>
        </w:rPr>
      </w:pPr>
      <w:r>
        <w:rPr>
          <w:rFonts w:ascii="Times New Roman" w:eastAsia="Times New Roman" w:hAnsi="Times New Roman"/>
          <w:lang w:val="lt-LT"/>
        </w:rPr>
        <w:t>z</w:t>
      </w:r>
      <w:r w:rsidR="00071CFE" w:rsidRPr="00741122">
        <w:rPr>
          <w:rFonts w:ascii="Times New Roman" w:eastAsia="Times New Roman" w:hAnsi="Times New Roman"/>
          <w:lang w:val="lt-LT"/>
        </w:rPr>
        <w:t xml:space="preserve"> makroskopową chorobą resztkową</w:t>
      </w:r>
    </w:p>
    <w:p w14:paraId="6C4F614D" w14:textId="0194078A" w:rsidR="00071CFE" w:rsidRPr="00741122" w:rsidRDefault="00071CFE" w:rsidP="0074558A">
      <w:pPr>
        <w:numPr>
          <w:ilvl w:val="0"/>
          <w:numId w:val="62"/>
        </w:numPr>
        <w:tabs>
          <w:tab w:val="left" w:pos="567"/>
        </w:tabs>
        <w:ind w:left="567" w:hanging="567"/>
        <w:rPr>
          <w:rFonts w:ascii="Times New Roman" w:eastAsia="Times New Roman" w:hAnsi="Times New Roman"/>
          <w:lang w:val="lt-LT"/>
        </w:rPr>
      </w:pPr>
      <w:r w:rsidRPr="00741122">
        <w:rPr>
          <w:rFonts w:ascii="Times New Roman" w:eastAsia="Times New Roman" w:hAnsi="Times New Roman"/>
          <w:lang w:val="lt-LT"/>
        </w:rPr>
        <w:t>U 3,7% wszystkich chorych stopień zaawansowania choroby wynosił III</w:t>
      </w:r>
      <w:r w:rsidR="002810A5">
        <w:rPr>
          <w:rFonts w:ascii="Times New Roman" w:eastAsia="Times New Roman" w:hAnsi="Times New Roman"/>
          <w:lang w:val="lt-LT"/>
        </w:rPr>
        <w:t>B</w:t>
      </w:r>
      <w:r w:rsidRPr="00741122">
        <w:rPr>
          <w:rFonts w:ascii="Times New Roman" w:eastAsia="Times New Roman" w:hAnsi="Times New Roman"/>
          <w:lang w:val="lt-LT"/>
        </w:rPr>
        <w:t>.</w:t>
      </w:r>
    </w:p>
    <w:p w14:paraId="3C54C155" w14:textId="77777777" w:rsidR="00071CFE" w:rsidRPr="00741122" w:rsidRDefault="00071CFE" w:rsidP="0074558A">
      <w:pPr>
        <w:tabs>
          <w:tab w:val="left" w:pos="567"/>
        </w:tabs>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t>4</w:t>
      </w:r>
      <w:r w:rsidR="008B57D2" w:rsidRPr="00741122">
        <w:rPr>
          <w:rFonts w:ascii="Times New Roman" w:eastAsia="Times New Roman" w:hAnsi="Times New Roman"/>
          <w:lang w:val="lt-LT"/>
        </w:rPr>
        <w:tab/>
      </w:r>
      <w:r w:rsidR="00FD7F9C">
        <w:rPr>
          <w:rFonts w:ascii="Times New Roman" w:eastAsia="Times New Roman" w:hAnsi="Times New Roman"/>
          <w:lang w:val="lt-LT"/>
        </w:rPr>
        <w:t>w</w:t>
      </w:r>
      <w:r w:rsidRPr="00741122">
        <w:rPr>
          <w:rFonts w:ascii="Times New Roman" w:eastAsia="Times New Roman" w:hAnsi="Times New Roman"/>
          <w:lang w:val="lt-LT"/>
        </w:rPr>
        <w:t xml:space="preserve"> porównaniu z grupą kontroln</w:t>
      </w:r>
      <w:r w:rsidR="001D3AF3">
        <w:rPr>
          <w:rFonts w:ascii="Times New Roman" w:eastAsia="Times New Roman" w:hAnsi="Times New Roman"/>
          <w:lang w:val="lt-LT"/>
        </w:rPr>
        <w:t>ą</w:t>
      </w:r>
    </w:p>
    <w:p w14:paraId="1A89A52F" w14:textId="77777777" w:rsidR="00071CFE" w:rsidRPr="00741122" w:rsidRDefault="00071CFE" w:rsidP="0074558A">
      <w:pPr>
        <w:rPr>
          <w:rFonts w:ascii="Times New Roman" w:eastAsia="Times New Roman" w:hAnsi="Times New Roman"/>
          <w:lang w:val="lt-LT"/>
        </w:rPr>
      </w:pPr>
    </w:p>
    <w:p w14:paraId="2D92C49B" w14:textId="77777777" w:rsidR="00071CFE" w:rsidRPr="00741122" w:rsidRDefault="00071CFE" w:rsidP="0074558A">
      <w:pPr>
        <w:rPr>
          <w:rFonts w:ascii="Times New Roman" w:eastAsia="Times New Roman" w:hAnsi="Times New Roman"/>
          <w:i/>
          <w:sz w:val="22"/>
          <w:lang w:val="lt-LT"/>
        </w:rPr>
      </w:pPr>
      <w:r w:rsidRPr="00741122">
        <w:rPr>
          <w:rFonts w:ascii="Times New Roman" w:eastAsia="Times New Roman" w:hAnsi="Times New Roman"/>
          <w:i/>
          <w:sz w:val="22"/>
          <w:lang w:val="lt-LT"/>
        </w:rPr>
        <w:t>BO17707 (ICON7)</w:t>
      </w:r>
    </w:p>
    <w:p w14:paraId="728D418D" w14:textId="77777777" w:rsidR="00071CFE" w:rsidRPr="00741122" w:rsidRDefault="00071CFE" w:rsidP="0074558A">
      <w:pPr>
        <w:rPr>
          <w:rFonts w:ascii="Times New Roman" w:eastAsia="Times New Roman" w:hAnsi="Times New Roman"/>
          <w:sz w:val="22"/>
          <w:lang w:val="lt-LT"/>
        </w:rPr>
      </w:pPr>
      <w:r w:rsidRPr="00741122">
        <w:rPr>
          <w:rFonts w:ascii="Times New Roman" w:eastAsia="Times New Roman" w:hAnsi="Times New Roman"/>
          <w:sz w:val="22"/>
          <w:lang w:val="lt-LT"/>
        </w:rPr>
        <w:t>W wieloośrodkowym</w:t>
      </w:r>
      <w:r w:rsidR="001D3AF3">
        <w:rPr>
          <w:rFonts w:ascii="Times New Roman" w:eastAsia="Times New Roman" w:hAnsi="Times New Roman"/>
          <w:sz w:val="22"/>
          <w:lang w:val="lt-LT"/>
        </w:rPr>
        <w:t>,</w:t>
      </w:r>
      <w:r w:rsidRPr="00741122">
        <w:rPr>
          <w:rFonts w:ascii="Times New Roman" w:eastAsia="Times New Roman" w:hAnsi="Times New Roman"/>
          <w:sz w:val="22"/>
          <w:lang w:val="lt-LT"/>
        </w:rPr>
        <w:t xml:space="preserve"> randomizowanym</w:t>
      </w:r>
      <w:r w:rsidR="001D3AF3">
        <w:rPr>
          <w:rFonts w:ascii="Times New Roman" w:eastAsia="Times New Roman" w:hAnsi="Times New Roman"/>
          <w:sz w:val="22"/>
          <w:lang w:val="lt-LT"/>
        </w:rPr>
        <w:t>,</w:t>
      </w:r>
      <w:r w:rsidRPr="00741122">
        <w:rPr>
          <w:rFonts w:ascii="Times New Roman" w:eastAsia="Times New Roman" w:hAnsi="Times New Roman"/>
          <w:sz w:val="22"/>
          <w:lang w:val="lt-LT"/>
        </w:rPr>
        <w:t xml:space="preserve"> kontrolowanym, otwartym badaniu fazy III BO17707, prowadzonym w dwóch grupach, porównano wpływ dołączenia </w:t>
      </w:r>
      <w:r w:rsidR="00B14B20">
        <w:rPr>
          <w:rFonts w:ascii="Times New Roman" w:eastAsia="Times New Roman" w:hAnsi="Times New Roman" w:cs="Times New Roman"/>
          <w:sz w:val="22"/>
          <w:szCs w:val="22"/>
          <w:lang w:val="lt-LT"/>
        </w:rPr>
        <w:t>bewacyzumabu</w:t>
      </w:r>
      <w:r w:rsidRPr="00741122">
        <w:rPr>
          <w:rFonts w:ascii="Times New Roman" w:eastAsia="Times New Roman" w:hAnsi="Times New Roman"/>
          <w:sz w:val="22"/>
          <w:lang w:val="lt-LT"/>
        </w:rPr>
        <w:t xml:space="preserve"> do schematu zawierającego karboplatynę i paklitaksel w leczeniu chorych na raka jajnika, raka jajowodu lub pierwotnego raka otrzewnej w stadium I lub IIA wg klasyfikacji FIGO (wyłącznie stopień 3</w:t>
      </w:r>
      <w:r w:rsidR="001D3AF3">
        <w:rPr>
          <w:rFonts w:ascii="Times New Roman" w:eastAsia="Times New Roman" w:hAnsi="Times New Roman"/>
          <w:sz w:val="22"/>
          <w:lang w:val="lt-LT"/>
        </w:rPr>
        <w:t>.</w:t>
      </w:r>
      <w:r w:rsidRPr="00741122">
        <w:rPr>
          <w:rFonts w:ascii="Times New Roman" w:eastAsia="Times New Roman" w:hAnsi="Times New Roman"/>
          <w:sz w:val="22"/>
          <w:lang w:val="lt-LT"/>
        </w:rPr>
        <w:t xml:space="preserve"> lub jasnokomórkowy typ histologiczny; n</w:t>
      </w:r>
      <w:r w:rsidR="00AF7C55">
        <w:rPr>
          <w:rFonts w:ascii="Times New Roman" w:eastAsia="Times New Roman" w:hAnsi="Times New Roman"/>
          <w:sz w:val="22"/>
          <w:lang w:val="lt-LT"/>
        </w:rPr>
        <w:t> </w:t>
      </w:r>
      <w:r w:rsidRPr="00741122">
        <w:rPr>
          <w:rFonts w:ascii="Times New Roman" w:eastAsia="Times New Roman" w:hAnsi="Times New Roman"/>
          <w:sz w:val="22"/>
          <w:lang w:val="lt-LT"/>
        </w:rPr>
        <w:t>=</w:t>
      </w:r>
      <w:r w:rsidR="00AF7C55">
        <w:rPr>
          <w:rFonts w:ascii="Times New Roman" w:eastAsia="Times New Roman" w:hAnsi="Times New Roman"/>
          <w:sz w:val="22"/>
          <w:lang w:val="lt-LT"/>
        </w:rPr>
        <w:t> </w:t>
      </w:r>
      <w:r w:rsidRPr="00741122">
        <w:rPr>
          <w:rFonts w:ascii="Times New Roman" w:eastAsia="Times New Roman" w:hAnsi="Times New Roman"/>
          <w:sz w:val="22"/>
          <w:lang w:val="lt-LT"/>
        </w:rPr>
        <w:t>142), lub stadium IIB–IV wg klasyfikacji FIGO (wszystkie stopnie i typy histologiczne, n</w:t>
      </w:r>
      <w:r w:rsidR="00AF7C55">
        <w:rPr>
          <w:rFonts w:ascii="Times New Roman" w:eastAsia="Times New Roman" w:hAnsi="Times New Roman"/>
          <w:sz w:val="22"/>
          <w:lang w:val="lt-LT"/>
        </w:rPr>
        <w:t> </w:t>
      </w:r>
      <w:r w:rsidRPr="00741122">
        <w:rPr>
          <w:rFonts w:ascii="Times New Roman" w:eastAsia="Times New Roman" w:hAnsi="Times New Roman"/>
          <w:sz w:val="22"/>
          <w:lang w:val="lt-LT"/>
        </w:rPr>
        <w:t>=</w:t>
      </w:r>
      <w:r w:rsidR="00AF7C55">
        <w:rPr>
          <w:rFonts w:ascii="Times New Roman" w:eastAsia="Times New Roman" w:hAnsi="Times New Roman"/>
          <w:sz w:val="22"/>
          <w:lang w:val="lt-LT"/>
        </w:rPr>
        <w:t> </w:t>
      </w:r>
      <w:r w:rsidRPr="00741122">
        <w:rPr>
          <w:rFonts w:ascii="Times New Roman" w:eastAsia="Times New Roman" w:hAnsi="Times New Roman"/>
          <w:sz w:val="22"/>
          <w:lang w:val="lt-LT"/>
        </w:rPr>
        <w:t>1386); chore były uprzednio operowane</w:t>
      </w:r>
      <w:r w:rsidR="00327D6D">
        <w:rPr>
          <w:rFonts w:ascii="Times New Roman" w:eastAsia="Times New Roman" w:hAnsi="Times New Roman"/>
          <w:sz w:val="22"/>
          <w:lang w:val="lt-LT"/>
        </w:rPr>
        <w:t xml:space="preserve"> </w:t>
      </w:r>
      <w:r w:rsidR="00327D6D" w:rsidRPr="00327D6D">
        <w:rPr>
          <w:rFonts w:ascii="Times New Roman" w:hAnsi="Times New Roman" w:cs="Times New Roman"/>
          <w:sz w:val="22"/>
          <w:szCs w:val="22"/>
          <w:lang w:val="pl-PL"/>
        </w:rPr>
        <w:t>(NCI-CTCAE v.3)</w:t>
      </w:r>
      <w:r w:rsidRPr="00327D6D">
        <w:rPr>
          <w:rFonts w:ascii="Times New Roman" w:eastAsia="Times New Roman" w:hAnsi="Times New Roman" w:cs="Times New Roman"/>
          <w:sz w:val="22"/>
          <w:lang w:val="lt-LT"/>
        </w:rPr>
        <w:t>.</w:t>
      </w:r>
      <w:r w:rsidRPr="00741122">
        <w:rPr>
          <w:rFonts w:ascii="Times New Roman" w:eastAsia="Times New Roman" w:hAnsi="Times New Roman"/>
          <w:sz w:val="22"/>
          <w:lang w:val="lt-LT"/>
        </w:rPr>
        <w:t xml:space="preserve"> W tym badaniu używano klasyfikacji FIGO w wersji z 1988 r.</w:t>
      </w:r>
    </w:p>
    <w:p w14:paraId="3018B6DC" w14:textId="77777777" w:rsidR="00071CFE" w:rsidRPr="000E7F5A" w:rsidRDefault="00071CFE" w:rsidP="0074558A">
      <w:pPr>
        <w:rPr>
          <w:rFonts w:ascii="Times New Roman" w:eastAsia="Times New Roman" w:hAnsi="Times New Roman"/>
          <w:sz w:val="22"/>
          <w:lang w:val="lt-LT"/>
        </w:rPr>
      </w:pPr>
    </w:p>
    <w:p w14:paraId="3F2BDA7B" w14:textId="77777777" w:rsidR="00071CFE" w:rsidRPr="00741122" w:rsidRDefault="00071CFE" w:rsidP="0074558A">
      <w:pPr>
        <w:rPr>
          <w:rFonts w:ascii="Times New Roman" w:eastAsia="Times New Roman" w:hAnsi="Times New Roman"/>
          <w:sz w:val="22"/>
          <w:lang w:val="lt-LT"/>
        </w:rPr>
      </w:pPr>
      <w:r w:rsidRPr="00741122">
        <w:rPr>
          <w:rFonts w:ascii="Times New Roman" w:eastAsia="Times New Roman" w:hAnsi="Times New Roman"/>
          <w:sz w:val="22"/>
          <w:lang w:val="lt-LT"/>
        </w:rPr>
        <w:t>Z badania zostały wyłączone pacjentki leczone uprzednio bewacyzumabem lub otrzymujące leczenie systemowe z powodu raka jajnika (np. chemioterapię, terapię przeciwciałami monoklonalnymi, inhibitorami kinazy tyrozynowej lub terapię hormonalną) oraz pacjentki poddawane naświetlaniom jamy brzusznej lub miednicy.</w:t>
      </w:r>
    </w:p>
    <w:p w14:paraId="1069823E" w14:textId="77777777" w:rsidR="00071CFE" w:rsidRPr="00741122" w:rsidRDefault="00071CFE" w:rsidP="0074558A">
      <w:pPr>
        <w:rPr>
          <w:rFonts w:ascii="Times New Roman" w:eastAsia="Times New Roman" w:hAnsi="Times New Roman" w:cs="Times New Roman"/>
          <w:sz w:val="22"/>
          <w:szCs w:val="22"/>
          <w:lang w:val="lt-LT"/>
        </w:rPr>
      </w:pPr>
    </w:p>
    <w:p w14:paraId="3AB64B08" w14:textId="77777777" w:rsidR="00071CFE" w:rsidRPr="00741122" w:rsidRDefault="00071CFE" w:rsidP="0074558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Łącznie zrandomizowano 1528 pacjentek w równych proporcjach do leczenia w następujących grupach:</w:t>
      </w:r>
      <w:r w:rsidR="008B57D2" w:rsidRPr="00741122">
        <w:rPr>
          <w:rFonts w:ascii="Times New Roman" w:eastAsia="Times New Roman" w:hAnsi="Times New Roman" w:cs="Times New Roman"/>
          <w:sz w:val="22"/>
          <w:szCs w:val="22"/>
          <w:lang w:val="lt-LT"/>
        </w:rPr>
        <w:t xml:space="preserve"> </w:t>
      </w:r>
    </w:p>
    <w:p w14:paraId="7E6948D2" w14:textId="77777777" w:rsidR="006E25D1" w:rsidRPr="00741122" w:rsidRDefault="006E25D1" w:rsidP="0074558A">
      <w:pPr>
        <w:rPr>
          <w:rFonts w:ascii="Times New Roman" w:eastAsia="Times New Roman" w:hAnsi="Times New Roman" w:cs="Times New Roman"/>
          <w:sz w:val="22"/>
          <w:szCs w:val="22"/>
          <w:lang w:val="lt-LT"/>
        </w:rPr>
      </w:pPr>
    </w:p>
    <w:p w14:paraId="281B951B" w14:textId="77777777" w:rsidR="00071CFE" w:rsidRPr="00741122" w:rsidRDefault="00071CFE" w:rsidP="00314B6B">
      <w:pPr>
        <w:numPr>
          <w:ilvl w:val="0"/>
          <w:numId w:val="87"/>
        </w:numPr>
        <w:tabs>
          <w:tab w:val="left" w:pos="567"/>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Grupa CP: karbopla</w:t>
      </w:r>
      <w:r w:rsidR="006E25D1" w:rsidRPr="00741122">
        <w:rPr>
          <w:rFonts w:ascii="Times New Roman" w:eastAsia="Times New Roman" w:hAnsi="Times New Roman" w:cs="Times New Roman"/>
          <w:sz w:val="22"/>
          <w:szCs w:val="22"/>
          <w:lang w:val="lt-LT"/>
        </w:rPr>
        <w:t>tyna (AUC 6) i paklitaksel (175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przez sześć 3-tygodniowych cykli.</w:t>
      </w:r>
    </w:p>
    <w:p w14:paraId="4533E72E" w14:textId="77777777" w:rsidR="00071CFE" w:rsidRPr="00741122" w:rsidRDefault="00071CFE" w:rsidP="00314B6B">
      <w:pPr>
        <w:numPr>
          <w:ilvl w:val="0"/>
          <w:numId w:val="87"/>
        </w:numPr>
        <w:tabs>
          <w:tab w:val="left" w:pos="567"/>
        </w:tabs>
        <w:ind w:left="567" w:hanging="567"/>
        <w:rPr>
          <w:rFonts w:ascii="Times New Roman" w:eastAsia="Arial" w:hAnsi="Times New Roman" w:cs="Times New Roman"/>
          <w:sz w:val="22"/>
          <w:szCs w:val="22"/>
          <w:lang w:val="lt-LT"/>
        </w:rPr>
      </w:pPr>
      <w:bookmarkStart w:id="46" w:name="page44"/>
      <w:bookmarkEnd w:id="46"/>
      <w:r w:rsidRPr="00741122">
        <w:rPr>
          <w:rFonts w:ascii="Times New Roman" w:eastAsia="Times New Roman" w:hAnsi="Times New Roman" w:cs="Times New Roman"/>
          <w:sz w:val="22"/>
          <w:szCs w:val="22"/>
          <w:lang w:val="lt-LT"/>
        </w:rPr>
        <w:t>Grupa CPB7,5+: karbopla</w:t>
      </w:r>
      <w:r w:rsidR="006E25D1" w:rsidRPr="00741122">
        <w:rPr>
          <w:rFonts w:ascii="Times New Roman" w:eastAsia="Times New Roman" w:hAnsi="Times New Roman" w:cs="Times New Roman"/>
          <w:sz w:val="22"/>
          <w:szCs w:val="22"/>
          <w:lang w:val="lt-LT"/>
        </w:rPr>
        <w:t>tyna (AUC 6) i paklitaksel (175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przez sześć 3-tygod</w:t>
      </w:r>
      <w:r w:rsidR="006E25D1" w:rsidRPr="00741122">
        <w:rPr>
          <w:rFonts w:ascii="Times New Roman" w:eastAsia="Times New Roman" w:hAnsi="Times New Roman" w:cs="Times New Roman"/>
          <w:sz w:val="22"/>
          <w:szCs w:val="22"/>
          <w:lang w:val="lt-LT"/>
        </w:rPr>
        <w:t xml:space="preserve">niowych cykli oraz </w:t>
      </w:r>
      <w:r w:rsidR="00B14B20">
        <w:rPr>
          <w:rFonts w:ascii="Times New Roman" w:eastAsia="Times New Roman" w:hAnsi="Times New Roman" w:cs="Times New Roman"/>
          <w:sz w:val="22"/>
          <w:szCs w:val="22"/>
          <w:lang w:val="lt-LT"/>
        </w:rPr>
        <w:t>bewacyzumab</w:t>
      </w:r>
      <w:r w:rsidR="006E25D1" w:rsidRPr="00741122">
        <w:rPr>
          <w:rFonts w:ascii="Times New Roman" w:eastAsia="Times New Roman" w:hAnsi="Times New Roman" w:cs="Times New Roman"/>
          <w:sz w:val="22"/>
          <w:szCs w:val="22"/>
          <w:lang w:val="lt-LT"/>
        </w:rPr>
        <w:t xml:space="preserve"> (7,5 </w:t>
      </w:r>
      <w:r w:rsidRPr="00741122">
        <w:rPr>
          <w:rFonts w:ascii="Times New Roman" w:eastAsia="Times New Roman" w:hAnsi="Times New Roman" w:cs="Times New Roman"/>
          <w:sz w:val="22"/>
          <w:szCs w:val="22"/>
          <w:lang w:val="lt-LT"/>
        </w:rPr>
        <w:t>mg/kg</w:t>
      </w:r>
      <w:r w:rsidR="001D3AF3">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raz na trzy tygodnie) przez maksymalnie 12 miesięcy (podawanie </w:t>
      </w:r>
      <w:r w:rsidR="00B14B20">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rozpoczęto w 2</w:t>
      </w:r>
      <w:r w:rsidR="001D3AF3">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cyklu chemioterapii, jeśli leczenie rozpoczęto w okresie 4 tygodni od operacji lub w 1</w:t>
      </w:r>
      <w:r w:rsidR="001D3AF3">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cyklu, jeśli leczenie rozpoczęto po upływie 4 tygodni od operacji).</w:t>
      </w:r>
    </w:p>
    <w:p w14:paraId="7338964A" w14:textId="77777777" w:rsidR="00071CFE" w:rsidRPr="00741122" w:rsidRDefault="00071CFE" w:rsidP="0074558A">
      <w:pPr>
        <w:rPr>
          <w:rFonts w:ascii="Times New Roman" w:eastAsia="Times New Roman" w:hAnsi="Times New Roman" w:cs="Times New Roman"/>
          <w:sz w:val="22"/>
          <w:szCs w:val="22"/>
          <w:lang w:val="lt-LT"/>
        </w:rPr>
      </w:pPr>
    </w:p>
    <w:p w14:paraId="5CEA9921" w14:textId="77777777" w:rsidR="00071CFE" w:rsidRPr="00741122" w:rsidRDefault="00071CFE" w:rsidP="0074558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Większość chorych włączonych do badania należała do rasy białej (96%), mediana wieku wynosiła 57 lat w obu grupach badanych, 25% chorych w każdej z grup było w wieku powyżej 65 lat. U około 50% pacjentów sprawność według klasyfikacji ECOG wynosiła 1, u 7% chorych w obu grupach stopień sprawności wynosił 2. U większości chorych rozpoznano raka jajnika (87,7%), pierwotnego raka otrzewnej rozpoznano u 6,9% chorych, raka jajowodu rozpoznano u 3,7% chorych, guza o mieszanym pochodzeniu – </w:t>
      </w:r>
      <w:r w:rsidR="001D3AF3">
        <w:rPr>
          <w:rFonts w:ascii="Times New Roman" w:eastAsia="Times New Roman" w:hAnsi="Times New Roman" w:cs="Times New Roman"/>
          <w:sz w:val="22"/>
          <w:szCs w:val="22"/>
          <w:lang w:val="lt-LT"/>
        </w:rPr>
        <w:t>u</w:t>
      </w:r>
      <w:r w:rsidRPr="00741122">
        <w:rPr>
          <w:rFonts w:ascii="Times New Roman" w:eastAsia="Times New Roman" w:hAnsi="Times New Roman" w:cs="Times New Roman"/>
          <w:sz w:val="22"/>
          <w:szCs w:val="22"/>
          <w:lang w:val="lt-LT"/>
        </w:rPr>
        <w:t xml:space="preserve"> 1,7%. U większości pacjentów stwierdzono III stopień zaawansowania choroby według klasyfikacji FIGO (w ob</w:t>
      </w:r>
      <w:r w:rsidR="001D3AF3">
        <w:rPr>
          <w:rFonts w:ascii="Times New Roman" w:eastAsia="Times New Roman" w:hAnsi="Times New Roman" w:cs="Times New Roman"/>
          <w:sz w:val="22"/>
          <w:szCs w:val="22"/>
          <w:lang w:val="lt-LT"/>
        </w:rPr>
        <w:t>u</w:t>
      </w:r>
      <w:r w:rsidRPr="00741122">
        <w:rPr>
          <w:rFonts w:ascii="Times New Roman" w:eastAsia="Times New Roman" w:hAnsi="Times New Roman" w:cs="Times New Roman"/>
          <w:sz w:val="22"/>
          <w:szCs w:val="22"/>
          <w:lang w:val="lt-LT"/>
        </w:rPr>
        <w:t xml:space="preserve"> ramionach 68%), następną grupą pod względem liczebności były chore ze stopniem zaawansowania choroby IV (13% i 14%), z zaawansowaniem choroby w stopniu II (10% i 11%) i w stopniu I (9% i 7%). U większości chorych w obu ramionach badania (74% i 71%) stwierdzano </w:t>
      </w:r>
      <w:r w:rsidR="00100BEA">
        <w:rPr>
          <w:rFonts w:ascii="Times New Roman" w:eastAsia="Times New Roman" w:hAnsi="Times New Roman" w:cs="Times New Roman"/>
          <w:sz w:val="22"/>
          <w:szCs w:val="22"/>
          <w:lang w:val="lt-LT"/>
        </w:rPr>
        <w:t>początkowo</w:t>
      </w:r>
      <w:r w:rsidRPr="00741122">
        <w:rPr>
          <w:rFonts w:ascii="Times New Roman" w:eastAsia="Times New Roman" w:hAnsi="Times New Roman" w:cs="Times New Roman"/>
          <w:sz w:val="22"/>
          <w:szCs w:val="22"/>
          <w:lang w:val="lt-LT"/>
        </w:rPr>
        <w:t xml:space="preserve"> niskie zróżnicowanie guza pierwotnego (stopień złośliwości G3). Występowanie </w:t>
      </w:r>
      <w:r w:rsidRPr="00741122">
        <w:rPr>
          <w:rFonts w:ascii="Times New Roman" w:eastAsia="Times New Roman" w:hAnsi="Times New Roman" w:cs="Times New Roman"/>
          <w:sz w:val="22"/>
          <w:szCs w:val="22"/>
          <w:lang w:val="lt-LT"/>
        </w:rPr>
        <w:lastRenderedPageBreak/>
        <w:t>poszczególnych typów histologicznych guza było podobne w obu grupach badania; typem histologicznym stwierdzanym u 69% chorych w obu grupach był gruczolakorak surowiczy.</w:t>
      </w:r>
    </w:p>
    <w:p w14:paraId="2F0177C2" w14:textId="77777777" w:rsidR="00071CFE" w:rsidRPr="00741122" w:rsidRDefault="00071CFE" w:rsidP="0074558A">
      <w:pPr>
        <w:rPr>
          <w:rFonts w:ascii="Times New Roman" w:eastAsia="Times New Roman" w:hAnsi="Times New Roman" w:cs="Times New Roman"/>
          <w:sz w:val="22"/>
          <w:szCs w:val="22"/>
          <w:lang w:val="lt-LT"/>
        </w:rPr>
      </w:pPr>
    </w:p>
    <w:p w14:paraId="665C0F1D" w14:textId="77777777" w:rsidR="00071CFE" w:rsidRPr="00741122" w:rsidRDefault="00071CFE" w:rsidP="0074558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Pierwszorzędowym punktem końcowym był czas wolny od progresji oceniany przez badacza w oparciu o kryteria RECIST.</w:t>
      </w:r>
    </w:p>
    <w:p w14:paraId="74BCA9DE" w14:textId="77777777" w:rsidR="00071CFE" w:rsidRPr="00741122" w:rsidRDefault="00071CFE" w:rsidP="0074558A">
      <w:pPr>
        <w:rPr>
          <w:rFonts w:ascii="Times New Roman" w:eastAsia="Times New Roman" w:hAnsi="Times New Roman" w:cs="Times New Roman"/>
          <w:sz w:val="22"/>
          <w:szCs w:val="22"/>
          <w:lang w:val="lt-LT"/>
        </w:rPr>
      </w:pPr>
    </w:p>
    <w:p w14:paraId="04CD9DCB" w14:textId="77777777" w:rsidR="00071CFE" w:rsidRPr="00741122" w:rsidRDefault="00071CFE" w:rsidP="0074558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badaniu osiągnięto pierwszorzędowy punkt końcowy, tzn. wydłużenie czasu wolnego od progresji. W porównaniu </w:t>
      </w:r>
      <w:r w:rsidR="00100BEA">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grup</w:t>
      </w:r>
      <w:r w:rsidR="00100BEA">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otrzymując</w:t>
      </w:r>
      <w:r w:rsidR="00100BEA">
        <w:rPr>
          <w:rFonts w:ascii="Times New Roman" w:eastAsia="Times New Roman" w:hAnsi="Times New Roman" w:cs="Times New Roman"/>
          <w:sz w:val="22"/>
          <w:szCs w:val="22"/>
          <w:lang w:val="lt-LT"/>
        </w:rPr>
        <w:t>ą</w:t>
      </w:r>
      <w:r w:rsidRPr="00741122">
        <w:rPr>
          <w:rFonts w:ascii="Times New Roman" w:eastAsia="Times New Roman" w:hAnsi="Times New Roman" w:cs="Times New Roman"/>
          <w:sz w:val="22"/>
          <w:szCs w:val="22"/>
          <w:lang w:val="lt-LT"/>
        </w:rPr>
        <w:t xml:space="preserve"> wyłącznie chemioterapię (karboplatyna i paklitaksel) w pierwszej linii leczenia, u pacjentek lecz</w:t>
      </w:r>
      <w:r w:rsidR="006E25D1" w:rsidRPr="00741122">
        <w:rPr>
          <w:rFonts w:ascii="Times New Roman" w:eastAsia="Times New Roman" w:hAnsi="Times New Roman" w:cs="Times New Roman"/>
          <w:sz w:val="22"/>
          <w:szCs w:val="22"/>
          <w:lang w:val="lt-LT"/>
        </w:rPr>
        <w:t>onych bewacyzumabem w dawce 7,5 </w:t>
      </w:r>
      <w:r w:rsidRPr="00741122">
        <w:rPr>
          <w:rFonts w:ascii="Times New Roman" w:eastAsia="Times New Roman" w:hAnsi="Times New Roman" w:cs="Times New Roman"/>
          <w:sz w:val="22"/>
          <w:szCs w:val="22"/>
          <w:lang w:val="lt-LT"/>
        </w:rPr>
        <w:t>mg/kg</w:t>
      </w:r>
      <w:r w:rsidR="00100BEA">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raz na trzy tygodnie, początkowo z skojarzeniu z chemioterapią a następnie kontynuowanym w monoterapii, przez maksymalnie 18 cykli, obserwowano statystycznie istotne wydłużenie czasu wolnego od progresji.</w:t>
      </w:r>
    </w:p>
    <w:p w14:paraId="5F2B16D6" w14:textId="77777777" w:rsidR="00071CFE" w:rsidRPr="00741122" w:rsidRDefault="00071CFE" w:rsidP="0074558A">
      <w:pPr>
        <w:rPr>
          <w:rFonts w:ascii="Times New Roman" w:eastAsia="Times New Roman" w:hAnsi="Times New Roman" w:cs="Times New Roman"/>
          <w:sz w:val="22"/>
          <w:szCs w:val="22"/>
          <w:lang w:val="lt-LT"/>
        </w:rPr>
      </w:pPr>
    </w:p>
    <w:p w14:paraId="13180263" w14:textId="2A04E4F4" w:rsidR="00071CFE" w:rsidRPr="00741122" w:rsidRDefault="00071CFE" w:rsidP="005A497F">
      <w:pPr>
        <w:keepNext/>
        <w:keepLine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Wyniki badania przedstawiono w Tabeli </w:t>
      </w:r>
      <w:r w:rsidR="00C33782" w:rsidRPr="00741122">
        <w:rPr>
          <w:rFonts w:ascii="Times New Roman" w:eastAsia="Times New Roman" w:hAnsi="Times New Roman" w:cs="Times New Roman"/>
          <w:sz w:val="22"/>
          <w:szCs w:val="22"/>
          <w:lang w:val="lt-LT"/>
        </w:rPr>
        <w:t>1</w:t>
      </w:r>
      <w:r w:rsidR="00C33782">
        <w:rPr>
          <w:rFonts w:ascii="Times New Roman" w:eastAsia="Times New Roman" w:hAnsi="Times New Roman" w:cs="Times New Roman"/>
          <w:sz w:val="22"/>
          <w:szCs w:val="22"/>
          <w:lang w:val="lt-LT"/>
        </w:rPr>
        <w:t>8</w:t>
      </w:r>
      <w:r w:rsidRPr="00741122">
        <w:rPr>
          <w:rFonts w:ascii="Times New Roman" w:eastAsia="Times New Roman" w:hAnsi="Times New Roman" w:cs="Times New Roman"/>
          <w:sz w:val="22"/>
          <w:szCs w:val="22"/>
          <w:lang w:val="lt-LT"/>
        </w:rPr>
        <w:t>.</w:t>
      </w:r>
    </w:p>
    <w:p w14:paraId="1B203FFF" w14:textId="77777777" w:rsidR="00071CFE" w:rsidRPr="00741122" w:rsidRDefault="00071CFE" w:rsidP="005A497F">
      <w:pPr>
        <w:keepNext/>
        <w:keepLines/>
        <w:rPr>
          <w:rFonts w:ascii="Times New Roman" w:eastAsia="Times New Roman" w:hAnsi="Times New Roman" w:cs="Times New Roman"/>
          <w:sz w:val="22"/>
          <w:szCs w:val="22"/>
          <w:lang w:val="lt-LT"/>
        </w:rPr>
      </w:pPr>
    </w:p>
    <w:p w14:paraId="3F43DDAC" w14:textId="02D261B8" w:rsidR="00011D64" w:rsidRPr="00741122" w:rsidRDefault="00403C18" w:rsidP="005A497F">
      <w:pPr>
        <w:keepNext/>
        <w:keepLines/>
        <w:rPr>
          <w:rFonts w:ascii="Times New Roman" w:eastAsia="Times New Roman" w:hAnsi="Times New Roman"/>
          <w:b/>
          <w:sz w:val="22"/>
          <w:lang w:val="lt-LT"/>
        </w:rPr>
      </w:pPr>
      <w:r w:rsidRPr="00741122">
        <w:rPr>
          <w:rFonts w:ascii="Times New Roman" w:eastAsia="Times New Roman" w:hAnsi="Times New Roman"/>
          <w:b/>
          <w:sz w:val="22"/>
          <w:lang w:val="lt-LT"/>
        </w:rPr>
        <w:t xml:space="preserve">Tabela </w:t>
      </w:r>
      <w:r w:rsidR="00C33782" w:rsidRPr="00741122">
        <w:rPr>
          <w:rFonts w:ascii="Times New Roman" w:eastAsia="Times New Roman" w:hAnsi="Times New Roman"/>
          <w:b/>
          <w:sz w:val="22"/>
          <w:lang w:val="lt-LT"/>
        </w:rPr>
        <w:t>1</w:t>
      </w:r>
      <w:r w:rsidR="00C33782">
        <w:rPr>
          <w:rFonts w:ascii="Times New Roman" w:eastAsia="Times New Roman" w:hAnsi="Times New Roman"/>
          <w:b/>
          <w:sz w:val="22"/>
          <w:lang w:val="lt-LT"/>
        </w:rPr>
        <w:t>8</w:t>
      </w:r>
      <w:r w:rsidR="00100BEA">
        <w:rPr>
          <w:rFonts w:ascii="Times New Roman" w:eastAsia="Times New Roman" w:hAnsi="Times New Roman"/>
          <w:b/>
          <w:sz w:val="22"/>
          <w:lang w:val="lt-LT"/>
        </w:rPr>
        <w:t>.</w:t>
      </w:r>
      <w:r w:rsidRPr="00741122">
        <w:rPr>
          <w:rFonts w:ascii="Times New Roman" w:eastAsia="Times New Roman" w:hAnsi="Times New Roman"/>
          <w:b/>
          <w:sz w:val="22"/>
          <w:lang w:val="lt-LT"/>
        </w:rPr>
        <w:t xml:space="preserve"> </w:t>
      </w:r>
      <w:r w:rsidR="00071CFE" w:rsidRPr="00741122">
        <w:rPr>
          <w:rFonts w:ascii="Times New Roman" w:eastAsia="Times New Roman" w:hAnsi="Times New Roman"/>
          <w:b/>
          <w:sz w:val="22"/>
          <w:lang w:val="lt-LT"/>
        </w:rPr>
        <w:t>Wyniki badania BO17707 (ICON7) dotyczące skuteczności</w:t>
      </w:r>
    </w:p>
    <w:p w14:paraId="299BE6A1" w14:textId="77777777" w:rsidR="00011D64" w:rsidRPr="00741122" w:rsidRDefault="00011D64" w:rsidP="005A497F">
      <w:pPr>
        <w:keepNext/>
        <w:keepLines/>
        <w:rPr>
          <w:rFonts w:ascii="Times New Roman" w:eastAsia="Times New Roman" w:hAnsi="Times New Roman"/>
          <w:b/>
          <w:sz w:val="22"/>
          <w:lang w:val="lt-LT"/>
        </w:rPr>
      </w:pPr>
    </w:p>
    <w:tbl>
      <w:tblPr>
        <w:tblW w:w="5000" w:type="pct"/>
        <w:tblCellMar>
          <w:left w:w="0" w:type="dxa"/>
          <w:right w:w="0" w:type="dxa"/>
        </w:tblCellMar>
        <w:tblLook w:val="04A0" w:firstRow="1" w:lastRow="0" w:firstColumn="1" w:lastColumn="0" w:noHBand="0" w:noVBand="1"/>
      </w:tblPr>
      <w:tblGrid>
        <w:gridCol w:w="4857"/>
        <w:gridCol w:w="2318"/>
        <w:gridCol w:w="2187"/>
      </w:tblGrid>
      <w:tr w:rsidR="00011D64" w:rsidRPr="00741122" w14:paraId="4E8721FA" w14:textId="77777777" w:rsidTr="00F533B1">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bottom"/>
            <w:hideMark/>
          </w:tcPr>
          <w:p w14:paraId="5CEB6B7A" w14:textId="77777777" w:rsidR="00011D64" w:rsidRPr="00741122" w:rsidRDefault="00011D64" w:rsidP="005A497F">
            <w:pPr>
              <w:keepNext/>
              <w:keepLines/>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Czas wolny od progresji</w:t>
            </w:r>
          </w:p>
        </w:tc>
      </w:tr>
      <w:tr w:rsidR="00011D64" w:rsidRPr="00741122" w14:paraId="65790530" w14:textId="77777777" w:rsidTr="00F533B1">
        <w:trPr>
          <w:trHeight w:val="367"/>
        </w:trPr>
        <w:tc>
          <w:tcPr>
            <w:tcW w:w="1972" w:type="pct"/>
            <w:tcBorders>
              <w:top w:val="single" w:sz="4" w:space="0" w:color="auto"/>
              <w:left w:val="single" w:sz="4" w:space="0" w:color="auto"/>
              <w:bottom w:val="single" w:sz="4" w:space="0" w:color="auto"/>
              <w:right w:val="single" w:sz="4" w:space="0" w:color="auto"/>
            </w:tcBorders>
            <w:noWrap/>
            <w:vAlign w:val="center"/>
            <w:hideMark/>
          </w:tcPr>
          <w:p w14:paraId="312F5AEC" w14:textId="77777777" w:rsidR="00011D64" w:rsidRPr="00741122" w:rsidRDefault="00011D64" w:rsidP="005A497F">
            <w:pPr>
              <w:keepNext/>
              <w:keepLines/>
              <w:rPr>
                <w:rFonts w:ascii="Times New Roman" w:hAnsi="Times New Roman" w:cs="Times New Roman"/>
                <w:color w:val="000000"/>
                <w:sz w:val="22"/>
                <w:szCs w:val="22"/>
                <w:lang w:val="lt-LT"/>
              </w:rPr>
            </w:pPr>
          </w:p>
        </w:tc>
        <w:tc>
          <w:tcPr>
            <w:tcW w:w="1549" w:type="pct"/>
            <w:tcBorders>
              <w:top w:val="single" w:sz="4" w:space="0" w:color="auto"/>
              <w:left w:val="single" w:sz="4" w:space="0" w:color="auto"/>
              <w:bottom w:val="single" w:sz="4" w:space="0" w:color="auto"/>
              <w:right w:val="single" w:sz="4" w:space="0" w:color="auto"/>
            </w:tcBorders>
            <w:noWrap/>
            <w:vAlign w:val="center"/>
            <w:hideMark/>
          </w:tcPr>
          <w:p w14:paraId="00BFE72E" w14:textId="77777777" w:rsidR="00011D64" w:rsidRPr="00741122" w:rsidRDefault="00011D64" w:rsidP="005A497F">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w:t>
            </w:r>
          </w:p>
          <w:p w14:paraId="5D148236" w14:textId="77777777" w:rsidR="00011D64" w:rsidRPr="00741122" w:rsidRDefault="00011D64" w:rsidP="005A497F">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764)</w:t>
            </w:r>
          </w:p>
        </w:tc>
        <w:tc>
          <w:tcPr>
            <w:tcW w:w="1479" w:type="pct"/>
            <w:tcBorders>
              <w:top w:val="single" w:sz="4" w:space="0" w:color="auto"/>
              <w:left w:val="single" w:sz="4" w:space="0" w:color="auto"/>
              <w:bottom w:val="single" w:sz="4" w:space="0" w:color="auto"/>
              <w:right w:val="single" w:sz="4" w:space="0" w:color="auto"/>
            </w:tcBorders>
            <w:noWrap/>
            <w:vAlign w:val="center"/>
            <w:hideMark/>
          </w:tcPr>
          <w:p w14:paraId="76D43BCA" w14:textId="77777777" w:rsidR="00011D64" w:rsidRPr="00741122" w:rsidRDefault="00771846" w:rsidP="005A497F">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CPB7,</w:t>
            </w:r>
            <w:r w:rsidR="00011D64" w:rsidRPr="00741122">
              <w:rPr>
                <w:rFonts w:ascii="Times New Roman" w:hAnsi="Times New Roman" w:cs="Times New Roman"/>
                <w:color w:val="000000"/>
                <w:sz w:val="22"/>
                <w:szCs w:val="22"/>
                <w:lang w:val="lt-LT"/>
              </w:rPr>
              <w:t>5+</w:t>
            </w:r>
          </w:p>
          <w:p w14:paraId="4706A872" w14:textId="77777777" w:rsidR="00011D64" w:rsidRPr="00741122" w:rsidRDefault="00011D64" w:rsidP="005A497F">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764)</w:t>
            </w:r>
          </w:p>
        </w:tc>
      </w:tr>
      <w:tr w:rsidR="00011D64" w:rsidRPr="00741122" w14:paraId="1510AC45" w14:textId="77777777" w:rsidTr="00F533B1">
        <w:trPr>
          <w:trHeight w:val="324"/>
        </w:trPr>
        <w:tc>
          <w:tcPr>
            <w:tcW w:w="1972" w:type="pct"/>
            <w:tcBorders>
              <w:top w:val="single" w:sz="4" w:space="0" w:color="auto"/>
              <w:left w:val="single" w:sz="4" w:space="0" w:color="auto"/>
              <w:bottom w:val="single" w:sz="4" w:space="0" w:color="auto"/>
              <w:right w:val="single" w:sz="4" w:space="0" w:color="auto"/>
            </w:tcBorders>
            <w:noWrap/>
            <w:vAlign w:val="center"/>
          </w:tcPr>
          <w:p w14:paraId="6EC8F23A" w14:textId="77777777" w:rsidR="00011D64" w:rsidRPr="00741122" w:rsidRDefault="00011D64" w:rsidP="005A497F">
            <w:pPr>
              <w:keepNext/>
              <w:keepLines/>
              <w:tabs>
                <w:tab w:val="left" w:pos="567"/>
              </w:tabs>
              <w:ind w:left="567"/>
              <w:rPr>
                <w:rFonts w:ascii="Times New Roman" w:eastAsia="Times New Roman" w:hAnsi="Times New Roman" w:cs="Times New Roman"/>
                <w:sz w:val="22"/>
                <w:szCs w:val="22"/>
                <w:vertAlign w:val="superscript"/>
                <w:lang w:val="lt-LT"/>
              </w:rPr>
            </w:pPr>
            <w:r w:rsidRPr="00741122">
              <w:rPr>
                <w:rFonts w:ascii="Times New Roman" w:eastAsia="Times New Roman" w:hAnsi="Times New Roman" w:cs="Times New Roman"/>
                <w:sz w:val="22"/>
                <w:szCs w:val="22"/>
                <w:lang w:val="lt-LT"/>
              </w:rPr>
              <w:t xml:space="preserve">Mediana czasu wolnego od progresji </w:t>
            </w:r>
            <w:r w:rsidR="00F73484">
              <w:rPr>
                <w:rFonts w:ascii="Times New Roman" w:eastAsia="Times New Roman" w:hAnsi="Times New Roman" w:cs="Times New Roman"/>
                <w:sz w:val="22"/>
                <w:szCs w:val="22"/>
                <w:lang w:val="lt-LT"/>
              </w:rPr>
              <w:t>(miesiące)</w:t>
            </w:r>
            <w:r w:rsidRPr="00741122">
              <w:rPr>
                <w:rFonts w:ascii="Times New Roman" w:eastAsia="Times New Roman" w:hAnsi="Times New Roman" w:cs="Times New Roman"/>
                <w:sz w:val="22"/>
                <w:szCs w:val="22"/>
                <w:vertAlign w:val="superscript"/>
                <w:lang w:val="lt-LT"/>
              </w:rPr>
              <w:t>2</w:t>
            </w:r>
          </w:p>
        </w:tc>
        <w:tc>
          <w:tcPr>
            <w:tcW w:w="1549" w:type="pct"/>
            <w:tcBorders>
              <w:top w:val="single" w:sz="4" w:space="0" w:color="auto"/>
              <w:left w:val="single" w:sz="4" w:space="0" w:color="auto"/>
              <w:bottom w:val="single" w:sz="4" w:space="0" w:color="auto"/>
              <w:right w:val="single" w:sz="4" w:space="0" w:color="auto"/>
            </w:tcBorders>
            <w:noWrap/>
            <w:vAlign w:val="center"/>
          </w:tcPr>
          <w:p w14:paraId="2E019B93" w14:textId="77777777" w:rsidR="00011D64" w:rsidRPr="00741122" w:rsidRDefault="00771846" w:rsidP="005A497F">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16,</w:t>
            </w:r>
            <w:r w:rsidR="00011D64" w:rsidRPr="00741122">
              <w:rPr>
                <w:rFonts w:ascii="Times New Roman" w:hAnsi="Times New Roman" w:cs="Times New Roman"/>
                <w:color w:val="000000"/>
                <w:sz w:val="22"/>
                <w:szCs w:val="22"/>
                <w:lang w:val="lt-LT"/>
              </w:rPr>
              <w:t>9</w:t>
            </w:r>
          </w:p>
        </w:tc>
        <w:tc>
          <w:tcPr>
            <w:tcW w:w="1479" w:type="pct"/>
            <w:tcBorders>
              <w:top w:val="single" w:sz="4" w:space="0" w:color="auto"/>
              <w:left w:val="single" w:sz="4" w:space="0" w:color="auto"/>
              <w:bottom w:val="single" w:sz="4" w:space="0" w:color="auto"/>
              <w:right w:val="single" w:sz="4" w:space="0" w:color="auto"/>
            </w:tcBorders>
            <w:noWrap/>
            <w:vAlign w:val="center"/>
          </w:tcPr>
          <w:p w14:paraId="0EBA1DAA" w14:textId="77777777" w:rsidR="00011D64" w:rsidRPr="00741122" w:rsidRDefault="00771846" w:rsidP="005A497F">
            <w:pPr>
              <w:keepNext/>
              <w:keepLines/>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19,</w:t>
            </w:r>
            <w:r w:rsidR="00011D64" w:rsidRPr="00741122">
              <w:rPr>
                <w:rFonts w:ascii="Times New Roman" w:hAnsi="Times New Roman" w:cs="Times New Roman"/>
                <w:color w:val="000000"/>
                <w:sz w:val="22"/>
                <w:szCs w:val="22"/>
                <w:lang w:val="lt-LT"/>
              </w:rPr>
              <w:t>3</w:t>
            </w:r>
          </w:p>
        </w:tc>
      </w:tr>
      <w:tr w:rsidR="00011D64" w:rsidRPr="00741122" w14:paraId="203B559C" w14:textId="77777777" w:rsidTr="00F533B1">
        <w:trPr>
          <w:trHeight w:val="410"/>
        </w:trPr>
        <w:tc>
          <w:tcPr>
            <w:tcW w:w="1972" w:type="pct"/>
            <w:tcBorders>
              <w:top w:val="single" w:sz="4" w:space="0" w:color="auto"/>
              <w:left w:val="single" w:sz="4" w:space="0" w:color="auto"/>
              <w:bottom w:val="single" w:sz="4" w:space="0" w:color="auto"/>
              <w:right w:val="single" w:sz="4" w:space="0" w:color="auto"/>
            </w:tcBorders>
            <w:noWrap/>
            <w:hideMark/>
          </w:tcPr>
          <w:p w14:paraId="3BAD9EAB" w14:textId="77777777" w:rsidR="00011D64" w:rsidRPr="00741122" w:rsidRDefault="00011D64" w:rsidP="005A497F">
            <w:pPr>
              <w:keepNext/>
              <w:keepLines/>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ryzyka [95% CI]</w:t>
            </w:r>
            <w:r w:rsidRPr="00741122">
              <w:rPr>
                <w:rFonts w:ascii="Times New Roman" w:eastAsia="Times New Roman" w:hAnsi="Times New Roman" w:cs="Times New Roman"/>
                <w:sz w:val="22"/>
                <w:szCs w:val="22"/>
                <w:vertAlign w:val="superscript"/>
                <w:lang w:val="lt-LT"/>
              </w:rPr>
              <w:t>2</w:t>
            </w:r>
          </w:p>
        </w:tc>
        <w:tc>
          <w:tcPr>
            <w:tcW w:w="3028" w:type="pct"/>
            <w:gridSpan w:val="2"/>
            <w:tcBorders>
              <w:top w:val="single" w:sz="4" w:space="0" w:color="auto"/>
              <w:left w:val="single" w:sz="4" w:space="0" w:color="auto"/>
              <w:bottom w:val="single" w:sz="4" w:space="0" w:color="auto"/>
              <w:right w:val="single" w:sz="4" w:space="0" w:color="auto"/>
            </w:tcBorders>
            <w:noWrap/>
            <w:vAlign w:val="center"/>
            <w:hideMark/>
          </w:tcPr>
          <w:p w14:paraId="0EACEA87" w14:textId="77777777" w:rsidR="00011D64" w:rsidRPr="00D10FB3" w:rsidRDefault="00011D64" w:rsidP="005A497F">
            <w:pPr>
              <w:keepNext/>
              <w:keepLines/>
              <w:jc w:val="center"/>
              <w:rPr>
                <w:rFonts w:ascii="Times New Roman" w:hAnsi="Times New Roman" w:cs="Times New Roman"/>
                <w:color w:val="000000"/>
                <w:sz w:val="22"/>
                <w:szCs w:val="22"/>
                <w:lang w:val="lt-LT"/>
              </w:rPr>
            </w:pPr>
            <w:r w:rsidRPr="00D10FB3">
              <w:rPr>
                <w:rFonts w:ascii="Times New Roman" w:hAnsi="Times New Roman" w:cs="Times New Roman"/>
                <w:color w:val="000000"/>
                <w:sz w:val="22"/>
                <w:szCs w:val="22"/>
                <w:lang w:val="lt-LT"/>
              </w:rPr>
              <w:t>0,86 [0,75; 0,98]</w:t>
            </w:r>
          </w:p>
          <w:p w14:paraId="1AADFFCF" w14:textId="77777777" w:rsidR="00011D64" w:rsidRPr="00741122" w:rsidRDefault="00011D64" w:rsidP="005A497F">
            <w:pPr>
              <w:keepNext/>
              <w:keepLines/>
              <w:jc w:val="center"/>
              <w:rPr>
                <w:rFonts w:ascii="Times New Roman" w:hAnsi="Times New Roman" w:cs="Times New Roman"/>
                <w:color w:val="000000"/>
                <w:sz w:val="22"/>
                <w:szCs w:val="22"/>
                <w:lang w:val="lt-LT"/>
              </w:rPr>
            </w:pPr>
            <w:r w:rsidRPr="00D10FB3">
              <w:rPr>
                <w:rFonts w:ascii="Times New Roman" w:hAnsi="Times New Roman" w:cs="Times New Roman"/>
                <w:color w:val="000000"/>
                <w:sz w:val="22"/>
                <w:szCs w:val="22"/>
                <w:lang w:val="lt-LT"/>
              </w:rPr>
              <w:t>(wartość p = 0,0185)</w:t>
            </w:r>
          </w:p>
        </w:tc>
      </w:tr>
      <w:tr w:rsidR="00011D64" w:rsidRPr="00741122" w14:paraId="59E9BF90" w14:textId="77777777" w:rsidTr="00F533B1">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bottom"/>
            <w:hideMark/>
          </w:tcPr>
          <w:p w14:paraId="1F4FF7FF" w14:textId="77777777" w:rsidR="00011D64" w:rsidRPr="00741122" w:rsidRDefault="00011D64" w:rsidP="00E92B61">
            <w:pP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obiektywnych odpowiedzi</w:t>
            </w:r>
            <w:r w:rsidRPr="00741122">
              <w:rPr>
                <w:rFonts w:ascii="Times New Roman" w:eastAsia="Times New Roman" w:hAnsi="Times New Roman" w:cs="Times New Roman"/>
                <w:sz w:val="22"/>
                <w:szCs w:val="22"/>
                <w:vertAlign w:val="superscript"/>
                <w:lang w:val="lt-LT"/>
              </w:rPr>
              <w:t>1</w:t>
            </w:r>
          </w:p>
        </w:tc>
      </w:tr>
      <w:tr w:rsidR="00011D64" w:rsidRPr="00741122" w14:paraId="6C124F01" w14:textId="77777777" w:rsidTr="00F533B1">
        <w:trPr>
          <w:trHeight w:val="449"/>
        </w:trPr>
        <w:tc>
          <w:tcPr>
            <w:tcW w:w="1972" w:type="pct"/>
            <w:tcBorders>
              <w:top w:val="single" w:sz="4" w:space="0" w:color="auto"/>
              <w:left w:val="single" w:sz="4" w:space="0" w:color="auto"/>
              <w:bottom w:val="single" w:sz="4" w:space="0" w:color="auto"/>
              <w:right w:val="single" w:sz="4" w:space="0" w:color="auto"/>
            </w:tcBorders>
            <w:noWrap/>
            <w:hideMark/>
          </w:tcPr>
          <w:p w14:paraId="7766CD8D" w14:textId="77777777" w:rsidR="00011D64" w:rsidRPr="00741122" w:rsidRDefault="00011D64" w:rsidP="00E92B61">
            <w:pPr>
              <w:rPr>
                <w:rFonts w:ascii="Times New Roman" w:hAnsi="Times New Roman" w:cs="Times New Roman"/>
                <w:color w:val="000000"/>
                <w:sz w:val="22"/>
                <w:szCs w:val="22"/>
                <w:lang w:val="lt-LT"/>
              </w:rPr>
            </w:pPr>
          </w:p>
        </w:tc>
        <w:tc>
          <w:tcPr>
            <w:tcW w:w="1549" w:type="pct"/>
            <w:tcBorders>
              <w:top w:val="single" w:sz="4" w:space="0" w:color="auto"/>
              <w:left w:val="single" w:sz="4" w:space="0" w:color="auto"/>
              <w:bottom w:val="single" w:sz="4" w:space="0" w:color="auto"/>
              <w:right w:val="single" w:sz="4" w:space="0" w:color="auto"/>
            </w:tcBorders>
            <w:noWrap/>
            <w:hideMark/>
          </w:tcPr>
          <w:p w14:paraId="3DE89D0C"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w:t>
            </w:r>
          </w:p>
          <w:p w14:paraId="1FDDB4E5"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277)</w:t>
            </w:r>
          </w:p>
        </w:tc>
        <w:tc>
          <w:tcPr>
            <w:tcW w:w="1479" w:type="pct"/>
            <w:tcBorders>
              <w:top w:val="single" w:sz="4" w:space="0" w:color="auto"/>
              <w:left w:val="single" w:sz="4" w:space="0" w:color="auto"/>
              <w:bottom w:val="single" w:sz="4" w:space="0" w:color="auto"/>
              <w:right w:val="single" w:sz="4" w:space="0" w:color="auto"/>
            </w:tcBorders>
            <w:noWrap/>
            <w:vAlign w:val="bottom"/>
            <w:hideMark/>
          </w:tcPr>
          <w:p w14:paraId="17717F60" w14:textId="77777777" w:rsidR="00011D64" w:rsidRPr="00741122" w:rsidRDefault="00113C0F"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CPB7,</w:t>
            </w:r>
            <w:r w:rsidR="00011D64" w:rsidRPr="00741122">
              <w:rPr>
                <w:rFonts w:ascii="Times New Roman" w:hAnsi="Times New Roman" w:cs="Times New Roman"/>
                <w:color w:val="000000"/>
                <w:sz w:val="22"/>
                <w:szCs w:val="22"/>
                <w:lang w:val="lt-LT"/>
              </w:rPr>
              <w:t>5+</w:t>
            </w:r>
          </w:p>
          <w:p w14:paraId="7830329B"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272)</w:t>
            </w:r>
          </w:p>
        </w:tc>
      </w:tr>
      <w:tr w:rsidR="00B72AEA" w:rsidRPr="00741122" w14:paraId="5B9E09A2" w14:textId="77777777" w:rsidTr="00F533B1">
        <w:trPr>
          <w:trHeight w:val="449"/>
        </w:trPr>
        <w:tc>
          <w:tcPr>
            <w:tcW w:w="1972" w:type="pct"/>
            <w:vMerge w:val="restart"/>
            <w:tcBorders>
              <w:top w:val="single" w:sz="4" w:space="0" w:color="auto"/>
              <w:left w:val="single" w:sz="4" w:space="0" w:color="auto"/>
              <w:right w:val="single" w:sz="4" w:space="0" w:color="auto"/>
            </w:tcBorders>
            <w:noWrap/>
          </w:tcPr>
          <w:p w14:paraId="156DCC62" w14:textId="77777777" w:rsidR="00B72AEA" w:rsidRPr="00741122" w:rsidRDefault="00B72AEA" w:rsidP="00D10FB3">
            <w:pPr>
              <w:tabs>
                <w:tab w:val="left" w:pos="567"/>
              </w:tabs>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odpowiedzi</w:t>
            </w:r>
          </w:p>
        </w:tc>
        <w:tc>
          <w:tcPr>
            <w:tcW w:w="1549" w:type="pct"/>
            <w:tcBorders>
              <w:top w:val="single" w:sz="4" w:space="0" w:color="auto"/>
              <w:left w:val="single" w:sz="4" w:space="0" w:color="auto"/>
              <w:bottom w:val="single" w:sz="4" w:space="0" w:color="auto"/>
              <w:right w:val="single" w:sz="4" w:space="0" w:color="auto"/>
            </w:tcBorders>
            <w:noWrap/>
          </w:tcPr>
          <w:p w14:paraId="3046782F" w14:textId="77777777" w:rsidR="00B72AEA" w:rsidRPr="00741122" w:rsidRDefault="00B72AEA"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54,9%</w:t>
            </w:r>
          </w:p>
        </w:tc>
        <w:tc>
          <w:tcPr>
            <w:tcW w:w="1479" w:type="pct"/>
            <w:tcBorders>
              <w:top w:val="single" w:sz="4" w:space="0" w:color="auto"/>
              <w:left w:val="single" w:sz="4" w:space="0" w:color="auto"/>
              <w:bottom w:val="single" w:sz="4" w:space="0" w:color="auto"/>
              <w:right w:val="single" w:sz="4" w:space="0" w:color="auto"/>
            </w:tcBorders>
            <w:noWrap/>
          </w:tcPr>
          <w:p w14:paraId="1A7D7FD7" w14:textId="77777777" w:rsidR="00B72AEA" w:rsidRPr="00741122" w:rsidRDefault="00B72AEA"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64,7%</w:t>
            </w:r>
          </w:p>
        </w:tc>
      </w:tr>
      <w:tr w:rsidR="00B72AEA" w:rsidRPr="00741122" w14:paraId="42CA3F21" w14:textId="77777777" w:rsidTr="00F533B1">
        <w:trPr>
          <w:trHeight w:val="50"/>
        </w:trPr>
        <w:tc>
          <w:tcPr>
            <w:tcW w:w="1972" w:type="pct"/>
            <w:vMerge/>
            <w:tcBorders>
              <w:left w:val="single" w:sz="4" w:space="0" w:color="auto"/>
              <w:bottom w:val="single" w:sz="4" w:space="0" w:color="auto"/>
              <w:right w:val="single" w:sz="4" w:space="0" w:color="auto"/>
            </w:tcBorders>
            <w:noWrap/>
            <w:vAlign w:val="bottom"/>
            <w:hideMark/>
          </w:tcPr>
          <w:p w14:paraId="58E48456" w14:textId="77777777" w:rsidR="00B72AEA" w:rsidRPr="00741122" w:rsidRDefault="00B72AEA" w:rsidP="00E92B61">
            <w:pPr>
              <w:rPr>
                <w:rFonts w:ascii="Times New Roman" w:hAnsi="Times New Roman" w:cs="Times New Roman"/>
                <w:color w:val="000000"/>
                <w:sz w:val="22"/>
                <w:szCs w:val="22"/>
                <w:lang w:val="lt-LT"/>
              </w:rPr>
            </w:pPr>
          </w:p>
        </w:tc>
        <w:tc>
          <w:tcPr>
            <w:tcW w:w="3028" w:type="pct"/>
            <w:gridSpan w:val="2"/>
            <w:tcBorders>
              <w:top w:val="single" w:sz="4" w:space="0" w:color="auto"/>
              <w:left w:val="single" w:sz="4" w:space="0" w:color="auto"/>
              <w:bottom w:val="single" w:sz="4" w:space="0" w:color="auto"/>
              <w:right w:val="single" w:sz="4" w:space="0" w:color="auto"/>
            </w:tcBorders>
            <w:noWrap/>
            <w:vAlign w:val="bottom"/>
            <w:hideMark/>
          </w:tcPr>
          <w:p w14:paraId="51B5B414" w14:textId="77777777" w:rsidR="00B72AEA" w:rsidRPr="00741122" w:rsidRDefault="00B72AEA" w:rsidP="00E92B61">
            <w:pPr>
              <w:jc w:val="center"/>
              <w:rPr>
                <w:rFonts w:ascii="Times New Roman" w:hAnsi="Times New Roman" w:cs="Times New Roman"/>
                <w:color w:val="000000"/>
                <w:sz w:val="22"/>
                <w:szCs w:val="22"/>
                <w:lang w:val="lt-LT"/>
              </w:rPr>
            </w:pPr>
            <w:r w:rsidRPr="00D10FB3">
              <w:rPr>
                <w:rFonts w:ascii="Times New Roman" w:hAnsi="Times New Roman" w:cs="Times New Roman"/>
                <w:color w:val="000000"/>
                <w:sz w:val="22"/>
                <w:szCs w:val="22"/>
                <w:lang w:val="lt-LT"/>
              </w:rPr>
              <w:t>(wartość p</w:t>
            </w:r>
            <w:r>
              <w:rPr>
                <w:rFonts w:ascii="Times New Roman" w:hAnsi="Times New Roman" w:cs="Times New Roman"/>
                <w:color w:val="000000"/>
                <w:sz w:val="22"/>
                <w:szCs w:val="22"/>
                <w:lang w:val="lt-LT"/>
              </w:rPr>
              <w:t> </w:t>
            </w:r>
            <w:r w:rsidRPr="00D10FB3">
              <w:rPr>
                <w:rFonts w:ascii="Times New Roman" w:hAnsi="Times New Roman" w:cs="Times New Roman"/>
                <w:color w:val="000000"/>
                <w:sz w:val="22"/>
                <w:szCs w:val="22"/>
                <w:lang w:val="lt-LT"/>
              </w:rPr>
              <w:t>=</w:t>
            </w:r>
            <w:r>
              <w:rPr>
                <w:rFonts w:ascii="Times New Roman" w:hAnsi="Times New Roman" w:cs="Times New Roman"/>
                <w:color w:val="000000"/>
                <w:sz w:val="22"/>
                <w:szCs w:val="22"/>
                <w:lang w:val="lt-LT"/>
              </w:rPr>
              <w:t> </w:t>
            </w:r>
            <w:r w:rsidRPr="00D10FB3">
              <w:rPr>
                <w:rFonts w:ascii="Times New Roman" w:hAnsi="Times New Roman" w:cs="Times New Roman"/>
                <w:color w:val="000000"/>
                <w:sz w:val="22"/>
                <w:szCs w:val="22"/>
                <w:lang w:val="lt-LT"/>
              </w:rPr>
              <w:t>0,0188)</w:t>
            </w:r>
          </w:p>
        </w:tc>
      </w:tr>
      <w:tr w:rsidR="00011D64" w:rsidRPr="00741122" w14:paraId="554DA11F" w14:textId="77777777" w:rsidTr="00F533B1">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bottom"/>
            <w:hideMark/>
          </w:tcPr>
          <w:p w14:paraId="63E4A2FD" w14:textId="77777777" w:rsidR="00011D64" w:rsidRPr="00741122" w:rsidRDefault="00011D64" w:rsidP="00E92B61">
            <w:pPr>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Całkowity czas przeżycia</w:t>
            </w:r>
            <w:r w:rsidRPr="00741122">
              <w:rPr>
                <w:rFonts w:ascii="Times New Roman" w:eastAsia="Times New Roman" w:hAnsi="Times New Roman" w:cs="Times New Roman"/>
                <w:sz w:val="22"/>
                <w:szCs w:val="22"/>
                <w:vertAlign w:val="superscript"/>
                <w:lang w:val="lt-LT"/>
              </w:rPr>
              <w:t>3</w:t>
            </w:r>
          </w:p>
        </w:tc>
      </w:tr>
      <w:tr w:rsidR="00011D64" w:rsidRPr="00741122" w14:paraId="163FA0D7" w14:textId="77777777" w:rsidTr="00F533B1">
        <w:trPr>
          <w:trHeight w:val="403"/>
        </w:trPr>
        <w:tc>
          <w:tcPr>
            <w:tcW w:w="1972" w:type="pct"/>
            <w:tcBorders>
              <w:top w:val="single" w:sz="4" w:space="0" w:color="auto"/>
              <w:left w:val="single" w:sz="4" w:space="0" w:color="auto"/>
              <w:bottom w:val="single" w:sz="4" w:space="0" w:color="auto"/>
              <w:right w:val="single" w:sz="4" w:space="0" w:color="auto"/>
            </w:tcBorders>
            <w:noWrap/>
            <w:hideMark/>
          </w:tcPr>
          <w:p w14:paraId="1E2AFA9B" w14:textId="77777777" w:rsidR="00011D64" w:rsidRPr="00741122" w:rsidRDefault="00011D64" w:rsidP="00E92B61">
            <w:pPr>
              <w:rPr>
                <w:rFonts w:ascii="Times New Roman" w:hAnsi="Times New Roman" w:cs="Times New Roman"/>
                <w:color w:val="000000"/>
                <w:sz w:val="22"/>
                <w:szCs w:val="22"/>
                <w:lang w:val="lt-LT"/>
              </w:rPr>
            </w:pPr>
          </w:p>
        </w:tc>
        <w:tc>
          <w:tcPr>
            <w:tcW w:w="1549" w:type="pct"/>
            <w:tcBorders>
              <w:top w:val="single" w:sz="4" w:space="0" w:color="auto"/>
              <w:left w:val="single" w:sz="4" w:space="0" w:color="auto"/>
              <w:bottom w:val="single" w:sz="4" w:space="0" w:color="auto"/>
              <w:right w:val="single" w:sz="4" w:space="0" w:color="auto"/>
            </w:tcBorders>
            <w:noWrap/>
            <w:hideMark/>
          </w:tcPr>
          <w:p w14:paraId="71DCC5B3"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w:t>
            </w:r>
          </w:p>
          <w:p w14:paraId="3D99697A"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764)</w:t>
            </w:r>
          </w:p>
        </w:tc>
        <w:tc>
          <w:tcPr>
            <w:tcW w:w="1479" w:type="pct"/>
            <w:tcBorders>
              <w:top w:val="single" w:sz="4" w:space="0" w:color="auto"/>
              <w:left w:val="single" w:sz="4" w:space="0" w:color="auto"/>
              <w:bottom w:val="single" w:sz="4" w:space="0" w:color="auto"/>
              <w:right w:val="single" w:sz="4" w:space="0" w:color="auto"/>
            </w:tcBorders>
            <w:noWrap/>
            <w:hideMark/>
          </w:tcPr>
          <w:p w14:paraId="41703421" w14:textId="77777777" w:rsidR="00011D64" w:rsidRPr="00741122" w:rsidRDefault="00771846"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CPB7,</w:t>
            </w:r>
            <w:r w:rsidR="00011D64" w:rsidRPr="00741122">
              <w:rPr>
                <w:rFonts w:ascii="Times New Roman" w:hAnsi="Times New Roman" w:cs="Times New Roman"/>
                <w:color w:val="000000"/>
                <w:sz w:val="22"/>
                <w:szCs w:val="22"/>
                <w:lang w:val="lt-LT"/>
              </w:rPr>
              <w:t>5+</w:t>
            </w:r>
          </w:p>
          <w:p w14:paraId="088CA26B"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764)</w:t>
            </w:r>
          </w:p>
        </w:tc>
      </w:tr>
      <w:tr w:rsidR="00011D64" w:rsidRPr="00741122" w14:paraId="4F51A404" w14:textId="77777777" w:rsidTr="00F533B1">
        <w:trPr>
          <w:trHeight w:val="92"/>
        </w:trPr>
        <w:tc>
          <w:tcPr>
            <w:tcW w:w="1972" w:type="pct"/>
            <w:tcBorders>
              <w:top w:val="single" w:sz="4" w:space="0" w:color="auto"/>
              <w:left w:val="single" w:sz="4" w:space="0" w:color="auto"/>
              <w:bottom w:val="single" w:sz="4" w:space="0" w:color="auto"/>
              <w:right w:val="single" w:sz="4" w:space="0" w:color="auto"/>
            </w:tcBorders>
            <w:noWrap/>
          </w:tcPr>
          <w:p w14:paraId="220A13E7" w14:textId="77777777" w:rsidR="00011D64" w:rsidRPr="00741122" w:rsidRDefault="00011D64" w:rsidP="005B4641">
            <w:pPr>
              <w:tabs>
                <w:tab w:val="left" w:pos="567"/>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(miesiące)</w:t>
            </w:r>
          </w:p>
        </w:tc>
        <w:tc>
          <w:tcPr>
            <w:tcW w:w="1549" w:type="pct"/>
            <w:tcBorders>
              <w:top w:val="single" w:sz="4" w:space="0" w:color="auto"/>
              <w:left w:val="single" w:sz="4" w:space="0" w:color="auto"/>
              <w:bottom w:val="single" w:sz="4" w:space="0" w:color="auto"/>
              <w:right w:val="single" w:sz="4" w:space="0" w:color="auto"/>
            </w:tcBorders>
            <w:noWrap/>
          </w:tcPr>
          <w:p w14:paraId="77AA3671"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58,0</w:t>
            </w:r>
          </w:p>
        </w:tc>
        <w:tc>
          <w:tcPr>
            <w:tcW w:w="1479" w:type="pct"/>
            <w:tcBorders>
              <w:top w:val="single" w:sz="4" w:space="0" w:color="auto"/>
              <w:left w:val="single" w:sz="4" w:space="0" w:color="auto"/>
              <w:bottom w:val="single" w:sz="4" w:space="0" w:color="auto"/>
              <w:right w:val="single" w:sz="4" w:space="0" w:color="auto"/>
            </w:tcBorders>
            <w:noWrap/>
          </w:tcPr>
          <w:p w14:paraId="57F78FB9" w14:textId="77777777" w:rsidR="00011D64" w:rsidRPr="00741122" w:rsidRDefault="00011D64" w:rsidP="00E92B61">
            <w:pPr>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57,4</w:t>
            </w:r>
          </w:p>
        </w:tc>
      </w:tr>
      <w:tr w:rsidR="00011D64" w:rsidRPr="00741122" w14:paraId="71A21617" w14:textId="77777777" w:rsidTr="00F533B1">
        <w:trPr>
          <w:trHeight w:val="485"/>
        </w:trPr>
        <w:tc>
          <w:tcPr>
            <w:tcW w:w="1972" w:type="pct"/>
            <w:tcBorders>
              <w:top w:val="single" w:sz="4" w:space="0" w:color="auto"/>
              <w:left w:val="single" w:sz="4" w:space="0" w:color="auto"/>
              <w:bottom w:val="single" w:sz="4" w:space="0" w:color="auto"/>
              <w:right w:val="single" w:sz="4" w:space="0" w:color="auto"/>
            </w:tcBorders>
            <w:noWrap/>
          </w:tcPr>
          <w:p w14:paraId="0A0E184E" w14:textId="77777777" w:rsidR="00011D64" w:rsidRPr="00741122" w:rsidRDefault="00011D64" w:rsidP="005B4641">
            <w:pPr>
              <w:tabs>
                <w:tab w:val="left" w:pos="567"/>
              </w:tabs>
              <w:ind w:left="567"/>
              <w:rPr>
                <w:rFonts w:ascii="Times New Roman" w:hAnsi="Times New Roman" w:cs="Times New Roman"/>
                <w:color w:val="000000"/>
                <w:sz w:val="22"/>
                <w:szCs w:val="22"/>
                <w:lang w:val="lt-LT"/>
              </w:rPr>
            </w:pPr>
            <w:r w:rsidRPr="00741122">
              <w:rPr>
                <w:rFonts w:ascii="Times New Roman" w:eastAsia="Times New Roman" w:hAnsi="Times New Roman" w:cs="Times New Roman"/>
                <w:sz w:val="22"/>
                <w:szCs w:val="22"/>
                <w:lang w:val="lt-LT"/>
              </w:rPr>
              <w:t>Współczynnik ryzyka [95% CI]</w:t>
            </w:r>
          </w:p>
        </w:tc>
        <w:tc>
          <w:tcPr>
            <w:tcW w:w="3028" w:type="pct"/>
            <w:gridSpan w:val="2"/>
            <w:tcBorders>
              <w:top w:val="single" w:sz="4" w:space="0" w:color="auto"/>
              <w:left w:val="single" w:sz="4" w:space="0" w:color="auto"/>
              <w:bottom w:val="single" w:sz="4" w:space="0" w:color="auto"/>
              <w:right w:val="single" w:sz="4" w:space="0" w:color="auto"/>
            </w:tcBorders>
            <w:noWrap/>
          </w:tcPr>
          <w:p w14:paraId="59C71C8F" w14:textId="77777777" w:rsidR="00011D64" w:rsidRPr="005B4641" w:rsidRDefault="00011D64" w:rsidP="005B4641">
            <w:pPr>
              <w:jc w:val="center"/>
              <w:rPr>
                <w:rFonts w:ascii="Times New Roman" w:hAnsi="Times New Roman" w:cs="Times New Roman"/>
                <w:color w:val="000000"/>
                <w:sz w:val="22"/>
                <w:szCs w:val="22"/>
                <w:lang w:val="lt-LT"/>
              </w:rPr>
            </w:pPr>
            <w:r w:rsidRPr="005B4641">
              <w:rPr>
                <w:rFonts w:ascii="Times New Roman" w:hAnsi="Times New Roman" w:cs="Times New Roman"/>
                <w:color w:val="000000"/>
                <w:sz w:val="22"/>
                <w:szCs w:val="22"/>
                <w:lang w:val="lt-LT"/>
              </w:rPr>
              <w:t>0,99 [0,85; 1,15]</w:t>
            </w:r>
          </w:p>
          <w:p w14:paraId="469F8AF1" w14:textId="77777777" w:rsidR="00011D64" w:rsidRPr="00741122" w:rsidRDefault="00011D64" w:rsidP="005B4641">
            <w:pPr>
              <w:jc w:val="center"/>
              <w:rPr>
                <w:rFonts w:ascii="Times New Roman" w:hAnsi="Times New Roman" w:cs="Times New Roman"/>
                <w:color w:val="000000"/>
                <w:sz w:val="22"/>
                <w:szCs w:val="22"/>
                <w:lang w:val="lt-LT"/>
              </w:rPr>
            </w:pPr>
            <w:r w:rsidRPr="005B4641">
              <w:rPr>
                <w:rFonts w:ascii="Times New Roman" w:hAnsi="Times New Roman" w:cs="Times New Roman"/>
                <w:color w:val="000000"/>
                <w:sz w:val="22"/>
                <w:szCs w:val="22"/>
                <w:lang w:val="lt-LT"/>
              </w:rPr>
              <w:t>(wartość p = 0,8910)</w:t>
            </w:r>
          </w:p>
        </w:tc>
      </w:tr>
    </w:tbl>
    <w:p w14:paraId="723668B0" w14:textId="77777777" w:rsidR="00071CFE" w:rsidRPr="00741122" w:rsidRDefault="00FD7F9C" w:rsidP="0074558A">
      <w:pPr>
        <w:numPr>
          <w:ilvl w:val="0"/>
          <w:numId w:val="59"/>
        </w:numPr>
        <w:tabs>
          <w:tab w:val="left" w:pos="567"/>
        </w:tabs>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071CFE" w:rsidRPr="00741122">
        <w:rPr>
          <w:rFonts w:ascii="Times New Roman" w:eastAsia="Times New Roman" w:hAnsi="Times New Roman" w:cs="Times New Roman"/>
          <w:lang w:val="lt-LT"/>
        </w:rPr>
        <w:t>acjentki z chorobą mierzalną w chwili rozpoczęcia badania</w:t>
      </w:r>
    </w:p>
    <w:p w14:paraId="2C5B1D5A" w14:textId="77777777" w:rsidR="00071CFE" w:rsidRPr="00741122" w:rsidRDefault="00071CFE" w:rsidP="0074558A">
      <w:pPr>
        <w:ind w:left="567"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t>2</w:t>
      </w:r>
      <w:r w:rsidR="006A59E4" w:rsidRPr="00741122">
        <w:rPr>
          <w:rFonts w:ascii="Times New Roman" w:eastAsia="Times New Roman" w:hAnsi="Times New Roman" w:cs="Times New Roman"/>
          <w:vertAlign w:val="superscript"/>
          <w:lang w:val="lt-LT"/>
        </w:rPr>
        <w:tab/>
      </w:r>
      <w:r w:rsidRPr="00741122">
        <w:rPr>
          <w:rFonts w:ascii="Times New Roman" w:eastAsia="Times New Roman" w:hAnsi="Times New Roman" w:cs="Times New Roman"/>
          <w:lang w:val="lt-LT"/>
        </w:rPr>
        <w:t>Analiza czasu wolnego od progresji oceniana przez badacza z datą odcięcia danych 30 listopada 2010</w:t>
      </w:r>
      <w:r w:rsidR="00100BEA">
        <w:rPr>
          <w:rFonts w:ascii="Times New Roman" w:eastAsia="Times New Roman" w:hAnsi="Times New Roman" w:cs="Times New Roman"/>
          <w:lang w:val="lt-LT"/>
        </w:rPr>
        <w:t xml:space="preserve"> r</w:t>
      </w:r>
      <w:r w:rsidRPr="00741122">
        <w:rPr>
          <w:rFonts w:ascii="Times New Roman" w:eastAsia="Times New Roman" w:hAnsi="Times New Roman" w:cs="Times New Roman"/>
          <w:lang w:val="lt-LT"/>
        </w:rPr>
        <w:t>.</w:t>
      </w:r>
    </w:p>
    <w:p w14:paraId="3E81D173" w14:textId="77777777" w:rsidR="00071CFE" w:rsidRPr="00741122" w:rsidRDefault="00071CFE" w:rsidP="0074558A">
      <w:pPr>
        <w:numPr>
          <w:ilvl w:val="0"/>
          <w:numId w:val="27"/>
        </w:numPr>
        <w:tabs>
          <w:tab w:val="left" w:pos="567"/>
        </w:tabs>
        <w:ind w:left="567" w:hanging="567"/>
        <w:rPr>
          <w:rFonts w:ascii="Times New Roman" w:eastAsia="Times New Roman" w:hAnsi="Times New Roman" w:cs="Times New Roman"/>
          <w:lang w:val="lt-LT"/>
        </w:rPr>
      </w:pPr>
      <w:r w:rsidRPr="00741122">
        <w:rPr>
          <w:rFonts w:ascii="Times New Roman" w:eastAsia="Times New Roman" w:hAnsi="Times New Roman" w:cs="Times New Roman"/>
          <w:lang w:val="lt-LT"/>
        </w:rPr>
        <w:t>Ostateczna analiza całkowitego czasu przeżycia przeprowadzona w chwili, gdy 46,7% pacjentek zmarło z datą odcięcia danych 31 marca 2013</w:t>
      </w:r>
      <w:r w:rsidR="00100BEA">
        <w:rPr>
          <w:rFonts w:ascii="Times New Roman" w:eastAsia="Times New Roman" w:hAnsi="Times New Roman" w:cs="Times New Roman"/>
          <w:lang w:val="lt-LT"/>
        </w:rPr>
        <w:t xml:space="preserve"> r</w:t>
      </w:r>
      <w:r w:rsidRPr="00741122">
        <w:rPr>
          <w:rFonts w:ascii="Times New Roman" w:eastAsia="Times New Roman" w:hAnsi="Times New Roman" w:cs="Times New Roman"/>
          <w:lang w:val="lt-LT"/>
        </w:rPr>
        <w:t>.</w:t>
      </w:r>
      <w:r w:rsidR="00F544C7" w:rsidRPr="00741122">
        <w:rPr>
          <w:rFonts w:ascii="Times New Roman" w:eastAsia="Times New Roman" w:hAnsi="Times New Roman" w:cs="Times New Roman"/>
          <w:lang w:val="lt-LT"/>
        </w:rPr>
        <w:t xml:space="preserve"> </w:t>
      </w:r>
    </w:p>
    <w:p w14:paraId="154CF4C2" w14:textId="77777777" w:rsidR="00071CFE" w:rsidRPr="00741122" w:rsidRDefault="00071CFE" w:rsidP="0074558A">
      <w:pPr>
        <w:rPr>
          <w:rFonts w:ascii="Times New Roman" w:eastAsia="Times New Roman" w:hAnsi="Times New Roman" w:cs="Times New Roman"/>
          <w:sz w:val="22"/>
          <w:szCs w:val="22"/>
          <w:lang w:val="lt-LT"/>
        </w:rPr>
      </w:pPr>
    </w:p>
    <w:p w14:paraId="445670FF" w14:textId="26F1F3F4" w:rsidR="00071CFE" w:rsidRPr="00741122" w:rsidRDefault="00071CFE" w:rsidP="0074558A">
      <w:pPr>
        <w:rPr>
          <w:rFonts w:ascii="Times New Roman" w:eastAsia="Times New Roman" w:hAnsi="Times New Roman" w:cs="Times New Roman"/>
          <w:sz w:val="22"/>
          <w:szCs w:val="22"/>
          <w:lang w:val="lt-LT"/>
        </w:rPr>
      </w:pPr>
      <w:bookmarkStart w:id="47" w:name="page45"/>
      <w:bookmarkEnd w:id="47"/>
      <w:r w:rsidRPr="00741122">
        <w:rPr>
          <w:rFonts w:ascii="Times New Roman" w:eastAsia="Times New Roman" w:hAnsi="Times New Roman" w:cs="Times New Roman"/>
          <w:sz w:val="22"/>
          <w:szCs w:val="22"/>
          <w:lang w:val="lt-LT"/>
        </w:rPr>
        <w:t>W analizie czasu wolnego od progresji ocenianego przez badacza z datą odcięcia danych 28 lutego 2010</w:t>
      </w:r>
      <w:r w:rsidR="00100BEA">
        <w:rPr>
          <w:rFonts w:ascii="Times New Roman" w:eastAsia="Times New Roman" w:hAnsi="Times New Roman" w:cs="Times New Roman"/>
          <w:sz w:val="22"/>
          <w:szCs w:val="22"/>
          <w:lang w:val="lt-LT"/>
        </w:rPr>
        <w:t xml:space="preserve"> r. </w:t>
      </w:r>
      <w:r w:rsidRPr="00741122">
        <w:rPr>
          <w:rFonts w:ascii="Times New Roman" w:eastAsia="Times New Roman" w:hAnsi="Times New Roman" w:cs="Times New Roman"/>
          <w:sz w:val="22"/>
          <w:szCs w:val="22"/>
          <w:lang w:val="lt-LT"/>
        </w:rPr>
        <w:t>wartość niestratyfikowanego współczynnika ryzyka wyniosła 0,79 (95% CI: 0,68-0,91, wartość p w dwustronnym teście log</w:t>
      </w:r>
      <w:r w:rsidR="00581DF3">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rank 0,0010) z medianą PFS 16,0 miesięcy w grupie pacjentek leczonych CP i 18,3 miesiąca w grupie CPB7,5+.</w:t>
      </w:r>
    </w:p>
    <w:p w14:paraId="4339BB28" w14:textId="77777777" w:rsidR="00071CFE" w:rsidRPr="00741122" w:rsidRDefault="00071CFE" w:rsidP="0074558A">
      <w:pPr>
        <w:rPr>
          <w:rFonts w:ascii="Times New Roman" w:eastAsia="Times New Roman" w:hAnsi="Times New Roman" w:cs="Times New Roman"/>
          <w:sz w:val="22"/>
          <w:szCs w:val="22"/>
          <w:lang w:val="lt-LT"/>
        </w:rPr>
      </w:pPr>
    </w:p>
    <w:p w14:paraId="18CDC32D" w14:textId="2ABAA31E" w:rsidR="00071CFE" w:rsidRPr="00741122" w:rsidRDefault="00071CFE" w:rsidP="0074558A">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Wyniki analizy PFS w podgrupach chorych o różnym stopniu zaawansowania choroby i różnym stopniu cytoredukcji zostały przedstawione w Tabeli </w:t>
      </w:r>
      <w:r w:rsidR="00C33782" w:rsidRPr="00741122">
        <w:rPr>
          <w:rFonts w:ascii="Times New Roman" w:eastAsia="Times New Roman" w:hAnsi="Times New Roman" w:cs="Times New Roman"/>
          <w:sz w:val="22"/>
          <w:szCs w:val="22"/>
          <w:lang w:val="lt-LT"/>
        </w:rPr>
        <w:t>1</w:t>
      </w:r>
      <w:r w:rsidR="00C33782">
        <w:rPr>
          <w:rFonts w:ascii="Times New Roman" w:eastAsia="Times New Roman" w:hAnsi="Times New Roman" w:cs="Times New Roman"/>
          <w:sz w:val="22"/>
          <w:szCs w:val="22"/>
          <w:lang w:val="lt-LT"/>
        </w:rPr>
        <w:t>9</w:t>
      </w:r>
      <w:r w:rsidRPr="00741122">
        <w:rPr>
          <w:rFonts w:ascii="Times New Roman" w:eastAsia="Times New Roman" w:hAnsi="Times New Roman" w:cs="Times New Roman"/>
          <w:sz w:val="22"/>
          <w:szCs w:val="22"/>
          <w:lang w:val="lt-LT"/>
        </w:rPr>
        <w:t xml:space="preserve">. Wyniki te stanowią potwierdzenie pierwotnej analizy parametru PFS przedstawionej w Tabeli </w:t>
      </w:r>
      <w:r w:rsidR="00C33782" w:rsidRPr="00741122">
        <w:rPr>
          <w:rFonts w:ascii="Times New Roman" w:eastAsia="Times New Roman" w:hAnsi="Times New Roman" w:cs="Times New Roman"/>
          <w:sz w:val="22"/>
          <w:szCs w:val="22"/>
          <w:lang w:val="lt-LT"/>
        </w:rPr>
        <w:t>1</w:t>
      </w:r>
      <w:r w:rsidR="00C33782">
        <w:rPr>
          <w:rFonts w:ascii="Times New Roman" w:eastAsia="Times New Roman" w:hAnsi="Times New Roman" w:cs="Times New Roman"/>
          <w:sz w:val="22"/>
          <w:szCs w:val="22"/>
          <w:lang w:val="lt-LT"/>
        </w:rPr>
        <w:t>8</w:t>
      </w:r>
      <w:r w:rsidRPr="00741122">
        <w:rPr>
          <w:rFonts w:ascii="Times New Roman" w:eastAsia="Times New Roman" w:hAnsi="Times New Roman" w:cs="Times New Roman"/>
          <w:sz w:val="22"/>
          <w:szCs w:val="22"/>
          <w:lang w:val="lt-LT"/>
        </w:rPr>
        <w:t>.</w:t>
      </w:r>
    </w:p>
    <w:p w14:paraId="28C5606D" w14:textId="77777777" w:rsidR="00071CFE" w:rsidRPr="00741122" w:rsidRDefault="00071CFE" w:rsidP="0074558A">
      <w:pPr>
        <w:rPr>
          <w:rFonts w:ascii="Times New Roman" w:eastAsia="Times New Roman" w:hAnsi="Times New Roman" w:cs="Times New Roman"/>
          <w:sz w:val="22"/>
          <w:szCs w:val="22"/>
          <w:lang w:val="lt-LT"/>
        </w:rPr>
      </w:pPr>
    </w:p>
    <w:p w14:paraId="37110F96" w14:textId="7636650A" w:rsidR="00071CFE" w:rsidRPr="00741122" w:rsidRDefault="00011D64" w:rsidP="00F063C8">
      <w:pPr>
        <w:keepNext/>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lastRenderedPageBreak/>
        <w:t xml:space="preserve">Tabela </w:t>
      </w:r>
      <w:r w:rsidR="00C33782" w:rsidRPr="00741122">
        <w:rPr>
          <w:rFonts w:ascii="Times New Roman" w:eastAsia="Times New Roman" w:hAnsi="Times New Roman" w:cs="Times New Roman"/>
          <w:b/>
          <w:sz w:val="22"/>
          <w:szCs w:val="22"/>
          <w:lang w:val="lt-LT"/>
        </w:rPr>
        <w:t>1</w:t>
      </w:r>
      <w:r w:rsidR="00C33782">
        <w:rPr>
          <w:rFonts w:ascii="Times New Roman" w:eastAsia="Times New Roman" w:hAnsi="Times New Roman" w:cs="Times New Roman"/>
          <w:b/>
          <w:sz w:val="22"/>
          <w:szCs w:val="22"/>
          <w:lang w:val="lt-LT"/>
        </w:rPr>
        <w:t>9</w:t>
      </w:r>
      <w:r w:rsidR="00100BEA">
        <w:rPr>
          <w:rFonts w:ascii="Times New Roman" w:eastAsia="Times New Roman" w:hAnsi="Times New Roman" w:cs="Times New Roman"/>
          <w:b/>
          <w:sz w:val="22"/>
          <w:szCs w:val="22"/>
          <w:lang w:val="lt-LT"/>
        </w:rPr>
        <w:t>.</w:t>
      </w:r>
      <w:r w:rsidR="00071CFE" w:rsidRPr="00741122">
        <w:rPr>
          <w:rFonts w:ascii="Times New Roman" w:eastAsia="Times New Roman" w:hAnsi="Times New Roman" w:cs="Times New Roman"/>
          <w:b/>
          <w:sz w:val="22"/>
          <w:szCs w:val="22"/>
          <w:lang w:val="lt-LT"/>
        </w:rPr>
        <w:t xml:space="preserve"> Wyniki badania BO17707 (ICON7) dotyczące PFS</w:t>
      </w:r>
      <w:r w:rsidR="00071CFE" w:rsidRPr="00741122">
        <w:rPr>
          <w:rFonts w:ascii="Times New Roman" w:eastAsia="Times New Roman" w:hAnsi="Times New Roman" w:cs="Times New Roman"/>
          <w:b/>
          <w:sz w:val="22"/>
          <w:szCs w:val="22"/>
          <w:vertAlign w:val="superscript"/>
          <w:lang w:val="lt-LT"/>
        </w:rPr>
        <w:t>1</w:t>
      </w:r>
      <w:r w:rsidR="00071CFE" w:rsidRPr="00741122">
        <w:rPr>
          <w:rFonts w:ascii="Times New Roman" w:eastAsia="Times New Roman" w:hAnsi="Times New Roman" w:cs="Times New Roman"/>
          <w:b/>
          <w:sz w:val="22"/>
          <w:szCs w:val="22"/>
          <w:lang w:val="lt-LT"/>
        </w:rPr>
        <w:t xml:space="preserve"> u chorych z różnym stopniem zaawansowania choroby i stopniem cytoredukcji</w:t>
      </w:r>
    </w:p>
    <w:p w14:paraId="248FCD1A" w14:textId="77777777" w:rsidR="00011D64" w:rsidRPr="00741122" w:rsidRDefault="00011D64" w:rsidP="00F063C8">
      <w:pPr>
        <w:keepNext/>
        <w:rPr>
          <w:rFonts w:ascii="Times New Roman" w:eastAsia="Times New Roman" w:hAnsi="Times New Roman" w:cs="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4"/>
        <w:gridCol w:w="2470"/>
        <w:gridCol w:w="2358"/>
      </w:tblGrid>
      <w:tr w:rsidR="00011D64" w:rsidRPr="008C2A94" w14:paraId="3D7AA932" w14:textId="77777777" w:rsidTr="00F533B1">
        <w:trPr>
          <w:trHeight w:val="300"/>
        </w:trPr>
        <w:tc>
          <w:tcPr>
            <w:tcW w:w="5000" w:type="pct"/>
            <w:gridSpan w:val="3"/>
            <w:noWrap/>
            <w:vAlign w:val="bottom"/>
            <w:hideMark/>
          </w:tcPr>
          <w:p w14:paraId="3BBC2F98" w14:textId="77777777" w:rsidR="00011D64" w:rsidRPr="00741122" w:rsidRDefault="00011D64" w:rsidP="00F063C8">
            <w:pPr>
              <w:keepNext/>
              <w:ind w:left="57"/>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eastAsia="en-US"/>
              </w:rPr>
              <w:t xml:space="preserve">Randomizowani pacjenci ze stopniem zaawansowania choroby III i optymalną cytoredukcją </w:t>
            </w:r>
            <w:r w:rsidRPr="00741122">
              <w:rPr>
                <w:rFonts w:ascii="Times New Roman" w:hAnsi="Times New Roman" w:cs="Times New Roman"/>
                <w:color w:val="000000"/>
                <w:sz w:val="22"/>
                <w:szCs w:val="22"/>
                <w:vertAlign w:val="superscript"/>
                <w:lang w:val="lt-LT" w:eastAsia="en-US"/>
              </w:rPr>
              <w:t>2,3</w:t>
            </w:r>
          </w:p>
        </w:tc>
      </w:tr>
      <w:tr w:rsidR="00011D64" w:rsidRPr="00741122" w14:paraId="2824F751" w14:textId="77777777" w:rsidTr="00F533B1">
        <w:trPr>
          <w:trHeight w:val="299"/>
        </w:trPr>
        <w:tc>
          <w:tcPr>
            <w:tcW w:w="1972" w:type="pct"/>
            <w:noWrap/>
            <w:hideMark/>
          </w:tcPr>
          <w:p w14:paraId="25B9A7E0" w14:textId="77777777" w:rsidR="00011D64" w:rsidRPr="00741122" w:rsidRDefault="00011D64" w:rsidP="00E92B61">
            <w:pPr>
              <w:keepNext/>
              <w:rPr>
                <w:rFonts w:ascii="Times New Roman" w:hAnsi="Times New Roman" w:cs="Times New Roman"/>
                <w:color w:val="000000"/>
                <w:sz w:val="22"/>
                <w:szCs w:val="22"/>
                <w:lang w:val="lt-LT"/>
              </w:rPr>
            </w:pPr>
          </w:p>
        </w:tc>
        <w:tc>
          <w:tcPr>
            <w:tcW w:w="1549" w:type="pct"/>
            <w:noWrap/>
            <w:hideMark/>
          </w:tcPr>
          <w:p w14:paraId="5E6A0581"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w:t>
            </w:r>
          </w:p>
          <w:p w14:paraId="24620A7E"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368)</w:t>
            </w:r>
          </w:p>
        </w:tc>
        <w:tc>
          <w:tcPr>
            <w:tcW w:w="1479" w:type="pct"/>
            <w:noWrap/>
            <w:hideMark/>
          </w:tcPr>
          <w:p w14:paraId="60395B70" w14:textId="77777777" w:rsidR="00011D64" w:rsidRPr="00741122" w:rsidRDefault="00771846"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CPB7,</w:t>
            </w:r>
            <w:r w:rsidR="00011D64" w:rsidRPr="00741122">
              <w:rPr>
                <w:rFonts w:ascii="Times New Roman" w:hAnsi="Times New Roman" w:cs="Times New Roman"/>
                <w:color w:val="000000"/>
                <w:sz w:val="22"/>
                <w:szCs w:val="22"/>
                <w:lang w:val="lt-LT"/>
              </w:rPr>
              <w:t>5+</w:t>
            </w:r>
          </w:p>
          <w:p w14:paraId="1375C576"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383)</w:t>
            </w:r>
          </w:p>
        </w:tc>
      </w:tr>
      <w:tr w:rsidR="00011D64" w:rsidRPr="00741122" w14:paraId="7AB3F818" w14:textId="77777777" w:rsidTr="00F533B1">
        <w:trPr>
          <w:trHeight w:val="115"/>
        </w:trPr>
        <w:tc>
          <w:tcPr>
            <w:tcW w:w="1972" w:type="pct"/>
            <w:noWrap/>
          </w:tcPr>
          <w:p w14:paraId="2D30A1CA" w14:textId="77777777" w:rsidR="00011D64" w:rsidRPr="00741122" w:rsidRDefault="00011D64" w:rsidP="00E92B61">
            <w:pPr>
              <w:keepNext/>
              <w:ind w:left="567"/>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eastAsia="en-US"/>
              </w:rPr>
              <w:t>Mediana czasu wolnego od progresji (miesiące)</w:t>
            </w:r>
          </w:p>
        </w:tc>
        <w:tc>
          <w:tcPr>
            <w:tcW w:w="1549" w:type="pct"/>
            <w:noWrap/>
          </w:tcPr>
          <w:p w14:paraId="3DBB812C"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17,7</w:t>
            </w:r>
          </w:p>
        </w:tc>
        <w:tc>
          <w:tcPr>
            <w:tcW w:w="1479" w:type="pct"/>
            <w:noWrap/>
          </w:tcPr>
          <w:p w14:paraId="5D575710"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19,3</w:t>
            </w:r>
          </w:p>
        </w:tc>
      </w:tr>
      <w:tr w:rsidR="00011D64" w:rsidRPr="00741122" w14:paraId="373B0C0C" w14:textId="77777777" w:rsidTr="00F533B1">
        <w:trPr>
          <w:trHeight w:val="521"/>
        </w:trPr>
        <w:tc>
          <w:tcPr>
            <w:tcW w:w="1972" w:type="pct"/>
            <w:noWrap/>
          </w:tcPr>
          <w:p w14:paraId="6541B783" w14:textId="77777777" w:rsidR="00011D64" w:rsidRPr="00741122" w:rsidRDefault="00011D64" w:rsidP="007E4D19">
            <w:pPr>
              <w:keepNext/>
              <w:ind w:left="567"/>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eastAsia="en-US"/>
              </w:rPr>
              <w:t xml:space="preserve">Współczynnik ryzyka </w:t>
            </w:r>
            <w:r w:rsidR="007E4D19">
              <w:rPr>
                <w:rFonts w:ascii="Times New Roman" w:hAnsi="Times New Roman" w:cs="Times New Roman"/>
                <w:color w:val="000000"/>
                <w:sz w:val="22"/>
                <w:szCs w:val="22"/>
                <w:lang w:val="lt-LT" w:eastAsia="en-US"/>
              </w:rPr>
              <w:t>(95% CI)</w:t>
            </w:r>
            <w:r w:rsidRPr="00741122">
              <w:rPr>
                <w:rFonts w:ascii="Times New Roman" w:hAnsi="Times New Roman" w:cs="Times New Roman"/>
                <w:color w:val="000000"/>
                <w:sz w:val="22"/>
                <w:szCs w:val="22"/>
                <w:vertAlign w:val="superscript"/>
                <w:lang w:val="lt-LT" w:eastAsia="en-US"/>
              </w:rPr>
              <w:t>4</w:t>
            </w:r>
          </w:p>
        </w:tc>
        <w:tc>
          <w:tcPr>
            <w:tcW w:w="1549" w:type="pct"/>
            <w:noWrap/>
          </w:tcPr>
          <w:p w14:paraId="252A141A" w14:textId="77777777" w:rsidR="00011D64" w:rsidRPr="00741122" w:rsidRDefault="00011D64" w:rsidP="00E92B61">
            <w:pPr>
              <w:keepNext/>
              <w:jc w:val="center"/>
              <w:rPr>
                <w:rFonts w:ascii="Times New Roman" w:hAnsi="Times New Roman" w:cs="Times New Roman"/>
                <w:color w:val="000000"/>
                <w:sz w:val="22"/>
                <w:szCs w:val="22"/>
                <w:lang w:val="lt-LT"/>
              </w:rPr>
            </w:pPr>
          </w:p>
        </w:tc>
        <w:tc>
          <w:tcPr>
            <w:tcW w:w="1479" w:type="pct"/>
            <w:noWrap/>
          </w:tcPr>
          <w:p w14:paraId="5A51F86B"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0,89</w:t>
            </w:r>
          </w:p>
          <w:p w14:paraId="15B40BF2" w14:textId="2B28A1AC"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sz w:val="22"/>
                <w:szCs w:val="22"/>
                <w:lang w:val="lt-LT"/>
              </w:rPr>
              <w:t>(0,74</w:t>
            </w:r>
            <w:r w:rsidR="00854D5D">
              <w:rPr>
                <w:rFonts w:ascii="Times New Roman" w:hAnsi="Times New Roman" w:cs="Times New Roman"/>
                <w:sz w:val="22"/>
                <w:szCs w:val="22"/>
                <w:lang w:val="lt-LT"/>
              </w:rPr>
              <w:t>;</w:t>
            </w:r>
            <w:r w:rsidRPr="00741122">
              <w:rPr>
                <w:rFonts w:ascii="Times New Roman" w:hAnsi="Times New Roman" w:cs="Times New Roman"/>
                <w:sz w:val="22"/>
                <w:szCs w:val="22"/>
                <w:lang w:val="lt-LT"/>
              </w:rPr>
              <w:t xml:space="preserve"> 1,07)</w:t>
            </w:r>
          </w:p>
        </w:tc>
      </w:tr>
      <w:tr w:rsidR="00011D64" w:rsidRPr="00C70451" w14:paraId="01215FCC" w14:textId="77777777" w:rsidTr="00F533B1">
        <w:trPr>
          <w:trHeight w:val="300"/>
        </w:trPr>
        <w:tc>
          <w:tcPr>
            <w:tcW w:w="5000" w:type="pct"/>
            <w:gridSpan w:val="3"/>
            <w:noWrap/>
            <w:vAlign w:val="bottom"/>
            <w:hideMark/>
          </w:tcPr>
          <w:p w14:paraId="6F49E69F" w14:textId="77777777" w:rsidR="00011D64" w:rsidRPr="00741122" w:rsidRDefault="00011D64" w:rsidP="0079025B">
            <w:pPr>
              <w:keepNext/>
              <w:ind w:left="57"/>
              <w:rPr>
                <w:rFonts w:ascii="Times New Roman" w:hAnsi="Times New Roman" w:cs="Times New Roman"/>
                <w:color w:val="000000"/>
                <w:sz w:val="22"/>
                <w:szCs w:val="22"/>
                <w:lang w:val="lt-LT"/>
              </w:rPr>
            </w:pPr>
            <w:r w:rsidRPr="00741122">
              <w:rPr>
                <w:rFonts w:ascii="Times New Roman" w:hAnsi="Times New Roman" w:cs="Times New Roman"/>
                <w:sz w:val="22"/>
                <w:szCs w:val="22"/>
                <w:lang w:val="lt-LT"/>
              </w:rPr>
              <w:t xml:space="preserve">Randomizowani pacjenci ze stopniem zaawansowania choroby </w:t>
            </w:r>
            <w:r w:rsidR="007E4D19">
              <w:rPr>
                <w:rFonts w:ascii="Times New Roman" w:hAnsi="Times New Roman" w:cs="Times New Roman"/>
                <w:sz w:val="22"/>
                <w:szCs w:val="22"/>
                <w:lang w:val="lt-LT"/>
              </w:rPr>
              <w:t>III i suboptymalną cytoredukcją</w:t>
            </w:r>
            <w:r w:rsidRPr="00741122">
              <w:rPr>
                <w:rFonts w:ascii="Times New Roman" w:hAnsi="Times New Roman" w:cs="Times New Roman"/>
                <w:sz w:val="22"/>
                <w:szCs w:val="22"/>
                <w:vertAlign w:val="superscript"/>
                <w:lang w:val="lt-LT"/>
              </w:rPr>
              <w:t>3</w:t>
            </w:r>
          </w:p>
        </w:tc>
      </w:tr>
      <w:tr w:rsidR="00011D64" w:rsidRPr="00741122" w14:paraId="3C5C49ED" w14:textId="77777777" w:rsidTr="00F533B1">
        <w:trPr>
          <w:trHeight w:val="299"/>
        </w:trPr>
        <w:tc>
          <w:tcPr>
            <w:tcW w:w="1972" w:type="pct"/>
            <w:noWrap/>
            <w:hideMark/>
          </w:tcPr>
          <w:p w14:paraId="7864B64D" w14:textId="77777777" w:rsidR="00011D64" w:rsidRPr="00741122" w:rsidRDefault="00011D64" w:rsidP="00E92B61">
            <w:pPr>
              <w:keepNext/>
              <w:rPr>
                <w:rFonts w:ascii="Times New Roman" w:hAnsi="Times New Roman" w:cs="Times New Roman"/>
                <w:color w:val="000000"/>
                <w:sz w:val="22"/>
                <w:szCs w:val="22"/>
                <w:lang w:val="lt-LT"/>
              </w:rPr>
            </w:pPr>
          </w:p>
        </w:tc>
        <w:tc>
          <w:tcPr>
            <w:tcW w:w="1549" w:type="pct"/>
            <w:noWrap/>
            <w:hideMark/>
          </w:tcPr>
          <w:p w14:paraId="4AB293B8"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w:t>
            </w:r>
          </w:p>
          <w:p w14:paraId="3FD9E6DD"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154)</w:t>
            </w:r>
          </w:p>
        </w:tc>
        <w:tc>
          <w:tcPr>
            <w:tcW w:w="1479" w:type="pct"/>
            <w:noWrap/>
            <w:hideMark/>
          </w:tcPr>
          <w:p w14:paraId="257A9124" w14:textId="77777777" w:rsidR="00011D64" w:rsidRPr="00741122" w:rsidRDefault="00771846"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CPB7,</w:t>
            </w:r>
            <w:r w:rsidR="00011D64" w:rsidRPr="00741122">
              <w:rPr>
                <w:rFonts w:ascii="Times New Roman" w:hAnsi="Times New Roman" w:cs="Times New Roman"/>
                <w:color w:val="000000"/>
                <w:sz w:val="22"/>
                <w:szCs w:val="22"/>
                <w:lang w:val="lt-LT"/>
              </w:rPr>
              <w:t>5+</w:t>
            </w:r>
          </w:p>
          <w:p w14:paraId="6A1ED849"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140)</w:t>
            </w:r>
          </w:p>
        </w:tc>
      </w:tr>
      <w:tr w:rsidR="00011D64" w:rsidRPr="00741122" w14:paraId="3D4E7814" w14:textId="77777777" w:rsidTr="00F533B1">
        <w:trPr>
          <w:trHeight w:val="300"/>
        </w:trPr>
        <w:tc>
          <w:tcPr>
            <w:tcW w:w="1972" w:type="pct"/>
            <w:noWrap/>
          </w:tcPr>
          <w:p w14:paraId="3B8CE808" w14:textId="77777777" w:rsidR="00011D64" w:rsidRPr="00741122" w:rsidRDefault="00011D64" w:rsidP="007E4D19">
            <w:pPr>
              <w:keepNext/>
              <w:ind w:left="567"/>
              <w:rPr>
                <w:rFonts w:ascii="Times New Roman" w:hAnsi="Times New Roman" w:cs="Times New Roman"/>
                <w:color w:val="000000"/>
                <w:sz w:val="22"/>
                <w:szCs w:val="22"/>
                <w:lang w:val="lt-LT"/>
              </w:rPr>
            </w:pPr>
            <w:r w:rsidRPr="00741122">
              <w:rPr>
                <w:rFonts w:ascii="Times New Roman" w:hAnsi="Times New Roman" w:cs="Times New Roman"/>
                <w:sz w:val="22"/>
                <w:szCs w:val="22"/>
                <w:lang w:val="lt-LT"/>
              </w:rPr>
              <w:t>Mediana czasu wolnego od progresji (miesiące)</w:t>
            </w:r>
          </w:p>
        </w:tc>
        <w:tc>
          <w:tcPr>
            <w:tcW w:w="1549" w:type="pct"/>
            <w:noWrap/>
          </w:tcPr>
          <w:p w14:paraId="27AE5A11"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10,1</w:t>
            </w:r>
          </w:p>
        </w:tc>
        <w:tc>
          <w:tcPr>
            <w:tcW w:w="1479" w:type="pct"/>
            <w:noWrap/>
          </w:tcPr>
          <w:p w14:paraId="66C20BE0"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16,9</w:t>
            </w:r>
          </w:p>
        </w:tc>
      </w:tr>
      <w:tr w:rsidR="00011D64" w:rsidRPr="00741122" w14:paraId="2F3D079E" w14:textId="77777777" w:rsidTr="00F533B1">
        <w:trPr>
          <w:trHeight w:val="577"/>
        </w:trPr>
        <w:tc>
          <w:tcPr>
            <w:tcW w:w="1972" w:type="pct"/>
            <w:noWrap/>
            <w:vAlign w:val="center"/>
          </w:tcPr>
          <w:p w14:paraId="066159BB" w14:textId="77777777" w:rsidR="00011D64" w:rsidRPr="007E4D19" w:rsidRDefault="007E4D19" w:rsidP="007E4D19">
            <w:pPr>
              <w:keepNext/>
              <w:ind w:left="567"/>
              <w:rPr>
                <w:rFonts w:ascii="Times New Roman" w:hAnsi="Times New Roman" w:cs="Times New Roman"/>
                <w:sz w:val="22"/>
                <w:szCs w:val="22"/>
                <w:lang w:val="lt-LT"/>
              </w:rPr>
            </w:pPr>
            <w:r>
              <w:rPr>
                <w:rFonts w:ascii="Times New Roman" w:hAnsi="Times New Roman" w:cs="Times New Roman"/>
                <w:sz w:val="22"/>
                <w:szCs w:val="22"/>
                <w:lang w:val="lt-LT"/>
              </w:rPr>
              <w:t>Współczynnik ryzyka (95% CI)</w:t>
            </w:r>
            <w:r w:rsidR="00011D64" w:rsidRPr="007E4D19">
              <w:rPr>
                <w:rFonts w:ascii="Times New Roman" w:hAnsi="Times New Roman" w:cs="Times New Roman"/>
                <w:sz w:val="22"/>
                <w:szCs w:val="22"/>
                <w:vertAlign w:val="superscript"/>
                <w:lang w:val="lt-LT"/>
              </w:rPr>
              <w:t>4</w:t>
            </w:r>
          </w:p>
        </w:tc>
        <w:tc>
          <w:tcPr>
            <w:tcW w:w="1549" w:type="pct"/>
            <w:noWrap/>
          </w:tcPr>
          <w:p w14:paraId="5FBC12D4" w14:textId="77777777" w:rsidR="00011D64" w:rsidRPr="00741122" w:rsidRDefault="00011D64" w:rsidP="00E92B61">
            <w:pPr>
              <w:keepNext/>
              <w:jc w:val="center"/>
              <w:rPr>
                <w:rFonts w:ascii="Times New Roman" w:hAnsi="Times New Roman" w:cs="Times New Roman"/>
                <w:color w:val="000000"/>
                <w:sz w:val="22"/>
                <w:szCs w:val="22"/>
                <w:lang w:val="lt-LT"/>
              </w:rPr>
            </w:pPr>
          </w:p>
        </w:tc>
        <w:tc>
          <w:tcPr>
            <w:tcW w:w="1479" w:type="pct"/>
            <w:noWrap/>
          </w:tcPr>
          <w:p w14:paraId="4D2B3C30"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0,67</w:t>
            </w:r>
          </w:p>
          <w:p w14:paraId="0EB0C9DE" w14:textId="50CF1425"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sz w:val="22"/>
                <w:szCs w:val="22"/>
                <w:lang w:val="lt-LT"/>
              </w:rPr>
              <w:t>(0,52</w:t>
            </w:r>
            <w:r w:rsidR="00854D5D">
              <w:rPr>
                <w:rFonts w:ascii="Times New Roman" w:hAnsi="Times New Roman" w:cs="Times New Roman"/>
                <w:sz w:val="22"/>
                <w:szCs w:val="22"/>
                <w:lang w:val="lt-LT"/>
              </w:rPr>
              <w:t>;</w:t>
            </w:r>
            <w:r w:rsidRPr="00741122">
              <w:rPr>
                <w:rFonts w:ascii="Times New Roman" w:hAnsi="Times New Roman" w:cs="Times New Roman"/>
                <w:sz w:val="22"/>
                <w:szCs w:val="22"/>
                <w:lang w:val="lt-LT"/>
              </w:rPr>
              <w:t xml:space="preserve"> 0,87)</w:t>
            </w:r>
          </w:p>
        </w:tc>
      </w:tr>
      <w:tr w:rsidR="00011D64" w:rsidRPr="00C70451" w14:paraId="3CF9D3B1" w14:textId="77777777" w:rsidTr="00F533B1">
        <w:trPr>
          <w:trHeight w:val="300"/>
        </w:trPr>
        <w:tc>
          <w:tcPr>
            <w:tcW w:w="5000" w:type="pct"/>
            <w:gridSpan w:val="3"/>
            <w:noWrap/>
            <w:vAlign w:val="bottom"/>
            <w:hideMark/>
          </w:tcPr>
          <w:p w14:paraId="5359F431" w14:textId="77777777" w:rsidR="00011D64" w:rsidRPr="00741122" w:rsidRDefault="00011D64" w:rsidP="0079025B">
            <w:pPr>
              <w:keepNext/>
              <w:ind w:left="57"/>
              <w:rPr>
                <w:rFonts w:ascii="Times New Roman" w:hAnsi="Times New Roman" w:cs="Times New Roman"/>
                <w:color w:val="000000"/>
                <w:sz w:val="22"/>
                <w:szCs w:val="22"/>
                <w:lang w:val="lt-LT"/>
              </w:rPr>
            </w:pPr>
            <w:r w:rsidRPr="00741122">
              <w:rPr>
                <w:rFonts w:ascii="Times New Roman" w:hAnsi="Times New Roman" w:cs="Times New Roman"/>
                <w:sz w:val="22"/>
                <w:szCs w:val="22"/>
                <w:lang w:val="lt-LT"/>
              </w:rPr>
              <w:t>Randomizowani pacjenci ze stopniem zaawansowania choroby IV</w:t>
            </w:r>
          </w:p>
        </w:tc>
      </w:tr>
      <w:tr w:rsidR="00011D64" w:rsidRPr="00741122" w14:paraId="4BE6A13F" w14:textId="77777777" w:rsidTr="00F533B1">
        <w:trPr>
          <w:trHeight w:val="401"/>
        </w:trPr>
        <w:tc>
          <w:tcPr>
            <w:tcW w:w="1972" w:type="pct"/>
            <w:noWrap/>
            <w:hideMark/>
          </w:tcPr>
          <w:p w14:paraId="573B099D" w14:textId="77777777" w:rsidR="00011D64" w:rsidRPr="00741122" w:rsidRDefault="00011D64" w:rsidP="00E92B61">
            <w:pPr>
              <w:rPr>
                <w:rFonts w:ascii="Times New Roman" w:hAnsi="Times New Roman" w:cs="Times New Roman"/>
                <w:color w:val="000000"/>
                <w:sz w:val="22"/>
                <w:szCs w:val="22"/>
                <w:lang w:val="lt-LT"/>
              </w:rPr>
            </w:pPr>
          </w:p>
        </w:tc>
        <w:tc>
          <w:tcPr>
            <w:tcW w:w="1549" w:type="pct"/>
            <w:noWrap/>
            <w:hideMark/>
          </w:tcPr>
          <w:p w14:paraId="0EEC9D7C"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w:t>
            </w:r>
          </w:p>
          <w:p w14:paraId="26626289"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97)</w:t>
            </w:r>
          </w:p>
        </w:tc>
        <w:tc>
          <w:tcPr>
            <w:tcW w:w="1479" w:type="pct"/>
            <w:noWrap/>
            <w:hideMark/>
          </w:tcPr>
          <w:p w14:paraId="276AD5FF" w14:textId="77777777" w:rsidR="00011D64" w:rsidRPr="00741122" w:rsidRDefault="00771846"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CPB7,</w:t>
            </w:r>
            <w:r w:rsidR="00011D64" w:rsidRPr="00741122">
              <w:rPr>
                <w:rFonts w:ascii="Times New Roman" w:hAnsi="Times New Roman" w:cs="Times New Roman"/>
                <w:color w:val="000000"/>
                <w:sz w:val="22"/>
                <w:szCs w:val="22"/>
                <w:lang w:val="lt-LT"/>
              </w:rPr>
              <w:t>5+</w:t>
            </w:r>
          </w:p>
          <w:p w14:paraId="48A06244"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(n = 104)</w:t>
            </w:r>
          </w:p>
        </w:tc>
      </w:tr>
      <w:tr w:rsidR="00011D64" w:rsidRPr="00741122" w14:paraId="1F0F8CF2" w14:textId="77777777" w:rsidTr="00F533B1">
        <w:trPr>
          <w:trHeight w:val="172"/>
        </w:trPr>
        <w:tc>
          <w:tcPr>
            <w:tcW w:w="1972" w:type="pct"/>
            <w:noWrap/>
          </w:tcPr>
          <w:p w14:paraId="69C4BFDB" w14:textId="77777777" w:rsidR="00011D64" w:rsidRPr="00741122" w:rsidRDefault="00011D64" w:rsidP="00E92B61">
            <w:pPr>
              <w:ind w:left="567"/>
              <w:rPr>
                <w:rFonts w:ascii="Times New Roman" w:hAnsi="Times New Roman" w:cs="Times New Roman"/>
                <w:color w:val="000000"/>
                <w:sz w:val="22"/>
                <w:szCs w:val="22"/>
                <w:lang w:val="lt-LT"/>
              </w:rPr>
            </w:pPr>
            <w:r w:rsidRPr="00741122">
              <w:rPr>
                <w:rFonts w:ascii="Times New Roman" w:hAnsi="Times New Roman" w:cs="Times New Roman"/>
                <w:sz w:val="22"/>
                <w:szCs w:val="22"/>
                <w:lang w:val="lt-LT"/>
              </w:rPr>
              <w:t>Mediana czasu wolnego od progresji (miesiące)</w:t>
            </w:r>
          </w:p>
        </w:tc>
        <w:tc>
          <w:tcPr>
            <w:tcW w:w="1549" w:type="pct"/>
            <w:noWrap/>
          </w:tcPr>
          <w:p w14:paraId="3C0129D2"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10,1</w:t>
            </w:r>
          </w:p>
        </w:tc>
        <w:tc>
          <w:tcPr>
            <w:tcW w:w="1479" w:type="pct"/>
            <w:noWrap/>
          </w:tcPr>
          <w:p w14:paraId="13AE4165"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13,5</w:t>
            </w:r>
          </w:p>
        </w:tc>
      </w:tr>
      <w:tr w:rsidR="00011D64" w:rsidRPr="00741122" w14:paraId="72E10FA0" w14:textId="77777777" w:rsidTr="00F533B1">
        <w:trPr>
          <w:trHeight w:val="668"/>
        </w:trPr>
        <w:tc>
          <w:tcPr>
            <w:tcW w:w="1972" w:type="pct"/>
            <w:noWrap/>
          </w:tcPr>
          <w:p w14:paraId="329EDDCE" w14:textId="77777777" w:rsidR="00011D64" w:rsidRPr="00216BB4" w:rsidRDefault="00011D64" w:rsidP="00216BB4">
            <w:pPr>
              <w:ind w:left="567"/>
              <w:rPr>
                <w:rFonts w:ascii="Times New Roman" w:hAnsi="Times New Roman" w:cs="Times New Roman"/>
                <w:sz w:val="22"/>
                <w:szCs w:val="22"/>
                <w:lang w:val="lt-LT"/>
              </w:rPr>
            </w:pPr>
            <w:r w:rsidRPr="00216BB4">
              <w:rPr>
                <w:rFonts w:ascii="Times New Roman" w:hAnsi="Times New Roman" w:cs="Times New Roman"/>
                <w:sz w:val="22"/>
                <w:szCs w:val="22"/>
                <w:lang w:val="lt-LT"/>
              </w:rPr>
              <w:t>Współczynnik ryzyka (95% CI)</w:t>
            </w:r>
            <w:r w:rsidRPr="00216BB4">
              <w:rPr>
                <w:rFonts w:ascii="Times New Roman" w:hAnsi="Times New Roman" w:cs="Times New Roman"/>
                <w:sz w:val="22"/>
                <w:szCs w:val="22"/>
                <w:vertAlign w:val="superscript"/>
                <w:lang w:val="lt-LT"/>
              </w:rPr>
              <w:t>4</w:t>
            </w:r>
          </w:p>
        </w:tc>
        <w:tc>
          <w:tcPr>
            <w:tcW w:w="1549" w:type="pct"/>
            <w:noWrap/>
          </w:tcPr>
          <w:p w14:paraId="13B00307" w14:textId="77777777" w:rsidR="00011D64" w:rsidRPr="00216BB4" w:rsidRDefault="00011D64" w:rsidP="00E92B61">
            <w:pPr>
              <w:keepNext/>
              <w:jc w:val="center"/>
              <w:rPr>
                <w:rFonts w:ascii="Times New Roman" w:hAnsi="Times New Roman" w:cs="Times New Roman"/>
                <w:color w:val="000000"/>
                <w:sz w:val="22"/>
                <w:szCs w:val="22"/>
                <w:lang w:val="lt-LT"/>
              </w:rPr>
            </w:pPr>
          </w:p>
        </w:tc>
        <w:tc>
          <w:tcPr>
            <w:tcW w:w="1479" w:type="pct"/>
            <w:noWrap/>
          </w:tcPr>
          <w:p w14:paraId="6270D931" w14:textId="77777777"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0,74</w:t>
            </w:r>
          </w:p>
          <w:p w14:paraId="1E4908BD" w14:textId="3344AAAB" w:rsidR="00011D64" w:rsidRPr="00741122" w:rsidRDefault="00011D64"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sz w:val="22"/>
                <w:szCs w:val="22"/>
                <w:lang w:val="lt-LT"/>
              </w:rPr>
              <w:t>(0,55</w:t>
            </w:r>
            <w:r w:rsidR="00854D5D">
              <w:rPr>
                <w:rFonts w:ascii="Times New Roman" w:hAnsi="Times New Roman" w:cs="Times New Roman"/>
                <w:sz w:val="22"/>
                <w:szCs w:val="22"/>
                <w:lang w:val="lt-LT"/>
              </w:rPr>
              <w:t>;</w:t>
            </w:r>
            <w:r w:rsidRPr="00741122">
              <w:rPr>
                <w:rFonts w:ascii="Times New Roman" w:hAnsi="Times New Roman" w:cs="Times New Roman"/>
                <w:sz w:val="22"/>
                <w:szCs w:val="22"/>
                <w:lang w:val="lt-LT"/>
              </w:rPr>
              <w:t xml:space="preserve"> 1,01)</w:t>
            </w:r>
          </w:p>
        </w:tc>
      </w:tr>
    </w:tbl>
    <w:p w14:paraId="3F216C94" w14:textId="77777777" w:rsidR="00071CFE" w:rsidRPr="00741122" w:rsidRDefault="00071CFE" w:rsidP="002C296D">
      <w:pPr>
        <w:numPr>
          <w:ilvl w:val="0"/>
          <w:numId w:val="60"/>
        </w:numPr>
        <w:tabs>
          <w:tab w:val="left" w:pos="567"/>
        </w:tabs>
        <w:ind w:left="567" w:hanging="567"/>
        <w:rPr>
          <w:rFonts w:ascii="Times New Roman" w:eastAsia="Times New Roman" w:hAnsi="Times New Roman" w:cs="Times New Roman"/>
          <w:lang w:val="lt-LT"/>
        </w:rPr>
      </w:pPr>
      <w:r w:rsidRPr="00741122">
        <w:rPr>
          <w:rFonts w:ascii="Times New Roman" w:eastAsia="Times New Roman" w:hAnsi="Times New Roman" w:cs="Times New Roman"/>
          <w:lang w:val="lt-LT"/>
        </w:rPr>
        <w:t>Analiza czasu wolnego od progresji oceniana przez badacza z datą odcięcia danych 30 listopada 2010</w:t>
      </w:r>
      <w:r w:rsidR="0005252E">
        <w:rPr>
          <w:rFonts w:ascii="Times New Roman" w:eastAsia="Times New Roman" w:hAnsi="Times New Roman" w:cs="Times New Roman"/>
          <w:lang w:val="lt-LT"/>
        </w:rPr>
        <w:t xml:space="preserve"> r</w:t>
      </w:r>
      <w:r w:rsidRPr="00741122">
        <w:rPr>
          <w:rFonts w:ascii="Times New Roman" w:eastAsia="Times New Roman" w:hAnsi="Times New Roman" w:cs="Times New Roman"/>
          <w:lang w:val="lt-LT"/>
        </w:rPr>
        <w:t>.</w:t>
      </w:r>
    </w:p>
    <w:p w14:paraId="004F428F" w14:textId="77777777" w:rsidR="00071CFE" w:rsidRPr="00741122" w:rsidRDefault="00071CFE" w:rsidP="002C296D">
      <w:pPr>
        <w:ind w:left="567"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t>2</w:t>
      </w:r>
      <w:r w:rsidR="005D7BF4" w:rsidRPr="00741122">
        <w:rPr>
          <w:rFonts w:ascii="Times New Roman" w:eastAsia="Times New Roman" w:hAnsi="Times New Roman" w:cs="Times New Roman"/>
          <w:lang w:val="lt-LT"/>
        </w:rPr>
        <w:tab/>
      </w:r>
      <w:r w:rsidR="00FD7F9C">
        <w:rPr>
          <w:rFonts w:ascii="Times New Roman" w:eastAsia="Times New Roman" w:hAnsi="Times New Roman" w:cs="Times New Roman"/>
          <w:lang w:val="lt-LT"/>
        </w:rPr>
        <w:t>z</w:t>
      </w:r>
      <w:r w:rsidRPr="00741122">
        <w:rPr>
          <w:rFonts w:ascii="Times New Roman" w:eastAsia="Times New Roman" w:hAnsi="Times New Roman" w:cs="Times New Roman"/>
          <w:lang w:val="lt-LT"/>
        </w:rPr>
        <w:t xml:space="preserve"> lub bez ma</w:t>
      </w:r>
      <w:r w:rsidR="0005252E">
        <w:rPr>
          <w:rFonts w:ascii="Times New Roman" w:eastAsia="Times New Roman" w:hAnsi="Times New Roman" w:cs="Times New Roman"/>
          <w:lang w:val="lt-LT"/>
        </w:rPr>
        <w:t>k</w:t>
      </w:r>
      <w:r w:rsidRPr="00741122">
        <w:rPr>
          <w:rFonts w:ascii="Times New Roman" w:eastAsia="Times New Roman" w:hAnsi="Times New Roman" w:cs="Times New Roman"/>
          <w:lang w:val="lt-LT"/>
        </w:rPr>
        <w:t>roskopowej choroby resztkowej</w:t>
      </w:r>
    </w:p>
    <w:p w14:paraId="7BB924CA" w14:textId="77777777" w:rsidR="005D7BF4" w:rsidRPr="00741122" w:rsidRDefault="00071CFE" w:rsidP="00FD7F9C">
      <w:pPr>
        <w:ind w:left="567" w:right="986"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t>3</w:t>
      </w:r>
      <w:r w:rsidR="005D7BF4" w:rsidRPr="00741122">
        <w:rPr>
          <w:rFonts w:ascii="Times New Roman" w:eastAsia="Times New Roman" w:hAnsi="Times New Roman" w:cs="Times New Roman"/>
          <w:lang w:val="lt-LT"/>
        </w:rPr>
        <w:tab/>
      </w:r>
      <w:r w:rsidRPr="00741122">
        <w:rPr>
          <w:rFonts w:ascii="Times New Roman" w:eastAsia="Times New Roman" w:hAnsi="Times New Roman" w:cs="Times New Roman"/>
          <w:lang w:val="lt-LT"/>
        </w:rPr>
        <w:t>U 5,8% wszystkich zrandomizowanych chorych stwierdzan</w:t>
      </w:r>
      <w:r w:rsidR="00FD7F9C">
        <w:rPr>
          <w:rFonts w:ascii="Times New Roman" w:eastAsia="Times New Roman" w:hAnsi="Times New Roman" w:cs="Times New Roman"/>
          <w:lang w:val="lt-LT"/>
        </w:rPr>
        <w:t xml:space="preserve">o stopień zaawansowania choroby </w:t>
      </w:r>
      <w:r w:rsidRPr="00741122">
        <w:rPr>
          <w:rFonts w:ascii="Times New Roman" w:eastAsia="Times New Roman" w:hAnsi="Times New Roman" w:cs="Times New Roman"/>
          <w:lang w:val="lt-LT"/>
        </w:rPr>
        <w:t xml:space="preserve">IIIB. </w:t>
      </w:r>
    </w:p>
    <w:p w14:paraId="08C5461C" w14:textId="77777777" w:rsidR="00071CFE" w:rsidRPr="00741122" w:rsidRDefault="00071CFE" w:rsidP="002C296D">
      <w:pPr>
        <w:ind w:left="567" w:right="986"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t>4</w:t>
      </w:r>
      <w:r w:rsidR="005D7BF4" w:rsidRPr="00741122">
        <w:rPr>
          <w:rFonts w:ascii="Times New Roman" w:eastAsia="Times New Roman" w:hAnsi="Times New Roman" w:cs="Times New Roman"/>
          <w:lang w:val="lt-LT"/>
        </w:rPr>
        <w:tab/>
      </w:r>
      <w:r w:rsidR="00FD7F9C">
        <w:rPr>
          <w:rFonts w:ascii="Times New Roman" w:eastAsia="Times New Roman" w:hAnsi="Times New Roman" w:cs="Times New Roman"/>
          <w:lang w:val="lt-LT"/>
        </w:rPr>
        <w:t>w</w:t>
      </w:r>
      <w:r w:rsidRPr="00741122">
        <w:rPr>
          <w:rFonts w:ascii="Times New Roman" w:eastAsia="Times New Roman" w:hAnsi="Times New Roman" w:cs="Times New Roman"/>
          <w:lang w:val="lt-LT"/>
        </w:rPr>
        <w:t xml:space="preserve"> porównaniu z grupą kontrolną</w:t>
      </w:r>
    </w:p>
    <w:p w14:paraId="131F5141" w14:textId="77777777" w:rsidR="005D7BF4" w:rsidRPr="00741122" w:rsidRDefault="005D7BF4" w:rsidP="00011D64">
      <w:pPr>
        <w:rPr>
          <w:rFonts w:ascii="Times New Roman" w:eastAsia="Times New Roman" w:hAnsi="Times New Roman" w:cs="Times New Roman"/>
          <w:sz w:val="22"/>
          <w:szCs w:val="22"/>
          <w:lang w:val="lt-LT"/>
        </w:rPr>
      </w:pPr>
    </w:p>
    <w:p w14:paraId="337CDD1E" w14:textId="77777777" w:rsidR="00071CFE" w:rsidRPr="00741122" w:rsidRDefault="00071CFE" w:rsidP="002C296D">
      <w:pPr>
        <w:keepNext/>
        <w:rPr>
          <w:rFonts w:ascii="Times New Roman" w:eastAsia="Times New Roman" w:hAnsi="Times New Roman"/>
          <w:i/>
          <w:sz w:val="22"/>
          <w:szCs w:val="22"/>
          <w:lang w:val="lt-LT"/>
        </w:rPr>
      </w:pPr>
      <w:r w:rsidRPr="00741122">
        <w:rPr>
          <w:rFonts w:ascii="Times New Roman" w:eastAsia="Times New Roman" w:hAnsi="Times New Roman"/>
          <w:i/>
          <w:sz w:val="22"/>
          <w:szCs w:val="22"/>
          <w:lang w:val="lt-LT"/>
        </w:rPr>
        <w:t>Nawrotowy rak jajnika</w:t>
      </w:r>
    </w:p>
    <w:p w14:paraId="583B8BB5" w14:textId="77777777" w:rsidR="00071CFE" w:rsidRPr="00741122" w:rsidRDefault="00071CFE" w:rsidP="002C296D">
      <w:pPr>
        <w:keepNext/>
        <w:rPr>
          <w:rFonts w:ascii="Times New Roman" w:eastAsia="Times New Roman" w:hAnsi="Times New Roman" w:cs="Times New Roman"/>
          <w:sz w:val="22"/>
          <w:szCs w:val="22"/>
          <w:lang w:val="lt-LT"/>
        </w:rPr>
      </w:pPr>
    </w:p>
    <w:p w14:paraId="7F6B875A" w14:textId="77777777"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Bezpieczeństwo i skuteczność </w:t>
      </w:r>
      <w:r w:rsidR="00B14B20">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u pacjentów z nawrotowym rakiem jajnika, rakiem jajowodu lub pierwotnym rakiem otrzewnej badano w trzech badaniach III fazy (AVF4095g, MO22224 i GOG-0213): w różnych populacjach pacjentek oraz w skojarzeniu z różnymi schematami chemioterapii.</w:t>
      </w:r>
    </w:p>
    <w:p w14:paraId="5B347769" w14:textId="77777777" w:rsidR="00071CFE" w:rsidRPr="00741122" w:rsidRDefault="00071CFE" w:rsidP="002C296D">
      <w:pPr>
        <w:rPr>
          <w:rFonts w:ascii="Times New Roman" w:eastAsia="Times New Roman" w:hAnsi="Times New Roman" w:cs="Times New Roman"/>
          <w:sz w:val="22"/>
          <w:szCs w:val="22"/>
          <w:lang w:val="lt-LT"/>
        </w:rPr>
      </w:pPr>
    </w:p>
    <w:p w14:paraId="06D5F0C2" w14:textId="77777777" w:rsidR="00071CFE" w:rsidRPr="00741122" w:rsidRDefault="00071CFE" w:rsidP="00314B6B">
      <w:pPr>
        <w:numPr>
          <w:ilvl w:val="0"/>
          <w:numId w:val="88"/>
        </w:numPr>
        <w:tabs>
          <w:tab w:val="left" w:pos="567"/>
        </w:tabs>
        <w:ind w:left="567" w:hanging="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 badaniu AVF4095g oceniano skuteczność i bezpieczeństwo stosowania bewacyzumabu</w:t>
      </w:r>
      <w:r w:rsidR="005D7BF4"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w skojarzeniu z karboplatyną i gemcytabiną oraz kontynuowania leczenia bewacyzumabem w monoterapii u pacjentów z wrażliwym na związki platyny nawrotowym rakiem jajnika, rakiem jajowodu lub pierwotnym rakiem otrzewnej.</w:t>
      </w:r>
    </w:p>
    <w:p w14:paraId="5881EE62" w14:textId="77777777" w:rsidR="00071CFE" w:rsidRPr="00741122" w:rsidRDefault="00071CFE" w:rsidP="00314B6B">
      <w:pPr>
        <w:numPr>
          <w:ilvl w:val="0"/>
          <w:numId w:val="88"/>
        </w:numPr>
        <w:tabs>
          <w:tab w:val="left" w:pos="567"/>
        </w:tabs>
        <w:ind w:left="567" w:hanging="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 badaniu GOG-0213 oceniano skuteczność i bezpieczeństwo stosowania bewacyzumabu w skojarzeniu z karboplatyną i paklitakselem oraz kontynuowania leczenia bewacyzumabem w monoterapii u pacjentów z wrażliwym na związki platyny nawrotowym rakiem jajnika, rakiem jajowodu lub pierwotnym rakiem otrzewnej.</w:t>
      </w:r>
    </w:p>
    <w:p w14:paraId="0BA31061" w14:textId="77777777" w:rsidR="00071CFE" w:rsidRPr="00741122" w:rsidRDefault="00071CFE" w:rsidP="00314B6B">
      <w:pPr>
        <w:numPr>
          <w:ilvl w:val="0"/>
          <w:numId w:val="88"/>
        </w:numPr>
        <w:tabs>
          <w:tab w:val="left" w:pos="567"/>
        </w:tabs>
        <w:ind w:left="567" w:hanging="567"/>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 badaniu MO22224 oceniano skuteczność i bezpieczeństwo bewacyzumabu w skojarzeniu z paklitakselem, topotekanem lub pegylowaną liposomalną doksorubicyną u pacjentów</w:t>
      </w:r>
      <w:r w:rsidR="005D7BF4"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z opornym na związki platyny nawrotowym rakiem jajnika, rakiem jajowodu lub pierwotnym rakiem otrzewnej.</w:t>
      </w:r>
    </w:p>
    <w:p w14:paraId="09B80680" w14:textId="77777777" w:rsidR="005D7BF4" w:rsidRPr="00741122" w:rsidRDefault="005D7BF4" w:rsidP="002C296D">
      <w:pPr>
        <w:spacing w:line="0" w:lineRule="atLeast"/>
        <w:rPr>
          <w:rFonts w:ascii="Times New Roman" w:eastAsia="Times New Roman" w:hAnsi="Times New Roman"/>
          <w:lang w:val="lt-LT"/>
        </w:rPr>
      </w:pPr>
      <w:bookmarkStart w:id="48" w:name="page46"/>
      <w:bookmarkEnd w:id="48"/>
    </w:p>
    <w:p w14:paraId="73DE04E2" w14:textId="77777777" w:rsidR="00071CFE" w:rsidRPr="00741122" w:rsidRDefault="00071CFE" w:rsidP="002C296D">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Badanie AVF4095g</w:t>
      </w:r>
    </w:p>
    <w:p w14:paraId="276E4EA2" w14:textId="77777777"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Bezpieczeństwo i skuteczność </w:t>
      </w:r>
      <w:r w:rsidR="00B14B20">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u pacjentów z wrażliwym na związki platyny nawrotowym rakiem jajnika, rakiem jajowodu lub pierwotnym rakiem otrzewnej, u których nie stosowano wcześniej chemioterapii z powodu nawrotu choroby ani też nie stosowano wcześniej bewacyzumabu, oceniano w </w:t>
      </w:r>
      <w:r w:rsidRPr="00741122">
        <w:rPr>
          <w:rFonts w:ascii="Times New Roman" w:eastAsia="Times New Roman" w:hAnsi="Times New Roman" w:cs="Times New Roman"/>
          <w:sz w:val="22"/>
          <w:szCs w:val="22"/>
          <w:lang w:val="lt-LT"/>
        </w:rPr>
        <w:lastRenderedPageBreak/>
        <w:t>randomizowanym badaniu fazy III z podwójnie ślepą próbą</w:t>
      </w:r>
      <w:r w:rsidR="005D7BF4"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i zastosowaniem placebo w grupie kontrolnej (badanie AVF4095g). W badaniu porównywano wyniki leczenia za pomocą </w:t>
      </w:r>
      <w:r w:rsidR="00B14B20">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dodanego do chemioterapii (karboplatyna i gemcytabina),</w:t>
      </w:r>
      <w:r w:rsidR="005D7BF4"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a następnie kontynuowanego w monoterapii aż do wystąpienia progresji choroby, z wynikami zastosowania tylko karboplatyny i gemcytabiny.</w:t>
      </w:r>
    </w:p>
    <w:p w14:paraId="4DCB727E" w14:textId="77777777" w:rsidR="00071CFE" w:rsidRPr="00741122" w:rsidRDefault="00071CFE" w:rsidP="002C296D">
      <w:pPr>
        <w:rPr>
          <w:rFonts w:ascii="Times New Roman" w:eastAsia="Times New Roman" w:hAnsi="Times New Roman" w:cs="Times New Roman"/>
          <w:sz w:val="22"/>
          <w:szCs w:val="22"/>
          <w:lang w:val="lt-LT"/>
        </w:rPr>
      </w:pPr>
    </w:p>
    <w:p w14:paraId="10F43D38" w14:textId="77777777"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Do badania włączano tylko pacjentów z potwierdzonym histologicznie rakiem jajnika, pierwotnym rakiem otrzewnej lub rakiem jajowodu, u których wystąpił nawrót choroby &gt;</w:t>
      </w:r>
      <w:r w:rsidR="0005252E">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 miesięcy po zakończeniu chemioterapii opartej na związkach platyny, którzy nie otrzymywali chemioterapii</w:t>
      </w:r>
      <w:r w:rsidR="005D7BF4"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 powodu nawrotu choroby i</w:t>
      </w:r>
      <w:r w:rsidR="0005252E">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u których nie stosowano wcześniej bewacyzumabu ani innych inhibitorów VEGF lub leków działających na receptor dla VEGF.</w:t>
      </w:r>
    </w:p>
    <w:p w14:paraId="04DD40F9" w14:textId="77777777" w:rsidR="00071CFE" w:rsidRPr="00741122" w:rsidRDefault="00071CFE" w:rsidP="002C296D">
      <w:pPr>
        <w:rPr>
          <w:rFonts w:ascii="Times New Roman" w:eastAsia="Times New Roman" w:hAnsi="Times New Roman" w:cs="Times New Roman"/>
          <w:sz w:val="22"/>
          <w:szCs w:val="22"/>
          <w:lang w:val="lt-LT"/>
        </w:rPr>
      </w:pPr>
    </w:p>
    <w:p w14:paraId="371249B4" w14:textId="77777777" w:rsidR="00071CFE" w:rsidRPr="00741122" w:rsidRDefault="00071CFE" w:rsidP="002C296D">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Ogółem 484 pacjentów z mierzalnymi zmianami nowotworowymi przydzielono losowo (w stosunku 1:1) do jednej z dwóch grup otrzymujących:</w:t>
      </w:r>
    </w:p>
    <w:p w14:paraId="53A24F89" w14:textId="77777777" w:rsidR="00071CFE" w:rsidRPr="00741122" w:rsidRDefault="00071CFE" w:rsidP="009C01F1">
      <w:pPr>
        <w:numPr>
          <w:ilvl w:val="0"/>
          <w:numId w:val="89"/>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karboplatynę (AUC 4</w:t>
      </w:r>
      <w:r w:rsidR="00D45DD5" w:rsidRPr="00741122">
        <w:rPr>
          <w:rFonts w:ascii="Times New Roman" w:eastAsia="Times New Roman" w:hAnsi="Times New Roman" w:cs="Times New Roman"/>
          <w:sz w:val="22"/>
          <w:szCs w:val="22"/>
          <w:lang w:val="lt-LT"/>
        </w:rPr>
        <w:t>, dzień 1.) i gemcytabinę (1000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w dniu 1. i 8.) wraz z placebo co 3 tygodnie przez 6 do 10 cykli, a następnie wyłącznie placebo (co trzy tygodnie) aż do wystąpienia progresji choroby lub niemożliwych do zaakc</w:t>
      </w:r>
      <w:r w:rsidR="00327D6D">
        <w:rPr>
          <w:rFonts w:ascii="Times New Roman" w:eastAsia="Times New Roman" w:hAnsi="Times New Roman" w:cs="Times New Roman"/>
          <w:sz w:val="22"/>
          <w:szCs w:val="22"/>
          <w:lang w:val="lt-LT"/>
        </w:rPr>
        <w:t>eptowania działań niepożądanych</w:t>
      </w:r>
      <w:r w:rsidR="00C575DA">
        <w:rPr>
          <w:rFonts w:ascii="Times New Roman" w:eastAsia="Times New Roman" w:hAnsi="Times New Roman" w:cs="Times New Roman"/>
          <w:sz w:val="22"/>
          <w:szCs w:val="22"/>
          <w:lang w:val="lt-LT"/>
        </w:rPr>
        <w:t>.</w:t>
      </w:r>
    </w:p>
    <w:p w14:paraId="14D2301C" w14:textId="77777777" w:rsidR="00071CFE" w:rsidRPr="00741122" w:rsidRDefault="00327D6D" w:rsidP="009C01F1">
      <w:pPr>
        <w:numPr>
          <w:ilvl w:val="0"/>
          <w:numId w:val="89"/>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 xml:space="preserve">albo </w:t>
      </w:r>
      <w:r w:rsidR="00071CFE" w:rsidRPr="00741122">
        <w:rPr>
          <w:rFonts w:ascii="Times New Roman" w:eastAsia="Times New Roman" w:hAnsi="Times New Roman" w:cs="Times New Roman"/>
          <w:sz w:val="22"/>
          <w:szCs w:val="22"/>
          <w:lang w:val="lt-LT"/>
        </w:rPr>
        <w:t>karboplatynę (AUC 4</w:t>
      </w:r>
      <w:r w:rsidR="00D45DD5" w:rsidRPr="00741122">
        <w:rPr>
          <w:rFonts w:ascii="Times New Roman" w:eastAsia="Times New Roman" w:hAnsi="Times New Roman" w:cs="Times New Roman"/>
          <w:sz w:val="22"/>
          <w:szCs w:val="22"/>
          <w:lang w:val="lt-LT"/>
        </w:rPr>
        <w:t>, dzień 1.) i gemcytabinę (1000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dniu 1. </w:t>
      </w:r>
      <w:r w:rsidR="00D45DD5" w:rsidRPr="00741122">
        <w:rPr>
          <w:rFonts w:ascii="Times New Roman" w:eastAsia="Times New Roman" w:hAnsi="Times New Roman" w:cs="Times New Roman"/>
          <w:sz w:val="22"/>
          <w:szCs w:val="22"/>
          <w:lang w:val="lt-LT"/>
        </w:rPr>
        <w:t xml:space="preserve">i 8.) wraz z </w:t>
      </w:r>
      <w:r w:rsidR="00B14B20">
        <w:rPr>
          <w:rFonts w:ascii="Times New Roman" w:eastAsia="Times New Roman" w:hAnsi="Times New Roman" w:cs="Times New Roman"/>
          <w:sz w:val="22"/>
          <w:szCs w:val="22"/>
          <w:lang w:val="lt-LT"/>
        </w:rPr>
        <w:t>bewacyzumabem</w:t>
      </w:r>
      <w:r w:rsidR="00D45DD5" w:rsidRPr="00741122">
        <w:rPr>
          <w:rFonts w:ascii="Times New Roman" w:eastAsia="Times New Roman" w:hAnsi="Times New Roman" w:cs="Times New Roman"/>
          <w:sz w:val="22"/>
          <w:szCs w:val="22"/>
          <w:lang w:val="lt-LT"/>
        </w:rPr>
        <w:t xml:space="preserve"> (15 </w:t>
      </w:r>
      <w:r w:rsidR="00071CFE" w:rsidRPr="00741122">
        <w:rPr>
          <w:rFonts w:ascii="Times New Roman" w:eastAsia="Times New Roman" w:hAnsi="Times New Roman" w:cs="Times New Roman"/>
          <w:sz w:val="22"/>
          <w:szCs w:val="22"/>
          <w:lang w:val="lt-LT"/>
        </w:rPr>
        <w:t>mg/kg</w:t>
      </w:r>
      <w:r w:rsidR="0005252E">
        <w:rPr>
          <w:rFonts w:ascii="Times New Roman" w:eastAsia="Times New Roman" w:hAnsi="Times New Roman" w:cs="Times New Roman"/>
          <w:sz w:val="22"/>
          <w:szCs w:val="22"/>
          <w:lang w:val="lt-LT"/>
        </w:rPr>
        <w:t> mc.</w:t>
      </w:r>
      <w:r w:rsidR="00071CFE" w:rsidRPr="00741122">
        <w:rPr>
          <w:rFonts w:ascii="Times New Roman" w:eastAsia="Times New Roman" w:hAnsi="Times New Roman" w:cs="Times New Roman"/>
          <w:sz w:val="22"/>
          <w:szCs w:val="22"/>
          <w:lang w:val="lt-LT"/>
        </w:rPr>
        <w:t xml:space="preserve"> w dniu 1.) co 3 tygodnie przez 6 do 10 cykli, a nast</w:t>
      </w:r>
      <w:r w:rsidR="00D45DD5" w:rsidRPr="00741122">
        <w:rPr>
          <w:rFonts w:ascii="Times New Roman" w:eastAsia="Times New Roman" w:hAnsi="Times New Roman" w:cs="Times New Roman"/>
          <w:sz w:val="22"/>
          <w:szCs w:val="22"/>
          <w:lang w:val="lt-LT"/>
        </w:rPr>
        <w:t xml:space="preserve">ępnie wyłącznie </w:t>
      </w:r>
      <w:r w:rsidR="00B14B20">
        <w:rPr>
          <w:rFonts w:ascii="Times New Roman" w:eastAsia="Times New Roman" w:hAnsi="Times New Roman" w:cs="Times New Roman"/>
          <w:sz w:val="22"/>
          <w:szCs w:val="22"/>
          <w:lang w:val="lt-LT"/>
        </w:rPr>
        <w:t>bewacyzumab</w:t>
      </w:r>
      <w:r w:rsidR="00D45DD5" w:rsidRPr="00741122">
        <w:rPr>
          <w:rFonts w:ascii="Times New Roman" w:eastAsia="Times New Roman" w:hAnsi="Times New Roman" w:cs="Times New Roman"/>
          <w:sz w:val="22"/>
          <w:szCs w:val="22"/>
          <w:lang w:val="lt-LT"/>
        </w:rPr>
        <w:t xml:space="preserve"> (15 </w:t>
      </w:r>
      <w:r w:rsidR="00071CFE" w:rsidRPr="00741122">
        <w:rPr>
          <w:rFonts w:ascii="Times New Roman" w:eastAsia="Times New Roman" w:hAnsi="Times New Roman" w:cs="Times New Roman"/>
          <w:sz w:val="22"/>
          <w:szCs w:val="22"/>
          <w:lang w:val="lt-LT"/>
        </w:rPr>
        <w:t>mg/kg</w:t>
      </w:r>
      <w:r w:rsidR="0005252E">
        <w:rPr>
          <w:rFonts w:ascii="Times New Roman" w:eastAsia="Times New Roman" w:hAnsi="Times New Roman" w:cs="Times New Roman"/>
          <w:sz w:val="22"/>
          <w:szCs w:val="22"/>
          <w:lang w:val="lt-LT"/>
        </w:rPr>
        <w:t> mc.</w:t>
      </w:r>
      <w:r w:rsidR="00071CFE" w:rsidRPr="00741122">
        <w:rPr>
          <w:rFonts w:ascii="Times New Roman" w:eastAsia="Times New Roman" w:hAnsi="Times New Roman" w:cs="Times New Roman"/>
          <w:sz w:val="22"/>
          <w:szCs w:val="22"/>
          <w:lang w:val="lt-LT"/>
        </w:rPr>
        <w:t xml:space="preserve"> co 3 tygodnie)</w:t>
      </w:r>
      <w:r w:rsidR="0005252E">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aż do wystąpienia progresji choroby lub niemożliwych do zaakceptowania działań niepożądanych.</w:t>
      </w:r>
    </w:p>
    <w:p w14:paraId="5E8C66E1" w14:textId="77777777" w:rsidR="00071CFE" w:rsidRPr="00741122" w:rsidRDefault="00071CFE" w:rsidP="002C296D">
      <w:pPr>
        <w:rPr>
          <w:rFonts w:ascii="Times New Roman" w:eastAsia="Times New Roman" w:hAnsi="Times New Roman" w:cs="Times New Roman"/>
          <w:sz w:val="22"/>
          <w:szCs w:val="22"/>
          <w:lang w:val="lt-LT"/>
        </w:rPr>
      </w:pPr>
    </w:p>
    <w:p w14:paraId="4B53B53B" w14:textId="77777777"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Głównym punktem końcowym był czas przeżycia wolnego od progresji choroby według oceny badacza zgodnie z kryteriami zmodyfikowanej klasyfikacji RECIST 1.0. Drugorzędowe punkty końcowe obejmowały: obiektywną odpowiedź na leczenie, czas trwania odpowiedzi, całkowity czas przeżycia i bezpieczeństwo leczenia. Przeprowadzono również niezależną ocenę głównego punktu końcowego.</w:t>
      </w:r>
    </w:p>
    <w:p w14:paraId="655C7D0F" w14:textId="77777777" w:rsidR="00071CFE" w:rsidRPr="00741122" w:rsidRDefault="00071CFE" w:rsidP="002C296D">
      <w:pPr>
        <w:rPr>
          <w:rFonts w:ascii="Times New Roman" w:eastAsia="Times New Roman" w:hAnsi="Times New Roman" w:cs="Times New Roman"/>
          <w:sz w:val="22"/>
          <w:szCs w:val="22"/>
          <w:lang w:val="lt-LT"/>
        </w:rPr>
      </w:pPr>
    </w:p>
    <w:p w14:paraId="2836A67B" w14:textId="66F97CDF"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Podsumowanie wyników tego badania przedstawia Tabela </w:t>
      </w:r>
      <w:r w:rsidR="00C33782">
        <w:rPr>
          <w:rFonts w:ascii="Times New Roman" w:eastAsia="Times New Roman" w:hAnsi="Times New Roman" w:cs="Times New Roman"/>
          <w:sz w:val="22"/>
          <w:szCs w:val="22"/>
          <w:lang w:val="lt-LT"/>
        </w:rPr>
        <w:t>20</w:t>
      </w:r>
      <w:r w:rsidRPr="00741122">
        <w:rPr>
          <w:rFonts w:ascii="Times New Roman" w:eastAsia="Times New Roman" w:hAnsi="Times New Roman" w:cs="Times New Roman"/>
          <w:sz w:val="22"/>
          <w:szCs w:val="22"/>
          <w:lang w:val="lt-LT"/>
        </w:rPr>
        <w:t>.</w:t>
      </w:r>
    </w:p>
    <w:p w14:paraId="539D8417" w14:textId="77777777" w:rsidR="00071CFE" w:rsidRPr="00741122" w:rsidRDefault="00071CFE" w:rsidP="002C296D">
      <w:pPr>
        <w:rPr>
          <w:rFonts w:ascii="Times New Roman" w:eastAsia="Times New Roman" w:hAnsi="Times New Roman" w:cs="Times New Roman"/>
          <w:sz w:val="22"/>
          <w:szCs w:val="22"/>
          <w:lang w:val="lt-LT"/>
        </w:rPr>
      </w:pPr>
    </w:p>
    <w:p w14:paraId="5CE1442A" w14:textId="6AA488C8" w:rsidR="00071CFE" w:rsidRPr="00741122" w:rsidRDefault="00011D64" w:rsidP="00F9433F">
      <w:pPr>
        <w:keepNext/>
        <w:rPr>
          <w:rFonts w:ascii="Times New Roman" w:eastAsia="Times New Roman" w:hAnsi="Times New Roman"/>
          <w:b/>
          <w:sz w:val="22"/>
          <w:lang w:val="lt-LT"/>
        </w:rPr>
      </w:pPr>
      <w:bookmarkStart w:id="49" w:name="page47"/>
      <w:bookmarkEnd w:id="49"/>
      <w:r w:rsidRPr="00741122">
        <w:rPr>
          <w:rFonts w:ascii="Times New Roman" w:eastAsia="Times New Roman" w:hAnsi="Times New Roman"/>
          <w:b/>
          <w:sz w:val="22"/>
          <w:lang w:val="lt-LT"/>
        </w:rPr>
        <w:t xml:space="preserve">Tabela </w:t>
      </w:r>
      <w:r w:rsidR="00C33782">
        <w:rPr>
          <w:rFonts w:ascii="Times New Roman" w:eastAsia="Times New Roman" w:hAnsi="Times New Roman"/>
          <w:b/>
          <w:sz w:val="22"/>
          <w:lang w:val="lt-LT"/>
        </w:rPr>
        <w:t>20</w:t>
      </w:r>
      <w:r w:rsidR="0005252E">
        <w:rPr>
          <w:rFonts w:ascii="Times New Roman" w:eastAsia="Times New Roman" w:hAnsi="Times New Roman"/>
          <w:b/>
          <w:sz w:val="22"/>
          <w:lang w:val="lt-LT"/>
        </w:rPr>
        <w:t>.</w:t>
      </w:r>
      <w:r w:rsidR="00D45DD5" w:rsidRPr="00741122">
        <w:rPr>
          <w:rFonts w:ascii="Times New Roman" w:eastAsia="Times New Roman" w:hAnsi="Times New Roman"/>
          <w:b/>
          <w:sz w:val="22"/>
          <w:lang w:val="lt-LT"/>
        </w:rPr>
        <w:t xml:space="preserve"> </w:t>
      </w:r>
      <w:r w:rsidR="00071CFE" w:rsidRPr="00741122">
        <w:rPr>
          <w:rFonts w:ascii="Times New Roman" w:eastAsia="Times New Roman" w:hAnsi="Times New Roman"/>
          <w:b/>
          <w:sz w:val="22"/>
          <w:lang w:val="lt-LT"/>
        </w:rPr>
        <w:t>Wyniki badania AVF4095</w:t>
      </w:r>
      <w:r w:rsidR="00250218">
        <w:rPr>
          <w:rFonts w:ascii="Times New Roman" w:eastAsia="Times New Roman" w:hAnsi="Times New Roman"/>
          <w:b/>
          <w:sz w:val="22"/>
          <w:lang w:val="lt-LT"/>
        </w:rPr>
        <w:t>g</w:t>
      </w:r>
      <w:r w:rsidR="00071CFE" w:rsidRPr="00741122">
        <w:rPr>
          <w:rFonts w:ascii="Times New Roman" w:eastAsia="Times New Roman" w:hAnsi="Times New Roman"/>
          <w:b/>
          <w:sz w:val="22"/>
          <w:lang w:val="lt-LT"/>
        </w:rPr>
        <w:t xml:space="preserve"> dotyczące skuteczności</w:t>
      </w:r>
    </w:p>
    <w:p w14:paraId="4900E8FB" w14:textId="77777777" w:rsidR="00432C22" w:rsidRPr="00741122" w:rsidRDefault="00432C22" w:rsidP="00F9433F">
      <w:pPr>
        <w:keepNext/>
        <w:rPr>
          <w:rFonts w:ascii="Times New Roman" w:eastAsia="Times New Roman" w:hAnsi="Times New Roman"/>
          <w:b/>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1753"/>
        <w:gridCol w:w="1617"/>
        <w:gridCol w:w="1481"/>
        <w:gridCol w:w="1753"/>
      </w:tblGrid>
      <w:tr w:rsidR="00432C22" w:rsidRPr="00C70451" w14:paraId="10BD2754" w14:textId="77777777" w:rsidTr="00F533B1">
        <w:tc>
          <w:tcPr>
            <w:tcW w:w="5000" w:type="pct"/>
            <w:gridSpan w:val="5"/>
            <w:vAlign w:val="center"/>
          </w:tcPr>
          <w:p w14:paraId="42F6CA56" w14:textId="77777777" w:rsidR="00432C22" w:rsidRPr="000B4913" w:rsidRDefault="00432C22" w:rsidP="00F9433F">
            <w:pPr>
              <w:pStyle w:val="Default"/>
              <w:keepNext/>
              <w:rPr>
                <w:sz w:val="22"/>
                <w:szCs w:val="22"/>
                <w:lang w:val="lt-LT"/>
              </w:rPr>
            </w:pPr>
            <w:r w:rsidRPr="000B4913">
              <w:rPr>
                <w:sz w:val="22"/>
                <w:szCs w:val="22"/>
                <w:lang w:val="lt-LT"/>
              </w:rPr>
              <w:t xml:space="preserve">Czas przeżycia wolnego od progresji choroby </w:t>
            </w:r>
          </w:p>
        </w:tc>
      </w:tr>
      <w:tr w:rsidR="00432C22" w:rsidRPr="000B4913" w14:paraId="2078AC6F" w14:textId="77777777" w:rsidTr="00F533B1">
        <w:tc>
          <w:tcPr>
            <w:tcW w:w="1549" w:type="pct"/>
            <w:vAlign w:val="center"/>
          </w:tcPr>
          <w:p w14:paraId="439A6C13" w14:textId="77777777" w:rsidR="00432C22" w:rsidRPr="000B4913" w:rsidRDefault="00432C22" w:rsidP="00DC39C8">
            <w:pPr>
              <w:rPr>
                <w:rFonts w:ascii="Times New Roman" w:hAnsi="Times New Roman" w:cs="Times New Roman"/>
                <w:sz w:val="22"/>
                <w:szCs w:val="22"/>
                <w:lang w:val="lt-LT"/>
              </w:rPr>
            </w:pPr>
          </w:p>
        </w:tc>
        <w:tc>
          <w:tcPr>
            <w:tcW w:w="1761" w:type="pct"/>
            <w:gridSpan w:val="2"/>
            <w:vAlign w:val="center"/>
          </w:tcPr>
          <w:p w14:paraId="1630F557" w14:textId="77777777" w:rsidR="00432C22" w:rsidRPr="000B4913" w:rsidRDefault="00432C22" w:rsidP="00114020">
            <w:pPr>
              <w:jc w:val="center"/>
              <w:rPr>
                <w:rFonts w:ascii="Times New Roman" w:hAnsi="Times New Roman" w:cs="Times New Roman"/>
                <w:sz w:val="22"/>
                <w:szCs w:val="22"/>
                <w:lang w:val="lt-LT"/>
              </w:rPr>
            </w:pPr>
            <w:r w:rsidRPr="000B4913">
              <w:rPr>
                <w:rFonts w:ascii="Times New Roman" w:hAnsi="Times New Roman" w:cs="Times New Roman"/>
                <w:sz w:val="22"/>
                <w:szCs w:val="22"/>
                <w:lang w:val="lt-LT"/>
              </w:rPr>
              <w:t>Ocena badacza</w:t>
            </w:r>
          </w:p>
        </w:tc>
        <w:tc>
          <w:tcPr>
            <w:tcW w:w="1690" w:type="pct"/>
            <w:gridSpan w:val="2"/>
            <w:vAlign w:val="center"/>
          </w:tcPr>
          <w:p w14:paraId="6F40B550" w14:textId="77777777" w:rsidR="00432C22" w:rsidRPr="000B4913" w:rsidRDefault="00432C22" w:rsidP="00114020">
            <w:pPr>
              <w:jc w:val="center"/>
              <w:rPr>
                <w:rFonts w:ascii="Times New Roman" w:hAnsi="Times New Roman" w:cs="Times New Roman"/>
                <w:sz w:val="22"/>
                <w:szCs w:val="22"/>
                <w:lang w:val="lt-LT"/>
              </w:rPr>
            </w:pPr>
            <w:r w:rsidRPr="000B4913">
              <w:rPr>
                <w:rFonts w:ascii="Times New Roman" w:hAnsi="Times New Roman" w:cs="Times New Roman"/>
                <w:sz w:val="22"/>
                <w:szCs w:val="22"/>
                <w:lang w:val="lt-LT"/>
              </w:rPr>
              <w:t>Ocena IRC</w:t>
            </w:r>
          </w:p>
        </w:tc>
      </w:tr>
      <w:tr w:rsidR="00432C22" w:rsidRPr="000B4913" w14:paraId="7FFC68AD" w14:textId="77777777" w:rsidTr="00F533B1">
        <w:tc>
          <w:tcPr>
            <w:tcW w:w="1549" w:type="pct"/>
            <w:vAlign w:val="center"/>
          </w:tcPr>
          <w:p w14:paraId="507BE73B" w14:textId="77777777" w:rsidR="00432C22" w:rsidRPr="000B4913" w:rsidRDefault="00432C22" w:rsidP="00DC39C8">
            <w:pPr>
              <w:rPr>
                <w:rFonts w:ascii="Times New Roman" w:hAnsi="Times New Roman" w:cs="Times New Roman"/>
                <w:sz w:val="22"/>
                <w:szCs w:val="22"/>
                <w:lang w:val="lt-LT"/>
              </w:rPr>
            </w:pPr>
          </w:p>
        </w:tc>
        <w:tc>
          <w:tcPr>
            <w:tcW w:w="916" w:type="pct"/>
            <w:vAlign w:val="center"/>
          </w:tcPr>
          <w:p w14:paraId="3C629228" w14:textId="77777777" w:rsidR="00426D5C" w:rsidRPr="000B4913" w:rsidRDefault="00426D5C" w:rsidP="00114020">
            <w:pPr>
              <w:pStyle w:val="Default"/>
              <w:jc w:val="center"/>
              <w:rPr>
                <w:sz w:val="22"/>
                <w:szCs w:val="22"/>
                <w:lang w:val="lt-LT"/>
              </w:rPr>
            </w:pPr>
            <w:r w:rsidRPr="000B4913">
              <w:rPr>
                <w:sz w:val="22"/>
                <w:szCs w:val="22"/>
                <w:lang w:val="lt-LT"/>
              </w:rPr>
              <w:t>Placebo + C/G</w:t>
            </w:r>
          </w:p>
          <w:p w14:paraId="2C8DEC90" w14:textId="77777777" w:rsidR="00432C22" w:rsidRPr="000B4913" w:rsidRDefault="00432C22" w:rsidP="00114020">
            <w:pPr>
              <w:pStyle w:val="Default"/>
              <w:jc w:val="center"/>
              <w:rPr>
                <w:sz w:val="22"/>
                <w:szCs w:val="22"/>
                <w:lang w:val="lt-LT"/>
              </w:rPr>
            </w:pPr>
            <w:r w:rsidRPr="000B4913">
              <w:rPr>
                <w:sz w:val="22"/>
                <w:szCs w:val="22"/>
                <w:lang w:val="lt-LT"/>
              </w:rPr>
              <w:t>(n = 242)</w:t>
            </w:r>
          </w:p>
        </w:tc>
        <w:tc>
          <w:tcPr>
            <w:tcW w:w="845" w:type="pct"/>
            <w:vAlign w:val="center"/>
          </w:tcPr>
          <w:p w14:paraId="5BB91698" w14:textId="77777777" w:rsidR="00432C22" w:rsidRPr="000B4913" w:rsidRDefault="001B1790" w:rsidP="00114020">
            <w:pPr>
              <w:pStyle w:val="Default"/>
              <w:jc w:val="center"/>
              <w:rPr>
                <w:sz w:val="22"/>
                <w:szCs w:val="22"/>
                <w:lang w:val="lt-LT"/>
              </w:rPr>
            </w:pPr>
            <w:r>
              <w:rPr>
                <w:rFonts w:eastAsia="Times New Roman"/>
                <w:sz w:val="22"/>
                <w:szCs w:val="22"/>
                <w:lang w:val="lt-LT"/>
              </w:rPr>
              <w:t>Bewacyzumab</w:t>
            </w:r>
            <w:r w:rsidR="00432C22" w:rsidRPr="000B4913">
              <w:rPr>
                <w:sz w:val="22"/>
                <w:szCs w:val="22"/>
                <w:lang w:val="lt-LT"/>
              </w:rPr>
              <w:t xml:space="preserve"> + C/G (n = 242)</w:t>
            </w:r>
          </w:p>
        </w:tc>
        <w:tc>
          <w:tcPr>
            <w:tcW w:w="774" w:type="pct"/>
            <w:vAlign w:val="center"/>
          </w:tcPr>
          <w:p w14:paraId="66A4AD98" w14:textId="77777777" w:rsidR="00426D5C" w:rsidRPr="000B4913" w:rsidRDefault="00426D5C" w:rsidP="00114020">
            <w:pPr>
              <w:pStyle w:val="Default"/>
              <w:jc w:val="center"/>
              <w:rPr>
                <w:sz w:val="22"/>
                <w:szCs w:val="22"/>
                <w:lang w:val="lt-LT"/>
              </w:rPr>
            </w:pPr>
            <w:r w:rsidRPr="000B4913">
              <w:rPr>
                <w:sz w:val="22"/>
                <w:szCs w:val="22"/>
                <w:lang w:val="lt-LT"/>
              </w:rPr>
              <w:t>Placebo + C/G</w:t>
            </w:r>
          </w:p>
          <w:p w14:paraId="56A47B08" w14:textId="77777777" w:rsidR="00432C22" w:rsidRPr="000B4913" w:rsidRDefault="00432C22" w:rsidP="00114020">
            <w:pPr>
              <w:pStyle w:val="Default"/>
              <w:jc w:val="center"/>
              <w:rPr>
                <w:sz w:val="22"/>
                <w:szCs w:val="22"/>
                <w:lang w:val="lt-LT"/>
              </w:rPr>
            </w:pPr>
            <w:r w:rsidRPr="000B4913">
              <w:rPr>
                <w:sz w:val="22"/>
                <w:szCs w:val="22"/>
                <w:lang w:val="lt-LT"/>
              </w:rPr>
              <w:t>(n = 242)</w:t>
            </w:r>
          </w:p>
        </w:tc>
        <w:tc>
          <w:tcPr>
            <w:tcW w:w="916" w:type="pct"/>
            <w:vAlign w:val="center"/>
          </w:tcPr>
          <w:p w14:paraId="7F10C170" w14:textId="77777777" w:rsidR="00426D5C" w:rsidRPr="000B4913" w:rsidRDefault="001B1790" w:rsidP="00114020">
            <w:pPr>
              <w:pStyle w:val="Default"/>
              <w:jc w:val="center"/>
              <w:rPr>
                <w:sz w:val="22"/>
                <w:szCs w:val="22"/>
                <w:lang w:val="lt-LT"/>
              </w:rPr>
            </w:pPr>
            <w:r>
              <w:rPr>
                <w:rFonts w:eastAsia="Times New Roman"/>
                <w:sz w:val="22"/>
                <w:szCs w:val="22"/>
                <w:lang w:val="lt-LT"/>
              </w:rPr>
              <w:t>Bewacyzumab</w:t>
            </w:r>
            <w:r w:rsidR="00426D5C" w:rsidRPr="000B4913">
              <w:rPr>
                <w:sz w:val="22"/>
                <w:szCs w:val="22"/>
                <w:lang w:val="lt-LT"/>
              </w:rPr>
              <w:t xml:space="preserve"> + C/G</w:t>
            </w:r>
          </w:p>
          <w:p w14:paraId="40D9D63B" w14:textId="77777777" w:rsidR="00432C22" w:rsidRPr="000B4913" w:rsidRDefault="00432C22" w:rsidP="00114020">
            <w:pPr>
              <w:pStyle w:val="Default"/>
              <w:jc w:val="center"/>
              <w:rPr>
                <w:sz w:val="22"/>
                <w:szCs w:val="22"/>
                <w:lang w:val="lt-LT"/>
              </w:rPr>
            </w:pPr>
            <w:r w:rsidRPr="000B4913">
              <w:rPr>
                <w:sz w:val="22"/>
                <w:szCs w:val="22"/>
                <w:lang w:val="lt-LT"/>
              </w:rPr>
              <w:t>(n = 242)</w:t>
            </w:r>
          </w:p>
        </w:tc>
      </w:tr>
      <w:tr w:rsidR="00432C22" w:rsidRPr="000B4913" w14:paraId="698645DD" w14:textId="77777777" w:rsidTr="00F533B1">
        <w:tc>
          <w:tcPr>
            <w:tcW w:w="1549" w:type="pct"/>
            <w:vAlign w:val="center"/>
          </w:tcPr>
          <w:p w14:paraId="1148AD7C" w14:textId="77777777" w:rsidR="00432C22" w:rsidRPr="000B4913" w:rsidRDefault="00432C22" w:rsidP="00DC39C8">
            <w:pPr>
              <w:pStyle w:val="Default"/>
              <w:rPr>
                <w:sz w:val="22"/>
                <w:szCs w:val="22"/>
                <w:lang w:val="lt-LT"/>
              </w:rPr>
            </w:pPr>
            <w:r w:rsidRPr="000B4913">
              <w:rPr>
                <w:iCs/>
                <w:sz w:val="22"/>
                <w:szCs w:val="22"/>
                <w:lang w:val="lt-LT"/>
              </w:rPr>
              <w:t xml:space="preserve">Bez cenzurowania dla NPT </w:t>
            </w:r>
          </w:p>
        </w:tc>
        <w:tc>
          <w:tcPr>
            <w:tcW w:w="3451" w:type="pct"/>
            <w:gridSpan w:val="4"/>
            <w:vAlign w:val="center"/>
          </w:tcPr>
          <w:p w14:paraId="2C34329C" w14:textId="77777777" w:rsidR="00432C22" w:rsidRPr="000B4913" w:rsidRDefault="00432C22" w:rsidP="00114020">
            <w:pPr>
              <w:jc w:val="center"/>
              <w:rPr>
                <w:rFonts w:ascii="Times New Roman" w:hAnsi="Times New Roman" w:cs="Times New Roman"/>
                <w:sz w:val="22"/>
                <w:szCs w:val="22"/>
                <w:lang w:val="lt-LT"/>
              </w:rPr>
            </w:pPr>
          </w:p>
        </w:tc>
      </w:tr>
      <w:tr w:rsidR="00432C22" w:rsidRPr="000B4913" w14:paraId="238549DE" w14:textId="77777777" w:rsidTr="00F533B1">
        <w:tc>
          <w:tcPr>
            <w:tcW w:w="1549" w:type="pct"/>
            <w:vAlign w:val="center"/>
          </w:tcPr>
          <w:p w14:paraId="5F331C28" w14:textId="77777777" w:rsidR="00432C22" w:rsidRPr="000B4913" w:rsidRDefault="00432C22" w:rsidP="00426D5C">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Mediana PFS (miesiące) </w:t>
            </w:r>
          </w:p>
        </w:tc>
        <w:tc>
          <w:tcPr>
            <w:tcW w:w="916" w:type="pct"/>
            <w:vAlign w:val="center"/>
          </w:tcPr>
          <w:p w14:paraId="46CC0173" w14:textId="77777777" w:rsidR="00432C22" w:rsidRPr="000B4913" w:rsidRDefault="00432C22" w:rsidP="00114020">
            <w:pPr>
              <w:pStyle w:val="Default"/>
              <w:jc w:val="center"/>
              <w:rPr>
                <w:sz w:val="22"/>
                <w:szCs w:val="22"/>
                <w:lang w:val="lt-LT"/>
              </w:rPr>
            </w:pPr>
            <w:r w:rsidRPr="000B4913">
              <w:rPr>
                <w:sz w:val="22"/>
                <w:szCs w:val="22"/>
                <w:lang w:val="lt-LT"/>
              </w:rPr>
              <w:t>8,4</w:t>
            </w:r>
          </w:p>
        </w:tc>
        <w:tc>
          <w:tcPr>
            <w:tcW w:w="845" w:type="pct"/>
            <w:vAlign w:val="center"/>
          </w:tcPr>
          <w:p w14:paraId="1B60673B" w14:textId="77777777" w:rsidR="00432C22" w:rsidRPr="000B4913" w:rsidRDefault="00432C22" w:rsidP="00114020">
            <w:pPr>
              <w:pStyle w:val="Default"/>
              <w:jc w:val="center"/>
              <w:rPr>
                <w:sz w:val="22"/>
                <w:szCs w:val="22"/>
                <w:lang w:val="lt-LT"/>
              </w:rPr>
            </w:pPr>
            <w:r w:rsidRPr="000B4913">
              <w:rPr>
                <w:sz w:val="22"/>
                <w:szCs w:val="22"/>
                <w:lang w:val="lt-LT"/>
              </w:rPr>
              <w:t>12,4</w:t>
            </w:r>
          </w:p>
        </w:tc>
        <w:tc>
          <w:tcPr>
            <w:tcW w:w="774" w:type="pct"/>
            <w:vAlign w:val="center"/>
          </w:tcPr>
          <w:p w14:paraId="5C64FCBA" w14:textId="77777777" w:rsidR="00432C22" w:rsidRPr="000B4913" w:rsidRDefault="00432C22" w:rsidP="00114020">
            <w:pPr>
              <w:pStyle w:val="Default"/>
              <w:jc w:val="center"/>
              <w:rPr>
                <w:sz w:val="22"/>
                <w:szCs w:val="22"/>
                <w:lang w:val="lt-LT"/>
              </w:rPr>
            </w:pPr>
            <w:r w:rsidRPr="000B4913">
              <w:rPr>
                <w:sz w:val="22"/>
                <w:szCs w:val="22"/>
                <w:lang w:val="lt-LT"/>
              </w:rPr>
              <w:t>8,6</w:t>
            </w:r>
          </w:p>
        </w:tc>
        <w:tc>
          <w:tcPr>
            <w:tcW w:w="916" w:type="pct"/>
            <w:vAlign w:val="center"/>
          </w:tcPr>
          <w:p w14:paraId="2940518D" w14:textId="77777777" w:rsidR="00432C22" w:rsidRPr="000B4913" w:rsidRDefault="00432C22" w:rsidP="00114020">
            <w:pPr>
              <w:pStyle w:val="Default"/>
              <w:jc w:val="center"/>
              <w:rPr>
                <w:sz w:val="22"/>
                <w:szCs w:val="22"/>
                <w:lang w:val="lt-LT"/>
              </w:rPr>
            </w:pPr>
            <w:r w:rsidRPr="000B4913">
              <w:rPr>
                <w:sz w:val="22"/>
                <w:szCs w:val="22"/>
                <w:lang w:val="lt-LT"/>
              </w:rPr>
              <w:t>12,3</w:t>
            </w:r>
          </w:p>
        </w:tc>
      </w:tr>
      <w:tr w:rsidR="00432C22" w:rsidRPr="000B4913" w14:paraId="67E9AA0E" w14:textId="77777777" w:rsidTr="00F533B1">
        <w:tc>
          <w:tcPr>
            <w:tcW w:w="1549" w:type="pct"/>
            <w:vAlign w:val="center"/>
          </w:tcPr>
          <w:p w14:paraId="4B6F939A" w14:textId="77777777" w:rsidR="00432C22" w:rsidRPr="000B4913" w:rsidRDefault="00432C22" w:rsidP="00CC27BF">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Współczynnik ryzyka (95% CI) </w:t>
            </w:r>
          </w:p>
        </w:tc>
        <w:tc>
          <w:tcPr>
            <w:tcW w:w="1761" w:type="pct"/>
            <w:gridSpan w:val="2"/>
            <w:vAlign w:val="center"/>
          </w:tcPr>
          <w:p w14:paraId="127E5F81" w14:textId="6C542E65" w:rsidR="00432C22" w:rsidRPr="000B4913" w:rsidRDefault="00432C22" w:rsidP="00114020">
            <w:pPr>
              <w:pStyle w:val="Default"/>
              <w:jc w:val="center"/>
              <w:rPr>
                <w:sz w:val="22"/>
                <w:szCs w:val="22"/>
                <w:lang w:val="lt-LT"/>
              </w:rPr>
            </w:pPr>
            <w:r w:rsidRPr="000B4913">
              <w:rPr>
                <w:sz w:val="22"/>
                <w:szCs w:val="22"/>
                <w:lang w:val="lt-LT"/>
              </w:rPr>
              <w:t>0,524 [0,425</w:t>
            </w:r>
            <w:r w:rsidR="00854D5D">
              <w:rPr>
                <w:sz w:val="22"/>
                <w:szCs w:val="22"/>
                <w:lang w:val="lt-LT"/>
              </w:rPr>
              <w:t>;</w:t>
            </w:r>
            <w:r w:rsidRPr="000B4913">
              <w:rPr>
                <w:sz w:val="22"/>
                <w:szCs w:val="22"/>
                <w:lang w:val="lt-LT"/>
              </w:rPr>
              <w:t xml:space="preserve"> 0,645]</w:t>
            </w:r>
          </w:p>
        </w:tc>
        <w:tc>
          <w:tcPr>
            <w:tcW w:w="1690" w:type="pct"/>
            <w:gridSpan w:val="2"/>
            <w:vAlign w:val="center"/>
          </w:tcPr>
          <w:p w14:paraId="15228233" w14:textId="7484D572" w:rsidR="00432C22" w:rsidRPr="000B4913" w:rsidRDefault="00432C22" w:rsidP="00114020">
            <w:pPr>
              <w:pStyle w:val="Default"/>
              <w:jc w:val="center"/>
              <w:rPr>
                <w:sz w:val="22"/>
                <w:szCs w:val="22"/>
                <w:lang w:val="lt-LT"/>
              </w:rPr>
            </w:pPr>
            <w:r w:rsidRPr="000B4913">
              <w:rPr>
                <w:sz w:val="22"/>
                <w:szCs w:val="22"/>
                <w:lang w:val="lt-LT"/>
              </w:rPr>
              <w:t>0,480 [0,377</w:t>
            </w:r>
            <w:r w:rsidR="00854D5D">
              <w:rPr>
                <w:sz w:val="22"/>
                <w:szCs w:val="22"/>
                <w:lang w:val="lt-LT"/>
              </w:rPr>
              <w:t>;</w:t>
            </w:r>
            <w:r w:rsidRPr="000B4913">
              <w:rPr>
                <w:sz w:val="22"/>
                <w:szCs w:val="22"/>
                <w:lang w:val="lt-LT"/>
              </w:rPr>
              <w:t xml:space="preserve"> 0,613]</w:t>
            </w:r>
          </w:p>
        </w:tc>
      </w:tr>
      <w:tr w:rsidR="00432C22" w:rsidRPr="000B4913" w14:paraId="1810F5F7" w14:textId="77777777" w:rsidTr="00F533B1">
        <w:tc>
          <w:tcPr>
            <w:tcW w:w="1549" w:type="pct"/>
            <w:vAlign w:val="center"/>
          </w:tcPr>
          <w:p w14:paraId="0A2DB886" w14:textId="77777777" w:rsidR="00432C22" w:rsidRPr="000B4913" w:rsidRDefault="00432C22" w:rsidP="00CC27BF">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wartość p </w:t>
            </w:r>
          </w:p>
        </w:tc>
        <w:tc>
          <w:tcPr>
            <w:tcW w:w="1761" w:type="pct"/>
            <w:gridSpan w:val="2"/>
            <w:vAlign w:val="center"/>
          </w:tcPr>
          <w:p w14:paraId="170CB391" w14:textId="77777777" w:rsidR="00432C22" w:rsidRPr="000B4913" w:rsidRDefault="00432C22" w:rsidP="00114020">
            <w:pPr>
              <w:pStyle w:val="Default"/>
              <w:jc w:val="center"/>
              <w:rPr>
                <w:sz w:val="22"/>
                <w:szCs w:val="22"/>
                <w:lang w:val="lt-LT"/>
              </w:rPr>
            </w:pPr>
            <w:r w:rsidRPr="000B4913">
              <w:rPr>
                <w:sz w:val="22"/>
                <w:szCs w:val="22"/>
                <w:lang w:val="lt-LT"/>
              </w:rPr>
              <w:t>&lt; 0,0001</w:t>
            </w:r>
          </w:p>
        </w:tc>
        <w:tc>
          <w:tcPr>
            <w:tcW w:w="1690" w:type="pct"/>
            <w:gridSpan w:val="2"/>
            <w:vAlign w:val="center"/>
          </w:tcPr>
          <w:p w14:paraId="5D516EB5" w14:textId="77777777" w:rsidR="00432C22" w:rsidRPr="000B4913" w:rsidRDefault="00432C22" w:rsidP="00114020">
            <w:pPr>
              <w:pStyle w:val="Default"/>
              <w:jc w:val="center"/>
              <w:rPr>
                <w:sz w:val="22"/>
                <w:szCs w:val="22"/>
                <w:lang w:val="lt-LT"/>
              </w:rPr>
            </w:pPr>
            <w:r w:rsidRPr="000B4913">
              <w:rPr>
                <w:sz w:val="22"/>
                <w:szCs w:val="22"/>
                <w:lang w:val="lt-LT"/>
              </w:rPr>
              <w:t>&lt; 0,0001</w:t>
            </w:r>
          </w:p>
        </w:tc>
      </w:tr>
      <w:tr w:rsidR="0014797F" w:rsidRPr="000B4913" w14:paraId="3C4F4ACE" w14:textId="77777777" w:rsidTr="00F533B1">
        <w:tc>
          <w:tcPr>
            <w:tcW w:w="1549" w:type="pct"/>
            <w:vAlign w:val="center"/>
          </w:tcPr>
          <w:p w14:paraId="5DB8C0E5" w14:textId="77777777" w:rsidR="0014797F" w:rsidRPr="000B4913" w:rsidRDefault="0014797F" w:rsidP="00DC39C8">
            <w:pPr>
              <w:pStyle w:val="Default"/>
              <w:rPr>
                <w:sz w:val="22"/>
                <w:szCs w:val="22"/>
                <w:lang w:val="lt-LT"/>
              </w:rPr>
            </w:pPr>
            <w:r w:rsidRPr="000B4913">
              <w:rPr>
                <w:sz w:val="22"/>
                <w:szCs w:val="22"/>
                <w:lang w:val="lt-LT"/>
              </w:rPr>
              <w:t>Z cenzurowaniem dla NPT</w:t>
            </w:r>
          </w:p>
        </w:tc>
        <w:tc>
          <w:tcPr>
            <w:tcW w:w="3451" w:type="pct"/>
            <w:gridSpan w:val="4"/>
            <w:vAlign w:val="center"/>
          </w:tcPr>
          <w:p w14:paraId="13CD0BED" w14:textId="77777777" w:rsidR="0014797F" w:rsidRPr="000B4913" w:rsidRDefault="0014797F" w:rsidP="00114020">
            <w:pPr>
              <w:pStyle w:val="Default"/>
              <w:jc w:val="center"/>
              <w:rPr>
                <w:sz w:val="22"/>
                <w:szCs w:val="22"/>
                <w:lang w:val="lt-LT"/>
              </w:rPr>
            </w:pPr>
          </w:p>
        </w:tc>
      </w:tr>
      <w:tr w:rsidR="0014797F" w:rsidRPr="000B4913" w14:paraId="3A28764E" w14:textId="77777777" w:rsidTr="00F533B1">
        <w:tc>
          <w:tcPr>
            <w:tcW w:w="1549" w:type="pct"/>
            <w:vAlign w:val="center"/>
          </w:tcPr>
          <w:p w14:paraId="48F59428" w14:textId="77777777" w:rsidR="0014797F" w:rsidRPr="000B4913" w:rsidRDefault="0014797F" w:rsidP="00CC27BF">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Mediana PFS (miesiące)</w:t>
            </w:r>
          </w:p>
        </w:tc>
        <w:tc>
          <w:tcPr>
            <w:tcW w:w="916" w:type="pct"/>
            <w:vAlign w:val="center"/>
          </w:tcPr>
          <w:p w14:paraId="10419BC6" w14:textId="77777777" w:rsidR="0014797F" w:rsidRPr="000B4913" w:rsidRDefault="0014797F" w:rsidP="00114020">
            <w:pPr>
              <w:pStyle w:val="Default"/>
              <w:jc w:val="center"/>
              <w:rPr>
                <w:sz w:val="22"/>
                <w:szCs w:val="22"/>
                <w:lang w:val="lt-LT"/>
              </w:rPr>
            </w:pPr>
            <w:r w:rsidRPr="000B4913">
              <w:rPr>
                <w:sz w:val="22"/>
                <w:szCs w:val="22"/>
                <w:lang w:val="lt-LT"/>
              </w:rPr>
              <w:t>8,4</w:t>
            </w:r>
          </w:p>
        </w:tc>
        <w:tc>
          <w:tcPr>
            <w:tcW w:w="845" w:type="pct"/>
            <w:vAlign w:val="center"/>
          </w:tcPr>
          <w:p w14:paraId="4001BB38" w14:textId="77777777" w:rsidR="0014797F" w:rsidRPr="000B4913" w:rsidRDefault="0014797F" w:rsidP="00114020">
            <w:pPr>
              <w:pStyle w:val="Default"/>
              <w:jc w:val="center"/>
              <w:rPr>
                <w:sz w:val="22"/>
                <w:szCs w:val="22"/>
                <w:lang w:val="lt-LT"/>
              </w:rPr>
            </w:pPr>
            <w:r w:rsidRPr="000B4913">
              <w:rPr>
                <w:sz w:val="22"/>
                <w:szCs w:val="22"/>
                <w:lang w:val="lt-LT"/>
              </w:rPr>
              <w:t>12,4</w:t>
            </w:r>
          </w:p>
        </w:tc>
        <w:tc>
          <w:tcPr>
            <w:tcW w:w="774" w:type="pct"/>
            <w:vAlign w:val="center"/>
          </w:tcPr>
          <w:p w14:paraId="1D782757" w14:textId="77777777" w:rsidR="0014797F" w:rsidRPr="000B4913" w:rsidRDefault="0014797F" w:rsidP="00114020">
            <w:pPr>
              <w:pStyle w:val="Default"/>
              <w:jc w:val="center"/>
              <w:rPr>
                <w:sz w:val="22"/>
                <w:szCs w:val="22"/>
                <w:lang w:val="lt-LT"/>
              </w:rPr>
            </w:pPr>
            <w:r w:rsidRPr="000B4913">
              <w:rPr>
                <w:sz w:val="22"/>
                <w:szCs w:val="22"/>
                <w:lang w:val="lt-LT"/>
              </w:rPr>
              <w:t>8,6</w:t>
            </w:r>
          </w:p>
        </w:tc>
        <w:tc>
          <w:tcPr>
            <w:tcW w:w="916" w:type="pct"/>
            <w:vAlign w:val="center"/>
          </w:tcPr>
          <w:p w14:paraId="2589FFD6" w14:textId="77777777" w:rsidR="0014797F" w:rsidRPr="000B4913" w:rsidRDefault="0014797F" w:rsidP="00114020">
            <w:pPr>
              <w:pStyle w:val="Default"/>
              <w:jc w:val="center"/>
              <w:rPr>
                <w:sz w:val="22"/>
                <w:szCs w:val="22"/>
                <w:lang w:val="lt-LT"/>
              </w:rPr>
            </w:pPr>
            <w:r w:rsidRPr="000B4913">
              <w:rPr>
                <w:sz w:val="22"/>
                <w:szCs w:val="22"/>
                <w:lang w:val="lt-LT"/>
              </w:rPr>
              <w:t>12,3</w:t>
            </w:r>
          </w:p>
        </w:tc>
      </w:tr>
      <w:tr w:rsidR="00E35AE5" w:rsidRPr="000B4913" w14:paraId="1E5E15CA" w14:textId="77777777" w:rsidTr="00F533B1">
        <w:tc>
          <w:tcPr>
            <w:tcW w:w="1549" w:type="pct"/>
            <w:vAlign w:val="center"/>
          </w:tcPr>
          <w:p w14:paraId="3D4F65B4" w14:textId="77777777" w:rsidR="00E35AE5" w:rsidRPr="000B4913" w:rsidRDefault="00343A90" w:rsidP="000B4913">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Współczynnik ryzyka</w:t>
            </w:r>
            <w:r w:rsidR="000B4913">
              <w:rPr>
                <w:rFonts w:ascii="Times New Roman" w:hAnsi="Times New Roman" w:cs="Times New Roman"/>
                <w:sz w:val="22"/>
                <w:szCs w:val="22"/>
                <w:lang w:val="lt-LT"/>
              </w:rPr>
              <w:t xml:space="preserve"> </w:t>
            </w:r>
            <w:r w:rsidRPr="000B4913">
              <w:rPr>
                <w:rFonts w:ascii="Times New Roman" w:hAnsi="Times New Roman" w:cs="Times New Roman"/>
                <w:sz w:val="22"/>
                <w:szCs w:val="22"/>
                <w:lang w:val="lt-LT"/>
              </w:rPr>
              <w:t>(95% CI)</w:t>
            </w:r>
          </w:p>
        </w:tc>
        <w:tc>
          <w:tcPr>
            <w:tcW w:w="1761" w:type="pct"/>
            <w:gridSpan w:val="2"/>
            <w:vAlign w:val="center"/>
          </w:tcPr>
          <w:p w14:paraId="29FD7C4A" w14:textId="26FD60E4" w:rsidR="00E35AE5" w:rsidRPr="000B4913" w:rsidRDefault="006535D9" w:rsidP="00114020">
            <w:pPr>
              <w:pStyle w:val="Default"/>
              <w:jc w:val="center"/>
              <w:rPr>
                <w:sz w:val="22"/>
                <w:szCs w:val="22"/>
                <w:lang w:val="lt-LT"/>
              </w:rPr>
            </w:pPr>
            <w:r w:rsidRPr="000B4913">
              <w:rPr>
                <w:sz w:val="22"/>
                <w:szCs w:val="22"/>
                <w:lang w:val="lt-LT"/>
              </w:rPr>
              <w:t>0,484 [0,388</w:t>
            </w:r>
            <w:r w:rsidR="00854D5D">
              <w:rPr>
                <w:sz w:val="22"/>
                <w:szCs w:val="22"/>
                <w:lang w:val="lt-LT"/>
              </w:rPr>
              <w:t>;</w:t>
            </w:r>
            <w:r w:rsidRPr="000B4913">
              <w:rPr>
                <w:sz w:val="22"/>
                <w:szCs w:val="22"/>
                <w:lang w:val="lt-LT"/>
              </w:rPr>
              <w:t xml:space="preserve"> 0,605]</w:t>
            </w:r>
          </w:p>
        </w:tc>
        <w:tc>
          <w:tcPr>
            <w:tcW w:w="1690" w:type="pct"/>
            <w:gridSpan w:val="2"/>
            <w:vAlign w:val="center"/>
          </w:tcPr>
          <w:p w14:paraId="7C95EAD0" w14:textId="617AC2A6" w:rsidR="00E35AE5" w:rsidRPr="000B4913" w:rsidRDefault="006535D9" w:rsidP="00114020">
            <w:pPr>
              <w:pStyle w:val="Default"/>
              <w:jc w:val="center"/>
              <w:rPr>
                <w:sz w:val="22"/>
                <w:szCs w:val="22"/>
                <w:lang w:val="lt-LT"/>
              </w:rPr>
            </w:pPr>
            <w:r w:rsidRPr="000B4913">
              <w:rPr>
                <w:sz w:val="22"/>
                <w:szCs w:val="22"/>
                <w:lang w:val="lt-LT"/>
              </w:rPr>
              <w:t>0,451 [0,351</w:t>
            </w:r>
            <w:r w:rsidR="00854D5D">
              <w:rPr>
                <w:sz w:val="22"/>
                <w:szCs w:val="22"/>
                <w:lang w:val="lt-LT"/>
              </w:rPr>
              <w:t>;</w:t>
            </w:r>
            <w:r w:rsidRPr="000B4913">
              <w:rPr>
                <w:sz w:val="22"/>
                <w:szCs w:val="22"/>
                <w:lang w:val="lt-LT"/>
              </w:rPr>
              <w:t xml:space="preserve"> 0,580]</w:t>
            </w:r>
          </w:p>
        </w:tc>
      </w:tr>
      <w:tr w:rsidR="00E35AE5" w:rsidRPr="000B4913" w14:paraId="0460A1D7" w14:textId="77777777" w:rsidTr="00F533B1">
        <w:tc>
          <w:tcPr>
            <w:tcW w:w="1549" w:type="pct"/>
            <w:vAlign w:val="center"/>
          </w:tcPr>
          <w:p w14:paraId="1A76B356" w14:textId="77777777" w:rsidR="00E35AE5" w:rsidRPr="000B4913" w:rsidRDefault="006535D9" w:rsidP="000B4913">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wartość p</w:t>
            </w:r>
          </w:p>
        </w:tc>
        <w:tc>
          <w:tcPr>
            <w:tcW w:w="1761" w:type="pct"/>
            <w:gridSpan w:val="2"/>
            <w:vAlign w:val="center"/>
          </w:tcPr>
          <w:p w14:paraId="56CAB29F" w14:textId="77777777" w:rsidR="00E35AE5" w:rsidRPr="000B4913" w:rsidRDefault="006535D9" w:rsidP="00114020">
            <w:pPr>
              <w:pStyle w:val="Default"/>
              <w:jc w:val="center"/>
              <w:rPr>
                <w:sz w:val="22"/>
                <w:szCs w:val="22"/>
                <w:lang w:val="lt-LT"/>
              </w:rPr>
            </w:pPr>
            <w:r w:rsidRPr="000B4913">
              <w:rPr>
                <w:sz w:val="22"/>
                <w:szCs w:val="22"/>
                <w:lang w:val="lt-LT"/>
              </w:rPr>
              <w:t>&lt; 0,0001</w:t>
            </w:r>
          </w:p>
        </w:tc>
        <w:tc>
          <w:tcPr>
            <w:tcW w:w="1690" w:type="pct"/>
            <w:gridSpan w:val="2"/>
            <w:vAlign w:val="center"/>
          </w:tcPr>
          <w:p w14:paraId="3933696F" w14:textId="77777777" w:rsidR="00E35AE5" w:rsidRPr="000B4913" w:rsidRDefault="006535D9" w:rsidP="00114020">
            <w:pPr>
              <w:pStyle w:val="Default"/>
              <w:jc w:val="center"/>
              <w:rPr>
                <w:sz w:val="22"/>
                <w:szCs w:val="22"/>
                <w:lang w:val="lt-LT"/>
              </w:rPr>
            </w:pPr>
            <w:r w:rsidRPr="000B4913">
              <w:rPr>
                <w:sz w:val="22"/>
                <w:szCs w:val="22"/>
                <w:lang w:val="lt-LT"/>
              </w:rPr>
              <w:t>&lt; 0,0001</w:t>
            </w:r>
          </w:p>
        </w:tc>
      </w:tr>
      <w:tr w:rsidR="00432C22" w:rsidRPr="00C70451" w14:paraId="0D7ED1DF" w14:textId="77777777" w:rsidTr="00F533B1">
        <w:tc>
          <w:tcPr>
            <w:tcW w:w="5000" w:type="pct"/>
            <w:gridSpan w:val="5"/>
            <w:vAlign w:val="center"/>
          </w:tcPr>
          <w:p w14:paraId="0A2D78C5" w14:textId="77777777" w:rsidR="00432C22" w:rsidRPr="000B4913" w:rsidRDefault="00432C22" w:rsidP="004C5D03">
            <w:pPr>
              <w:pStyle w:val="Default"/>
              <w:keepNext/>
              <w:rPr>
                <w:sz w:val="22"/>
                <w:szCs w:val="22"/>
                <w:lang w:val="lt-LT"/>
              </w:rPr>
            </w:pPr>
            <w:r w:rsidRPr="000B4913">
              <w:rPr>
                <w:sz w:val="22"/>
                <w:szCs w:val="22"/>
                <w:lang w:val="lt-LT"/>
              </w:rPr>
              <w:t>Odsetek obiektywnych odpowiedzi na leczenie</w:t>
            </w:r>
          </w:p>
        </w:tc>
      </w:tr>
      <w:tr w:rsidR="00432C22" w:rsidRPr="000B4913" w14:paraId="22C1A6D0" w14:textId="77777777" w:rsidTr="00F533B1">
        <w:tc>
          <w:tcPr>
            <w:tcW w:w="1549" w:type="pct"/>
            <w:vAlign w:val="center"/>
          </w:tcPr>
          <w:p w14:paraId="5546033F" w14:textId="77777777" w:rsidR="00432C22" w:rsidRPr="000B4913" w:rsidRDefault="00432C22" w:rsidP="004C5D03">
            <w:pPr>
              <w:keepNext/>
              <w:rPr>
                <w:rFonts w:ascii="Times New Roman" w:hAnsi="Times New Roman" w:cs="Times New Roman"/>
                <w:sz w:val="22"/>
                <w:szCs w:val="22"/>
                <w:lang w:val="lt-LT"/>
              </w:rPr>
            </w:pPr>
          </w:p>
        </w:tc>
        <w:tc>
          <w:tcPr>
            <w:tcW w:w="1761" w:type="pct"/>
            <w:gridSpan w:val="2"/>
            <w:vAlign w:val="center"/>
          </w:tcPr>
          <w:p w14:paraId="79F75A4E" w14:textId="77777777" w:rsidR="00432C22" w:rsidRPr="000B4913" w:rsidRDefault="00432C22" w:rsidP="004C5D03">
            <w:pPr>
              <w:pStyle w:val="Default"/>
              <w:keepNext/>
              <w:jc w:val="center"/>
              <w:rPr>
                <w:sz w:val="22"/>
                <w:szCs w:val="22"/>
                <w:lang w:val="lt-LT"/>
              </w:rPr>
            </w:pPr>
            <w:r w:rsidRPr="000B4913">
              <w:rPr>
                <w:sz w:val="22"/>
                <w:szCs w:val="22"/>
                <w:lang w:val="lt-LT"/>
              </w:rPr>
              <w:t>Ocena badacza</w:t>
            </w:r>
          </w:p>
        </w:tc>
        <w:tc>
          <w:tcPr>
            <w:tcW w:w="1690" w:type="pct"/>
            <w:gridSpan w:val="2"/>
            <w:vAlign w:val="center"/>
          </w:tcPr>
          <w:p w14:paraId="21505B0C" w14:textId="77777777" w:rsidR="00432C22" w:rsidRPr="000B4913" w:rsidRDefault="00432C22" w:rsidP="004C5D03">
            <w:pPr>
              <w:pStyle w:val="Default"/>
              <w:keepNext/>
              <w:jc w:val="center"/>
              <w:rPr>
                <w:sz w:val="22"/>
                <w:szCs w:val="22"/>
                <w:lang w:val="lt-LT"/>
              </w:rPr>
            </w:pPr>
            <w:r w:rsidRPr="000B4913">
              <w:rPr>
                <w:sz w:val="22"/>
                <w:szCs w:val="22"/>
                <w:lang w:val="lt-LT"/>
              </w:rPr>
              <w:t>Ocena IRC</w:t>
            </w:r>
          </w:p>
        </w:tc>
      </w:tr>
      <w:tr w:rsidR="00432C22" w:rsidRPr="000B4913" w14:paraId="501B7C85" w14:textId="77777777" w:rsidTr="00F533B1">
        <w:tc>
          <w:tcPr>
            <w:tcW w:w="1549" w:type="pct"/>
            <w:vAlign w:val="center"/>
          </w:tcPr>
          <w:p w14:paraId="7A295007" w14:textId="77777777" w:rsidR="00432C22" w:rsidRPr="000B4913" w:rsidRDefault="00432C22" w:rsidP="004C5D03">
            <w:pPr>
              <w:keepNext/>
              <w:rPr>
                <w:rFonts w:ascii="Times New Roman" w:hAnsi="Times New Roman" w:cs="Times New Roman"/>
                <w:sz w:val="22"/>
                <w:szCs w:val="22"/>
                <w:lang w:val="lt-LT"/>
              </w:rPr>
            </w:pPr>
          </w:p>
        </w:tc>
        <w:tc>
          <w:tcPr>
            <w:tcW w:w="916" w:type="pct"/>
            <w:vAlign w:val="center"/>
          </w:tcPr>
          <w:p w14:paraId="1DF00DE9" w14:textId="77777777" w:rsidR="00A8295B" w:rsidRDefault="00A8295B" w:rsidP="004C5D03">
            <w:pPr>
              <w:pStyle w:val="Default"/>
              <w:keepNext/>
              <w:jc w:val="center"/>
              <w:rPr>
                <w:sz w:val="22"/>
                <w:szCs w:val="22"/>
                <w:lang w:val="lt-LT"/>
              </w:rPr>
            </w:pPr>
            <w:r>
              <w:rPr>
                <w:sz w:val="22"/>
                <w:szCs w:val="22"/>
                <w:lang w:val="lt-LT"/>
              </w:rPr>
              <w:t>Placebo + C/G</w:t>
            </w:r>
          </w:p>
          <w:p w14:paraId="1D5276BE" w14:textId="77777777" w:rsidR="00432C22" w:rsidRPr="000B4913" w:rsidRDefault="00432C22" w:rsidP="004C5D03">
            <w:pPr>
              <w:pStyle w:val="Default"/>
              <w:keepNext/>
              <w:jc w:val="center"/>
              <w:rPr>
                <w:sz w:val="22"/>
                <w:szCs w:val="22"/>
                <w:lang w:val="lt-LT"/>
              </w:rPr>
            </w:pPr>
            <w:r w:rsidRPr="000B4913">
              <w:rPr>
                <w:sz w:val="22"/>
                <w:szCs w:val="22"/>
                <w:lang w:val="lt-LT"/>
              </w:rPr>
              <w:t>(n = 242)</w:t>
            </w:r>
          </w:p>
        </w:tc>
        <w:tc>
          <w:tcPr>
            <w:tcW w:w="845" w:type="pct"/>
            <w:vAlign w:val="center"/>
          </w:tcPr>
          <w:p w14:paraId="7FA21B5B" w14:textId="77777777" w:rsidR="00A8295B" w:rsidRDefault="001B1790" w:rsidP="004C5D03">
            <w:pPr>
              <w:pStyle w:val="Default"/>
              <w:keepNext/>
              <w:jc w:val="center"/>
              <w:rPr>
                <w:sz w:val="22"/>
                <w:szCs w:val="22"/>
                <w:lang w:val="lt-LT"/>
              </w:rPr>
            </w:pPr>
            <w:r>
              <w:rPr>
                <w:rFonts w:eastAsia="Times New Roman"/>
                <w:sz w:val="22"/>
                <w:szCs w:val="22"/>
                <w:lang w:val="lt-LT"/>
              </w:rPr>
              <w:t>Bewacyzumab</w:t>
            </w:r>
            <w:r w:rsidR="00A8295B">
              <w:rPr>
                <w:sz w:val="22"/>
                <w:szCs w:val="22"/>
                <w:lang w:val="lt-LT"/>
              </w:rPr>
              <w:t xml:space="preserve"> + C/G</w:t>
            </w:r>
          </w:p>
          <w:p w14:paraId="09006514" w14:textId="77777777" w:rsidR="00432C22" w:rsidRPr="000B4913" w:rsidRDefault="00432C22" w:rsidP="004C5D03">
            <w:pPr>
              <w:pStyle w:val="Default"/>
              <w:keepNext/>
              <w:jc w:val="center"/>
              <w:rPr>
                <w:sz w:val="22"/>
                <w:szCs w:val="22"/>
                <w:lang w:val="lt-LT"/>
              </w:rPr>
            </w:pPr>
            <w:r w:rsidRPr="000B4913">
              <w:rPr>
                <w:sz w:val="22"/>
                <w:szCs w:val="22"/>
                <w:lang w:val="lt-LT"/>
              </w:rPr>
              <w:t>(n = 242)</w:t>
            </w:r>
          </w:p>
        </w:tc>
        <w:tc>
          <w:tcPr>
            <w:tcW w:w="774" w:type="pct"/>
            <w:vAlign w:val="center"/>
          </w:tcPr>
          <w:p w14:paraId="6F325CD8" w14:textId="77777777" w:rsidR="00A8295B" w:rsidRDefault="00A8295B" w:rsidP="004C5D03">
            <w:pPr>
              <w:pStyle w:val="Default"/>
              <w:keepNext/>
              <w:jc w:val="center"/>
              <w:rPr>
                <w:sz w:val="22"/>
                <w:szCs w:val="22"/>
                <w:lang w:val="lt-LT"/>
              </w:rPr>
            </w:pPr>
            <w:r>
              <w:rPr>
                <w:sz w:val="22"/>
                <w:szCs w:val="22"/>
                <w:lang w:val="lt-LT"/>
              </w:rPr>
              <w:t>Placebo + C/G</w:t>
            </w:r>
          </w:p>
          <w:p w14:paraId="7A20CD97" w14:textId="77777777" w:rsidR="00432C22" w:rsidRPr="000B4913" w:rsidRDefault="00432C22" w:rsidP="004C5D03">
            <w:pPr>
              <w:pStyle w:val="Default"/>
              <w:keepNext/>
              <w:jc w:val="center"/>
              <w:rPr>
                <w:sz w:val="22"/>
                <w:szCs w:val="22"/>
                <w:lang w:val="lt-LT"/>
              </w:rPr>
            </w:pPr>
            <w:r w:rsidRPr="000B4913">
              <w:rPr>
                <w:sz w:val="22"/>
                <w:szCs w:val="22"/>
                <w:lang w:val="lt-LT"/>
              </w:rPr>
              <w:t>(n = 242)</w:t>
            </w:r>
          </w:p>
        </w:tc>
        <w:tc>
          <w:tcPr>
            <w:tcW w:w="916" w:type="pct"/>
            <w:vAlign w:val="center"/>
          </w:tcPr>
          <w:p w14:paraId="577C1543" w14:textId="77777777" w:rsidR="00A8295B" w:rsidRDefault="001B1790" w:rsidP="004C5D03">
            <w:pPr>
              <w:pStyle w:val="Default"/>
              <w:keepNext/>
              <w:jc w:val="center"/>
              <w:rPr>
                <w:sz w:val="22"/>
                <w:szCs w:val="22"/>
                <w:lang w:val="lt-LT"/>
              </w:rPr>
            </w:pPr>
            <w:r>
              <w:rPr>
                <w:rFonts w:eastAsia="Times New Roman"/>
                <w:sz w:val="22"/>
                <w:szCs w:val="22"/>
                <w:lang w:val="lt-LT"/>
              </w:rPr>
              <w:t>Bewacyzumab</w:t>
            </w:r>
            <w:r w:rsidR="00A8295B">
              <w:rPr>
                <w:sz w:val="22"/>
                <w:szCs w:val="22"/>
                <w:lang w:val="lt-LT"/>
              </w:rPr>
              <w:t xml:space="preserve"> + C/G</w:t>
            </w:r>
          </w:p>
          <w:p w14:paraId="4E488B79" w14:textId="77777777" w:rsidR="00432C22" w:rsidRPr="000B4913" w:rsidRDefault="00432C22" w:rsidP="004C5D03">
            <w:pPr>
              <w:pStyle w:val="Default"/>
              <w:keepNext/>
              <w:jc w:val="center"/>
              <w:rPr>
                <w:sz w:val="22"/>
                <w:szCs w:val="22"/>
                <w:lang w:val="lt-LT"/>
              </w:rPr>
            </w:pPr>
            <w:r w:rsidRPr="000B4913">
              <w:rPr>
                <w:sz w:val="22"/>
                <w:szCs w:val="22"/>
                <w:lang w:val="lt-LT"/>
              </w:rPr>
              <w:t>(n = 242)</w:t>
            </w:r>
          </w:p>
        </w:tc>
      </w:tr>
      <w:tr w:rsidR="00432C22" w:rsidRPr="000B4913" w14:paraId="3D26C976" w14:textId="77777777" w:rsidTr="00F533B1">
        <w:tc>
          <w:tcPr>
            <w:tcW w:w="1549" w:type="pct"/>
            <w:vAlign w:val="center"/>
          </w:tcPr>
          <w:p w14:paraId="4984D2CE" w14:textId="77777777" w:rsidR="00432C22" w:rsidRPr="000B4913" w:rsidRDefault="00432C22" w:rsidP="0012278E">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 pacjentów z obiektywną odpowiedzią na leczenie </w:t>
            </w:r>
          </w:p>
        </w:tc>
        <w:tc>
          <w:tcPr>
            <w:tcW w:w="916" w:type="pct"/>
            <w:vAlign w:val="center"/>
          </w:tcPr>
          <w:p w14:paraId="07981689" w14:textId="77777777" w:rsidR="00432C22" w:rsidRPr="000B4913" w:rsidRDefault="00432C22" w:rsidP="00114020">
            <w:pPr>
              <w:pStyle w:val="Default"/>
              <w:jc w:val="center"/>
              <w:rPr>
                <w:sz w:val="22"/>
                <w:szCs w:val="22"/>
                <w:lang w:val="lt-LT"/>
              </w:rPr>
            </w:pPr>
            <w:r w:rsidRPr="000B4913">
              <w:rPr>
                <w:sz w:val="22"/>
                <w:szCs w:val="22"/>
                <w:lang w:val="lt-LT"/>
              </w:rPr>
              <w:t>57,4%</w:t>
            </w:r>
          </w:p>
        </w:tc>
        <w:tc>
          <w:tcPr>
            <w:tcW w:w="845" w:type="pct"/>
            <w:vAlign w:val="center"/>
          </w:tcPr>
          <w:p w14:paraId="70A5363F" w14:textId="77777777" w:rsidR="00432C22" w:rsidRPr="000B4913" w:rsidRDefault="00432C22" w:rsidP="00114020">
            <w:pPr>
              <w:pStyle w:val="Default"/>
              <w:jc w:val="center"/>
              <w:rPr>
                <w:sz w:val="22"/>
                <w:szCs w:val="22"/>
                <w:lang w:val="lt-LT"/>
              </w:rPr>
            </w:pPr>
            <w:r w:rsidRPr="000B4913">
              <w:rPr>
                <w:sz w:val="22"/>
                <w:szCs w:val="22"/>
                <w:lang w:val="lt-LT"/>
              </w:rPr>
              <w:t>78,5%</w:t>
            </w:r>
          </w:p>
        </w:tc>
        <w:tc>
          <w:tcPr>
            <w:tcW w:w="774" w:type="pct"/>
            <w:vAlign w:val="center"/>
          </w:tcPr>
          <w:p w14:paraId="0D1EFCBC" w14:textId="77777777" w:rsidR="00432C22" w:rsidRPr="000B4913" w:rsidRDefault="00432C22" w:rsidP="00114020">
            <w:pPr>
              <w:pStyle w:val="Default"/>
              <w:jc w:val="center"/>
              <w:rPr>
                <w:sz w:val="22"/>
                <w:szCs w:val="22"/>
                <w:lang w:val="lt-LT"/>
              </w:rPr>
            </w:pPr>
            <w:r w:rsidRPr="000B4913">
              <w:rPr>
                <w:sz w:val="22"/>
                <w:szCs w:val="22"/>
                <w:lang w:val="lt-LT"/>
              </w:rPr>
              <w:t>53,7%</w:t>
            </w:r>
          </w:p>
        </w:tc>
        <w:tc>
          <w:tcPr>
            <w:tcW w:w="916" w:type="pct"/>
            <w:vAlign w:val="center"/>
          </w:tcPr>
          <w:p w14:paraId="78D276DC" w14:textId="77777777" w:rsidR="00432C22" w:rsidRPr="000B4913" w:rsidRDefault="00432C22" w:rsidP="00114020">
            <w:pPr>
              <w:pStyle w:val="Default"/>
              <w:jc w:val="center"/>
              <w:rPr>
                <w:sz w:val="22"/>
                <w:szCs w:val="22"/>
                <w:lang w:val="lt-LT"/>
              </w:rPr>
            </w:pPr>
            <w:r w:rsidRPr="000B4913">
              <w:rPr>
                <w:sz w:val="22"/>
                <w:szCs w:val="22"/>
                <w:lang w:val="lt-LT"/>
              </w:rPr>
              <w:t>74,8%</w:t>
            </w:r>
          </w:p>
        </w:tc>
      </w:tr>
      <w:tr w:rsidR="00432C22" w:rsidRPr="000B4913" w14:paraId="279A71DF" w14:textId="77777777" w:rsidTr="00F533B1">
        <w:tc>
          <w:tcPr>
            <w:tcW w:w="1549" w:type="pct"/>
            <w:vAlign w:val="center"/>
          </w:tcPr>
          <w:p w14:paraId="140B914E" w14:textId="77777777" w:rsidR="00432C22" w:rsidRPr="000B4913" w:rsidRDefault="00432C22" w:rsidP="0012278E">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wartość p </w:t>
            </w:r>
          </w:p>
        </w:tc>
        <w:tc>
          <w:tcPr>
            <w:tcW w:w="1761" w:type="pct"/>
            <w:gridSpan w:val="2"/>
            <w:vAlign w:val="center"/>
          </w:tcPr>
          <w:p w14:paraId="1AD22438" w14:textId="77777777" w:rsidR="00432C22" w:rsidRPr="000B4913" w:rsidRDefault="00432C22" w:rsidP="00114020">
            <w:pPr>
              <w:pStyle w:val="Default"/>
              <w:jc w:val="center"/>
              <w:rPr>
                <w:sz w:val="22"/>
                <w:szCs w:val="22"/>
                <w:lang w:val="lt-LT"/>
              </w:rPr>
            </w:pPr>
            <w:r w:rsidRPr="000B4913">
              <w:rPr>
                <w:sz w:val="22"/>
                <w:szCs w:val="22"/>
                <w:lang w:val="lt-LT"/>
              </w:rPr>
              <w:t>&lt; 0,0001</w:t>
            </w:r>
          </w:p>
        </w:tc>
        <w:tc>
          <w:tcPr>
            <w:tcW w:w="1690" w:type="pct"/>
            <w:gridSpan w:val="2"/>
            <w:vAlign w:val="center"/>
          </w:tcPr>
          <w:p w14:paraId="0AC44BBE" w14:textId="77777777" w:rsidR="00432C22" w:rsidRPr="000B4913" w:rsidRDefault="00432C22" w:rsidP="00114020">
            <w:pPr>
              <w:pStyle w:val="Default"/>
              <w:jc w:val="center"/>
              <w:rPr>
                <w:sz w:val="22"/>
                <w:szCs w:val="22"/>
                <w:lang w:val="lt-LT"/>
              </w:rPr>
            </w:pPr>
            <w:r w:rsidRPr="000B4913">
              <w:rPr>
                <w:sz w:val="22"/>
                <w:szCs w:val="22"/>
                <w:lang w:val="lt-LT"/>
              </w:rPr>
              <w:t>&lt; 0,0001</w:t>
            </w:r>
          </w:p>
        </w:tc>
      </w:tr>
      <w:tr w:rsidR="00432C22" w:rsidRPr="000B4913" w14:paraId="41519D15" w14:textId="77777777" w:rsidTr="00F533B1">
        <w:tc>
          <w:tcPr>
            <w:tcW w:w="5000" w:type="pct"/>
            <w:gridSpan w:val="5"/>
            <w:vAlign w:val="center"/>
          </w:tcPr>
          <w:p w14:paraId="6B0F342D" w14:textId="77777777" w:rsidR="00432C22" w:rsidRPr="000B4913" w:rsidRDefault="00432C22" w:rsidP="00F533B1">
            <w:pPr>
              <w:pStyle w:val="Default"/>
              <w:keepNext/>
              <w:keepLines/>
              <w:rPr>
                <w:sz w:val="22"/>
                <w:szCs w:val="22"/>
                <w:lang w:val="lt-LT"/>
              </w:rPr>
            </w:pPr>
            <w:r w:rsidRPr="000B4913">
              <w:rPr>
                <w:sz w:val="22"/>
                <w:szCs w:val="22"/>
                <w:lang w:val="lt-LT"/>
              </w:rPr>
              <w:lastRenderedPageBreak/>
              <w:t>Całkowity czas przeżycia</w:t>
            </w:r>
          </w:p>
        </w:tc>
      </w:tr>
      <w:tr w:rsidR="00432C22" w:rsidRPr="000B4913" w14:paraId="1CE03CDA" w14:textId="77777777" w:rsidTr="00F533B1">
        <w:tc>
          <w:tcPr>
            <w:tcW w:w="1549" w:type="pct"/>
            <w:vAlign w:val="center"/>
          </w:tcPr>
          <w:p w14:paraId="7303F67B" w14:textId="77777777" w:rsidR="00432C22" w:rsidRPr="000B4913" w:rsidRDefault="00432C22" w:rsidP="00F533B1">
            <w:pPr>
              <w:keepNext/>
              <w:keepLines/>
              <w:rPr>
                <w:rFonts w:ascii="Times New Roman" w:hAnsi="Times New Roman" w:cs="Times New Roman"/>
                <w:sz w:val="22"/>
                <w:szCs w:val="22"/>
                <w:lang w:val="lt-LT"/>
              </w:rPr>
            </w:pPr>
          </w:p>
        </w:tc>
        <w:tc>
          <w:tcPr>
            <w:tcW w:w="1761" w:type="pct"/>
            <w:gridSpan w:val="2"/>
            <w:vAlign w:val="center"/>
          </w:tcPr>
          <w:p w14:paraId="7A13D44D" w14:textId="77777777" w:rsidR="00432C22" w:rsidRPr="000B4913" w:rsidRDefault="00432C22" w:rsidP="00F533B1">
            <w:pPr>
              <w:pStyle w:val="Default"/>
              <w:keepNext/>
              <w:keepLines/>
              <w:jc w:val="center"/>
              <w:rPr>
                <w:sz w:val="22"/>
                <w:szCs w:val="22"/>
                <w:lang w:val="lt-LT"/>
              </w:rPr>
            </w:pPr>
            <w:r w:rsidRPr="000B4913">
              <w:rPr>
                <w:sz w:val="22"/>
                <w:szCs w:val="22"/>
                <w:lang w:val="lt-LT"/>
              </w:rPr>
              <w:t>Placebo+ C/G</w:t>
            </w:r>
          </w:p>
          <w:p w14:paraId="65C4857B" w14:textId="77777777" w:rsidR="00432C22" w:rsidRPr="000B4913" w:rsidRDefault="00432C22" w:rsidP="00F533B1">
            <w:pPr>
              <w:pStyle w:val="Default"/>
              <w:keepNext/>
              <w:keepLines/>
              <w:jc w:val="center"/>
              <w:rPr>
                <w:sz w:val="22"/>
                <w:szCs w:val="22"/>
                <w:lang w:val="lt-LT"/>
              </w:rPr>
            </w:pPr>
            <w:r w:rsidRPr="000B4913">
              <w:rPr>
                <w:sz w:val="22"/>
                <w:szCs w:val="22"/>
                <w:lang w:val="lt-LT"/>
              </w:rPr>
              <w:t>(n = 242)</w:t>
            </w:r>
          </w:p>
        </w:tc>
        <w:tc>
          <w:tcPr>
            <w:tcW w:w="1690" w:type="pct"/>
            <w:gridSpan w:val="2"/>
            <w:vAlign w:val="center"/>
          </w:tcPr>
          <w:p w14:paraId="3F41B519" w14:textId="77777777" w:rsidR="00432C22" w:rsidRPr="000B4913" w:rsidRDefault="001B1790" w:rsidP="00F533B1">
            <w:pPr>
              <w:pStyle w:val="Default"/>
              <w:keepNext/>
              <w:keepLines/>
              <w:jc w:val="center"/>
              <w:rPr>
                <w:sz w:val="22"/>
                <w:szCs w:val="22"/>
                <w:lang w:val="lt-LT"/>
              </w:rPr>
            </w:pPr>
            <w:r>
              <w:rPr>
                <w:rFonts w:eastAsia="Times New Roman"/>
                <w:sz w:val="22"/>
                <w:szCs w:val="22"/>
                <w:lang w:val="lt-LT"/>
              </w:rPr>
              <w:t>Bewacyzumab</w:t>
            </w:r>
            <w:r w:rsidR="00432C22" w:rsidRPr="000B4913">
              <w:rPr>
                <w:sz w:val="22"/>
                <w:szCs w:val="22"/>
                <w:lang w:val="lt-LT"/>
              </w:rPr>
              <w:t xml:space="preserve"> + C/G</w:t>
            </w:r>
          </w:p>
          <w:p w14:paraId="56CD4BC2" w14:textId="77777777" w:rsidR="00432C22" w:rsidRPr="000B4913" w:rsidRDefault="00432C22" w:rsidP="00F533B1">
            <w:pPr>
              <w:pStyle w:val="Default"/>
              <w:keepNext/>
              <w:keepLines/>
              <w:jc w:val="center"/>
              <w:rPr>
                <w:sz w:val="22"/>
                <w:szCs w:val="22"/>
                <w:lang w:val="lt-LT"/>
              </w:rPr>
            </w:pPr>
            <w:r w:rsidRPr="000B4913">
              <w:rPr>
                <w:sz w:val="22"/>
                <w:szCs w:val="22"/>
                <w:lang w:val="lt-LT"/>
              </w:rPr>
              <w:t>(n = 242)</w:t>
            </w:r>
          </w:p>
        </w:tc>
      </w:tr>
      <w:tr w:rsidR="00432C22" w:rsidRPr="000B4913" w14:paraId="1E6A1F2D" w14:textId="77777777" w:rsidTr="00F533B1">
        <w:tc>
          <w:tcPr>
            <w:tcW w:w="1549" w:type="pct"/>
            <w:vAlign w:val="center"/>
          </w:tcPr>
          <w:p w14:paraId="618B35D5" w14:textId="77777777" w:rsidR="00432C22" w:rsidRPr="000B4913" w:rsidRDefault="00432C22" w:rsidP="00F533B1">
            <w:pPr>
              <w:keepNext/>
              <w:keepLines/>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Mediana OS (miesiące) </w:t>
            </w:r>
          </w:p>
        </w:tc>
        <w:tc>
          <w:tcPr>
            <w:tcW w:w="1761" w:type="pct"/>
            <w:gridSpan w:val="2"/>
            <w:vAlign w:val="center"/>
          </w:tcPr>
          <w:p w14:paraId="349D26E3" w14:textId="77777777" w:rsidR="00432C22" w:rsidRPr="000B4913" w:rsidRDefault="00432C22" w:rsidP="00F533B1">
            <w:pPr>
              <w:pStyle w:val="Default"/>
              <w:keepNext/>
              <w:keepLines/>
              <w:jc w:val="center"/>
              <w:rPr>
                <w:sz w:val="22"/>
                <w:szCs w:val="22"/>
                <w:lang w:val="lt-LT"/>
              </w:rPr>
            </w:pPr>
            <w:r w:rsidRPr="000B4913">
              <w:rPr>
                <w:sz w:val="22"/>
                <w:szCs w:val="22"/>
                <w:lang w:val="lt-LT"/>
              </w:rPr>
              <w:t>32,9</w:t>
            </w:r>
          </w:p>
        </w:tc>
        <w:tc>
          <w:tcPr>
            <w:tcW w:w="1690" w:type="pct"/>
            <w:gridSpan w:val="2"/>
            <w:vAlign w:val="center"/>
          </w:tcPr>
          <w:p w14:paraId="0BE9ABA2" w14:textId="77777777" w:rsidR="00432C22" w:rsidRPr="000B4913" w:rsidRDefault="00432C22" w:rsidP="00F533B1">
            <w:pPr>
              <w:pStyle w:val="Default"/>
              <w:keepNext/>
              <w:keepLines/>
              <w:jc w:val="center"/>
              <w:rPr>
                <w:sz w:val="22"/>
                <w:szCs w:val="22"/>
                <w:lang w:val="lt-LT"/>
              </w:rPr>
            </w:pPr>
            <w:r w:rsidRPr="000B4913">
              <w:rPr>
                <w:sz w:val="22"/>
                <w:szCs w:val="22"/>
                <w:lang w:val="lt-LT"/>
              </w:rPr>
              <w:t>33,6</w:t>
            </w:r>
          </w:p>
        </w:tc>
      </w:tr>
      <w:tr w:rsidR="00432C22" w:rsidRPr="000B4913" w14:paraId="2385CA0F" w14:textId="77777777" w:rsidTr="00F533B1">
        <w:tc>
          <w:tcPr>
            <w:tcW w:w="1549" w:type="pct"/>
            <w:vAlign w:val="center"/>
          </w:tcPr>
          <w:p w14:paraId="683AB319" w14:textId="77777777" w:rsidR="00432C22" w:rsidRPr="000B4913" w:rsidRDefault="00432C22" w:rsidP="00F533B1">
            <w:pPr>
              <w:keepNext/>
              <w:keepLines/>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Współczynnik ryzyka (95% CI) </w:t>
            </w:r>
          </w:p>
        </w:tc>
        <w:tc>
          <w:tcPr>
            <w:tcW w:w="3451" w:type="pct"/>
            <w:gridSpan w:val="4"/>
            <w:vAlign w:val="center"/>
          </w:tcPr>
          <w:p w14:paraId="2EF5B74D" w14:textId="3D8A4082" w:rsidR="00432C22" w:rsidRPr="000B4913" w:rsidRDefault="00432C22" w:rsidP="00F533B1">
            <w:pPr>
              <w:pStyle w:val="Default"/>
              <w:keepNext/>
              <w:keepLines/>
              <w:jc w:val="center"/>
              <w:rPr>
                <w:sz w:val="22"/>
                <w:szCs w:val="22"/>
                <w:lang w:val="lt-LT"/>
              </w:rPr>
            </w:pPr>
            <w:r w:rsidRPr="000B4913">
              <w:rPr>
                <w:sz w:val="22"/>
                <w:szCs w:val="22"/>
                <w:lang w:val="lt-LT"/>
              </w:rPr>
              <w:t>0,952 [0,771</w:t>
            </w:r>
            <w:r w:rsidR="00854D5D">
              <w:rPr>
                <w:sz w:val="22"/>
                <w:szCs w:val="22"/>
                <w:lang w:val="lt-LT"/>
              </w:rPr>
              <w:t>;</w:t>
            </w:r>
            <w:r w:rsidRPr="000B4913">
              <w:rPr>
                <w:sz w:val="22"/>
                <w:szCs w:val="22"/>
                <w:lang w:val="lt-LT"/>
              </w:rPr>
              <w:t xml:space="preserve"> 1,176]</w:t>
            </w:r>
          </w:p>
        </w:tc>
      </w:tr>
      <w:tr w:rsidR="00432C22" w:rsidRPr="000B4913" w14:paraId="71BA4D7E" w14:textId="77777777" w:rsidTr="00F533B1">
        <w:tc>
          <w:tcPr>
            <w:tcW w:w="1549" w:type="pct"/>
            <w:vAlign w:val="center"/>
          </w:tcPr>
          <w:p w14:paraId="5EA5670E" w14:textId="77777777" w:rsidR="00432C22" w:rsidRPr="000B4913" w:rsidRDefault="00432C22" w:rsidP="0012278E">
            <w:pPr>
              <w:tabs>
                <w:tab w:val="left" w:pos="567"/>
              </w:tabs>
              <w:ind w:left="284"/>
              <w:rPr>
                <w:rFonts w:ascii="Times New Roman" w:hAnsi="Times New Roman" w:cs="Times New Roman"/>
                <w:sz w:val="22"/>
                <w:szCs w:val="22"/>
                <w:lang w:val="lt-LT"/>
              </w:rPr>
            </w:pPr>
            <w:r w:rsidRPr="000B4913">
              <w:rPr>
                <w:rFonts w:ascii="Times New Roman" w:hAnsi="Times New Roman" w:cs="Times New Roman"/>
                <w:sz w:val="22"/>
                <w:szCs w:val="22"/>
                <w:lang w:val="lt-LT"/>
              </w:rPr>
              <w:t xml:space="preserve">wartość p </w:t>
            </w:r>
          </w:p>
        </w:tc>
        <w:tc>
          <w:tcPr>
            <w:tcW w:w="3451" w:type="pct"/>
            <w:gridSpan w:val="4"/>
            <w:vAlign w:val="center"/>
          </w:tcPr>
          <w:p w14:paraId="0A6F7A7A" w14:textId="77777777" w:rsidR="00432C22" w:rsidRPr="000B4913" w:rsidRDefault="00432C22" w:rsidP="00114020">
            <w:pPr>
              <w:pStyle w:val="Default"/>
              <w:jc w:val="center"/>
              <w:rPr>
                <w:sz w:val="22"/>
                <w:szCs w:val="22"/>
                <w:lang w:val="lt-LT"/>
              </w:rPr>
            </w:pPr>
            <w:r w:rsidRPr="000B4913">
              <w:rPr>
                <w:sz w:val="22"/>
                <w:szCs w:val="22"/>
                <w:lang w:val="lt-LT"/>
              </w:rPr>
              <w:t>0,6479</w:t>
            </w:r>
          </w:p>
        </w:tc>
      </w:tr>
    </w:tbl>
    <w:p w14:paraId="133BDD4D" w14:textId="77777777" w:rsidR="00432C22" w:rsidRPr="00741122" w:rsidRDefault="00432C22" w:rsidP="002C296D">
      <w:pPr>
        <w:rPr>
          <w:rFonts w:ascii="Times New Roman" w:eastAsia="Times New Roman" w:hAnsi="Times New Roman"/>
          <w:sz w:val="22"/>
          <w:lang w:val="lt-LT"/>
        </w:rPr>
      </w:pPr>
    </w:p>
    <w:p w14:paraId="7AA596A1" w14:textId="45206188" w:rsidR="00071CFE" w:rsidRPr="00741122" w:rsidRDefault="00071CFE" w:rsidP="002C296D">
      <w:pPr>
        <w:rPr>
          <w:rFonts w:ascii="Times New Roman" w:eastAsia="Times New Roman" w:hAnsi="Times New Roman"/>
          <w:sz w:val="22"/>
          <w:lang w:val="lt-LT"/>
        </w:rPr>
      </w:pPr>
      <w:r w:rsidRPr="00741122">
        <w:rPr>
          <w:rFonts w:ascii="Times New Roman" w:eastAsia="Times New Roman" w:hAnsi="Times New Roman"/>
          <w:sz w:val="22"/>
          <w:lang w:val="lt-LT"/>
        </w:rPr>
        <w:t xml:space="preserve">Analizę PFS w podgrupach w zależności od czasu pomiędzy zakończeniem leczenia z zastosowaniem związków platyny a nawrotem choroby przedstawia Tabela </w:t>
      </w:r>
      <w:r w:rsidR="00C33782">
        <w:rPr>
          <w:rFonts w:ascii="Times New Roman" w:eastAsia="Times New Roman" w:hAnsi="Times New Roman"/>
          <w:sz w:val="22"/>
          <w:lang w:val="lt-LT"/>
        </w:rPr>
        <w:t>21</w:t>
      </w:r>
      <w:r w:rsidRPr="00741122">
        <w:rPr>
          <w:rFonts w:ascii="Times New Roman" w:eastAsia="Times New Roman" w:hAnsi="Times New Roman"/>
          <w:sz w:val="22"/>
          <w:lang w:val="lt-LT"/>
        </w:rPr>
        <w:t>.</w:t>
      </w:r>
    </w:p>
    <w:p w14:paraId="3D909F84" w14:textId="77777777" w:rsidR="00071CFE" w:rsidRPr="002C296D" w:rsidRDefault="00071CFE" w:rsidP="002C296D">
      <w:pPr>
        <w:rPr>
          <w:rFonts w:ascii="Times New Roman" w:eastAsia="Times New Roman" w:hAnsi="Times New Roman"/>
          <w:sz w:val="22"/>
          <w:lang w:val="lt-LT"/>
        </w:rPr>
      </w:pPr>
    </w:p>
    <w:p w14:paraId="70445CB3" w14:textId="064A886F" w:rsidR="00071CFE" w:rsidRPr="00741122" w:rsidRDefault="00011D64" w:rsidP="002C296D">
      <w:pPr>
        <w:rPr>
          <w:rFonts w:ascii="Times New Roman" w:eastAsia="Times New Roman" w:hAnsi="Times New Roman"/>
          <w:b/>
          <w:sz w:val="22"/>
          <w:lang w:val="lt-LT"/>
        </w:rPr>
      </w:pPr>
      <w:r w:rsidRPr="00741122">
        <w:rPr>
          <w:rFonts w:ascii="Times New Roman" w:eastAsia="Times New Roman" w:hAnsi="Times New Roman"/>
          <w:b/>
          <w:sz w:val="22"/>
          <w:lang w:val="lt-LT"/>
        </w:rPr>
        <w:t xml:space="preserve">Tabela </w:t>
      </w:r>
      <w:r w:rsidR="00C33782">
        <w:rPr>
          <w:rFonts w:ascii="Times New Roman" w:eastAsia="Times New Roman" w:hAnsi="Times New Roman"/>
          <w:b/>
          <w:sz w:val="22"/>
          <w:lang w:val="lt-LT"/>
        </w:rPr>
        <w:t>21</w:t>
      </w:r>
      <w:r w:rsidR="0005252E">
        <w:rPr>
          <w:rFonts w:ascii="Times New Roman" w:eastAsia="Times New Roman" w:hAnsi="Times New Roman"/>
          <w:b/>
          <w:sz w:val="22"/>
          <w:lang w:val="lt-LT"/>
        </w:rPr>
        <w:t>.</w:t>
      </w:r>
      <w:r w:rsidR="00B77F89" w:rsidRPr="00741122">
        <w:rPr>
          <w:rFonts w:ascii="Times New Roman" w:eastAsia="Times New Roman" w:hAnsi="Times New Roman"/>
          <w:b/>
          <w:sz w:val="22"/>
          <w:lang w:val="lt-LT"/>
        </w:rPr>
        <w:t xml:space="preserve"> </w:t>
      </w:r>
      <w:r w:rsidR="00071CFE" w:rsidRPr="00741122">
        <w:rPr>
          <w:rFonts w:ascii="Times New Roman" w:eastAsia="Times New Roman" w:hAnsi="Times New Roman"/>
          <w:b/>
          <w:sz w:val="22"/>
          <w:lang w:val="lt-LT"/>
        </w:rPr>
        <w:t>Czas przeżycia wolnego od progresji choroby w zależności od czasu pomiędzy zakończeniem leczenia z zastosowaniem związków platyny a nawrotem choroby</w:t>
      </w:r>
    </w:p>
    <w:p w14:paraId="09A51F64" w14:textId="77777777" w:rsidR="00071CFE" w:rsidRPr="002C296D" w:rsidRDefault="00071CFE" w:rsidP="002C296D">
      <w:pPr>
        <w:rPr>
          <w:rFonts w:ascii="Times New Roman" w:eastAsia="Times New Roman" w:hAnsi="Times New Roman"/>
          <w:sz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61"/>
        <w:gridCol w:w="3297"/>
        <w:gridCol w:w="2904"/>
      </w:tblGrid>
      <w:tr w:rsidR="00B77F89" w:rsidRPr="00741122" w14:paraId="644A3D5B" w14:textId="77777777" w:rsidTr="00F533B1">
        <w:trPr>
          <w:trHeight w:val="262"/>
        </w:trPr>
        <w:tc>
          <w:tcPr>
            <w:tcW w:w="1688" w:type="pct"/>
            <w:vAlign w:val="bottom"/>
          </w:tcPr>
          <w:p w14:paraId="1EB1E339" w14:textId="77777777" w:rsidR="00B77F89" w:rsidRPr="00741122" w:rsidRDefault="00B77F89" w:rsidP="00D97011">
            <w:pPr>
              <w:rPr>
                <w:rFonts w:ascii="Times New Roman" w:eastAsia="Times New Roman" w:hAnsi="Times New Roman" w:cs="Times New Roman"/>
                <w:sz w:val="22"/>
                <w:szCs w:val="22"/>
                <w:lang w:val="lt-LT"/>
              </w:rPr>
            </w:pPr>
          </w:p>
        </w:tc>
        <w:tc>
          <w:tcPr>
            <w:tcW w:w="3312" w:type="pct"/>
            <w:gridSpan w:val="2"/>
            <w:vAlign w:val="center"/>
          </w:tcPr>
          <w:p w14:paraId="2966B569" w14:textId="77777777" w:rsidR="00B77F89" w:rsidRPr="00C575DA" w:rsidRDefault="00B77F89" w:rsidP="00D97011">
            <w:pPr>
              <w:ind w:left="180"/>
              <w:jc w:val="center"/>
              <w:rPr>
                <w:rFonts w:ascii="Times New Roman" w:eastAsia="Times New Roman" w:hAnsi="Times New Roman" w:cs="Times New Roman"/>
                <w:b/>
                <w:sz w:val="22"/>
                <w:szCs w:val="22"/>
                <w:lang w:val="lt-LT"/>
              </w:rPr>
            </w:pPr>
            <w:r w:rsidRPr="00C575DA">
              <w:rPr>
                <w:rFonts w:ascii="Times New Roman" w:eastAsia="Times New Roman" w:hAnsi="Times New Roman" w:cs="Times New Roman"/>
                <w:b/>
                <w:sz w:val="22"/>
                <w:szCs w:val="22"/>
                <w:lang w:val="lt-LT"/>
              </w:rPr>
              <w:t>Ocena badacza</w:t>
            </w:r>
          </w:p>
        </w:tc>
      </w:tr>
      <w:tr w:rsidR="00B77F89" w:rsidRPr="00741122" w14:paraId="4D8545AF" w14:textId="77777777" w:rsidTr="00F533B1">
        <w:trPr>
          <w:trHeight w:val="818"/>
        </w:trPr>
        <w:tc>
          <w:tcPr>
            <w:tcW w:w="1688" w:type="pct"/>
            <w:vAlign w:val="center"/>
          </w:tcPr>
          <w:p w14:paraId="0F20BF74" w14:textId="77777777" w:rsidR="00B77F89" w:rsidRPr="00C575DA" w:rsidRDefault="00B77F89" w:rsidP="00F76038">
            <w:pPr>
              <w:ind w:left="57"/>
              <w:rPr>
                <w:rFonts w:ascii="Times New Roman" w:eastAsia="Times New Roman" w:hAnsi="Times New Roman" w:cs="Times New Roman"/>
                <w:b/>
                <w:sz w:val="22"/>
                <w:szCs w:val="22"/>
                <w:lang w:val="lt-LT"/>
              </w:rPr>
            </w:pPr>
            <w:r w:rsidRPr="00C575DA">
              <w:rPr>
                <w:rFonts w:ascii="Times New Roman" w:eastAsia="Times New Roman" w:hAnsi="Times New Roman" w:cs="Times New Roman"/>
                <w:b/>
                <w:sz w:val="22"/>
                <w:szCs w:val="22"/>
                <w:lang w:val="lt-LT"/>
              </w:rPr>
              <w:t>Czas pomiędzy zakończeniem</w:t>
            </w:r>
            <w:r w:rsidR="00B0110B" w:rsidRPr="00C575DA">
              <w:rPr>
                <w:rFonts w:ascii="Times New Roman" w:eastAsia="Times New Roman" w:hAnsi="Times New Roman" w:cs="Times New Roman"/>
                <w:b/>
                <w:sz w:val="22"/>
                <w:szCs w:val="22"/>
                <w:lang w:val="lt-LT"/>
              </w:rPr>
              <w:t xml:space="preserve"> </w:t>
            </w:r>
            <w:r w:rsidRPr="00C575DA">
              <w:rPr>
                <w:rFonts w:ascii="Times New Roman" w:eastAsia="Times New Roman" w:hAnsi="Times New Roman" w:cs="Times New Roman"/>
                <w:b/>
                <w:sz w:val="22"/>
                <w:szCs w:val="22"/>
                <w:lang w:val="lt-LT"/>
              </w:rPr>
              <w:t>leczenia z zastosowaniem</w:t>
            </w:r>
            <w:r w:rsidR="00B0110B" w:rsidRPr="00C575DA">
              <w:rPr>
                <w:rFonts w:ascii="Times New Roman" w:eastAsia="Times New Roman" w:hAnsi="Times New Roman" w:cs="Times New Roman"/>
                <w:b/>
                <w:sz w:val="22"/>
                <w:szCs w:val="22"/>
                <w:lang w:val="lt-LT"/>
              </w:rPr>
              <w:t xml:space="preserve"> </w:t>
            </w:r>
            <w:r w:rsidRPr="00C575DA">
              <w:rPr>
                <w:rFonts w:ascii="Times New Roman" w:eastAsia="Times New Roman" w:hAnsi="Times New Roman" w:cs="Times New Roman"/>
                <w:b/>
                <w:sz w:val="22"/>
                <w:szCs w:val="22"/>
                <w:lang w:val="lt-LT"/>
              </w:rPr>
              <w:t>związków platyny a nawrotem</w:t>
            </w:r>
            <w:r w:rsidR="00B0110B" w:rsidRPr="00C575DA">
              <w:rPr>
                <w:rFonts w:ascii="Times New Roman" w:eastAsia="Times New Roman" w:hAnsi="Times New Roman" w:cs="Times New Roman"/>
                <w:b/>
                <w:sz w:val="22"/>
                <w:szCs w:val="22"/>
                <w:lang w:val="lt-LT"/>
              </w:rPr>
              <w:t xml:space="preserve"> </w:t>
            </w:r>
            <w:r w:rsidRPr="00C575DA">
              <w:rPr>
                <w:rFonts w:ascii="Times New Roman" w:eastAsia="Times New Roman" w:hAnsi="Times New Roman" w:cs="Times New Roman"/>
                <w:b/>
                <w:sz w:val="22"/>
                <w:szCs w:val="22"/>
                <w:lang w:val="lt-LT"/>
              </w:rPr>
              <w:t>choroby</w:t>
            </w:r>
          </w:p>
        </w:tc>
        <w:tc>
          <w:tcPr>
            <w:tcW w:w="1761" w:type="pct"/>
            <w:vAlign w:val="center"/>
          </w:tcPr>
          <w:p w14:paraId="765D6E20" w14:textId="77777777" w:rsidR="00B77F89" w:rsidRPr="00C575DA" w:rsidRDefault="00B77F89" w:rsidP="00F76038">
            <w:pPr>
              <w:jc w:val="center"/>
              <w:rPr>
                <w:rFonts w:ascii="Times New Roman" w:eastAsia="Times New Roman" w:hAnsi="Times New Roman" w:cs="Times New Roman"/>
                <w:b/>
                <w:sz w:val="22"/>
                <w:szCs w:val="22"/>
                <w:lang w:val="lt-LT"/>
              </w:rPr>
            </w:pPr>
            <w:r w:rsidRPr="00C575DA">
              <w:rPr>
                <w:rFonts w:ascii="Times New Roman" w:eastAsia="Times New Roman" w:hAnsi="Times New Roman" w:cs="Times New Roman"/>
                <w:b/>
                <w:sz w:val="22"/>
                <w:szCs w:val="22"/>
                <w:lang w:val="lt-LT"/>
              </w:rPr>
              <w:t>Placebo + C/G</w:t>
            </w:r>
          </w:p>
          <w:p w14:paraId="7956A92C" w14:textId="77777777" w:rsidR="00B77F89" w:rsidRPr="00C575DA" w:rsidRDefault="00B77F89" w:rsidP="00F76038">
            <w:pPr>
              <w:jc w:val="center"/>
              <w:rPr>
                <w:rFonts w:ascii="Times New Roman" w:eastAsia="Times New Roman" w:hAnsi="Times New Roman" w:cs="Times New Roman"/>
                <w:b/>
                <w:sz w:val="22"/>
                <w:szCs w:val="22"/>
                <w:lang w:val="lt-LT"/>
              </w:rPr>
            </w:pPr>
            <w:r w:rsidRPr="00C575DA">
              <w:rPr>
                <w:rFonts w:ascii="Times New Roman" w:eastAsia="Times New Roman" w:hAnsi="Times New Roman" w:cs="Times New Roman"/>
                <w:b/>
                <w:sz w:val="22"/>
                <w:szCs w:val="22"/>
                <w:lang w:val="lt-LT"/>
              </w:rPr>
              <w:t>(n = 242)</w:t>
            </w:r>
          </w:p>
        </w:tc>
        <w:tc>
          <w:tcPr>
            <w:tcW w:w="1550" w:type="pct"/>
            <w:vAlign w:val="center"/>
          </w:tcPr>
          <w:p w14:paraId="0CA4FE64" w14:textId="77777777" w:rsidR="00B77F89" w:rsidRPr="00C575DA" w:rsidRDefault="001B1790" w:rsidP="00F76038">
            <w:pPr>
              <w:jc w:val="center"/>
              <w:rPr>
                <w:rFonts w:ascii="Times New Roman" w:eastAsia="Times New Roman" w:hAnsi="Times New Roman" w:cs="Times New Roman"/>
                <w:b/>
                <w:sz w:val="22"/>
                <w:szCs w:val="22"/>
                <w:lang w:val="lt-LT"/>
              </w:rPr>
            </w:pPr>
            <w:r w:rsidRPr="00C575DA">
              <w:rPr>
                <w:rFonts w:ascii="Times New Roman" w:eastAsia="Times New Roman" w:hAnsi="Times New Roman" w:cs="Times New Roman"/>
                <w:b/>
                <w:sz w:val="22"/>
                <w:szCs w:val="22"/>
                <w:lang w:val="lt-LT"/>
              </w:rPr>
              <w:t>Bewacyzumab</w:t>
            </w:r>
            <w:r w:rsidR="00B77F89" w:rsidRPr="00C575DA">
              <w:rPr>
                <w:rFonts w:ascii="Times New Roman" w:eastAsia="Times New Roman" w:hAnsi="Times New Roman" w:cs="Times New Roman"/>
                <w:b/>
                <w:sz w:val="22"/>
                <w:szCs w:val="22"/>
                <w:lang w:val="lt-LT"/>
              </w:rPr>
              <w:t xml:space="preserve"> + C/G</w:t>
            </w:r>
          </w:p>
          <w:p w14:paraId="30BFEA1E" w14:textId="77777777" w:rsidR="00B77F89" w:rsidRPr="00C575DA" w:rsidRDefault="00B77F89" w:rsidP="00F76038">
            <w:pPr>
              <w:jc w:val="center"/>
              <w:rPr>
                <w:rFonts w:ascii="Times New Roman" w:eastAsia="Times New Roman" w:hAnsi="Times New Roman" w:cs="Times New Roman"/>
                <w:b/>
                <w:sz w:val="22"/>
                <w:szCs w:val="22"/>
                <w:lang w:val="lt-LT"/>
              </w:rPr>
            </w:pPr>
            <w:r w:rsidRPr="00C575DA">
              <w:rPr>
                <w:rFonts w:ascii="Times New Roman" w:eastAsia="Times New Roman" w:hAnsi="Times New Roman" w:cs="Times New Roman"/>
                <w:b/>
                <w:w w:val="99"/>
                <w:sz w:val="22"/>
                <w:szCs w:val="22"/>
                <w:lang w:val="lt-LT"/>
              </w:rPr>
              <w:t>(n = 242)</w:t>
            </w:r>
          </w:p>
        </w:tc>
      </w:tr>
      <w:tr w:rsidR="00B77F89" w:rsidRPr="00741122" w14:paraId="39490750" w14:textId="77777777" w:rsidTr="00F533B1">
        <w:trPr>
          <w:trHeight w:val="242"/>
        </w:trPr>
        <w:tc>
          <w:tcPr>
            <w:tcW w:w="1688" w:type="pct"/>
            <w:vAlign w:val="bottom"/>
          </w:tcPr>
          <w:p w14:paraId="0CCF1AAD" w14:textId="77777777" w:rsidR="00B77F89" w:rsidRPr="00741122" w:rsidRDefault="00B77F89" w:rsidP="0012278E">
            <w:pPr>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6-12 miesięcy (n = 202)</w:t>
            </w:r>
          </w:p>
        </w:tc>
        <w:tc>
          <w:tcPr>
            <w:tcW w:w="1761" w:type="pct"/>
            <w:vAlign w:val="bottom"/>
          </w:tcPr>
          <w:p w14:paraId="003F18FF" w14:textId="77777777" w:rsidR="00B77F89" w:rsidRPr="00741122" w:rsidRDefault="00B77F89" w:rsidP="00D97011">
            <w:pPr>
              <w:rPr>
                <w:rFonts w:ascii="Times New Roman" w:eastAsia="Times New Roman" w:hAnsi="Times New Roman" w:cs="Times New Roman"/>
                <w:sz w:val="22"/>
                <w:szCs w:val="22"/>
                <w:lang w:val="lt-LT"/>
              </w:rPr>
            </w:pPr>
          </w:p>
        </w:tc>
        <w:tc>
          <w:tcPr>
            <w:tcW w:w="1550" w:type="pct"/>
            <w:vAlign w:val="bottom"/>
          </w:tcPr>
          <w:p w14:paraId="0FAEA051" w14:textId="77777777" w:rsidR="00B77F89" w:rsidRPr="00741122" w:rsidRDefault="00B77F89" w:rsidP="00D97011">
            <w:pPr>
              <w:rPr>
                <w:rFonts w:ascii="Times New Roman" w:eastAsia="Times New Roman" w:hAnsi="Times New Roman" w:cs="Times New Roman"/>
                <w:sz w:val="22"/>
                <w:szCs w:val="22"/>
                <w:lang w:val="lt-LT"/>
              </w:rPr>
            </w:pPr>
          </w:p>
        </w:tc>
      </w:tr>
      <w:tr w:rsidR="00B77F89" w:rsidRPr="00741122" w14:paraId="582FBD73" w14:textId="77777777" w:rsidTr="00F533B1">
        <w:trPr>
          <w:trHeight w:val="244"/>
        </w:trPr>
        <w:tc>
          <w:tcPr>
            <w:tcW w:w="1688" w:type="pct"/>
            <w:vAlign w:val="bottom"/>
          </w:tcPr>
          <w:p w14:paraId="41AA5FA3" w14:textId="77777777" w:rsidR="00B77F89" w:rsidRPr="00741122" w:rsidRDefault="00B77F89" w:rsidP="00D525EC">
            <w:pPr>
              <w:tabs>
                <w:tab w:val="left" w:pos="567"/>
              </w:tabs>
              <w:ind w:left="284"/>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w:t>
            </w:r>
          </w:p>
        </w:tc>
        <w:tc>
          <w:tcPr>
            <w:tcW w:w="1761" w:type="pct"/>
            <w:vAlign w:val="center"/>
          </w:tcPr>
          <w:p w14:paraId="4023B885" w14:textId="77777777" w:rsidR="00B77F89" w:rsidRPr="00741122" w:rsidRDefault="00B77F89" w:rsidP="00D97011">
            <w:pPr>
              <w:jc w:val="center"/>
              <w:rPr>
                <w:rFonts w:ascii="Times New Roman" w:eastAsia="Times New Roman" w:hAnsi="Times New Roman" w:cs="Times New Roman"/>
                <w:sz w:val="22"/>
                <w:szCs w:val="22"/>
                <w:lang w:val="lt-LT"/>
              </w:rPr>
            </w:pPr>
            <w:r w:rsidRPr="005F04A0">
              <w:rPr>
                <w:rFonts w:ascii="Times New Roman" w:eastAsia="Times New Roman" w:hAnsi="Times New Roman" w:cs="Times New Roman"/>
                <w:sz w:val="22"/>
                <w:szCs w:val="22"/>
                <w:lang w:val="lt-LT"/>
              </w:rPr>
              <w:t>8,0</w:t>
            </w:r>
          </w:p>
        </w:tc>
        <w:tc>
          <w:tcPr>
            <w:tcW w:w="1550" w:type="pct"/>
            <w:vAlign w:val="bottom"/>
          </w:tcPr>
          <w:p w14:paraId="356AAB05" w14:textId="77777777" w:rsidR="00B77F89" w:rsidRPr="005F04A0" w:rsidRDefault="00B77F89" w:rsidP="00D97011">
            <w:pPr>
              <w:jc w:val="center"/>
              <w:rPr>
                <w:rFonts w:ascii="Times New Roman" w:eastAsia="Times New Roman" w:hAnsi="Times New Roman" w:cs="Times New Roman"/>
                <w:sz w:val="22"/>
                <w:szCs w:val="22"/>
                <w:lang w:val="lt-LT"/>
              </w:rPr>
            </w:pPr>
            <w:r w:rsidRPr="005F04A0">
              <w:rPr>
                <w:rFonts w:ascii="Times New Roman" w:eastAsia="Times New Roman" w:hAnsi="Times New Roman" w:cs="Times New Roman"/>
                <w:sz w:val="22"/>
                <w:szCs w:val="22"/>
                <w:lang w:val="lt-LT"/>
              </w:rPr>
              <w:t>11,9</w:t>
            </w:r>
          </w:p>
        </w:tc>
      </w:tr>
      <w:tr w:rsidR="00B77F89" w:rsidRPr="00741122" w14:paraId="3CEB23DC" w14:textId="77777777" w:rsidTr="00F533B1">
        <w:trPr>
          <w:trHeight w:val="244"/>
        </w:trPr>
        <w:tc>
          <w:tcPr>
            <w:tcW w:w="1688" w:type="pct"/>
            <w:vAlign w:val="bottom"/>
          </w:tcPr>
          <w:p w14:paraId="3A83CE6D" w14:textId="77777777" w:rsidR="00B77F89" w:rsidRPr="00741122" w:rsidRDefault="00B77F89" w:rsidP="00D525EC">
            <w:pPr>
              <w:tabs>
                <w:tab w:val="left" w:pos="567"/>
              </w:tabs>
              <w:ind w:left="284"/>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 ryzyka (95% CI)</w:t>
            </w:r>
          </w:p>
        </w:tc>
        <w:tc>
          <w:tcPr>
            <w:tcW w:w="3312" w:type="pct"/>
            <w:gridSpan w:val="2"/>
            <w:vAlign w:val="center"/>
          </w:tcPr>
          <w:p w14:paraId="6D9309C8" w14:textId="77777777" w:rsidR="00B77F89" w:rsidRPr="00741122" w:rsidRDefault="00B77F89" w:rsidP="00D97011">
            <w:pPr>
              <w:ind w:right="2250"/>
              <w:jc w:val="righ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0,41 (0,29 -0,58)</w:t>
            </w:r>
          </w:p>
        </w:tc>
      </w:tr>
      <w:tr w:rsidR="00B77F89" w:rsidRPr="00741122" w14:paraId="4FC16644" w14:textId="77777777" w:rsidTr="00F533B1">
        <w:trPr>
          <w:trHeight w:val="242"/>
        </w:trPr>
        <w:tc>
          <w:tcPr>
            <w:tcW w:w="1688" w:type="pct"/>
            <w:vAlign w:val="bottom"/>
          </w:tcPr>
          <w:p w14:paraId="23CB7F79" w14:textId="77777777" w:rsidR="00B77F89" w:rsidRPr="00741122" w:rsidRDefault="00B77F89" w:rsidP="00D525EC">
            <w:pPr>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&gt; 12 miesięcy (n = 282)</w:t>
            </w:r>
          </w:p>
        </w:tc>
        <w:tc>
          <w:tcPr>
            <w:tcW w:w="1761" w:type="pct"/>
            <w:tcBorders>
              <w:bottom w:val="single" w:sz="4" w:space="0" w:color="auto"/>
            </w:tcBorders>
            <w:vAlign w:val="bottom"/>
          </w:tcPr>
          <w:p w14:paraId="50E6028C" w14:textId="77777777" w:rsidR="00B77F89" w:rsidRPr="00741122" w:rsidRDefault="00B77F89" w:rsidP="00D97011">
            <w:pPr>
              <w:rPr>
                <w:rFonts w:ascii="Times New Roman" w:eastAsia="Times New Roman" w:hAnsi="Times New Roman" w:cs="Times New Roman"/>
                <w:sz w:val="22"/>
                <w:szCs w:val="22"/>
                <w:lang w:val="lt-LT"/>
              </w:rPr>
            </w:pPr>
          </w:p>
        </w:tc>
        <w:tc>
          <w:tcPr>
            <w:tcW w:w="1550" w:type="pct"/>
            <w:vAlign w:val="bottom"/>
          </w:tcPr>
          <w:p w14:paraId="22FC9A8A" w14:textId="77777777" w:rsidR="00B77F89" w:rsidRPr="00741122" w:rsidRDefault="00B77F89" w:rsidP="00D97011">
            <w:pPr>
              <w:rPr>
                <w:rFonts w:ascii="Times New Roman" w:eastAsia="Times New Roman" w:hAnsi="Times New Roman" w:cs="Times New Roman"/>
                <w:sz w:val="22"/>
                <w:szCs w:val="22"/>
                <w:lang w:val="lt-LT"/>
              </w:rPr>
            </w:pPr>
          </w:p>
        </w:tc>
      </w:tr>
      <w:tr w:rsidR="00B77F89" w:rsidRPr="00741122" w14:paraId="59BECFF0" w14:textId="77777777" w:rsidTr="00F533B1">
        <w:trPr>
          <w:trHeight w:val="244"/>
        </w:trPr>
        <w:tc>
          <w:tcPr>
            <w:tcW w:w="1688" w:type="pct"/>
            <w:vAlign w:val="bottom"/>
          </w:tcPr>
          <w:p w14:paraId="497D1924" w14:textId="77777777" w:rsidR="00B77F89" w:rsidRPr="00741122" w:rsidRDefault="00B77F89" w:rsidP="00D525EC">
            <w:pPr>
              <w:tabs>
                <w:tab w:val="left" w:pos="567"/>
              </w:tabs>
              <w:ind w:left="284"/>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w:t>
            </w:r>
          </w:p>
        </w:tc>
        <w:tc>
          <w:tcPr>
            <w:tcW w:w="1761" w:type="pct"/>
            <w:vAlign w:val="center"/>
          </w:tcPr>
          <w:p w14:paraId="5F3A5D22" w14:textId="77777777" w:rsidR="00B77F89" w:rsidRPr="00741122" w:rsidRDefault="00B77F89" w:rsidP="00D97011">
            <w:pPr>
              <w:jc w:val="center"/>
              <w:rPr>
                <w:rFonts w:ascii="Times New Roman" w:eastAsia="Times New Roman" w:hAnsi="Times New Roman" w:cs="Times New Roman"/>
                <w:sz w:val="22"/>
                <w:szCs w:val="22"/>
                <w:lang w:val="lt-LT"/>
              </w:rPr>
            </w:pPr>
            <w:r w:rsidRPr="005F04A0">
              <w:rPr>
                <w:rFonts w:ascii="Times New Roman" w:eastAsia="Times New Roman" w:hAnsi="Times New Roman" w:cs="Times New Roman"/>
                <w:sz w:val="22"/>
                <w:szCs w:val="22"/>
                <w:lang w:val="lt-LT"/>
              </w:rPr>
              <w:t>9,7</w:t>
            </w:r>
          </w:p>
        </w:tc>
        <w:tc>
          <w:tcPr>
            <w:tcW w:w="1550" w:type="pct"/>
            <w:vAlign w:val="bottom"/>
          </w:tcPr>
          <w:p w14:paraId="5D13C022" w14:textId="77777777" w:rsidR="00B77F89" w:rsidRPr="005F04A0" w:rsidRDefault="00B77F89" w:rsidP="00D97011">
            <w:pPr>
              <w:jc w:val="center"/>
              <w:rPr>
                <w:rFonts w:ascii="Times New Roman" w:eastAsia="Times New Roman" w:hAnsi="Times New Roman" w:cs="Times New Roman"/>
                <w:sz w:val="22"/>
                <w:szCs w:val="22"/>
                <w:lang w:val="lt-LT"/>
              </w:rPr>
            </w:pPr>
            <w:r w:rsidRPr="005F04A0">
              <w:rPr>
                <w:rFonts w:ascii="Times New Roman" w:eastAsia="Times New Roman" w:hAnsi="Times New Roman" w:cs="Times New Roman"/>
                <w:sz w:val="22"/>
                <w:szCs w:val="22"/>
                <w:lang w:val="lt-LT"/>
              </w:rPr>
              <w:t>12,4</w:t>
            </w:r>
          </w:p>
        </w:tc>
      </w:tr>
      <w:tr w:rsidR="00B77F89" w:rsidRPr="00741122" w14:paraId="59D85F0E" w14:textId="77777777" w:rsidTr="00F533B1">
        <w:trPr>
          <w:trHeight w:val="242"/>
        </w:trPr>
        <w:tc>
          <w:tcPr>
            <w:tcW w:w="1688" w:type="pct"/>
            <w:vAlign w:val="bottom"/>
          </w:tcPr>
          <w:p w14:paraId="083C0022" w14:textId="77777777" w:rsidR="00B77F89" w:rsidRPr="00741122" w:rsidRDefault="00B77F89" w:rsidP="00D525EC">
            <w:pPr>
              <w:tabs>
                <w:tab w:val="left" w:pos="567"/>
              </w:tabs>
              <w:ind w:left="284"/>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 ryzyka (95% CI)</w:t>
            </w:r>
          </w:p>
        </w:tc>
        <w:tc>
          <w:tcPr>
            <w:tcW w:w="3312" w:type="pct"/>
            <w:gridSpan w:val="2"/>
            <w:vAlign w:val="center"/>
          </w:tcPr>
          <w:p w14:paraId="00DDD8F2" w14:textId="77777777" w:rsidR="00B77F89" w:rsidRPr="005F04A0" w:rsidRDefault="00B77F89" w:rsidP="005F04A0">
            <w:pPr>
              <w:ind w:right="2250"/>
              <w:jc w:val="right"/>
              <w:rPr>
                <w:rFonts w:ascii="Times New Roman" w:eastAsia="Times New Roman" w:hAnsi="Times New Roman" w:cs="Times New Roman"/>
                <w:sz w:val="22"/>
                <w:szCs w:val="22"/>
                <w:lang w:val="lt-LT"/>
              </w:rPr>
            </w:pPr>
            <w:r w:rsidRPr="005F04A0">
              <w:rPr>
                <w:rFonts w:ascii="Times New Roman" w:eastAsia="Times New Roman" w:hAnsi="Times New Roman" w:cs="Times New Roman"/>
                <w:sz w:val="22"/>
                <w:szCs w:val="22"/>
                <w:lang w:val="lt-LT"/>
              </w:rPr>
              <w:t>0,55 (0,41 – 0,73)</w:t>
            </w:r>
          </w:p>
        </w:tc>
      </w:tr>
    </w:tbl>
    <w:p w14:paraId="5CC37D31" w14:textId="77777777" w:rsidR="00071CFE" w:rsidRPr="00741122" w:rsidRDefault="00071CFE" w:rsidP="002011CB">
      <w:pPr>
        <w:rPr>
          <w:rFonts w:ascii="Times New Roman" w:eastAsia="Times New Roman" w:hAnsi="Times New Roman" w:cs="Times New Roman"/>
          <w:sz w:val="22"/>
          <w:szCs w:val="22"/>
          <w:lang w:val="lt-LT"/>
        </w:rPr>
      </w:pPr>
    </w:p>
    <w:p w14:paraId="52A6B5B0" w14:textId="77777777" w:rsidR="00071CFE" w:rsidRPr="00741122" w:rsidRDefault="00071CFE" w:rsidP="002C296D">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GOG-0213</w:t>
      </w:r>
    </w:p>
    <w:p w14:paraId="60950890" w14:textId="77777777"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GOG-0213, randomizowane, otwarte badanie III fazy z grupą kontrolną oceniające bezpieczeństwo i skuteczność </w:t>
      </w:r>
      <w:r w:rsidR="00F11CE8">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leczeniu pacjentów z wrażliwym na związki platyny nawrotowym rakiem jajnika, rakiem jajowodu lub pierwotnym rakiem otrzewnej, u których nie stosowano wcześniej chemioterapii w leczeniu nawrotu choroby. Wcześniejsza terapia anty-angiogenna nie była</w:t>
      </w:r>
      <w:bookmarkStart w:id="50" w:name="page48"/>
      <w:bookmarkEnd w:id="50"/>
      <w:r w:rsidR="002011CB"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kryterium wyłączenia z badania. W badaniu oceniano wpływ dołączenia </w:t>
      </w:r>
      <w:r w:rsidR="00F11CE8">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do leczenia skojarzonego karboplatyna + paklitaksel oraz kontynuowania leczenia </w:t>
      </w:r>
      <w:r w:rsidR="00F11CE8">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w monoterapii, aż do wystapienia progresji choroby lub działania toksycznego niemożliwego do zaakceptowania, w porównaniu ze stosowaniem tylko leczenia skojarzonego karboplatyna + paklitaksel.</w:t>
      </w:r>
    </w:p>
    <w:p w14:paraId="50765E2B" w14:textId="77777777" w:rsidR="00071CFE" w:rsidRPr="00741122" w:rsidRDefault="00071CFE" w:rsidP="002C296D">
      <w:pPr>
        <w:rPr>
          <w:rFonts w:ascii="Times New Roman" w:eastAsia="Times New Roman" w:hAnsi="Times New Roman" w:cs="Times New Roman"/>
          <w:sz w:val="22"/>
          <w:szCs w:val="22"/>
          <w:lang w:val="lt-LT"/>
        </w:rPr>
      </w:pPr>
    </w:p>
    <w:p w14:paraId="68077A00" w14:textId="77777777"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Łącznie 673 pacjentów zostało losowo przydzielonych w równym stosunku do następujących dwóch ramion leczenia:</w:t>
      </w:r>
      <w:r w:rsidR="002011CB" w:rsidRPr="00741122">
        <w:rPr>
          <w:rFonts w:ascii="Times New Roman" w:eastAsia="Times New Roman" w:hAnsi="Times New Roman" w:cs="Times New Roman"/>
          <w:sz w:val="22"/>
          <w:szCs w:val="22"/>
          <w:lang w:val="lt-LT"/>
        </w:rPr>
        <w:t xml:space="preserve"> </w:t>
      </w:r>
    </w:p>
    <w:p w14:paraId="01E03ECD" w14:textId="78254CE8" w:rsidR="00071CFE" w:rsidRPr="00741122" w:rsidRDefault="00071CFE" w:rsidP="009C01F1">
      <w:pPr>
        <w:numPr>
          <w:ilvl w:val="0"/>
          <w:numId w:val="90"/>
        </w:numPr>
        <w:tabs>
          <w:tab w:val="left" w:pos="567"/>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Grupa CP: leczona karboplat</w:t>
      </w:r>
      <w:r w:rsidR="002011CB" w:rsidRPr="00741122">
        <w:rPr>
          <w:rFonts w:ascii="Times New Roman" w:eastAsia="Times New Roman" w:hAnsi="Times New Roman" w:cs="Times New Roman"/>
          <w:sz w:val="22"/>
          <w:szCs w:val="22"/>
          <w:lang w:val="lt-LT"/>
        </w:rPr>
        <w:t>yną (AUC</w:t>
      </w:r>
      <w:r w:rsidR="001A3DA1">
        <w:rPr>
          <w:rFonts w:ascii="Times New Roman" w:eastAsia="Times New Roman" w:hAnsi="Times New Roman" w:cs="Times New Roman"/>
          <w:sz w:val="22"/>
          <w:szCs w:val="22"/>
          <w:lang w:val="lt-LT"/>
        </w:rPr>
        <w:t xml:space="preserve">  </w:t>
      </w:r>
      <w:r w:rsidR="002011CB" w:rsidRPr="00741122">
        <w:rPr>
          <w:rFonts w:ascii="Times New Roman" w:eastAsia="Times New Roman" w:hAnsi="Times New Roman" w:cs="Times New Roman"/>
          <w:sz w:val="22"/>
          <w:szCs w:val="22"/>
          <w:lang w:val="lt-LT"/>
        </w:rPr>
        <w:t>5) i paklitakselem (175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pc. dożylnie) co 3 tygodnie przez 6 do 8 cykli.</w:t>
      </w:r>
      <w:r w:rsidR="002011CB" w:rsidRPr="00741122">
        <w:rPr>
          <w:rFonts w:ascii="Times New Roman" w:eastAsia="Times New Roman" w:hAnsi="Times New Roman" w:cs="Times New Roman"/>
          <w:sz w:val="22"/>
          <w:szCs w:val="22"/>
          <w:lang w:val="lt-LT"/>
        </w:rPr>
        <w:t xml:space="preserve"> </w:t>
      </w:r>
    </w:p>
    <w:p w14:paraId="12D5E810" w14:textId="24AB8A28" w:rsidR="00071CFE" w:rsidRPr="00741122" w:rsidRDefault="00071CFE" w:rsidP="009C01F1">
      <w:pPr>
        <w:numPr>
          <w:ilvl w:val="0"/>
          <w:numId w:val="90"/>
        </w:numPr>
        <w:tabs>
          <w:tab w:val="left" w:pos="567"/>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Grupa CPB: leczona karboplat</w:t>
      </w:r>
      <w:r w:rsidR="002011CB" w:rsidRPr="00741122">
        <w:rPr>
          <w:rFonts w:ascii="Times New Roman" w:eastAsia="Times New Roman" w:hAnsi="Times New Roman" w:cs="Times New Roman"/>
          <w:sz w:val="22"/>
          <w:szCs w:val="22"/>
          <w:lang w:val="lt-LT"/>
        </w:rPr>
        <w:t>yną (AUC</w:t>
      </w:r>
      <w:r w:rsidR="001A3DA1">
        <w:rPr>
          <w:rFonts w:ascii="Times New Roman" w:eastAsia="Times New Roman" w:hAnsi="Times New Roman" w:cs="Times New Roman"/>
          <w:sz w:val="22"/>
          <w:szCs w:val="22"/>
          <w:lang w:val="lt-LT"/>
        </w:rPr>
        <w:t xml:space="preserve">  </w:t>
      </w:r>
      <w:r w:rsidR="002011CB" w:rsidRPr="00741122">
        <w:rPr>
          <w:rFonts w:ascii="Times New Roman" w:eastAsia="Times New Roman" w:hAnsi="Times New Roman" w:cs="Times New Roman"/>
          <w:sz w:val="22"/>
          <w:szCs w:val="22"/>
          <w:lang w:val="lt-LT"/>
        </w:rPr>
        <w:t>5) i paklitakselem (175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pc. dożylnie) w skoj</w:t>
      </w:r>
      <w:r w:rsidR="002011CB" w:rsidRPr="00741122">
        <w:rPr>
          <w:rFonts w:ascii="Times New Roman" w:eastAsia="Times New Roman" w:hAnsi="Times New Roman" w:cs="Times New Roman"/>
          <w:sz w:val="22"/>
          <w:szCs w:val="22"/>
          <w:lang w:val="lt-LT"/>
        </w:rPr>
        <w:t xml:space="preserve">arzeniu z </w:t>
      </w:r>
      <w:r w:rsidR="00F11CE8">
        <w:rPr>
          <w:rFonts w:ascii="Times New Roman" w:eastAsia="Times New Roman" w:hAnsi="Times New Roman" w:cs="Times New Roman"/>
          <w:sz w:val="22"/>
          <w:szCs w:val="22"/>
          <w:lang w:val="lt-LT"/>
        </w:rPr>
        <w:t>bewacyzumabem</w:t>
      </w:r>
      <w:r w:rsidR="002011CB" w:rsidRPr="00741122">
        <w:rPr>
          <w:rFonts w:ascii="Times New Roman" w:eastAsia="Times New Roman" w:hAnsi="Times New Roman" w:cs="Times New Roman"/>
          <w:sz w:val="22"/>
          <w:szCs w:val="22"/>
          <w:lang w:val="lt-LT"/>
        </w:rPr>
        <w:t xml:space="preserve"> (15 </w:t>
      </w:r>
      <w:r w:rsidRPr="00741122">
        <w:rPr>
          <w:rFonts w:ascii="Times New Roman" w:eastAsia="Times New Roman" w:hAnsi="Times New Roman" w:cs="Times New Roman"/>
          <w:sz w:val="22"/>
          <w:szCs w:val="22"/>
          <w:lang w:val="lt-LT"/>
        </w:rPr>
        <w:t>mg/kg</w:t>
      </w:r>
      <w:r w:rsidR="00FC5E0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co 3 tygodnie przez 6 do 8</w:t>
      </w:r>
      <w:r w:rsidR="002011CB" w:rsidRPr="00741122">
        <w:rPr>
          <w:rFonts w:ascii="Times New Roman" w:eastAsia="Times New Roman" w:hAnsi="Times New Roman" w:cs="Times New Roman"/>
          <w:sz w:val="22"/>
          <w:szCs w:val="22"/>
          <w:lang w:val="lt-LT"/>
        </w:rPr>
        <w:t xml:space="preserve"> cykli, a następnie </w:t>
      </w:r>
      <w:r w:rsidR="00F11CE8">
        <w:rPr>
          <w:rFonts w:ascii="Times New Roman" w:eastAsia="Times New Roman" w:hAnsi="Times New Roman" w:cs="Times New Roman"/>
          <w:sz w:val="22"/>
          <w:szCs w:val="22"/>
          <w:lang w:val="lt-LT"/>
        </w:rPr>
        <w:t>bewacyzumabem</w:t>
      </w:r>
      <w:r w:rsidR="002011CB" w:rsidRPr="00741122">
        <w:rPr>
          <w:rFonts w:ascii="Times New Roman" w:eastAsia="Times New Roman" w:hAnsi="Times New Roman" w:cs="Times New Roman"/>
          <w:sz w:val="22"/>
          <w:szCs w:val="22"/>
          <w:lang w:val="lt-LT"/>
        </w:rPr>
        <w:t xml:space="preserve"> (15 </w:t>
      </w:r>
      <w:r w:rsidRPr="00741122">
        <w:rPr>
          <w:rFonts w:ascii="Times New Roman" w:eastAsia="Times New Roman" w:hAnsi="Times New Roman" w:cs="Times New Roman"/>
          <w:sz w:val="22"/>
          <w:szCs w:val="22"/>
          <w:lang w:val="lt-LT"/>
        </w:rPr>
        <w:t>mg/kg</w:t>
      </w:r>
      <w:r w:rsidR="00FC5E0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mc. co 3 tygodnie) w monoterapii, aż do wystąpienia progresji choroby lub działania toksycznego niemożliwego do zaakceptowania.</w:t>
      </w:r>
    </w:p>
    <w:p w14:paraId="33345A06" w14:textId="77777777" w:rsidR="00071CFE" w:rsidRPr="00741122" w:rsidRDefault="00071CFE" w:rsidP="002C296D">
      <w:pPr>
        <w:rPr>
          <w:rFonts w:ascii="Times New Roman" w:eastAsia="Times New Roman" w:hAnsi="Times New Roman" w:cs="Times New Roman"/>
          <w:sz w:val="22"/>
          <w:szCs w:val="22"/>
          <w:lang w:val="lt-LT"/>
        </w:rPr>
      </w:pPr>
    </w:p>
    <w:p w14:paraId="7A6E6919" w14:textId="55BB95F4"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Większość pacjentów zarówno w grupie CP (80,4%), jak i w grupie CPB (78,9%) należała do rasy białej. Mediana wieku wyniosła 60,0 lat w grupie CP i 59,0 lat w grupie CPB. Większość pacjentów (CP: 64,6%; CPB: 68,8%) było w wieku powyżej 65 lat. Na początku badania u większości pacjentów w obu ramionach leczenia stan ogólny (</w:t>
      </w:r>
      <w:r w:rsidR="002011CB" w:rsidRPr="00741122">
        <w:rPr>
          <w:rFonts w:ascii="Times New Roman" w:eastAsia="Times New Roman" w:hAnsi="Times New Roman" w:cs="Times New Roman"/>
          <w:sz w:val="22"/>
          <w:szCs w:val="22"/>
          <w:lang w:val="lt-LT"/>
        </w:rPr>
        <w:t>PS) wg GOG wyniósł 0 (CP: 82,4%</w:t>
      </w:r>
      <w:r w:rsidRPr="00741122">
        <w:rPr>
          <w:rFonts w:ascii="Times New Roman" w:eastAsia="Times New Roman" w:hAnsi="Times New Roman" w:cs="Times New Roman"/>
          <w:sz w:val="22"/>
          <w:szCs w:val="22"/>
          <w:lang w:val="lt-LT"/>
        </w:rPr>
        <w:t>, CPB</w:t>
      </w:r>
      <w:r w:rsidR="00DF0ADE">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80,7%) lub 1 (CP: 16,7%, CPB</w:t>
      </w:r>
      <w:r w:rsidR="00DF0ADE">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18,1%). PS 2 wg GOG na początku badania zgłoszono u 0,9% pacjentów w grupie CP i u 1,2% pacjentów w grupie CPB.</w:t>
      </w:r>
    </w:p>
    <w:p w14:paraId="78C2EAE0" w14:textId="77777777" w:rsidR="00071CFE" w:rsidRPr="00741122" w:rsidRDefault="00071CFE" w:rsidP="002C296D">
      <w:pPr>
        <w:rPr>
          <w:rFonts w:ascii="Times New Roman" w:eastAsia="Times New Roman" w:hAnsi="Times New Roman" w:cs="Times New Roman"/>
          <w:sz w:val="22"/>
          <w:szCs w:val="22"/>
          <w:lang w:val="lt-LT"/>
        </w:rPr>
      </w:pPr>
    </w:p>
    <w:p w14:paraId="68B98AE2" w14:textId="3E7DD1B9" w:rsidR="00071CFE" w:rsidRPr="00741122" w:rsidRDefault="00071CFE" w:rsidP="002C296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 xml:space="preserve">Pierwszorzędowym punktem końcowym był czas przeżycia całkowitego (OS). Głównym drugorzędowym punktem końcowym oceny skuteczności był czas przeżycia wolnego od progresji choroby (PFS). Wyniki przedstawiono w Tabeli </w:t>
      </w:r>
      <w:r w:rsidR="00C33782">
        <w:rPr>
          <w:rFonts w:ascii="Times New Roman" w:eastAsia="Times New Roman" w:hAnsi="Times New Roman" w:cs="Times New Roman"/>
          <w:sz w:val="22"/>
          <w:szCs w:val="22"/>
          <w:lang w:val="lt-LT"/>
        </w:rPr>
        <w:t>22</w:t>
      </w:r>
      <w:r w:rsidRPr="00741122">
        <w:rPr>
          <w:rFonts w:ascii="Times New Roman" w:eastAsia="Times New Roman" w:hAnsi="Times New Roman" w:cs="Times New Roman"/>
          <w:sz w:val="22"/>
          <w:szCs w:val="22"/>
          <w:lang w:val="lt-LT"/>
        </w:rPr>
        <w:t>.</w:t>
      </w:r>
    </w:p>
    <w:p w14:paraId="3111F584" w14:textId="77777777" w:rsidR="00071CFE" w:rsidRPr="00741122" w:rsidRDefault="00071CFE" w:rsidP="002C296D">
      <w:pPr>
        <w:rPr>
          <w:rFonts w:ascii="Times New Roman" w:eastAsia="Times New Roman" w:hAnsi="Times New Roman" w:cs="Times New Roman"/>
          <w:sz w:val="22"/>
          <w:szCs w:val="22"/>
          <w:lang w:val="lt-LT"/>
        </w:rPr>
      </w:pPr>
    </w:p>
    <w:p w14:paraId="190494A2" w14:textId="609A6AB4" w:rsidR="002011CB" w:rsidRPr="00741122" w:rsidRDefault="00071CFE" w:rsidP="00F533B1">
      <w:pPr>
        <w:keepNext/>
        <w:keepLines/>
        <w:tabs>
          <w:tab w:val="left" w:pos="1121"/>
        </w:tabs>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Tabela </w:t>
      </w:r>
      <w:r w:rsidR="00C33782" w:rsidRPr="00741122">
        <w:rPr>
          <w:rFonts w:ascii="Times New Roman" w:eastAsia="Times New Roman" w:hAnsi="Times New Roman" w:cs="Times New Roman"/>
          <w:b/>
          <w:sz w:val="22"/>
          <w:szCs w:val="22"/>
          <w:lang w:val="lt-LT"/>
        </w:rPr>
        <w:t>2</w:t>
      </w:r>
      <w:r w:rsidR="00C33782">
        <w:rPr>
          <w:rFonts w:ascii="Times New Roman" w:eastAsia="Times New Roman" w:hAnsi="Times New Roman" w:cs="Times New Roman"/>
          <w:b/>
          <w:sz w:val="22"/>
          <w:szCs w:val="22"/>
          <w:lang w:val="lt-LT"/>
        </w:rPr>
        <w:t>2</w:t>
      </w:r>
      <w:r w:rsidR="002D562B">
        <w:rPr>
          <w:rFonts w:ascii="Times New Roman" w:eastAsia="Times New Roman" w:hAnsi="Times New Roman" w:cs="Times New Roman"/>
          <w:b/>
          <w:sz w:val="22"/>
          <w:szCs w:val="22"/>
          <w:lang w:val="lt-LT"/>
        </w:rPr>
        <w:t>.</w:t>
      </w:r>
      <w:r w:rsidR="00BA0FBC">
        <w:rPr>
          <w:rFonts w:ascii="Times New Roman" w:eastAsia="Times New Roman" w:hAnsi="Times New Roman" w:cs="Times New Roman"/>
          <w:b/>
          <w:sz w:val="22"/>
          <w:szCs w:val="22"/>
          <w:lang w:val="lt-LT"/>
        </w:rPr>
        <w:t xml:space="preserve"> </w:t>
      </w:r>
      <w:r w:rsidRPr="00741122">
        <w:rPr>
          <w:rFonts w:ascii="Times New Roman" w:eastAsia="Times New Roman" w:hAnsi="Times New Roman" w:cs="Times New Roman"/>
          <w:b/>
          <w:sz w:val="22"/>
          <w:szCs w:val="22"/>
          <w:lang w:val="lt-LT"/>
        </w:rPr>
        <w:t>Wyniki badania GOG-0213 dotyczące skuteczności</w:t>
      </w:r>
      <w:r w:rsidR="002011CB" w:rsidRPr="00741122">
        <w:rPr>
          <w:rFonts w:ascii="Times New Roman" w:eastAsia="Times New Roman" w:hAnsi="Times New Roman" w:cs="Times New Roman"/>
          <w:b/>
          <w:sz w:val="22"/>
          <w:szCs w:val="22"/>
          <w:vertAlign w:val="superscript"/>
          <w:lang w:val="lt-LT"/>
        </w:rPr>
        <w:t>1,2</w:t>
      </w:r>
    </w:p>
    <w:p w14:paraId="5FC6CFDC" w14:textId="77777777" w:rsidR="003D263C" w:rsidRPr="00741122" w:rsidRDefault="003D263C" w:rsidP="00F533B1">
      <w:pPr>
        <w:keepNext/>
        <w:keepLines/>
        <w:tabs>
          <w:tab w:val="left" w:pos="1121"/>
        </w:tabs>
        <w:rPr>
          <w:rFonts w:ascii="Times New Roman" w:eastAsia="Times New Roman" w:hAnsi="Times New Roman" w:cs="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7"/>
        <w:gridCol w:w="2674"/>
        <w:gridCol w:w="2541"/>
      </w:tblGrid>
      <w:tr w:rsidR="003D263C" w:rsidRPr="00741122" w14:paraId="346CCB3E" w14:textId="77777777" w:rsidTr="00F533B1">
        <w:trPr>
          <w:trHeight w:val="381"/>
        </w:trPr>
        <w:tc>
          <w:tcPr>
            <w:tcW w:w="5000" w:type="pct"/>
            <w:gridSpan w:val="3"/>
            <w:vAlign w:val="center"/>
          </w:tcPr>
          <w:p w14:paraId="69210FEC" w14:textId="77777777" w:rsidR="003D263C" w:rsidRPr="00741122" w:rsidRDefault="003D263C" w:rsidP="00F533B1">
            <w:pPr>
              <w:keepNext/>
              <w:keepLines/>
              <w:ind w:left="5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Pierwszorzędowy punkt końcowy</w:t>
            </w:r>
          </w:p>
        </w:tc>
      </w:tr>
      <w:tr w:rsidR="00D81700" w:rsidRPr="00741122" w14:paraId="76BD63F1" w14:textId="77777777" w:rsidTr="00F533B1">
        <w:trPr>
          <w:trHeight w:val="316"/>
        </w:trPr>
        <w:tc>
          <w:tcPr>
            <w:tcW w:w="2215" w:type="pct"/>
            <w:vAlign w:val="center"/>
          </w:tcPr>
          <w:p w14:paraId="4CBDE2B0" w14:textId="77777777" w:rsidR="00D81700" w:rsidRPr="00741122" w:rsidRDefault="00D81700" w:rsidP="003F3898">
            <w:pPr>
              <w:ind w:left="57"/>
              <w:rPr>
                <w:rFonts w:ascii="Times New Roman" w:eastAsia="Times New Roman" w:hAnsi="Times New Roman" w:cs="Times New Roman"/>
                <w:sz w:val="22"/>
                <w:szCs w:val="22"/>
                <w:vertAlign w:val="superscript"/>
                <w:lang w:val="lt-LT"/>
              </w:rPr>
            </w:pPr>
            <w:r w:rsidRPr="003F3898">
              <w:rPr>
                <w:rFonts w:ascii="Times New Roman" w:eastAsia="Times New Roman" w:hAnsi="Times New Roman" w:cs="Times New Roman"/>
                <w:sz w:val="22"/>
                <w:szCs w:val="22"/>
                <w:lang w:val="lt-LT"/>
              </w:rPr>
              <w:t>Czas przeżycia całkowitego (OS)</w:t>
            </w:r>
          </w:p>
        </w:tc>
        <w:tc>
          <w:tcPr>
            <w:tcW w:w="1428" w:type="pct"/>
            <w:vAlign w:val="center"/>
          </w:tcPr>
          <w:p w14:paraId="2BAE599F" w14:textId="77777777" w:rsidR="00D81700" w:rsidRPr="00741122" w:rsidRDefault="00D81700" w:rsidP="0018011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CP</w:t>
            </w:r>
          </w:p>
          <w:p w14:paraId="5AB100E0" w14:textId="77777777" w:rsidR="00D81700" w:rsidRPr="00741122" w:rsidRDefault="00D81700" w:rsidP="0018011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w:t>
            </w:r>
            <w:r w:rsidR="002D562B">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t>
            </w:r>
            <w:r w:rsidR="002D562B">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336)</w:t>
            </w:r>
          </w:p>
        </w:tc>
        <w:tc>
          <w:tcPr>
            <w:tcW w:w="1357" w:type="pct"/>
            <w:vAlign w:val="center"/>
          </w:tcPr>
          <w:p w14:paraId="537B8297" w14:textId="77777777" w:rsidR="00D81700" w:rsidRPr="00741122" w:rsidRDefault="00D81700" w:rsidP="0018011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CPB</w:t>
            </w:r>
          </w:p>
          <w:p w14:paraId="444DC64D" w14:textId="77777777" w:rsidR="00D81700" w:rsidRPr="00741122" w:rsidRDefault="00D81700" w:rsidP="0018011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w w:val="98"/>
                <w:sz w:val="22"/>
                <w:szCs w:val="22"/>
                <w:lang w:val="lt-LT"/>
              </w:rPr>
              <w:t>(n</w:t>
            </w:r>
            <w:r w:rsidR="002D562B">
              <w:rPr>
                <w:rFonts w:ascii="Times New Roman" w:eastAsia="Times New Roman" w:hAnsi="Times New Roman" w:cs="Times New Roman"/>
                <w:w w:val="98"/>
                <w:sz w:val="22"/>
                <w:szCs w:val="22"/>
                <w:lang w:val="lt-LT"/>
              </w:rPr>
              <w:t xml:space="preserve"> </w:t>
            </w:r>
            <w:r w:rsidRPr="00741122">
              <w:rPr>
                <w:rFonts w:ascii="Times New Roman" w:eastAsia="Times New Roman" w:hAnsi="Times New Roman" w:cs="Times New Roman"/>
                <w:w w:val="98"/>
                <w:sz w:val="22"/>
                <w:szCs w:val="22"/>
                <w:lang w:val="lt-LT"/>
              </w:rPr>
              <w:t>=</w:t>
            </w:r>
            <w:r w:rsidR="002D562B">
              <w:rPr>
                <w:rFonts w:ascii="Times New Roman" w:eastAsia="Times New Roman" w:hAnsi="Times New Roman" w:cs="Times New Roman"/>
                <w:w w:val="98"/>
                <w:sz w:val="22"/>
                <w:szCs w:val="22"/>
                <w:lang w:val="lt-LT"/>
              </w:rPr>
              <w:t xml:space="preserve"> </w:t>
            </w:r>
            <w:r w:rsidRPr="00741122">
              <w:rPr>
                <w:rFonts w:ascii="Times New Roman" w:eastAsia="Times New Roman" w:hAnsi="Times New Roman" w:cs="Times New Roman"/>
                <w:w w:val="98"/>
                <w:sz w:val="22"/>
                <w:szCs w:val="22"/>
                <w:lang w:val="lt-LT"/>
              </w:rPr>
              <w:t>337)</w:t>
            </w:r>
          </w:p>
        </w:tc>
      </w:tr>
      <w:tr w:rsidR="00D81700" w:rsidRPr="00741122" w14:paraId="22DA60CF" w14:textId="77777777" w:rsidTr="00F533B1">
        <w:trPr>
          <w:trHeight w:val="245"/>
        </w:trPr>
        <w:tc>
          <w:tcPr>
            <w:tcW w:w="2215" w:type="pct"/>
            <w:vAlign w:val="center"/>
          </w:tcPr>
          <w:p w14:paraId="5AB00AF0" w14:textId="77777777" w:rsidR="00D81700" w:rsidRPr="00741122" w:rsidRDefault="00D81700"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OS (miesiące)</w:t>
            </w:r>
          </w:p>
        </w:tc>
        <w:tc>
          <w:tcPr>
            <w:tcW w:w="1428" w:type="pct"/>
            <w:vAlign w:val="center"/>
          </w:tcPr>
          <w:p w14:paraId="2EA072BA" w14:textId="77777777" w:rsidR="00D81700" w:rsidRPr="00741122" w:rsidRDefault="00D81700" w:rsidP="003D263C">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w w:val="98"/>
                <w:sz w:val="22"/>
                <w:szCs w:val="22"/>
                <w:lang w:val="lt-LT"/>
              </w:rPr>
              <w:t>37,3</w:t>
            </w:r>
          </w:p>
        </w:tc>
        <w:tc>
          <w:tcPr>
            <w:tcW w:w="1357" w:type="pct"/>
            <w:vAlign w:val="center"/>
          </w:tcPr>
          <w:p w14:paraId="5C5E25BB" w14:textId="77777777" w:rsidR="00D81700" w:rsidRPr="00741122" w:rsidRDefault="00D81700" w:rsidP="003D263C">
            <w:pPr>
              <w:jc w:val="center"/>
              <w:rPr>
                <w:rFonts w:ascii="Times New Roman" w:eastAsia="Times New Roman" w:hAnsi="Times New Roman" w:cs="Times New Roman"/>
                <w:w w:val="98"/>
                <w:sz w:val="22"/>
                <w:szCs w:val="22"/>
                <w:lang w:val="lt-LT"/>
              </w:rPr>
            </w:pPr>
            <w:r w:rsidRPr="00741122">
              <w:rPr>
                <w:rFonts w:ascii="Times New Roman" w:eastAsia="Times New Roman" w:hAnsi="Times New Roman" w:cs="Times New Roman"/>
                <w:w w:val="98"/>
                <w:sz w:val="22"/>
                <w:szCs w:val="22"/>
                <w:lang w:val="lt-LT"/>
              </w:rPr>
              <w:t>42,6</w:t>
            </w:r>
          </w:p>
        </w:tc>
      </w:tr>
      <w:tr w:rsidR="00D81700" w:rsidRPr="00741122" w14:paraId="30888ADC" w14:textId="77777777" w:rsidTr="00F533B1">
        <w:trPr>
          <w:trHeight w:val="243"/>
        </w:trPr>
        <w:tc>
          <w:tcPr>
            <w:tcW w:w="2215" w:type="pct"/>
            <w:vAlign w:val="center"/>
          </w:tcPr>
          <w:p w14:paraId="2EC0B1ED" w14:textId="77777777" w:rsidR="00D81700" w:rsidRPr="00741122" w:rsidRDefault="00D81700" w:rsidP="003F3898">
            <w:pPr>
              <w:ind w:left="567"/>
              <w:rPr>
                <w:rFonts w:ascii="Times New Roman" w:eastAsia="Times New Roman" w:hAnsi="Times New Roman" w:cs="Times New Roman"/>
                <w:sz w:val="22"/>
                <w:szCs w:val="22"/>
                <w:vertAlign w:val="superscript"/>
                <w:lang w:val="lt-LT"/>
              </w:rPr>
            </w:pPr>
            <w:r w:rsidRPr="00741122">
              <w:rPr>
                <w:rFonts w:ascii="Times New Roman" w:eastAsia="Times New Roman" w:hAnsi="Times New Roman" w:cs="Times New Roman"/>
                <w:sz w:val="22"/>
                <w:szCs w:val="22"/>
                <w:lang w:val="lt-LT"/>
              </w:rPr>
              <w:t>Współczynnik ryzyka (95% CI) (eCRF)</w:t>
            </w:r>
            <w:r w:rsidRPr="00741122">
              <w:rPr>
                <w:rFonts w:ascii="Times New Roman" w:eastAsia="Times New Roman" w:hAnsi="Times New Roman" w:cs="Times New Roman"/>
                <w:sz w:val="22"/>
                <w:szCs w:val="22"/>
                <w:vertAlign w:val="superscript"/>
                <w:lang w:val="lt-LT"/>
              </w:rPr>
              <w:t>a</w:t>
            </w:r>
          </w:p>
        </w:tc>
        <w:tc>
          <w:tcPr>
            <w:tcW w:w="2785" w:type="pct"/>
            <w:gridSpan w:val="2"/>
            <w:vAlign w:val="center"/>
          </w:tcPr>
          <w:p w14:paraId="3176AAF0" w14:textId="7BD98BC5" w:rsidR="00D81700" w:rsidRPr="00741122" w:rsidRDefault="00D81700" w:rsidP="00180112">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0,823 [CI: 0,680</w:t>
            </w:r>
            <w:r w:rsidR="00E0461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0,996]</w:t>
            </w:r>
          </w:p>
        </w:tc>
      </w:tr>
      <w:tr w:rsidR="003D263C" w:rsidRPr="00741122" w14:paraId="16FC6CA4" w14:textId="77777777" w:rsidTr="00F533B1">
        <w:trPr>
          <w:trHeight w:val="245"/>
        </w:trPr>
        <w:tc>
          <w:tcPr>
            <w:tcW w:w="2215" w:type="pct"/>
            <w:vAlign w:val="center"/>
          </w:tcPr>
          <w:p w14:paraId="0143F351" w14:textId="77777777" w:rsidR="003D263C" w:rsidRPr="00741122" w:rsidRDefault="003D263C"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Wartość p</w:t>
            </w:r>
          </w:p>
        </w:tc>
        <w:tc>
          <w:tcPr>
            <w:tcW w:w="2785" w:type="pct"/>
            <w:gridSpan w:val="2"/>
            <w:vAlign w:val="center"/>
          </w:tcPr>
          <w:p w14:paraId="26DA124A" w14:textId="77777777" w:rsidR="003D263C" w:rsidRPr="00180112" w:rsidRDefault="003D263C" w:rsidP="00180112">
            <w:pPr>
              <w:jc w:val="center"/>
              <w:rPr>
                <w:rFonts w:ascii="Times New Roman" w:eastAsia="Times New Roman" w:hAnsi="Times New Roman" w:cs="Times New Roman"/>
                <w:sz w:val="22"/>
                <w:szCs w:val="22"/>
                <w:lang w:val="lt-LT"/>
              </w:rPr>
            </w:pPr>
            <w:r w:rsidRPr="00180112">
              <w:rPr>
                <w:rFonts w:ascii="Times New Roman" w:eastAsia="Times New Roman" w:hAnsi="Times New Roman" w:cs="Times New Roman"/>
                <w:sz w:val="22"/>
                <w:szCs w:val="22"/>
                <w:lang w:val="lt-LT"/>
              </w:rPr>
              <w:t>0,0447</w:t>
            </w:r>
          </w:p>
        </w:tc>
      </w:tr>
      <w:tr w:rsidR="00D81700" w:rsidRPr="00741122" w14:paraId="619D2C5E" w14:textId="77777777" w:rsidTr="00F533B1">
        <w:trPr>
          <w:trHeight w:val="508"/>
        </w:trPr>
        <w:tc>
          <w:tcPr>
            <w:tcW w:w="2215" w:type="pct"/>
            <w:vAlign w:val="center"/>
          </w:tcPr>
          <w:p w14:paraId="6CE080B1" w14:textId="77777777" w:rsidR="00C575DA" w:rsidRDefault="00D81700"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Współczynnik ryzyka (95% CI) </w:t>
            </w:r>
          </w:p>
          <w:p w14:paraId="7BB5F5D4" w14:textId="77777777" w:rsidR="00D81700" w:rsidRPr="00741122" w:rsidRDefault="00D81700"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(formularz rejestracyjny)</w:t>
            </w:r>
            <w:r w:rsidRPr="00741122">
              <w:rPr>
                <w:rFonts w:ascii="Times New Roman" w:eastAsia="Times New Roman" w:hAnsi="Times New Roman" w:cs="Times New Roman"/>
                <w:sz w:val="22"/>
                <w:szCs w:val="22"/>
                <w:vertAlign w:val="superscript"/>
                <w:lang w:val="lt-LT"/>
              </w:rPr>
              <w:t>b</w:t>
            </w:r>
          </w:p>
        </w:tc>
        <w:tc>
          <w:tcPr>
            <w:tcW w:w="2785" w:type="pct"/>
            <w:gridSpan w:val="2"/>
            <w:vAlign w:val="center"/>
          </w:tcPr>
          <w:p w14:paraId="0EA4C16D" w14:textId="63D40EE2" w:rsidR="00D81700" w:rsidRPr="00741122" w:rsidRDefault="00D81700" w:rsidP="003D263C">
            <w:pPr>
              <w:ind w:left="134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0,838 [CI: 0,693</w:t>
            </w:r>
            <w:r w:rsidR="00E0461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1,014]</w:t>
            </w:r>
          </w:p>
        </w:tc>
      </w:tr>
      <w:tr w:rsidR="00D81700" w:rsidRPr="00741122" w14:paraId="5EB12301" w14:textId="77777777" w:rsidTr="00F533B1">
        <w:trPr>
          <w:trHeight w:val="243"/>
        </w:trPr>
        <w:tc>
          <w:tcPr>
            <w:tcW w:w="2215" w:type="pct"/>
            <w:vAlign w:val="center"/>
          </w:tcPr>
          <w:p w14:paraId="65BBEDB5" w14:textId="77777777" w:rsidR="00D81700" w:rsidRPr="00741122" w:rsidRDefault="00D81700"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Wartość p</w:t>
            </w:r>
          </w:p>
        </w:tc>
        <w:tc>
          <w:tcPr>
            <w:tcW w:w="2785" w:type="pct"/>
            <w:gridSpan w:val="2"/>
            <w:vAlign w:val="center"/>
          </w:tcPr>
          <w:p w14:paraId="759B379B" w14:textId="77777777" w:rsidR="00D81700" w:rsidRPr="003F3898" w:rsidRDefault="00D81700" w:rsidP="003F3898">
            <w:pPr>
              <w:jc w:val="center"/>
              <w:rPr>
                <w:rFonts w:ascii="Times New Roman" w:eastAsia="Times New Roman" w:hAnsi="Times New Roman" w:cs="Times New Roman"/>
                <w:sz w:val="22"/>
                <w:szCs w:val="22"/>
                <w:lang w:val="lt-LT"/>
              </w:rPr>
            </w:pPr>
            <w:r w:rsidRPr="003F3898">
              <w:rPr>
                <w:rFonts w:ascii="Times New Roman" w:eastAsia="Times New Roman" w:hAnsi="Times New Roman" w:cs="Times New Roman"/>
                <w:sz w:val="22"/>
                <w:szCs w:val="22"/>
                <w:lang w:val="lt-LT"/>
              </w:rPr>
              <w:t>0,0683</w:t>
            </w:r>
          </w:p>
        </w:tc>
      </w:tr>
      <w:tr w:rsidR="003D263C" w:rsidRPr="00741122" w14:paraId="19461CBD" w14:textId="77777777" w:rsidTr="00F533B1">
        <w:trPr>
          <w:trHeight w:val="283"/>
        </w:trPr>
        <w:tc>
          <w:tcPr>
            <w:tcW w:w="5000" w:type="pct"/>
            <w:gridSpan w:val="3"/>
            <w:vAlign w:val="center"/>
          </w:tcPr>
          <w:p w14:paraId="4C98B434" w14:textId="77777777" w:rsidR="003D263C" w:rsidRPr="00741122" w:rsidRDefault="003D263C" w:rsidP="003D263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Drugorzędowy punkt końcowy</w:t>
            </w:r>
          </w:p>
        </w:tc>
      </w:tr>
      <w:tr w:rsidR="00D81700" w:rsidRPr="00741122" w14:paraId="7692FB7C" w14:textId="77777777" w:rsidTr="00F533B1">
        <w:trPr>
          <w:trHeight w:val="591"/>
        </w:trPr>
        <w:tc>
          <w:tcPr>
            <w:tcW w:w="2215" w:type="pct"/>
            <w:vAlign w:val="center"/>
          </w:tcPr>
          <w:p w14:paraId="31C93D14" w14:textId="77777777" w:rsidR="00D81700" w:rsidRPr="00741122" w:rsidRDefault="00D81700" w:rsidP="003D263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Czas przeżycia wolnego od progresji</w:t>
            </w:r>
            <w:r w:rsidR="003D263C"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choroby (PFS)</w:t>
            </w:r>
          </w:p>
        </w:tc>
        <w:tc>
          <w:tcPr>
            <w:tcW w:w="1428" w:type="pct"/>
            <w:vAlign w:val="center"/>
          </w:tcPr>
          <w:p w14:paraId="1038E782" w14:textId="77777777" w:rsidR="00D81700" w:rsidRPr="00741122" w:rsidRDefault="00D81700" w:rsidP="003D263C">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CP</w:t>
            </w:r>
          </w:p>
          <w:p w14:paraId="72162563" w14:textId="77777777" w:rsidR="00D81700" w:rsidRPr="00741122" w:rsidRDefault="00D81700" w:rsidP="003D263C">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w:t>
            </w:r>
            <w:r w:rsidR="002D562B">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t>
            </w:r>
            <w:r w:rsidR="002D562B">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336)</w:t>
            </w:r>
          </w:p>
        </w:tc>
        <w:tc>
          <w:tcPr>
            <w:tcW w:w="1357" w:type="pct"/>
            <w:vAlign w:val="center"/>
          </w:tcPr>
          <w:p w14:paraId="56A54BE3" w14:textId="77777777" w:rsidR="00D81700" w:rsidRPr="00741122" w:rsidRDefault="00D81700" w:rsidP="003D263C">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CPB</w:t>
            </w:r>
          </w:p>
          <w:p w14:paraId="1E5D264C" w14:textId="77777777" w:rsidR="00D81700" w:rsidRPr="00741122" w:rsidRDefault="00D81700" w:rsidP="003D263C">
            <w:pPr>
              <w:jc w:val="center"/>
              <w:rPr>
                <w:rFonts w:ascii="Times New Roman" w:eastAsia="Times New Roman" w:hAnsi="Times New Roman" w:cs="Times New Roman"/>
                <w:sz w:val="22"/>
                <w:szCs w:val="22"/>
                <w:lang w:val="lt-LT"/>
              </w:rPr>
            </w:pPr>
            <w:r w:rsidRPr="00741122">
              <w:rPr>
                <w:rFonts w:ascii="Times New Roman" w:eastAsia="Times New Roman" w:hAnsi="Times New Roman" w:cs="Times New Roman"/>
                <w:w w:val="98"/>
                <w:sz w:val="22"/>
                <w:szCs w:val="22"/>
                <w:lang w:val="lt-LT"/>
              </w:rPr>
              <w:t>(n</w:t>
            </w:r>
            <w:r w:rsidR="002D562B">
              <w:rPr>
                <w:rFonts w:ascii="Times New Roman" w:eastAsia="Times New Roman" w:hAnsi="Times New Roman" w:cs="Times New Roman"/>
                <w:w w:val="98"/>
                <w:sz w:val="22"/>
                <w:szCs w:val="22"/>
                <w:lang w:val="lt-LT"/>
              </w:rPr>
              <w:t xml:space="preserve"> </w:t>
            </w:r>
            <w:r w:rsidRPr="00741122">
              <w:rPr>
                <w:rFonts w:ascii="Times New Roman" w:eastAsia="Times New Roman" w:hAnsi="Times New Roman" w:cs="Times New Roman"/>
                <w:w w:val="98"/>
                <w:sz w:val="22"/>
                <w:szCs w:val="22"/>
                <w:lang w:val="lt-LT"/>
              </w:rPr>
              <w:t>=</w:t>
            </w:r>
            <w:r w:rsidR="002D562B">
              <w:rPr>
                <w:rFonts w:ascii="Times New Roman" w:eastAsia="Times New Roman" w:hAnsi="Times New Roman" w:cs="Times New Roman"/>
                <w:w w:val="98"/>
                <w:sz w:val="22"/>
                <w:szCs w:val="22"/>
                <w:lang w:val="lt-LT"/>
              </w:rPr>
              <w:t xml:space="preserve"> </w:t>
            </w:r>
            <w:r w:rsidRPr="00741122">
              <w:rPr>
                <w:rFonts w:ascii="Times New Roman" w:eastAsia="Times New Roman" w:hAnsi="Times New Roman" w:cs="Times New Roman"/>
                <w:w w:val="98"/>
                <w:sz w:val="22"/>
                <w:szCs w:val="22"/>
                <w:lang w:val="lt-LT"/>
              </w:rPr>
              <w:t>337)</w:t>
            </w:r>
          </w:p>
        </w:tc>
      </w:tr>
      <w:tr w:rsidR="00D81700" w:rsidRPr="00741122" w14:paraId="725204BF" w14:textId="77777777" w:rsidTr="00F533B1">
        <w:trPr>
          <w:trHeight w:val="269"/>
        </w:trPr>
        <w:tc>
          <w:tcPr>
            <w:tcW w:w="2215" w:type="pct"/>
            <w:vAlign w:val="center"/>
          </w:tcPr>
          <w:p w14:paraId="7FC6C7FE" w14:textId="77777777" w:rsidR="00D81700" w:rsidRPr="00741122" w:rsidRDefault="00D81700"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PFS (miesiące)</w:t>
            </w:r>
          </w:p>
        </w:tc>
        <w:tc>
          <w:tcPr>
            <w:tcW w:w="1428" w:type="pct"/>
            <w:vAlign w:val="center"/>
          </w:tcPr>
          <w:p w14:paraId="07F35689" w14:textId="77777777" w:rsidR="00D81700" w:rsidRPr="00741122" w:rsidRDefault="00D81700" w:rsidP="003D263C">
            <w:pPr>
              <w:jc w:val="center"/>
              <w:rPr>
                <w:rFonts w:ascii="Times New Roman" w:eastAsia="Times New Roman" w:hAnsi="Times New Roman" w:cs="Times New Roman"/>
                <w:sz w:val="22"/>
                <w:szCs w:val="22"/>
                <w:lang w:val="lt-LT"/>
              </w:rPr>
            </w:pPr>
            <w:r w:rsidRPr="008772E4">
              <w:rPr>
                <w:rFonts w:ascii="Times New Roman" w:eastAsia="Times New Roman" w:hAnsi="Times New Roman" w:cs="Times New Roman"/>
                <w:sz w:val="22"/>
                <w:szCs w:val="22"/>
                <w:lang w:val="lt-LT"/>
              </w:rPr>
              <w:t>10,2</w:t>
            </w:r>
          </w:p>
        </w:tc>
        <w:tc>
          <w:tcPr>
            <w:tcW w:w="1357" w:type="pct"/>
            <w:vAlign w:val="center"/>
          </w:tcPr>
          <w:p w14:paraId="1D4B719B" w14:textId="77777777" w:rsidR="00D81700" w:rsidRPr="008772E4" w:rsidRDefault="00D81700" w:rsidP="003D263C">
            <w:pPr>
              <w:jc w:val="center"/>
              <w:rPr>
                <w:rFonts w:ascii="Times New Roman" w:eastAsia="Times New Roman" w:hAnsi="Times New Roman" w:cs="Times New Roman"/>
                <w:sz w:val="22"/>
                <w:szCs w:val="22"/>
                <w:lang w:val="lt-LT"/>
              </w:rPr>
            </w:pPr>
            <w:r w:rsidRPr="008772E4">
              <w:rPr>
                <w:rFonts w:ascii="Times New Roman" w:eastAsia="Times New Roman" w:hAnsi="Times New Roman" w:cs="Times New Roman"/>
                <w:sz w:val="22"/>
                <w:szCs w:val="22"/>
                <w:lang w:val="lt-LT"/>
              </w:rPr>
              <w:t>13,8</w:t>
            </w:r>
          </w:p>
        </w:tc>
      </w:tr>
      <w:tr w:rsidR="00D81700" w:rsidRPr="00741122" w14:paraId="7407B45D" w14:textId="77777777" w:rsidTr="00F533B1">
        <w:trPr>
          <w:trHeight w:val="245"/>
        </w:trPr>
        <w:tc>
          <w:tcPr>
            <w:tcW w:w="2215" w:type="pct"/>
            <w:vAlign w:val="center"/>
          </w:tcPr>
          <w:p w14:paraId="4F8D117E" w14:textId="77777777" w:rsidR="00D81700" w:rsidRPr="00741122" w:rsidRDefault="00D81700"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Współczynnik ryzyka (95% CI)</w:t>
            </w:r>
          </w:p>
        </w:tc>
        <w:tc>
          <w:tcPr>
            <w:tcW w:w="2785" w:type="pct"/>
            <w:gridSpan w:val="2"/>
            <w:vAlign w:val="center"/>
          </w:tcPr>
          <w:p w14:paraId="71E4DD38" w14:textId="594BD9EE" w:rsidR="00D81700" w:rsidRPr="00741122" w:rsidRDefault="00D81700" w:rsidP="008772E4">
            <w:pPr>
              <w:jc w:val="center"/>
              <w:rPr>
                <w:rFonts w:ascii="Times New Roman" w:eastAsia="Times New Roman" w:hAnsi="Times New Roman" w:cs="Times New Roman"/>
                <w:sz w:val="22"/>
                <w:szCs w:val="22"/>
                <w:lang w:val="lt-LT"/>
              </w:rPr>
            </w:pPr>
            <w:r w:rsidRPr="008772E4">
              <w:rPr>
                <w:rFonts w:ascii="Times New Roman" w:eastAsia="Times New Roman" w:hAnsi="Times New Roman" w:cs="Times New Roman"/>
                <w:sz w:val="22"/>
                <w:szCs w:val="22"/>
                <w:lang w:val="lt-LT"/>
              </w:rPr>
              <w:t>0,613 [CI:</w:t>
            </w:r>
            <w:r w:rsidRPr="00741122">
              <w:rPr>
                <w:rFonts w:ascii="Times New Roman" w:eastAsia="Times New Roman" w:hAnsi="Times New Roman" w:cs="Times New Roman"/>
                <w:sz w:val="22"/>
                <w:szCs w:val="22"/>
                <w:lang w:val="lt-LT"/>
              </w:rPr>
              <w:t xml:space="preserve"> 0,521</w:t>
            </w:r>
            <w:r w:rsidR="00E0461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0,721]</w:t>
            </w:r>
          </w:p>
        </w:tc>
      </w:tr>
      <w:tr w:rsidR="00D81700" w:rsidRPr="00741122" w14:paraId="3CFD3570" w14:textId="77777777" w:rsidTr="00F533B1">
        <w:trPr>
          <w:trHeight w:val="278"/>
        </w:trPr>
        <w:tc>
          <w:tcPr>
            <w:tcW w:w="2215" w:type="pct"/>
            <w:vAlign w:val="center"/>
          </w:tcPr>
          <w:p w14:paraId="669F39E9" w14:textId="77777777" w:rsidR="00D81700" w:rsidRPr="00741122" w:rsidRDefault="00D81700" w:rsidP="003F3898">
            <w:pPr>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Wartość p</w:t>
            </w:r>
          </w:p>
        </w:tc>
        <w:tc>
          <w:tcPr>
            <w:tcW w:w="2785" w:type="pct"/>
            <w:gridSpan w:val="2"/>
            <w:vAlign w:val="center"/>
          </w:tcPr>
          <w:p w14:paraId="057D8FAB" w14:textId="77777777" w:rsidR="00D81700" w:rsidRPr="008772E4" w:rsidRDefault="00D81700" w:rsidP="008772E4">
            <w:pPr>
              <w:jc w:val="center"/>
              <w:rPr>
                <w:rFonts w:ascii="Times New Roman" w:eastAsia="Times New Roman" w:hAnsi="Times New Roman" w:cs="Times New Roman"/>
                <w:sz w:val="22"/>
                <w:szCs w:val="22"/>
                <w:lang w:val="lt-LT"/>
              </w:rPr>
            </w:pPr>
            <w:r w:rsidRPr="008772E4">
              <w:rPr>
                <w:rFonts w:ascii="Times New Roman" w:eastAsia="Times New Roman" w:hAnsi="Times New Roman" w:cs="Times New Roman"/>
                <w:sz w:val="22"/>
                <w:szCs w:val="22"/>
                <w:lang w:val="lt-LT"/>
              </w:rPr>
              <w:t>&lt;</w:t>
            </w:r>
            <w:r w:rsidR="002D562B">
              <w:rPr>
                <w:rFonts w:ascii="Times New Roman" w:eastAsia="Times New Roman" w:hAnsi="Times New Roman" w:cs="Times New Roman"/>
                <w:sz w:val="22"/>
                <w:szCs w:val="22"/>
                <w:lang w:val="lt-LT"/>
              </w:rPr>
              <w:t xml:space="preserve"> </w:t>
            </w:r>
            <w:r w:rsidRPr="008772E4">
              <w:rPr>
                <w:rFonts w:ascii="Times New Roman" w:eastAsia="Times New Roman" w:hAnsi="Times New Roman" w:cs="Times New Roman"/>
                <w:sz w:val="22"/>
                <w:szCs w:val="22"/>
                <w:lang w:val="lt-LT"/>
              </w:rPr>
              <w:t>0,0001</w:t>
            </w:r>
          </w:p>
        </w:tc>
      </w:tr>
    </w:tbl>
    <w:p w14:paraId="58F7EADE" w14:textId="4C3ACF0F" w:rsidR="00C9783D" w:rsidRPr="00741122" w:rsidRDefault="00071CFE" w:rsidP="001C5E60">
      <w:pPr>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t>1</w:t>
      </w:r>
      <w:r w:rsidR="00C9783D" w:rsidRPr="00741122">
        <w:rPr>
          <w:rFonts w:ascii="Times New Roman" w:eastAsia="Times New Roman" w:hAnsi="Times New Roman"/>
          <w:vertAlign w:val="superscript"/>
          <w:lang w:val="lt-LT"/>
        </w:rPr>
        <w:tab/>
      </w:r>
      <w:r w:rsidR="00FD7F9C">
        <w:rPr>
          <w:rFonts w:ascii="Times New Roman" w:eastAsia="Times New Roman" w:hAnsi="Times New Roman"/>
          <w:lang w:val="lt-LT"/>
        </w:rPr>
        <w:t>an</w:t>
      </w:r>
      <w:r w:rsidRPr="00741122">
        <w:rPr>
          <w:rFonts w:ascii="Times New Roman" w:eastAsia="Times New Roman" w:hAnsi="Times New Roman"/>
          <w:lang w:val="lt-LT"/>
        </w:rPr>
        <w:t>aliza końcowa</w:t>
      </w:r>
      <w:r w:rsidR="00754B1C">
        <w:rPr>
          <w:rFonts w:ascii="Times New Roman" w:eastAsia="Times New Roman" w:hAnsi="Times New Roman"/>
          <w:lang w:val="lt-LT"/>
        </w:rPr>
        <w:t>.</w:t>
      </w:r>
    </w:p>
    <w:p w14:paraId="39FA370B" w14:textId="77777777" w:rsidR="00071CFE" w:rsidRDefault="00071CFE" w:rsidP="001C5E60">
      <w:pPr>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t>2</w:t>
      </w:r>
      <w:r w:rsidR="00C9783D" w:rsidRPr="00741122">
        <w:rPr>
          <w:rFonts w:ascii="Times New Roman" w:eastAsia="Times New Roman" w:hAnsi="Times New Roman"/>
          <w:vertAlign w:val="superscript"/>
          <w:lang w:val="lt-LT"/>
        </w:rPr>
        <w:tab/>
      </w:r>
      <w:r w:rsidRPr="00741122">
        <w:rPr>
          <w:rFonts w:ascii="Times New Roman" w:eastAsia="Times New Roman" w:hAnsi="Times New Roman"/>
          <w:lang w:val="lt-LT"/>
        </w:rPr>
        <w:t>Oceny guza i oceny odpowiedzi były dokonywane przez badaczy przy użyciu kryteriów GOG RECIST (zweryfikowane wytyczne RECIST (wersja 1.1). Eur J Cancer. 2009;45:228Y247).</w:t>
      </w:r>
    </w:p>
    <w:p w14:paraId="4F1E6628" w14:textId="77777777" w:rsidR="001C77B1" w:rsidRPr="00741122" w:rsidRDefault="001C77B1" w:rsidP="001C5E60">
      <w:pPr>
        <w:ind w:left="567" w:hanging="567"/>
        <w:rPr>
          <w:rFonts w:ascii="Times New Roman" w:eastAsia="Times New Roman" w:hAnsi="Times New Roman"/>
          <w:lang w:val="lt-LT"/>
        </w:rPr>
      </w:pPr>
    </w:p>
    <w:p w14:paraId="5C41D91B" w14:textId="77777777" w:rsidR="00C9783D" w:rsidRPr="00741122" w:rsidRDefault="00C9783D" w:rsidP="005A497F">
      <w:pPr>
        <w:keepNext/>
        <w:keepLines/>
        <w:tabs>
          <w:tab w:val="left" w:pos="567"/>
        </w:tabs>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t>a</w:t>
      </w:r>
      <w:r w:rsidRPr="00741122">
        <w:rPr>
          <w:rFonts w:ascii="Times New Roman" w:eastAsia="Times New Roman" w:hAnsi="Times New Roman"/>
          <w:lang w:val="lt-LT"/>
        </w:rPr>
        <w:tab/>
      </w:r>
      <w:r w:rsidR="00071CFE" w:rsidRPr="00741122">
        <w:rPr>
          <w:rFonts w:ascii="Times New Roman" w:eastAsia="Times New Roman" w:hAnsi="Times New Roman"/>
          <w:lang w:val="lt-LT"/>
        </w:rPr>
        <w:t>Współczynnik ryzyka wyliczano przy użyciu modeli proporcjonalnych hazardów Coxa ze stratyfikacją według długości okresu bez przyjmowania związków platyny przed włączeniem do tego badania, na podstawie zapisów w eCRF (elektronicznej karcie obserwacji klinicznej) i statusu Tak/Nie względem wtórnej operacji usuwania nowotworu (Tak = randomizacja do grupy oddawanej cytoredukcji lub randomizacja do grupy niepoddawanej cytoredukcji; Nie</w:t>
      </w:r>
      <w:r w:rsidR="002D562B">
        <w:rPr>
          <w:rFonts w:ascii="Times New Roman" w:eastAsia="Times New Roman" w:hAnsi="Times New Roman"/>
          <w:lang w:val="lt-LT"/>
        </w:rPr>
        <w:t xml:space="preserve"> </w:t>
      </w:r>
      <w:r w:rsidR="00071CFE" w:rsidRPr="00741122">
        <w:rPr>
          <w:rFonts w:ascii="Times New Roman" w:eastAsia="Times New Roman" w:hAnsi="Times New Roman"/>
          <w:lang w:val="lt-LT"/>
        </w:rPr>
        <w:t xml:space="preserve">= pacjent nie kwalifikuje się lub nie </w:t>
      </w:r>
      <w:r w:rsidRPr="00741122">
        <w:rPr>
          <w:rFonts w:ascii="Times New Roman" w:eastAsia="Times New Roman" w:hAnsi="Times New Roman"/>
          <w:lang w:val="lt-LT"/>
        </w:rPr>
        <w:t>wyraził zgody na cytoredukcję).</w:t>
      </w:r>
    </w:p>
    <w:p w14:paraId="6532D313" w14:textId="000BB9CC" w:rsidR="00071CFE" w:rsidRPr="003E6678" w:rsidRDefault="00C9783D" w:rsidP="001C5E60">
      <w:pPr>
        <w:tabs>
          <w:tab w:val="left" w:pos="567"/>
        </w:tabs>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t>b</w:t>
      </w:r>
      <w:r w:rsidRPr="00741122">
        <w:rPr>
          <w:rFonts w:ascii="Times New Roman" w:eastAsia="Times New Roman" w:hAnsi="Times New Roman"/>
          <w:lang w:val="lt-LT"/>
        </w:rPr>
        <w:tab/>
      </w:r>
      <w:r w:rsidR="00100305">
        <w:rPr>
          <w:rFonts w:ascii="Times New Roman" w:eastAsia="Times New Roman" w:hAnsi="Times New Roman"/>
          <w:lang w:val="lt-LT"/>
        </w:rPr>
        <w:t>S</w:t>
      </w:r>
      <w:r w:rsidR="00071CFE" w:rsidRPr="00741122">
        <w:rPr>
          <w:rFonts w:ascii="Times New Roman" w:eastAsia="Times New Roman" w:hAnsi="Times New Roman"/>
          <w:lang w:val="lt-LT"/>
        </w:rPr>
        <w:t>tratyfikacja według długości okresu bez leczenia przed włączeniem do tego badania na podstawie zapisów w formularzu rejestracyjnym i według statusu Tak/Nie względem wtórnej operacji cytoredukcji</w:t>
      </w:r>
      <w:r w:rsidR="00F244EA">
        <w:rPr>
          <w:rFonts w:ascii="Times New Roman" w:eastAsia="Times New Roman" w:hAnsi="Times New Roman"/>
          <w:lang w:val="lt-LT"/>
        </w:rPr>
        <w:t>.</w:t>
      </w:r>
    </w:p>
    <w:p w14:paraId="69D859D0" w14:textId="77777777" w:rsidR="00071CFE" w:rsidRPr="00741122" w:rsidRDefault="00071CFE" w:rsidP="001C5E60">
      <w:pPr>
        <w:rPr>
          <w:rFonts w:ascii="Times New Roman" w:eastAsia="Times New Roman" w:hAnsi="Times New Roman"/>
          <w:sz w:val="22"/>
          <w:szCs w:val="22"/>
          <w:lang w:val="lt-LT"/>
        </w:rPr>
      </w:pPr>
    </w:p>
    <w:p w14:paraId="2BFA7F91" w14:textId="77777777" w:rsidR="00071CFE" w:rsidRPr="00741122" w:rsidRDefault="00071CFE" w:rsidP="001C5E60">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Badanie osiągnęło pierwszorzędowy punkt końcowy w zakresie poprawy OS. Leczen</w:t>
      </w:r>
      <w:r w:rsidR="001C5E60" w:rsidRPr="00741122">
        <w:rPr>
          <w:rFonts w:ascii="Times New Roman" w:eastAsia="Times New Roman" w:hAnsi="Times New Roman"/>
          <w:sz w:val="22"/>
          <w:szCs w:val="22"/>
          <w:lang w:val="lt-LT"/>
        </w:rPr>
        <w:t xml:space="preserve">ie </w:t>
      </w:r>
      <w:r w:rsidR="00F11CE8">
        <w:rPr>
          <w:rFonts w:ascii="Times New Roman" w:eastAsia="Times New Roman" w:hAnsi="Times New Roman" w:cs="Times New Roman"/>
          <w:sz w:val="22"/>
          <w:szCs w:val="22"/>
          <w:lang w:val="lt-LT"/>
        </w:rPr>
        <w:t>bewacyzumabem</w:t>
      </w:r>
      <w:r w:rsidR="001C5E60" w:rsidRPr="00741122">
        <w:rPr>
          <w:rFonts w:ascii="Times New Roman" w:eastAsia="Times New Roman" w:hAnsi="Times New Roman"/>
          <w:sz w:val="22"/>
          <w:szCs w:val="22"/>
          <w:lang w:val="lt-LT"/>
        </w:rPr>
        <w:t xml:space="preserve"> w dawce 15 </w:t>
      </w:r>
      <w:r w:rsidRPr="00741122">
        <w:rPr>
          <w:rFonts w:ascii="Times New Roman" w:eastAsia="Times New Roman" w:hAnsi="Times New Roman"/>
          <w:sz w:val="22"/>
          <w:szCs w:val="22"/>
          <w:lang w:val="lt-LT"/>
        </w:rPr>
        <w:t>mg/kg</w:t>
      </w:r>
      <w:r w:rsidR="00A74176">
        <w:rPr>
          <w:rFonts w:ascii="Times New Roman" w:eastAsia="Times New Roman" w:hAnsi="Times New Roman"/>
          <w:sz w:val="22"/>
          <w:szCs w:val="22"/>
          <w:lang w:val="lt-LT"/>
        </w:rPr>
        <w:t> </w:t>
      </w:r>
      <w:r w:rsidRPr="00741122">
        <w:rPr>
          <w:rFonts w:ascii="Times New Roman" w:eastAsia="Times New Roman" w:hAnsi="Times New Roman"/>
          <w:sz w:val="22"/>
          <w:szCs w:val="22"/>
          <w:lang w:val="lt-LT"/>
        </w:rPr>
        <w:t xml:space="preserve">mc. podawanej co 3 tygodnie w skojarzeniu z chemioterapią (karboplatyna i paklitaksel) przez 6 do 8 cykli, z kontynuacją leczenia </w:t>
      </w:r>
      <w:r w:rsidR="00F11CE8">
        <w:rPr>
          <w:rFonts w:ascii="Times New Roman" w:eastAsia="Times New Roman" w:hAnsi="Times New Roman" w:cs="Times New Roman"/>
          <w:sz w:val="22"/>
          <w:szCs w:val="22"/>
          <w:lang w:val="lt-LT"/>
        </w:rPr>
        <w:t>bewacyzumabem</w:t>
      </w:r>
      <w:r w:rsidRPr="00741122">
        <w:rPr>
          <w:rFonts w:ascii="Times New Roman" w:eastAsia="Times New Roman" w:hAnsi="Times New Roman"/>
          <w:sz w:val="22"/>
          <w:szCs w:val="22"/>
          <w:lang w:val="lt-LT"/>
        </w:rPr>
        <w:t xml:space="preserve"> w monoterapii, aż do</w:t>
      </w:r>
      <w:bookmarkStart w:id="51" w:name="page49"/>
      <w:bookmarkEnd w:id="51"/>
      <w:r w:rsidR="001C5E60"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wyst</w:t>
      </w:r>
      <w:r w:rsidR="00680B01">
        <w:rPr>
          <w:rFonts w:ascii="Times New Roman" w:eastAsia="Times New Roman" w:hAnsi="Times New Roman"/>
          <w:sz w:val="22"/>
          <w:szCs w:val="22"/>
          <w:lang w:val="lt-LT"/>
        </w:rPr>
        <w:t>ą</w:t>
      </w:r>
      <w:r w:rsidRPr="00741122">
        <w:rPr>
          <w:rFonts w:ascii="Times New Roman" w:eastAsia="Times New Roman" w:hAnsi="Times New Roman"/>
          <w:sz w:val="22"/>
          <w:szCs w:val="22"/>
          <w:lang w:val="lt-LT"/>
        </w:rPr>
        <w:t>pienia progresji choroby lub działania toksycznego niemożliwego do zaakceptowania wykazało, po odczytaniu danych otrzymanych z eCRF, klinicznie istotną i statystycznie znamienną poprawę OS w porównaniu z leczeniem tylko karboplatyną i paklitakselem.</w:t>
      </w:r>
    </w:p>
    <w:p w14:paraId="43FCB2F2" w14:textId="77777777" w:rsidR="00071CFE" w:rsidRPr="00741122" w:rsidRDefault="00071CFE" w:rsidP="001C5E60">
      <w:pPr>
        <w:rPr>
          <w:rFonts w:ascii="Times New Roman" w:eastAsia="Times New Roman" w:hAnsi="Times New Roman"/>
          <w:sz w:val="22"/>
          <w:szCs w:val="22"/>
          <w:lang w:val="lt-LT"/>
        </w:rPr>
      </w:pPr>
    </w:p>
    <w:p w14:paraId="5069BC83" w14:textId="77777777" w:rsidR="00071CFE" w:rsidRPr="00741122" w:rsidRDefault="00071CFE" w:rsidP="001C5E60">
      <w:pPr>
        <w:rPr>
          <w:rFonts w:ascii="Times New Roman" w:eastAsia="Times New Roman" w:hAnsi="Times New Roman"/>
          <w:i/>
          <w:sz w:val="22"/>
          <w:szCs w:val="22"/>
          <w:lang w:val="lt-LT"/>
        </w:rPr>
      </w:pPr>
      <w:r w:rsidRPr="00741122">
        <w:rPr>
          <w:rFonts w:ascii="Times New Roman" w:eastAsia="Times New Roman" w:hAnsi="Times New Roman"/>
          <w:i/>
          <w:sz w:val="22"/>
          <w:szCs w:val="22"/>
          <w:lang w:val="lt-LT"/>
        </w:rPr>
        <w:t>MO22224</w:t>
      </w:r>
    </w:p>
    <w:p w14:paraId="0371DC30" w14:textId="77777777" w:rsidR="000558EF" w:rsidRDefault="00071CFE" w:rsidP="001C5E60">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W badaniu MO22224 oceniano skuteczność i bezpieczeństwo bewacyzumabu w skojarzeniu</w:t>
      </w:r>
      <w:r w:rsidR="001C5E60"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z chemioterapią w leczeniu u pacjentów z opornym na związki platyny nawrotowym rakiem jajnika, rakiem jajowodu lub pierwotnym rakiem otrzewnej. Było to badanie III fazy, prowadzone metodą otwartej próby, randomizowane, w dwóch grupach, oceniające bewacyzumab w skojarzeniu</w:t>
      </w:r>
      <w:r w:rsidR="001C5E60" w:rsidRPr="00741122">
        <w:rPr>
          <w:rFonts w:ascii="Times New Roman" w:eastAsia="Times New Roman" w:hAnsi="Times New Roman"/>
          <w:sz w:val="22"/>
          <w:szCs w:val="22"/>
          <w:lang w:val="lt-LT"/>
        </w:rPr>
        <w:t xml:space="preserve"> </w:t>
      </w:r>
      <w:r w:rsidRPr="00741122">
        <w:rPr>
          <w:rFonts w:ascii="Times New Roman" w:eastAsia="Times New Roman" w:hAnsi="Times New Roman"/>
          <w:sz w:val="22"/>
          <w:szCs w:val="22"/>
          <w:lang w:val="lt-LT"/>
        </w:rPr>
        <w:t xml:space="preserve">z chemioterapią (CT+BV) w porównaniu </w:t>
      </w:r>
      <w:r w:rsidR="00680B01">
        <w:rPr>
          <w:rFonts w:ascii="Times New Roman" w:eastAsia="Times New Roman" w:hAnsi="Times New Roman"/>
          <w:sz w:val="22"/>
          <w:szCs w:val="22"/>
          <w:lang w:val="lt-LT"/>
        </w:rPr>
        <w:t>z</w:t>
      </w:r>
      <w:r w:rsidRPr="00741122">
        <w:rPr>
          <w:rFonts w:ascii="Times New Roman" w:eastAsia="Times New Roman" w:hAnsi="Times New Roman"/>
          <w:sz w:val="22"/>
          <w:szCs w:val="22"/>
          <w:lang w:val="lt-LT"/>
        </w:rPr>
        <w:t xml:space="preserve"> sam</w:t>
      </w:r>
      <w:r w:rsidR="00680B01">
        <w:rPr>
          <w:rFonts w:ascii="Times New Roman" w:eastAsia="Times New Roman" w:hAnsi="Times New Roman"/>
          <w:sz w:val="22"/>
          <w:szCs w:val="22"/>
          <w:lang w:val="lt-LT"/>
        </w:rPr>
        <w:t>ą</w:t>
      </w:r>
      <w:r w:rsidRPr="00741122">
        <w:rPr>
          <w:rFonts w:ascii="Times New Roman" w:eastAsia="Times New Roman" w:hAnsi="Times New Roman"/>
          <w:sz w:val="22"/>
          <w:szCs w:val="22"/>
          <w:lang w:val="lt-LT"/>
        </w:rPr>
        <w:t xml:space="preserve"> chemioterapi</w:t>
      </w:r>
      <w:r w:rsidR="00680B01">
        <w:rPr>
          <w:rFonts w:ascii="Times New Roman" w:eastAsia="Times New Roman" w:hAnsi="Times New Roman"/>
          <w:sz w:val="22"/>
          <w:szCs w:val="22"/>
          <w:lang w:val="lt-LT"/>
        </w:rPr>
        <w:t>ą</w:t>
      </w:r>
      <w:r w:rsidRPr="00741122">
        <w:rPr>
          <w:rFonts w:ascii="Times New Roman" w:eastAsia="Times New Roman" w:hAnsi="Times New Roman"/>
          <w:sz w:val="22"/>
          <w:szCs w:val="22"/>
          <w:lang w:val="lt-LT"/>
        </w:rPr>
        <w:t xml:space="preserve"> (CT).</w:t>
      </w:r>
    </w:p>
    <w:p w14:paraId="4218D4CF" w14:textId="77777777" w:rsidR="007826D6" w:rsidRDefault="007826D6" w:rsidP="001C5E60">
      <w:pPr>
        <w:rPr>
          <w:rFonts w:ascii="Times New Roman" w:eastAsia="Times New Roman" w:hAnsi="Times New Roman"/>
          <w:sz w:val="22"/>
          <w:szCs w:val="22"/>
          <w:lang w:val="lt-LT"/>
        </w:rPr>
      </w:pPr>
    </w:p>
    <w:p w14:paraId="4DA8EBF4" w14:textId="77777777" w:rsidR="00071CFE" w:rsidRPr="00741122" w:rsidRDefault="00071CFE" w:rsidP="006046D7">
      <w:pPr>
        <w:keepNext/>
        <w:keepLines/>
        <w:rPr>
          <w:rFonts w:ascii="Times New Roman" w:eastAsia="Times New Roman" w:hAnsi="Times New Roman"/>
          <w:sz w:val="22"/>
          <w:szCs w:val="22"/>
          <w:lang w:val="lt-LT"/>
        </w:rPr>
      </w:pPr>
      <w:r w:rsidRPr="00741122">
        <w:rPr>
          <w:rFonts w:ascii="Times New Roman" w:eastAsia="Times New Roman" w:hAnsi="Times New Roman"/>
          <w:sz w:val="22"/>
          <w:szCs w:val="22"/>
          <w:lang w:val="lt-LT"/>
        </w:rPr>
        <w:lastRenderedPageBreak/>
        <w:t xml:space="preserve">Do badania włączono ogółem 361 pacjentów, którym podawano wyłącznie chemioterapię (paklitaksel, topotekan, lub pegylowaną liposomalną doksorubicynę </w:t>
      </w:r>
      <w:r w:rsidR="00680B01">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PLD</w:t>
      </w:r>
      <w:r w:rsidR="00680B01">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lub chemioterapię w skojarzeniu z bewacyzumabem:</w:t>
      </w:r>
    </w:p>
    <w:p w14:paraId="6470D8EA" w14:textId="77777777" w:rsidR="00071CFE" w:rsidRPr="00741122" w:rsidRDefault="00071CFE" w:rsidP="006046D7">
      <w:pPr>
        <w:keepNext/>
        <w:keepLines/>
        <w:rPr>
          <w:rFonts w:ascii="Times New Roman" w:eastAsia="Times New Roman" w:hAnsi="Times New Roman" w:cs="Times New Roman"/>
          <w:sz w:val="22"/>
          <w:szCs w:val="22"/>
          <w:lang w:val="lt-LT"/>
        </w:rPr>
      </w:pPr>
    </w:p>
    <w:p w14:paraId="583E6AB7" w14:textId="77777777" w:rsidR="00071CFE" w:rsidRPr="00741122" w:rsidRDefault="00071CFE" w:rsidP="006046D7">
      <w:pPr>
        <w:keepNext/>
        <w:keepLines/>
        <w:numPr>
          <w:ilvl w:val="0"/>
          <w:numId w:val="91"/>
        </w:numPr>
        <w:tabs>
          <w:tab w:val="left" w:pos="560"/>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Grupa CT (wyłącznie chemioterapia):</w:t>
      </w:r>
      <w:r w:rsidR="001C5E60" w:rsidRPr="00741122">
        <w:rPr>
          <w:rFonts w:ascii="Times New Roman" w:eastAsia="Arial" w:hAnsi="Times New Roman" w:cs="Times New Roman"/>
          <w:sz w:val="22"/>
          <w:szCs w:val="22"/>
          <w:lang w:val="lt-LT"/>
        </w:rPr>
        <w:t xml:space="preserve"> </w:t>
      </w:r>
    </w:p>
    <w:p w14:paraId="6D90C2EC" w14:textId="77777777" w:rsidR="00071CFE" w:rsidRPr="00741122" w:rsidRDefault="00071CFE" w:rsidP="006046D7">
      <w:pPr>
        <w:keepNext/>
        <w:keepLines/>
        <w:numPr>
          <w:ilvl w:val="0"/>
          <w:numId w:val="91"/>
        </w:numPr>
        <w:tabs>
          <w:tab w:val="left" w:pos="1134"/>
        </w:tabs>
        <w:ind w:left="1134"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w:t>
      </w:r>
      <w:r w:rsidR="001C5E60" w:rsidRPr="00741122">
        <w:rPr>
          <w:rFonts w:ascii="Times New Roman" w:eastAsia="Times New Roman" w:hAnsi="Times New Roman" w:cs="Times New Roman"/>
          <w:sz w:val="22"/>
          <w:szCs w:val="22"/>
          <w:lang w:val="lt-LT"/>
        </w:rPr>
        <w:t>aklitaksel 80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w postaci 1-godzinnego wlewu dożylnego w dniu 1</w:t>
      </w:r>
      <w:r w:rsidR="00680B01">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8</w:t>
      </w:r>
      <w:r w:rsidR="00680B01">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15</w:t>
      </w:r>
      <w:r w:rsidR="00680B01">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oraz 22</w:t>
      </w:r>
      <w:r w:rsidR="00680B01">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co 4 tygodnie.</w:t>
      </w:r>
    </w:p>
    <w:p w14:paraId="6592CCC5" w14:textId="77777777" w:rsidR="00071CFE" w:rsidRPr="00741122" w:rsidRDefault="001C5E60" w:rsidP="006046D7">
      <w:pPr>
        <w:keepNext/>
        <w:keepLines/>
        <w:numPr>
          <w:ilvl w:val="0"/>
          <w:numId w:val="91"/>
        </w:numPr>
        <w:tabs>
          <w:tab w:val="left" w:pos="1134"/>
        </w:tabs>
        <w:ind w:left="1134"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Topotekan 4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30-minutowego </w:t>
      </w:r>
      <w:r w:rsidR="00C422AE">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dożylne</w:t>
      </w:r>
      <w:r w:rsidR="00C422AE">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w:t>
      </w:r>
      <w:r w:rsidR="00680B0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8</w:t>
      </w:r>
      <w:r w:rsidR="00680B0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oraz 15</w:t>
      </w:r>
      <w:r w:rsidR="00680B0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co</w:t>
      </w:r>
      <w:r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4 tygodnie. Alterna</w:t>
      </w:r>
      <w:r w:rsidRPr="00741122">
        <w:rPr>
          <w:rFonts w:ascii="Times New Roman" w:eastAsia="Times New Roman" w:hAnsi="Times New Roman" w:cs="Times New Roman"/>
          <w:sz w:val="22"/>
          <w:szCs w:val="22"/>
          <w:lang w:val="lt-LT"/>
        </w:rPr>
        <w:t>tywnie można podawać dawkę 1,25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przez 30 minut w dniach 1-5</w:t>
      </w:r>
      <w:r w:rsidR="00680B0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co 3 tygodnie.</w:t>
      </w:r>
      <w:r w:rsidRPr="00741122">
        <w:rPr>
          <w:rFonts w:ascii="Times New Roman" w:eastAsia="Times New Roman" w:hAnsi="Times New Roman" w:cs="Times New Roman"/>
          <w:sz w:val="22"/>
          <w:szCs w:val="22"/>
          <w:lang w:val="lt-LT"/>
        </w:rPr>
        <w:t xml:space="preserve"> </w:t>
      </w:r>
    </w:p>
    <w:p w14:paraId="4BC69747" w14:textId="77777777" w:rsidR="00071CFE" w:rsidRPr="00741122" w:rsidRDefault="001C5E60" w:rsidP="009C01F1">
      <w:pPr>
        <w:numPr>
          <w:ilvl w:val="0"/>
          <w:numId w:val="91"/>
        </w:numPr>
        <w:tabs>
          <w:tab w:val="left" w:pos="1134"/>
        </w:tabs>
        <w:ind w:left="1134"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PLD 40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w:t>
      </w:r>
      <w:r w:rsidRPr="00741122">
        <w:rPr>
          <w:rFonts w:ascii="Times New Roman" w:eastAsia="Times New Roman" w:hAnsi="Times New Roman" w:cs="Times New Roman"/>
          <w:sz w:val="22"/>
          <w:szCs w:val="22"/>
          <w:lang w:val="lt-LT"/>
        </w:rPr>
        <w:t xml:space="preserve">aci </w:t>
      </w:r>
      <w:r w:rsidR="00C422AE">
        <w:rPr>
          <w:rFonts w:ascii="Times New Roman" w:eastAsia="Times New Roman" w:hAnsi="Times New Roman" w:cs="Times New Roman"/>
          <w:sz w:val="22"/>
          <w:szCs w:val="22"/>
          <w:lang w:val="lt-LT"/>
        </w:rPr>
        <w:t>infuzji</w:t>
      </w:r>
      <w:r w:rsidRPr="00741122">
        <w:rPr>
          <w:rFonts w:ascii="Times New Roman" w:eastAsia="Times New Roman" w:hAnsi="Times New Roman" w:cs="Times New Roman"/>
          <w:sz w:val="22"/>
          <w:szCs w:val="22"/>
          <w:lang w:val="lt-LT"/>
        </w:rPr>
        <w:t xml:space="preserve"> dożylne</w:t>
      </w:r>
      <w:r w:rsidR="00C422AE">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1 </w:t>
      </w:r>
      <w:r w:rsidR="00071CFE" w:rsidRPr="00741122">
        <w:rPr>
          <w:rFonts w:ascii="Times New Roman" w:eastAsia="Times New Roman" w:hAnsi="Times New Roman" w:cs="Times New Roman"/>
          <w:sz w:val="22"/>
          <w:szCs w:val="22"/>
          <w:lang w:val="lt-LT"/>
        </w:rPr>
        <w:t>mg/min wyłącznie w 1</w:t>
      </w:r>
      <w:r w:rsidR="00680B0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dniu co 4 tygodnie. Po zakończeniu 1</w:t>
      </w:r>
      <w:r w:rsidR="00680B0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cyklu lek można podawać w postaci 1-godzinne</w:t>
      </w:r>
      <w:r w:rsidR="00C422AE">
        <w:rPr>
          <w:rFonts w:ascii="Times New Roman" w:eastAsia="Times New Roman" w:hAnsi="Times New Roman" w:cs="Times New Roman"/>
          <w:sz w:val="22"/>
          <w:szCs w:val="22"/>
          <w:lang w:val="lt-LT"/>
        </w:rPr>
        <w:t>j</w:t>
      </w:r>
      <w:r w:rsidR="00C422AE" w:rsidRPr="00C422AE">
        <w:rPr>
          <w:rFonts w:ascii="Times New Roman" w:eastAsia="Times New Roman" w:hAnsi="Times New Roman" w:cs="Times New Roman"/>
          <w:sz w:val="22"/>
          <w:szCs w:val="22"/>
          <w:lang w:val="lt-LT"/>
        </w:rPr>
        <w:t xml:space="preserve"> </w:t>
      </w:r>
      <w:r w:rsidR="00C422AE">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t>
      </w:r>
    </w:p>
    <w:p w14:paraId="1CA66659" w14:textId="77777777" w:rsidR="00071CFE" w:rsidRPr="00741122" w:rsidRDefault="00071CFE" w:rsidP="008A5502">
      <w:pPr>
        <w:numPr>
          <w:ilvl w:val="0"/>
          <w:numId w:val="91"/>
        </w:numPr>
        <w:tabs>
          <w:tab w:val="left" w:pos="560"/>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Grupa CT+BV (chemioterapia plus bewacyzumab):</w:t>
      </w:r>
      <w:r w:rsidR="001C5E60" w:rsidRPr="00741122">
        <w:rPr>
          <w:rFonts w:ascii="Times New Roman" w:eastAsia="Times New Roman" w:hAnsi="Times New Roman" w:cs="Times New Roman"/>
          <w:sz w:val="22"/>
          <w:szCs w:val="22"/>
          <w:lang w:val="lt-LT"/>
        </w:rPr>
        <w:t xml:space="preserve"> </w:t>
      </w:r>
    </w:p>
    <w:p w14:paraId="36B118DC" w14:textId="77777777" w:rsidR="00071CFE" w:rsidRPr="00741122" w:rsidRDefault="00071CFE" w:rsidP="008A5502">
      <w:pPr>
        <w:numPr>
          <w:ilvl w:val="0"/>
          <w:numId w:val="91"/>
        </w:numPr>
        <w:tabs>
          <w:tab w:val="left" w:pos="1134"/>
        </w:tabs>
        <w:ind w:left="1134"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Wybraną chemioterapię podawano w</w:t>
      </w:r>
      <w:r w:rsidR="001C5E60" w:rsidRPr="00741122">
        <w:rPr>
          <w:rFonts w:ascii="Times New Roman" w:eastAsia="Times New Roman" w:hAnsi="Times New Roman" w:cs="Times New Roman"/>
          <w:sz w:val="22"/>
          <w:szCs w:val="22"/>
          <w:lang w:val="lt-LT"/>
        </w:rPr>
        <w:t xml:space="preserve"> skojarzeniu z bewacyzumabem 10 </w:t>
      </w:r>
      <w:r w:rsidRPr="00741122">
        <w:rPr>
          <w:rFonts w:ascii="Times New Roman" w:eastAsia="Times New Roman" w:hAnsi="Times New Roman" w:cs="Times New Roman"/>
          <w:sz w:val="22"/>
          <w:szCs w:val="22"/>
          <w:lang w:val="lt-LT"/>
        </w:rPr>
        <w:t>mg/kg</w:t>
      </w:r>
      <w:r w:rsidR="00680B01">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w postaci </w:t>
      </w:r>
      <w:r w:rsidR="00C422AE">
        <w:rPr>
          <w:rFonts w:ascii="Times New Roman" w:eastAsia="Times New Roman" w:hAnsi="Times New Roman" w:cs="Times New Roman"/>
          <w:sz w:val="22"/>
          <w:szCs w:val="22"/>
          <w:lang w:val="lt-LT"/>
        </w:rPr>
        <w:t>infuzji</w:t>
      </w:r>
      <w:r w:rsidR="00C422AE"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dożylne</w:t>
      </w:r>
      <w:r w:rsidR="00C422AE">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co 2</w:t>
      </w:r>
      <w:r w:rsidR="001C5E60" w:rsidRPr="00741122">
        <w:rPr>
          <w:rFonts w:ascii="Times New Roman" w:eastAsia="Times New Roman" w:hAnsi="Times New Roman" w:cs="Times New Roman"/>
          <w:sz w:val="22"/>
          <w:szCs w:val="22"/>
          <w:lang w:val="lt-LT"/>
        </w:rPr>
        <w:t xml:space="preserve"> tygodnie (lub bewacyzumabem 15 </w:t>
      </w:r>
      <w:r w:rsidRPr="00741122">
        <w:rPr>
          <w:rFonts w:ascii="Times New Roman" w:eastAsia="Times New Roman" w:hAnsi="Times New Roman" w:cs="Times New Roman"/>
          <w:sz w:val="22"/>
          <w:szCs w:val="22"/>
          <w:lang w:val="lt-LT"/>
        </w:rPr>
        <w:t>mg/kg</w:t>
      </w:r>
      <w:r w:rsidR="00680B01">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3 tygodnie, jeśli lek podawano w</w:t>
      </w:r>
      <w:r w:rsidR="001C5E60" w:rsidRPr="00741122">
        <w:rPr>
          <w:rFonts w:ascii="Times New Roman" w:eastAsia="Times New Roman" w:hAnsi="Times New Roman" w:cs="Times New Roman"/>
          <w:sz w:val="22"/>
          <w:szCs w:val="22"/>
          <w:lang w:val="lt-LT"/>
        </w:rPr>
        <w:t xml:space="preserve"> skojarzeniu z topotekanem 1,25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w dni 1–5</w:t>
      </w:r>
      <w:r w:rsidR="00680B01">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co 3 tygodnie).</w:t>
      </w:r>
    </w:p>
    <w:p w14:paraId="43137010" w14:textId="77777777" w:rsidR="00071CFE" w:rsidRPr="00741122" w:rsidRDefault="00071CFE" w:rsidP="00607354">
      <w:pPr>
        <w:rPr>
          <w:rFonts w:ascii="Times New Roman" w:eastAsia="Times New Roman" w:hAnsi="Times New Roman" w:cs="Times New Roman"/>
          <w:sz w:val="22"/>
          <w:szCs w:val="22"/>
          <w:lang w:val="lt-LT"/>
        </w:rPr>
      </w:pPr>
    </w:p>
    <w:p w14:paraId="5BBEDBDE" w14:textId="7A3A027D" w:rsidR="00671D29" w:rsidRDefault="00071CFE" w:rsidP="00607354">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Kryterium włączenia do badania był rak jajnika, raka jajowodu lub pierwotnego raka otrzewnej, którego progresja nastąpiła w czasie &lt;</w:t>
      </w:r>
      <w:r w:rsidR="00680B0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 miesięcy po zakończeniu poprzedniego leczenia opartego na związkach platyny, składającego się z minimum 4 cykli terapii związkami platyny. Oczekiwany czas przeżycia pacjentek powinnien być ≥</w:t>
      </w:r>
      <w:r w:rsidR="00680B0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12 tygodni, pacjentki nie mogły być wcześniej poddawane radioterapii miednicy mniejsz</w:t>
      </w:r>
      <w:r w:rsidR="00D637E1">
        <w:rPr>
          <w:rFonts w:ascii="Times New Roman" w:eastAsia="Times New Roman" w:hAnsi="Times New Roman" w:cs="Times New Roman"/>
          <w:sz w:val="22"/>
          <w:szCs w:val="22"/>
          <w:lang w:val="lt-LT"/>
        </w:rPr>
        <w:t>e</w:t>
      </w:r>
      <w:r w:rsidRPr="00741122">
        <w:rPr>
          <w:rFonts w:ascii="Times New Roman" w:eastAsia="Times New Roman" w:hAnsi="Times New Roman" w:cs="Times New Roman"/>
          <w:sz w:val="22"/>
          <w:szCs w:val="22"/>
          <w:lang w:val="lt-LT"/>
        </w:rPr>
        <w:t>j lub jamy brzusznej. U większości pacjentek stwierdzono chorobę w stopniu zaawansowania IIIC lub IV wg FIGO. Stan sprawności wg ECOG większości pacjentek</w:t>
      </w:r>
      <w:r w:rsidR="001C5E6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 obu ramionach badania oceniono na 0 (CT: 56,4% vs. CT</w:t>
      </w:r>
      <w:r w:rsidRPr="00741122">
        <w:rPr>
          <w:rFonts w:ascii="Times New Roman" w:eastAsia="Arial" w:hAnsi="Times New Roman" w:cs="Times New Roman"/>
          <w:sz w:val="22"/>
          <w:szCs w:val="22"/>
          <w:lang w:val="lt-LT"/>
        </w:rPr>
        <w:t>+</w:t>
      </w:r>
      <w:r w:rsidRPr="00741122">
        <w:rPr>
          <w:rFonts w:ascii="Times New Roman" w:eastAsia="Times New Roman" w:hAnsi="Times New Roman" w:cs="Times New Roman"/>
          <w:sz w:val="22"/>
          <w:szCs w:val="22"/>
          <w:lang w:val="lt-LT"/>
        </w:rPr>
        <w:t>BV: 61,2%). Odsetek pacjentek</w:t>
      </w:r>
      <w:r w:rsidR="00680B01">
        <w:rPr>
          <w:rFonts w:ascii="Times New Roman" w:eastAsia="Times New Roman" w:hAnsi="Times New Roman" w:cs="Times New Roman"/>
          <w:sz w:val="22"/>
          <w:szCs w:val="22"/>
          <w:lang w:val="lt-LT"/>
        </w:rPr>
        <w:t>,</w:t>
      </w:r>
      <w:r w:rsidR="001C5E6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u których stan sprawności wg ECOG oceniono na 1 lub </w:t>
      </w:r>
      <w:r w:rsidRPr="00741122">
        <w:rPr>
          <w:rFonts w:ascii="Times New Roman" w:eastAsia="Arial" w:hAnsi="Times New Roman" w:cs="Times New Roman"/>
          <w:sz w:val="22"/>
          <w:szCs w:val="22"/>
          <w:lang w:val="lt-LT"/>
        </w:rPr>
        <w:t>≥</w:t>
      </w:r>
      <w:r w:rsidR="00680B0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2 wynosił 38,7% i 5,0% w ramieniu leczonym chemioterapią, a 29,8% i 9,0% w ramieniu leczonym chemioterapią + bewacyzumabem. Informacja o rasie była dostępna w przypadku 29,3% pacjentek i prawie wszystkie pacjentki były rasy</w:t>
      </w:r>
      <w:r w:rsidR="001C5E6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białej. Średni wiek pacjentek wynosił 61,0 (zakres: 25</w:t>
      </w:r>
      <w:r w:rsidRPr="00741122">
        <w:rPr>
          <w:rFonts w:ascii="Times New Roman" w:eastAsia="Arial" w:hAnsi="Times New Roman" w:cs="Times New Roman"/>
          <w:sz w:val="22"/>
          <w:szCs w:val="22"/>
          <w:lang w:val="lt-LT"/>
        </w:rPr>
        <w:t>−</w:t>
      </w:r>
      <w:r w:rsidRPr="00741122">
        <w:rPr>
          <w:rFonts w:ascii="Times New Roman" w:eastAsia="Times New Roman" w:hAnsi="Times New Roman" w:cs="Times New Roman"/>
          <w:sz w:val="22"/>
          <w:szCs w:val="22"/>
          <w:lang w:val="lt-LT"/>
        </w:rPr>
        <w:t>84) lat. Ogółem 16 pacjentek (4,4%) miało więcej niż 75 lat. Całkowita częstość przerwania leczenia z powodu działań niepożądanych wynosiła 8,8% w ramieniu leczonym chemioterapią, a 43,6% w ramieniu leczonym chemioterapią + bewacyzumabem (w większości z powodu działań niepożądanych 2-3</w:t>
      </w:r>
      <w:r w:rsidR="00680B01">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stopnia), a średni czas do przerwania leczenia w grupie chorych leczonych chemioterapią + bewacyzumabem wynosił 5,2 miesiąca, w porównaniu z 2,4 miesiąca w grupie chemioterapii. Częstość przerwania leczenia</w:t>
      </w:r>
      <w:r w:rsidR="0096207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 powodu działań niepożądanych w podgrupie pacjentek w wieku &gt;</w:t>
      </w:r>
      <w:r w:rsidR="008F4C95">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65 lat wynosiła 8,8% w grupie leczonej chemioterapią i 50,0% w grupie leczonej chemioterapią z bewacyzumabem. Współczynnik ryzyka dla PFS wynosił 0,47 (95% CI: 0,35</w:t>
      </w:r>
      <w:r w:rsidR="00AD65EF">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0,62) oraz 0,45 (95% CI: 0,31</w:t>
      </w:r>
      <w:r w:rsidR="00AD65EF">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0,67), odpowiednio, dla</w:t>
      </w:r>
      <w:r w:rsidR="0096207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podgrup w wieku </w:t>
      </w:r>
      <w:r w:rsidRPr="00741122">
        <w:rPr>
          <w:rFonts w:ascii="Times New Roman" w:eastAsia="Arial" w:hAnsi="Times New Roman" w:cs="Times New Roman"/>
          <w:sz w:val="22"/>
          <w:szCs w:val="22"/>
          <w:lang w:val="lt-LT"/>
        </w:rPr>
        <w:t>&lt;</w:t>
      </w:r>
      <w:r w:rsidR="00680B0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65 i </w:t>
      </w:r>
      <w:r w:rsidRPr="00741122">
        <w:rPr>
          <w:rFonts w:ascii="Times New Roman" w:eastAsia="Arial" w:hAnsi="Times New Roman" w:cs="Times New Roman"/>
          <w:sz w:val="22"/>
          <w:szCs w:val="22"/>
          <w:lang w:val="lt-LT"/>
        </w:rPr>
        <w:t>≥</w:t>
      </w:r>
      <w:r w:rsidR="00680B0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65 lat.</w:t>
      </w:r>
    </w:p>
    <w:p w14:paraId="4405CD7B" w14:textId="77777777" w:rsidR="00671D29" w:rsidRDefault="00671D29" w:rsidP="00607354">
      <w:pPr>
        <w:rPr>
          <w:rFonts w:ascii="Times New Roman" w:eastAsia="Times New Roman" w:hAnsi="Times New Roman" w:cs="Times New Roman"/>
          <w:sz w:val="22"/>
          <w:szCs w:val="22"/>
          <w:lang w:val="lt-LT"/>
        </w:rPr>
      </w:pPr>
    </w:p>
    <w:p w14:paraId="2DA8CEDC" w14:textId="545567F6" w:rsidR="00071CFE" w:rsidRPr="00741122" w:rsidRDefault="00071CFE" w:rsidP="00607354">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Pierwszorzędowym punktem końcowym był czas przeżycia wolny od progresji choroby,</w:t>
      </w:r>
      <w:r w:rsidR="0092608C"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a drugorzędowe punkty końcowe obejmowały odsetek obiektywnych odpowiedzi na leczenie oraz całkowity okres przeżycia. Wy</w:t>
      </w:r>
      <w:r w:rsidR="00F544C7" w:rsidRPr="00741122">
        <w:rPr>
          <w:rFonts w:ascii="Times New Roman" w:eastAsia="Times New Roman" w:hAnsi="Times New Roman" w:cs="Times New Roman"/>
          <w:sz w:val="22"/>
          <w:szCs w:val="22"/>
          <w:lang w:val="lt-LT"/>
        </w:rPr>
        <w:t xml:space="preserve">niki przedstawiono w Tabeli </w:t>
      </w:r>
      <w:r w:rsidR="00C33782" w:rsidRPr="00741122">
        <w:rPr>
          <w:rFonts w:ascii="Times New Roman" w:eastAsia="Times New Roman" w:hAnsi="Times New Roman" w:cs="Times New Roman"/>
          <w:sz w:val="22"/>
          <w:szCs w:val="22"/>
          <w:lang w:val="lt-LT"/>
        </w:rPr>
        <w:t>2</w:t>
      </w:r>
      <w:r w:rsidR="00C33782">
        <w:rPr>
          <w:rFonts w:ascii="Times New Roman" w:eastAsia="Times New Roman" w:hAnsi="Times New Roman" w:cs="Times New Roman"/>
          <w:sz w:val="22"/>
          <w:szCs w:val="22"/>
          <w:lang w:val="lt-LT"/>
        </w:rPr>
        <w:t>3</w:t>
      </w:r>
      <w:r w:rsidR="00F544C7" w:rsidRPr="00741122">
        <w:rPr>
          <w:rFonts w:ascii="Times New Roman" w:eastAsia="Times New Roman" w:hAnsi="Times New Roman" w:cs="Times New Roman"/>
          <w:sz w:val="22"/>
          <w:szCs w:val="22"/>
          <w:lang w:val="lt-LT"/>
        </w:rPr>
        <w:t>.</w:t>
      </w:r>
    </w:p>
    <w:p w14:paraId="4014AC55" w14:textId="77777777" w:rsidR="00071CFE" w:rsidRPr="00741122" w:rsidRDefault="00071CFE" w:rsidP="00607354">
      <w:pPr>
        <w:rPr>
          <w:rFonts w:ascii="Times New Roman" w:eastAsia="Times New Roman" w:hAnsi="Times New Roman" w:cs="Times New Roman"/>
          <w:sz w:val="22"/>
          <w:szCs w:val="22"/>
          <w:lang w:val="lt-LT"/>
        </w:rPr>
      </w:pPr>
    </w:p>
    <w:p w14:paraId="74240D9F" w14:textId="7E04B348" w:rsidR="00071CFE" w:rsidRPr="00741122" w:rsidRDefault="002D6FFD" w:rsidP="006046D7">
      <w:pPr>
        <w:tabs>
          <w:tab w:val="left" w:pos="1160"/>
        </w:tabs>
        <w:spacing w:line="0" w:lineRule="atLeast"/>
        <w:ind w:left="40"/>
        <w:rPr>
          <w:rFonts w:ascii="Times New Roman" w:eastAsia="Times New Roman" w:hAnsi="Times New Roman"/>
          <w:b/>
          <w:sz w:val="21"/>
          <w:lang w:val="lt-LT"/>
        </w:rPr>
      </w:pPr>
      <w:bookmarkStart w:id="52" w:name="page50"/>
      <w:bookmarkEnd w:id="52"/>
      <w:r>
        <w:rPr>
          <w:rFonts w:ascii="Times New Roman" w:eastAsia="Times New Roman" w:hAnsi="Times New Roman"/>
          <w:b/>
          <w:sz w:val="22"/>
          <w:lang w:val="lt-LT"/>
        </w:rPr>
        <w:t xml:space="preserve">Tabela </w:t>
      </w:r>
      <w:r w:rsidR="00C33782">
        <w:rPr>
          <w:rFonts w:ascii="Times New Roman" w:eastAsia="Times New Roman" w:hAnsi="Times New Roman"/>
          <w:b/>
          <w:sz w:val="22"/>
          <w:lang w:val="lt-LT"/>
        </w:rPr>
        <w:t>23</w:t>
      </w:r>
      <w:r w:rsidR="00680B01">
        <w:rPr>
          <w:rFonts w:ascii="Times New Roman" w:eastAsia="Times New Roman" w:hAnsi="Times New Roman"/>
          <w:b/>
          <w:sz w:val="22"/>
          <w:lang w:val="lt-LT"/>
        </w:rPr>
        <w:t>.</w:t>
      </w:r>
      <w:r>
        <w:rPr>
          <w:rFonts w:ascii="Times New Roman" w:eastAsia="Times New Roman" w:hAnsi="Times New Roman"/>
          <w:b/>
          <w:sz w:val="22"/>
          <w:lang w:val="lt-LT"/>
        </w:rPr>
        <w:t xml:space="preserve"> </w:t>
      </w:r>
      <w:r w:rsidR="00071CFE" w:rsidRPr="00741122">
        <w:rPr>
          <w:rFonts w:ascii="Times New Roman" w:eastAsia="Times New Roman" w:hAnsi="Times New Roman"/>
          <w:b/>
          <w:sz w:val="21"/>
          <w:lang w:val="lt-LT"/>
        </w:rPr>
        <w:t>Wyniki badania</w:t>
      </w:r>
      <w:r w:rsidR="00EC0B52" w:rsidRPr="00741122">
        <w:rPr>
          <w:rFonts w:ascii="Times New Roman" w:eastAsia="Times New Roman" w:hAnsi="Times New Roman"/>
          <w:b/>
          <w:sz w:val="21"/>
          <w:lang w:val="lt-LT"/>
        </w:rPr>
        <w:t xml:space="preserve"> MO22224 dotyczące skuteczności</w:t>
      </w:r>
    </w:p>
    <w:p w14:paraId="262B7750" w14:textId="77777777" w:rsidR="00EC0B52" w:rsidRPr="00741122" w:rsidRDefault="00EC0B52" w:rsidP="006046D7">
      <w:pPr>
        <w:tabs>
          <w:tab w:val="left" w:pos="1160"/>
        </w:tabs>
        <w:spacing w:line="0" w:lineRule="atLeast"/>
        <w:ind w:left="40"/>
        <w:rPr>
          <w:rFonts w:ascii="Times New Roman" w:eastAsia="Times New Roman" w:hAnsi="Times New Roman"/>
          <w:b/>
          <w:sz w:val="21"/>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2733"/>
        <w:gridCol w:w="2461"/>
      </w:tblGrid>
      <w:tr w:rsidR="00DC39C8" w:rsidRPr="00741122" w14:paraId="76E9CB25" w14:textId="77777777" w:rsidTr="00F533B1">
        <w:tc>
          <w:tcPr>
            <w:tcW w:w="5000" w:type="pct"/>
            <w:gridSpan w:val="3"/>
          </w:tcPr>
          <w:p w14:paraId="6C8CF6ED" w14:textId="77777777" w:rsidR="00DC39C8" w:rsidRPr="00741122" w:rsidRDefault="00DC39C8" w:rsidP="006046D7">
            <w:pPr>
              <w:pStyle w:val="Default"/>
              <w:rPr>
                <w:sz w:val="22"/>
                <w:szCs w:val="22"/>
                <w:lang w:val="lt-LT"/>
              </w:rPr>
            </w:pPr>
            <w:r w:rsidRPr="00741122">
              <w:rPr>
                <w:sz w:val="22"/>
                <w:szCs w:val="22"/>
                <w:lang w:val="lt-LT"/>
              </w:rPr>
              <w:t>Pierwszorzędowy punkt końcowy</w:t>
            </w:r>
          </w:p>
        </w:tc>
      </w:tr>
      <w:tr w:rsidR="00DC39C8" w:rsidRPr="00C70451" w14:paraId="1D0503EF" w14:textId="77777777" w:rsidTr="00F533B1">
        <w:tc>
          <w:tcPr>
            <w:tcW w:w="5000" w:type="pct"/>
            <w:gridSpan w:val="3"/>
          </w:tcPr>
          <w:p w14:paraId="02233DC3" w14:textId="77777777" w:rsidR="00DC39C8" w:rsidRPr="00741122" w:rsidRDefault="00DC39C8" w:rsidP="006046D7">
            <w:pPr>
              <w:pStyle w:val="Default"/>
              <w:rPr>
                <w:sz w:val="22"/>
                <w:szCs w:val="22"/>
                <w:lang w:val="lt-LT"/>
              </w:rPr>
            </w:pPr>
            <w:r w:rsidRPr="00741122">
              <w:rPr>
                <w:sz w:val="22"/>
                <w:szCs w:val="22"/>
                <w:lang w:val="lt-LT"/>
              </w:rPr>
              <w:t>Czas przeżycia wolny od progresji choroby *</w:t>
            </w:r>
          </w:p>
        </w:tc>
      </w:tr>
      <w:tr w:rsidR="00DC39C8" w:rsidRPr="00741122" w14:paraId="1813797F" w14:textId="77777777" w:rsidTr="00F533B1">
        <w:tc>
          <w:tcPr>
            <w:tcW w:w="2286" w:type="pct"/>
          </w:tcPr>
          <w:p w14:paraId="6474B41A" w14:textId="77777777" w:rsidR="00DC39C8" w:rsidRPr="00741122" w:rsidRDefault="00DC39C8" w:rsidP="006046D7">
            <w:pPr>
              <w:rPr>
                <w:rFonts w:ascii="Times New Roman" w:hAnsi="Times New Roman" w:cs="Times New Roman"/>
                <w:sz w:val="22"/>
                <w:szCs w:val="22"/>
                <w:lang w:val="lt-LT"/>
              </w:rPr>
            </w:pPr>
          </w:p>
        </w:tc>
        <w:tc>
          <w:tcPr>
            <w:tcW w:w="1428" w:type="pct"/>
          </w:tcPr>
          <w:p w14:paraId="6C2E36D7" w14:textId="77777777" w:rsidR="00DC39C8" w:rsidRPr="00741122" w:rsidRDefault="00DC39C8" w:rsidP="006046D7">
            <w:pPr>
              <w:pStyle w:val="Default"/>
              <w:jc w:val="center"/>
              <w:rPr>
                <w:sz w:val="22"/>
                <w:szCs w:val="22"/>
                <w:lang w:val="lt-LT"/>
              </w:rPr>
            </w:pPr>
            <w:r w:rsidRPr="00741122">
              <w:rPr>
                <w:sz w:val="22"/>
                <w:szCs w:val="22"/>
                <w:lang w:val="lt-LT"/>
              </w:rPr>
              <w:t>CT</w:t>
            </w:r>
          </w:p>
          <w:p w14:paraId="43FAB770" w14:textId="77777777" w:rsidR="00DC39C8" w:rsidRPr="00741122" w:rsidRDefault="00DC39C8" w:rsidP="006046D7">
            <w:pPr>
              <w:pStyle w:val="Default"/>
              <w:jc w:val="center"/>
              <w:rPr>
                <w:sz w:val="22"/>
                <w:szCs w:val="22"/>
                <w:lang w:val="lt-LT"/>
              </w:rPr>
            </w:pPr>
            <w:r w:rsidRPr="00741122">
              <w:rPr>
                <w:sz w:val="22"/>
                <w:szCs w:val="22"/>
                <w:lang w:val="lt-LT"/>
              </w:rPr>
              <w:t>(n</w:t>
            </w:r>
            <w:r w:rsidR="00680B01">
              <w:rPr>
                <w:sz w:val="22"/>
                <w:szCs w:val="22"/>
                <w:lang w:val="lt-LT"/>
              </w:rPr>
              <w:t xml:space="preserve"> </w:t>
            </w:r>
            <w:r w:rsidRPr="00741122">
              <w:rPr>
                <w:sz w:val="22"/>
                <w:szCs w:val="22"/>
                <w:lang w:val="lt-LT"/>
              </w:rPr>
              <w:t>=</w:t>
            </w:r>
            <w:r w:rsidR="00680B01">
              <w:rPr>
                <w:sz w:val="22"/>
                <w:szCs w:val="22"/>
                <w:lang w:val="lt-LT"/>
              </w:rPr>
              <w:t xml:space="preserve"> </w:t>
            </w:r>
            <w:r w:rsidRPr="00741122">
              <w:rPr>
                <w:sz w:val="22"/>
                <w:szCs w:val="22"/>
                <w:lang w:val="lt-LT"/>
              </w:rPr>
              <w:t>182)</w:t>
            </w:r>
          </w:p>
        </w:tc>
        <w:tc>
          <w:tcPr>
            <w:tcW w:w="1286" w:type="pct"/>
          </w:tcPr>
          <w:p w14:paraId="045C1BBB" w14:textId="77777777" w:rsidR="00DC39C8" w:rsidRPr="00741122" w:rsidRDefault="00DC39C8" w:rsidP="006046D7">
            <w:pPr>
              <w:pStyle w:val="Default"/>
              <w:jc w:val="center"/>
              <w:rPr>
                <w:sz w:val="22"/>
                <w:szCs w:val="22"/>
                <w:lang w:val="lt-LT"/>
              </w:rPr>
            </w:pPr>
            <w:r w:rsidRPr="00741122">
              <w:rPr>
                <w:sz w:val="22"/>
                <w:szCs w:val="22"/>
                <w:lang w:val="lt-LT"/>
              </w:rPr>
              <w:t>CT+BV</w:t>
            </w:r>
          </w:p>
          <w:p w14:paraId="5CA098D1" w14:textId="77777777" w:rsidR="00DC39C8" w:rsidRPr="00741122" w:rsidRDefault="00DC39C8" w:rsidP="006046D7">
            <w:pPr>
              <w:pStyle w:val="Default"/>
              <w:jc w:val="center"/>
              <w:rPr>
                <w:sz w:val="22"/>
                <w:szCs w:val="22"/>
                <w:lang w:val="lt-LT"/>
              </w:rPr>
            </w:pPr>
            <w:r w:rsidRPr="00741122">
              <w:rPr>
                <w:sz w:val="22"/>
                <w:szCs w:val="22"/>
                <w:lang w:val="lt-LT"/>
              </w:rPr>
              <w:t>(n</w:t>
            </w:r>
            <w:r w:rsidR="00680B01">
              <w:rPr>
                <w:sz w:val="22"/>
                <w:szCs w:val="22"/>
                <w:lang w:val="lt-LT"/>
              </w:rPr>
              <w:t xml:space="preserve"> </w:t>
            </w:r>
            <w:r w:rsidRPr="00741122">
              <w:rPr>
                <w:sz w:val="22"/>
                <w:szCs w:val="22"/>
                <w:lang w:val="lt-LT"/>
              </w:rPr>
              <w:t>=</w:t>
            </w:r>
            <w:r w:rsidR="00680B01">
              <w:rPr>
                <w:sz w:val="22"/>
                <w:szCs w:val="22"/>
                <w:lang w:val="lt-LT"/>
              </w:rPr>
              <w:t xml:space="preserve"> </w:t>
            </w:r>
            <w:r w:rsidRPr="00741122">
              <w:rPr>
                <w:sz w:val="22"/>
                <w:szCs w:val="22"/>
                <w:lang w:val="lt-LT"/>
              </w:rPr>
              <w:t>179)</w:t>
            </w:r>
          </w:p>
        </w:tc>
      </w:tr>
      <w:tr w:rsidR="00DC39C8" w:rsidRPr="00741122" w14:paraId="520096B9" w14:textId="77777777" w:rsidTr="00F533B1">
        <w:tc>
          <w:tcPr>
            <w:tcW w:w="2286" w:type="pct"/>
            <w:vAlign w:val="center"/>
          </w:tcPr>
          <w:p w14:paraId="3E28C25F" w14:textId="77777777" w:rsidR="00DC39C8" w:rsidRPr="00741122" w:rsidRDefault="00DC39C8" w:rsidP="006046D7">
            <w:pPr>
              <w:pStyle w:val="Default"/>
              <w:ind w:left="567"/>
              <w:rPr>
                <w:sz w:val="22"/>
                <w:szCs w:val="22"/>
                <w:lang w:val="lt-LT"/>
              </w:rPr>
            </w:pPr>
            <w:r w:rsidRPr="00741122">
              <w:rPr>
                <w:sz w:val="22"/>
                <w:szCs w:val="22"/>
                <w:lang w:val="lt-LT"/>
              </w:rPr>
              <w:t>Mediana (miesiące)</w:t>
            </w:r>
          </w:p>
        </w:tc>
        <w:tc>
          <w:tcPr>
            <w:tcW w:w="1428" w:type="pct"/>
          </w:tcPr>
          <w:p w14:paraId="3CB58A0F" w14:textId="77777777" w:rsidR="00DC39C8" w:rsidRPr="00741122" w:rsidRDefault="00DC39C8" w:rsidP="006046D7">
            <w:pPr>
              <w:pStyle w:val="Default"/>
              <w:jc w:val="center"/>
              <w:rPr>
                <w:sz w:val="22"/>
                <w:szCs w:val="22"/>
                <w:lang w:val="lt-LT"/>
              </w:rPr>
            </w:pPr>
            <w:r w:rsidRPr="00741122">
              <w:rPr>
                <w:sz w:val="22"/>
                <w:szCs w:val="22"/>
                <w:lang w:val="lt-LT"/>
              </w:rPr>
              <w:t>3,4</w:t>
            </w:r>
          </w:p>
        </w:tc>
        <w:tc>
          <w:tcPr>
            <w:tcW w:w="1286" w:type="pct"/>
          </w:tcPr>
          <w:p w14:paraId="1B7E293C" w14:textId="77777777" w:rsidR="00DC39C8" w:rsidRPr="00741122" w:rsidRDefault="00DC39C8" w:rsidP="006046D7">
            <w:pPr>
              <w:pStyle w:val="Default"/>
              <w:jc w:val="center"/>
              <w:rPr>
                <w:sz w:val="22"/>
                <w:szCs w:val="22"/>
                <w:lang w:val="lt-LT"/>
              </w:rPr>
            </w:pPr>
            <w:r w:rsidRPr="00741122">
              <w:rPr>
                <w:sz w:val="22"/>
                <w:szCs w:val="22"/>
                <w:lang w:val="lt-LT"/>
              </w:rPr>
              <w:t>6,7</w:t>
            </w:r>
          </w:p>
        </w:tc>
      </w:tr>
      <w:tr w:rsidR="00DC39C8" w:rsidRPr="00741122" w14:paraId="1D12BC43" w14:textId="77777777" w:rsidTr="00F533B1">
        <w:tc>
          <w:tcPr>
            <w:tcW w:w="2286" w:type="pct"/>
            <w:vAlign w:val="center"/>
          </w:tcPr>
          <w:p w14:paraId="7BA30C52" w14:textId="77777777" w:rsidR="00DC39C8" w:rsidRPr="00741122" w:rsidRDefault="00DC39C8" w:rsidP="006046D7">
            <w:pPr>
              <w:pStyle w:val="Default"/>
              <w:ind w:left="567"/>
              <w:rPr>
                <w:sz w:val="22"/>
                <w:szCs w:val="22"/>
                <w:lang w:val="lt-LT"/>
              </w:rPr>
            </w:pPr>
            <w:r w:rsidRPr="00741122">
              <w:rPr>
                <w:sz w:val="22"/>
                <w:szCs w:val="22"/>
                <w:lang w:val="lt-LT"/>
              </w:rPr>
              <w:t>Współczynnik ryzyka</w:t>
            </w:r>
            <w:r w:rsidR="0032535A">
              <w:rPr>
                <w:sz w:val="22"/>
                <w:szCs w:val="22"/>
                <w:lang w:val="lt-LT"/>
              </w:rPr>
              <w:t xml:space="preserve"> </w:t>
            </w:r>
            <w:r w:rsidRPr="00741122">
              <w:rPr>
                <w:sz w:val="22"/>
                <w:szCs w:val="22"/>
                <w:lang w:val="lt-LT"/>
              </w:rPr>
              <w:t>(95% CI)</w:t>
            </w:r>
          </w:p>
        </w:tc>
        <w:tc>
          <w:tcPr>
            <w:tcW w:w="2714" w:type="pct"/>
            <w:gridSpan w:val="2"/>
          </w:tcPr>
          <w:p w14:paraId="391CB32E" w14:textId="77777777" w:rsidR="00DC39C8" w:rsidRPr="00741122" w:rsidRDefault="00DC39C8" w:rsidP="006046D7">
            <w:pPr>
              <w:pStyle w:val="Default"/>
              <w:jc w:val="center"/>
              <w:rPr>
                <w:sz w:val="22"/>
                <w:szCs w:val="22"/>
                <w:lang w:val="lt-LT"/>
              </w:rPr>
            </w:pPr>
            <w:r w:rsidRPr="00741122">
              <w:rPr>
                <w:sz w:val="22"/>
                <w:szCs w:val="22"/>
                <w:lang w:val="lt-LT"/>
              </w:rPr>
              <w:t>0,379 [0,296; 0,485]</w:t>
            </w:r>
          </w:p>
        </w:tc>
      </w:tr>
      <w:tr w:rsidR="00DC39C8" w:rsidRPr="00741122" w14:paraId="68216649" w14:textId="77777777" w:rsidTr="00F533B1">
        <w:tc>
          <w:tcPr>
            <w:tcW w:w="2286" w:type="pct"/>
            <w:vAlign w:val="center"/>
          </w:tcPr>
          <w:p w14:paraId="72CD13EE" w14:textId="77777777" w:rsidR="00DC39C8" w:rsidRPr="00741122" w:rsidRDefault="00DC39C8" w:rsidP="006046D7">
            <w:pPr>
              <w:pStyle w:val="Default"/>
              <w:ind w:left="567"/>
              <w:rPr>
                <w:sz w:val="22"/>
                <w:szCs w:val="22"/>
                <w:lang w:val="lt-LT"/>
              </w:rPr>
            </w:pPr>
            <w:r w:rsidRPr="00741122">
              <w:rPr>
                <w:sz w:val="22"/>
                <w:szCs w:val="22"/>
                <w:lang w:val="lt-LT"/>
              </w:rPr>
              <w:t>Wartość p</w:t>
            </w:r>
          </w:p>
        </w:tc>
        <w:tc>
          <w:tcPr>
            <w:tcW w:w="2714" w:type="pct"/>
            <w:gridSpan w:val="2"/>
          </w:tcPr>
          <w:p w14:paraId="40827724" w14:textId="77777777" w:rsidR="00DC39C8" w:rsidRPr="00741122" w:rsidRDefault="00DC39C8" w:rsidP="006046D7">
            <w:pPr>
              <w:pStyle w:val="Default"/>
              <w:jc w:val="center"/>
              <w:rPr>
                <w:sz w:val="22"/>
                <w:szCs w:val="22"/>
                <w:lang w:val="lt-LT"/>
              </w:rPr>
            </w:pPr>
            <w:r w:rsidRPr="00741122">
              <w:rPr>
                <w:sz w:val="22"/>
                <w:szCs w:val="22"/>
                <w:lang w:val="lt-LT"/>
              </w:rPr>
              <w:t>&lt;</w:t>
            </w:r>
            <w:r w:rsidR="00680B01">
              <w:rPr>
                <w:sz w:val="22"/>
                <w:szCs w:val="22"/>
                <w:lang w:val="lt-LT"/>
              </w:rPr>
              <w:t xml:space="preserve"> </w:t>
            </w:r>
            <w:r w:rsidRPr="00741122">
              <w:rPr>
                <w:sz w:val="22"/>
                <w:szCs w:val="22"/>
                <w:lang w:val="lt-LT"/>
              </w:rPr>
              <w:t>0,0001</w:t>
            </w:r>
          </w:p>
        </w:tc>
      </w:tr>
      <w:tr w:rsidR="00DC39C8" w:rsidRPr="00741122" w14:paraId="00646609" w14:textId="77777777" w:rsidTr="00F533B1">
        <w:tc>
          <w:tcPr>
            <w:tcW w:w="5000" w:type="pct"/>
            <w:gridSpan w:val="3"/>
            <w:vAlign w:val="center"/>
          </w:tcPr>
          <w:p w14:paraId="645DDFED" w14:textId="77777777" w:rsidR="00DC39C8" w:rsidRPr="00741122" w:rsidRDefault="00DC39C8" w:rsidP="00701AD3">
            <w:pPr>
              <w:pStyle w:val="Default"/>
              <w:keepNext/>
              <w:rPr>
                <w:sz w:val="22"/>
                <w:szCs w:val="22"/>
                <w:lang w:val="lt-LT"/>
              </w:rPr>
            </w:pPr>
            <w:r w:rsidRPr="00741122">
              <w:rPr>
                <w:sz w:val="22"/>
                <w:szCs w:val="22"/>
                <w:lang w:val="lt-LT"/>
              </w:rPr>
              <w:lastRenderedPageBreak/>
              <w:t>Drugorzędowe punkty końcowe</w:t>
            </w:r>
          </w:p>
        </w:tc>
      </w:tr>
      <w:tr w:rsidR="00DC39C8" w:rsidRPr="00C70451" w14:paraId="0DF9F9E2" w14:textId="77777777" w:rsidTr="00F533B1">
        <w:tc>
          <w:tcPr>
            <w:tcW w:w="5000" w:type="pct"/>
            <w:gridSpan w:val="3"/>
            <w:vAlign w:val="center"/>
          </w:tcPr>
          <w:p w14:paraId="26AB2011" w14:textId="77777777" w:rsidR="00DC39C8" w:rsidRPr="00741122" w:rsidRDefault="00DC39C8" w:rsidP="00701AD3">
            <w:pPr>
              <w:pStyle w:val="Default"/>
              <w:keepNext/>
              <w:jc w:val="center"/>
              <w:rPr>
                <w:sz w:val="22"/>
                <w:szCs w:val="22"/>
                <w:lang w:val="lt-LT"/>
              </w:rPr>
            </w:pPr>
            <w:r w:rsidRPr="00741122">
              <w:rPr>
                <w:sz w:val="22"/>
                <w:szCs w:val="22"/>
                <w:lang w:val="lt-LT"/>
              </w:rPr>
              <w:t>Odsetek obiektywnych odpowiedzi na leczenie **</w:t>
            </w:r>
          </w:p>
        </w:tc>
      </w:tr>
      <w:tr w:rsidR="00DC39C8" w:rsidRPr="00741122" w14:paraId="67C573A6" w14:textId="77777777" w:rsidTr="00F533B1">
        <w:tc>
          <w:tcPr>
            <w:tcW w:w="2286" w:type="pct"/>
          </w:tcPr>
          <w:p w14:paraId="49F3FC76" w14:textId="77777777" w:rsidR="00DC39C8" w:rsidRPr="00741122" w:rsidRDefault="00DC39C8" w:rsidP="00701AD3">
            <w:pPr>
              <w:keepNext/>
              <w:rPr>
                <w:rFonts w:ascii="Times New Roman" w:hAnsi="Times New Roman" w:cs="Times New Roman"/>
                <w:sz w:val="22"/>
                <w:szCs w:val="22"/>
                <w:lang w:val="lt-LT"/>
              </w:rPr>
            </w:pPr>
          </w:p>
        </w:tc>
        <w:tc>
          <w:tcPr>
            <w:tcW w:w="1428" w:type="pct"/>
          </w:tcPr>
          <w:p w14:paraId="30291EE6" w14:textId="77777777" w:rsidR="00DC39C8" w:rsidRPr="00741122" w:rsidRDefault="00DC39C8" w:rsidP="00701AD3">
            <w:pPr>
              <w:pStyle w:val="Default"/>
              <w:keepNext/>
              <w:jc w:val="center"/>
              <w:rPr>
                <w:sz w:val="22"/>
                <w:szCs w:val="22"/>
                <w:lang w:val="lt-LT"/>
              </w:rPr>
            </w:pPr>
            <w:r w:rsidRPr="00741122">
              <w:rPr>
                <w:sz w:val="22"/>
                <w:szCs w:val="22"/>
                <w:lang w:val="lt-LT"/>
              </w:rPr>
              <w:t>CT</w:t>
            </w:r>
          </w:p>
          <w:p w14:paraId="349323D7" w14:textId="77777777" w:rsidR="00DC39C8" w:rsidRPr="00741122" w:rsidRDefault="00DC39C8" w:rsidP="00701AD3">
            <w:pPr>
              <w:pStyle w:val="Default"/>
              <w:keepNext/>
              <w:jc w:val="center"/>
              <w:rPr>
                <w:sz w:val="22"/>
                <w:szCs w:val="22"/>
                <w:lang w:val="lt-LT"/>
              </w:rPr>
            </w:pPr>
            <w:r w:rsidRPr="00741122">
              <w:rPr>
                <w:sz w:val="22"/>
                <w:szCs w:val="22"/>
                <w:lang w:val="lt-LT"/>
              </w:rPr>
              <w:t>(n</w:t>
            </w:r>
            <w:r w:rsidR="00680B01">
              <w:rPr>
                <w:sz w:val="22"/>
                <w:szCs w:val="22"/>
                <w:lang w:val="lt-LT"/>
              </w:rPr>
              <w:t xml:space="preserve"> </w:t>
            </w:r>
            <w:r w:rsidRPr="00741122">
              <w:rPr>
                <w:sz w:val="22"/>
                <w:szCs w:val="22"/>
                <w:lang w:val="lt-LT"/>
              </w:rPr>
              <w:t>=</w:t>
            </w:r>
            <w:r w:rsidR="00680B01">
              <w:rPr>
                <w:sz w:val="22"/>
                <w:szCs w:val="22"/>
                <w:lang w:val="lt-LT"/>
              </w:rPr>
              <w:t xml:space="preserve"> </w:t>
            </w:r>
            <w:r w:rsidRPr="00741122">
              <w:rPr>
                <w:sz w:val="22"/>
                <w:szCs w:val="22"/>
                <w:lang w:val="lt-LT"/>
              </w:rPr>
              <w:t>144)</w:t>
            </w:r>
          </w:p>
        </w:tc>
        <w:tc>
          <w:tcPr>
            <w:tcW w:w="1286" w:type="pct"/>
          </w:tcPr>
          <w:p w14:paraId="0BD2B11F" w14:textId="77777777" w:rsidR="00DC39C8" w:rsidRPr="00741122" w:rsidRDefault="00DC39C8" w:rsidP="00701AD3">
            <w:pPr>
              <w:pStyle w:val="Default"/>
              <w:keepNext/>
              <w:jc w:val="center"/>
              <w:rPr>
                <w:sz w:val="22"/>
                <w:szCs w:val="22"/>
                <w:lang w:val="lt-LT"/>
              </w:rPr>
            </w:pPr>
            <w:r w:rsidRPr="00741122">
              <w:rPr>
                <w:sz w:val="22"/>
                <w:szCs w:val="22"/>
                <w:lang w:val="lt-LT"/>
              </w:rPr>
              <w:t>CT+BV</w:t>
            </w:r>
          </w:p>
          <w:p w14:paraId="2CE1A6B7" w14:textId="77777777" w:rsidR="00DC39C8" w:rsidRPr="00741122" w:rsidRDefault="00DC39C8" w:rsidP="00701AD3">
            <w:pPr>
              <w:pStyle w:val="Default"/>
              <w:keepNext/>
              <w:jc w:val="center"/>
              <w:rPr>
                <w:sz w:val="22"/>
                <w:szCs w:val="22"/>
                <w:lang w:val="lt-LT"/>
              </w:rPr>
            </w:pPr>
            <w:r w:rsidRPr="00741122">
              <w:rPr>
                <w:sz w:val="22"/>
                <w:szCs w:val="22"/>
                <w:lang w:val="lt-LT"/>
              </w:rPr>
              <w:t>(n</w:t>
            </w:r>
            <w:r w:rsidR="00680B01">
              <w:rPr>
                <w:sz w:val="22"/>
                <w:szCs w:val="22"/>
                <w:lang w:val="lt-LT"/>
              </w:rPr>
              <w:t xml:space="preserve"> </w:t>
            </w:r>
            <w:r w:rsidRPr="00741122">
              <w:rPr>
                <w:sz w:val="22"/>
                <w:szCs w:val="22"/>
                <w:lang w:val="lt-LT"/>
              </w:rPr>
              <w:t>=</w:t>
            </w:r>
            <w:r w:rsidR="00680B01">
              <w:rPr>
                <w:sz w:val="22"/>
                <w:szCs w:val="22"/>
                <w:lang w:val="lt-LT"/>
              </w:rPr>
              <w:t xml:space="preserve"> </w:t>
            </w:r>
            <w:r w:rsidRPr="00741122">
              <w:rPr>
                <w:sz w:val="22"/>
                <w:szCs w:val="22"/>
                <w:lang w:val="lt-LT"/>
              </w:rPr>
              <w:t>142)</w:t>
            </w:r>
          </w:p>
        </w:tc>
      </w:tr>
      <w:tr w:rsidR="00DC39C8" w:rsidRPr="00741122" w14:paraId="70A096C2" w14:textId="77777777" w:rsidTr="00F533B1">
        <w:tc>
          <w:tcPr>
            <w:tcW w:w="2286" w:type="pct"/>
            <w:vAlign w:val="center"/>
          </w:tcPr>
          <w:p w14:paraId="1CF297D9" w14:textId="77777777" w:rsidR="00DC39C8" w:rsidRPr="00741122" w:rsidRDefault="00DC39C8" w:rsidP="00DC39C8">
            <w:pPr>
              <w:pStyle w:val="Default"/>
              <w:rPr>
                <w:sz w:val="22"/>
                <w:szCs w:val="22"/>
                <w:lang w:val="lt-LT"/>
              </w:rPr>
            </w:pPr>
            <w:r w:rsidRPr="00741122">
              <w:rPr>
                <w:sz w:val="22"/>
                <w:szCs w:val="22"/>
                <w:lang w:val="lt-LT"/>
              </w:rPr>
              <w:t xml:space="preserve">% pacjentek z obiektywną odpowiedzią na leczenie </w:t>
            </w:r>
          </w:p>
        </w:tc>
        <w:tc>
          <w:tcPr>
            <w:tcW w:w="1428" w:type="pct"/>
            <w:vAlign w:val="center"/>
          </w:tcPr>
          <w:p w14:paraId="21B832EE" w14:textId="77777777" w:rsidR="00DC39C8" w:rsidRPr="00741122" w:rsidRDefault="00DC39C8" w:rsidP="00343279">
            <w:pPr>
              <w:pStyle w:val="Default"/>
              <w:jc w:val="center"/>
              <w:rPr>
                <w:sz w:val="22"/>
                <w:szCs w:val="22"/>
                <w:lang w:val="lt-LT"/>
              </w:rPr>
            </w:pPr>
            <w:r w:rsidRPr="00741122">
              <w:rPr>
                <w:sz w:val="22"/>
                <w:szCs w:val="22"/>
                <w:lang w:val="lt-LT"/>
              </w:rPr>
              <w:t>18 (12,5%)</w:t>
            </w:r>
          </w:p>
        </w:tc>
        <w:tc>
          <w:tcPr>
            <w:tcW w:w="1286" w:type="pct"/>
            <w:vAlign w:val="center"/>
          </w:tcPr>
          <w:p w14:paraId="328698CC" w14:textId="77777777" w:rsidR="00DC39C8" w:rsidRPr="00741122" w:rsidRDefault="00DC39C8" w:rsidP="00343279">
            <w:pPr>
              <w:pStyle w:val="Default"/>
              <w:jc w:val="center"/>
              <w:rPr>
                <w:sz w:val="22"/>
                <w:szCs w:val="22"/>
                <w:lang w:val="lt-LT"/>
              </w:rPr>
            </w:pPr>
            <w:r w:rsidRPr="00741122">
              <w:rPr>
                <w:sz w:val="22"/>
                <w:szCs w:val="22"/>
                <w:lang w:val="lt-LT"/>
              </w:rPr>
              <w:t>40 (28,2%)</w:t>
            </w:r>
          </w:p>
        </w:tc>
      </w:tr>
      <w:tr w:rsidR="00DC39C8" w:rsidRPr="00741122" w14:paraId="4A3DE367" w14:textId="77777777" w:rsidTr="00F533B1">
        <w:tc>
          <w:tcPr>
            <w:tcW w:w="2286" w:type="pct"/>
            <w:vAlign w:val="center"/>
          </w:tcPr>
          <w:p w14:paraId="5BC489B6" w14:textId="77777777" w:rsidR="00DC39C8" w:rsidRPr="00741122" w:rsidRDefault="00DC39C8" w:rsidP="004C6405">
            <w:pPr>
              <w:pStyle w:val="Default"/>
              <w:ind w:left="567"/>
              <w:rPr>
                <w:sz w:val="22"/>
                <w:szCs w:val="22"/>
                <w:lang w:val="lt-LT"/>
              </w:rPr>
            </w:pPr>
            <w:r w:rsidRPr="00741122">
              <w:rPr>
                <w:sz w:val="22"/>
                <w:szCs w:val="22"/>
                <w:lang w:val="lt-LT"/>
              </w:rPr>
              <w:t>Wartość p</w:t>
            </w:r>
          </w:p>
        </w:tc>
        <w:tc>
          <w:tcPr>
            <w:tcW w:w="2714" w:type="pct"/>
            <w:gridSpan w:val="2"/>
          </w:tcPr>
          <w:p w14:paraId="1DE3E110" w14:textId="77777777" w:rsidR="00DC39C8" w:rsidRPr="00741122" w:rsidRDefault="00771846" w:rsidP="00114020">
            <w:pPr>
              <w:pStyle w:val="Default"/>
              <w:jc w:val="center"/>
              <w:rPr>
                <w:sz w:val="22"/>
                <w:szCs w:val="22"/>
                <w:lang w:val="lt-LT"/>
              </w:rPr>
            </w:pPr>
            <w:r w:rsidRPr="00741122">
              <w:rPr>
                <w:sz w:val="22"/>
                <w:szCs w:val="22"/>
                <w:lang w:val="lt-LT"/>
              </w:rPr>
              <w:t>0,</w:t>
            </w:r>
            <w:r w:rsidR="00DC39C8" w:rsidRPr="00741122">
              <w:rPr>
                <w:sz w:val="22"/>
                <w:szCs w:val="22"/>
                <w:lang w:val="lt-LT"/>
              </w:rPr>
              <w:t>0007</w:t>
            </w:r>
          </w:p>
        </w:tc>
      </w:tr>
      <w:tr w:rsidR="00DC39C8" w:rsidRPr="00C70451" w14:paraId="043B40C4" w14:textId="77777777" w:rsidTr="00F533B1">
        <w:tc>
          <w:tcPr>
            <w:tcW w:w="2286" w:type="pct"/>
            <w:vAlign w:val="center"/>
          </w:tcPr>
          <w:p w14:paraId="4349AFEC" w14:textId="77777777" w:rsidR="00DC39C8" w:rsidRPr="00741122" w:rsidRDefault="00DC39C8" w:rsidP="00F063C8">
            <w:pPr>
              <w:pStyle w:val="Default"/>
              <w:keepNext/>
              <w:rPr>
                <w:sz w:val="22"/>
                <w:szCs w:val="22"/>
                <w:lang w:val="lt-LT"/>
              </w:rPr>
            </w:pPr>
            <w:r w:rsidRPr="00741122">
              <w:rPr>
                <w:sz w:val="22"/>
                <w:szCs w:val="22"/>
                <w:lang w:val="lt-LT"/>
              </w:rPr>
              <w:t xml:space="preserve">Całkowity czas przeżycia (analiza końcowa)*** </w:t>
            </w:r>
          </w:p>
        </w:tc>
        <w:tc>
          <w:tcPr>
            <w:tcW w:w="1428" w:type="pct"/>
          </w:tcPr>
          <w:p w14:paraId="7CEED1D7" w14:textId="77777777" w:rsidR="00DC39C8" w:rsidRPr="00741122" w:rsidRDefault="00DC39C8" w:rsidP="00F063C8">
            <w:pPr>
              <w:keepNext/>
              <w:jc w:val="center"/>
              <w:rPr>
                <w:rFonts w:ascii="Times New Roman" w:hAnsi="Times New Roman" w:cs="Times New Roman"/>
                <w:sz w:val="22"/>
                <w:szCs w:val="22"/>
                <w:lang w:val="lt-LT"/>
              </w:rPr>
            </w:pPr>
          </w:p>
        </w:tc>
        <w:tc>
          <w:tcPr>
            <w:tcW w:w="1286" w:type="pct"/>
          </w:tcPr>
          <w:p w14:paraId="70F50E87" w14:textId="77777777" w:rsidR="00DC39C8" w:rsidRPr="00741122" w:rsidRDefault="00DC39C8" w:rsidP="00F063C8">
            <w:pPr>
              <w:keepNext/>
              <w:jc w:val="center"/>
              <w:rPr>
                <w:rFonts w:ascii="Times New Roman" w:hAnsi="Times New Roman" w:cs="Times New Roman"/>
                <w:sz w:val="22"/>
                <w:szCs w:val="22"/>
                <w:lang w:val="lt-LT"/>
              </w:rPr>
            </w:pPr>
          </w:p>
        </w:tc>
      </w:tr>
      <w:tr w:rsidR="00DC39C8" w:rsidRPr="00741122" w14:paraId="3A85E8CE" w14:textId="77777777" w:rsidTr="00F533B1">
        <w:tc>
          <w:tcPr>
            <w:tcW w:w="2286" w:type="pct"/>
          </w:tcPr>
          <w:p w14:paraId="70304C15" w14:textId="77777777" w:rsidR="00DC39C8" w:rsidRPr="00741122" w:rsidRDefault="00DC39C8" w:rsidP="00DC39C8">
            <w:pPr>
              <w:rPr>
                <w:rFonts w:ascii="Times New Roman" w:hAnsi="Times New Roman" w:cs="Times New Roman"/>
                <w:sz w:val="22"/>
                <w:szCs w:val="22"/>
                <w:lang w:val="lt-LT"/>
              </w:rPr>
            </w:pPr>
          </w:p>
        </w:tc>
        <w:tc>
          <w:tcPr>
            <w:tcW w:w="1428" w:type="pct"/>
          </w:tcPr>
          <w:p w14:paraId="07E3BA44" w14:textId="77777777" w:rsidR="00DC39C8" w:rsidRPr="00741122" w:rsidRDefault="00DC39C8" w:rsidP="00114020">
            <w:pPr>
              <w:pStyle w:val="Default"/>
              <w:jc w:val="center"/>
              <w:rPr>
                <w:sz w:val="22"/>
                <w:szCs w:val="22"/>
                <w:lang w:val="lt-LT"/>
              </w:rPr>
            </w:pPr>
            <w:r w:rsidRPr="00741122">
              <w:rPr>
                <w:sz w:val="22"/>
                <w:szCs w:val="22"/>
                <w:lang w:val="lt-LT"/>
              </w:rPr>
              <w:t>CT</w:t>
            </w:r>
          </w:p>
          <w:p w14:paraId="466D8743" w14:textId="77777777" w:rsidR="00DC39C8" w:rsidRPr="00741122" w:rsidRDefault="00DC39C8" w:rsidP="00114020">
            <w:pPr>
              <w:pStyle w:val="Default"/>
              <w:jc w:val="center"/>
              <w:rPr>
                <w:sz w:val="22"/>
                <w:szCs w:val="22"/>
                <w:lang w:val="lt-LT"/>
              </w:rPr>
            </w:pPr>
            <w:r w:rsidRPr="00741122">
              <w:rPr>
                <w:sz w:val="22"/>
                <w:szCs w:val="22"/>
                <w:lang w:val="lt-LT"/>
              </w:rPr>
              <w:t>(n</w:t>
            </w:r>
            <w:r w:rsidR="00680B01">
              <w:rPr>
                <w:sz w:val="22"/>
                <w:szCs w:val="22"/>
                <w:lang w:val="lt-LT"/>
              </w:rPr>
              <w:t xml:space="preserve"> </w:t>
            </w:r>
            <w:r w:rsidRPr="00741122">
              <w:rPr>
                <w:sz w:val="22"/>
                <w:szCs w:val="22"/>
                <w:lang w:val="lt-LT"/>
              </w:rPr>
              <w:t>=</w:t>
            </w:r>
            <w:r w:rsidR="00680B01">
              <w:rPr>
                <w:sz w:val="22"/>
                <w:szCs w:val="22"/>
                <w:lang w:val="lt-LT"/>
              </w:rPr>
              <w:t xml:space="preserve"> </w:t>
            </w:r>
            <w:r w:rsidRPr="00741122">
              <w:rPr>
                <w:sz w:val="22"/>
                <w:szCs w:val="22"/>
                <w:lang w:val="lt-LT"/>
              </w:rPr>
              <w:t>182)</w:t>
            </w:r>
          </w:p>
        </w:tc>
        <w:tc>
          <w:tcPr>
            <w:tcW w:w="1286" w:type="pct"/>
          </w:tcPr>
          <w:p w14:paraId="72EAF6E5" w14:textId="77777777" w:rsidR="00DC39C8" w:rsidRPr="00741122" w:rsidRDefault="00DC39C8" w:rsidP="00114020">
            <w:pPr>
              <w:pStyle w:val="Default"/>
              <w:jc w:val="center"/>
              <w:rPr>
                <w:sz w:val="22"/>
                <w:szCs w:val="22"/>
                <w:lang w:val="lt-LT"/>
              </w:rPr>
            </w:pPr>
            <w:r w:rsidRPr="00741122">
              <w:rPr>
                <w:sz w:val="22"/>
                <w:szCs w:val="22"/>
                <w:lang w:val="lt-LT"/>
              </w:rPr>
              <w:t>CT+BV</w:t>
            </w:r>
          </w:p>
          <w:p w14:paraId="3B0E9C10" w14:textId="77777777" w:rsidR="00DC39C8" w:rsidRPr="00741122" w:rsidRDefault="00DC39C8" w:rsidP="00114020">
            <w:pPr>
              <w:pStyle w:val="Default"/>
              <w:jc w:val="center"/>
              <w:rPr>
                <w:sz w:val="22"/>
                <w:szCs w:val="22"/>
                <w:lang w:val="lt-LT"/>
              </w:rPr>
            </w:pPr>
            <w:r w:rsidRPr="00741122">
              <w:rPr>
                <w:sz w:val="22"/>
                <w:szCs w:val="22"/>
                <w:lang w:val="lt-LT"/>
              </w:rPr>
              <w:t>(n</w:t>
            </w:r>
            <w:r w:rsidR="00680B01">
              <w:rPr>
                <w:sz w:val="22"/>
                <w:szCs w:val="22"/>
                <w:lang w:val="lt-LT"/>
              </w:rPr>
              <w:t xml:space="preserve"> </w:t>
            </w:r>
            <w:r w:rsidRPr="00741122">
              <w:rPr>
                <w:sz w:val="22"/>
                <w:szCs w:val="22"/>
                <w:lang w:val="lt-LT"/>
              </w:rPr>
              <w:t>=</w:t>
            </w:r>
            <w:r w:rsidR="00680B01">
              <w:rPr>
                <w:sz w:val="22"/>
                <w:szCs w:val="22"/>
                <w:lang w:val="lt-LT"/>
              </w:rPr>
              <w:t xml:space="preserve"> </w:t>
            </w:r>
            <w:r w:rsidRPr="00741122">
              <w:rPr>
                <w:sz w:val="22"/>
                <w:szCs w:val="22"/>
                <w:lang w:val="lt-LT"/>
              </w:rPr>
              <w:t>179)</w:t>
            </w:r>
          </w:p>
        </w:tc>
      </w:tr>
      <w:tr w:rsidR="00DC39C8" w:rsidRPr="00741122" w14:paraId="3DF9EB04" w14:textId="77777777" w:rsidTr="00F533B1">
        <w:tc>
          <w:tcPr>
            <w:tcW w:w="2286" w:type="pct"/>
            <w:vAlign w:val="center"/>
          </w:tcPr>
          <w:p w14:paraId="3E40FC41" w14:textId="77777777" w:rsidR="00DC39C8" w:rsidRPr="00741122" w:rsidRDefault="00DC39C8" w:rsidP="00343279">
            <w:pPr>
              <w:pStyle w:val="Default"/>
              <w:ind w:left="567"/>
              <w:rPr>
                <w:sz w:val="22"/>
                <w:szCs w:val="22"/>
                <w:lang w:val="lt-LT"/>
              </w:rPr>
            </w:pPr>
            <w:r w:rsidRPr="00741122">
              <w:rPr>
                <w:sz w:val="22"/>
                <w:szCs w:val="22"/>
                <w:lang w:val="lt-LT"/>
              </w:rPr>
              <w:t>Mediana OS (miesiące)</w:t>
            </w:r>
          </w:p>
        </w:tc>
        <w:tc>
          <w:tcPr>
            <w:tcW w:w="1428" w:type="pct"/>
          </w:tcPr>
          <w:p w14:paraId="5E1A2626" w14:textId="77777777" w:rsidR="00DC39C8" w:rsidRPr="00741122" w:rsidRDefault="00DC39C8" w:rsidP="00114020">
            <w:pPr>
              <w:pStyle w:val="Default"/>
              <w:jc w:val="center"/>
              <w:rPr>
                <w:sz w:val="22"/>
                <w:szCs w:val="22"/>
                <w:lang w:val="lt-LT"/>
              </w:rPr>
            </w:pPr>
            <w:r w:rsidRPr="00741122">
              <w:rPr>
                <w:sz w:val="22"/>
                <w:szCs w:val="22"/>
                <w:lang w:val="lt-LT"/>
              </w:rPr>
              <w:t>13,3</w:t>
            </w:r>
          </w:p>
        </w:tc>
        <w:tc>
          <w:tcPr>
            <w:tcW w:w="1286" w:type="pct"/>
          </w:tcPr>
          <w:p w14:paraId="2C366629" w14:textId="77777777" w:rsidR="00DC39C8" w:rsidRPr="00741122" w:rsidRDefault="00DC39C8" w:rsidP="00114020">
            <w:pPr>
              <w:pStyle w:val="Default"/>
              <w:jc w:val="center"/>
              <w:rPr>
                <w:sz w:val="22"/>
                <w:szCs w:val="22"/>
                <w:lang w:val="lt-LT"/>
              </w:rPr>
            </w:pPr>
            <w:r w:rsidRPr="00741122">
              <w:rPr>
                <w:sz w:val="22"/>
                <w:szCs w:val="22"/>
                <w:lang w:val="lt-LT"/>
              </w:rPr>
              <w:t>16,6</w:t>
            </w:r>
          </w:p>
        </w:tc>
      </w:tr>
      <w:tr w:rsidR="00DC39C8" w:rsidRPr="00741122" w14:paraId="68D16006" w14:textId="77777777" w:rsidTr="00F533B1">
        <w:tc>
          <w:tcPr>
            <w:tcW w:w="2286" w:type="pct"/>
            <w:vAlign w:val="center"/>
          </w:tcPr>
          <w:p w14:paraId="37B9D42B" w14:textId="77777777" w:rsidR="00DC39C8" w:rsidRPr="00741122" w:rsidRDefault="00DC39C8" w:rsidP="00343279">
            <w:pPr>
              <w:pStyle w:val="Default"/>
              <w:ind w:left="567"/>
              <w:rPr>
                <w:sz w:val="22"/>
                <w:szCs w:val="22"/>
                <w:lang w:val="lt-LT"/>
              </w:rPr>
            </w:pPr>
            <w:r w:rsidRPr="00741122">
              <w:rPr>
                <w:sz w:val="22"/>
                <w:szCs w:val="22"/>
                <w:lang w:val="lt-LT"/>
              </w:rPr>
              <w:t>Współczynnik ryzyka</w:t>
            </w:r>
            <w:r w:rsidR="00343279">
              <w:rPr>
                <w:sz w:val="22"/>
                <w:szCs w:val="22"/>
                <w:lang w:val="lt-LT"/>
              </w:rPr>
              <w:t xml:space="preserve"> </w:t>
            </w:r>
            <w:r w:rsidRPr="00741122">
              <w:rPr>
                <w:sz w:val="22"/>
                <w:szCs w:val="22"/>
                <w:lang w:val="lt-LT"/>
              </w:rPr>
              <w:t>(95% CI)</w:t>
            </w:r>
          </w:p>
        </w:tc>
        <w:tc>
          <w:tcPr>
            <w:tcW w:w="2714" w:type="pct"/>
            <w:gridSpan w:val="2"/>
          </w:tcPr>
          <w:p w14:paraId="6F0D35AF" w14:textId="77777777" w:rsidR="00DC39C8" w:rsidRPr="00741122" w:rsidRDefault="00DC39C8" w:rsidP="00114020">
            <w:pPr>
              <w:pStyle w:val="Default"/>
              <w:jc w:val="center"/>
              <w:rPr>
                <w:sz w:val="22"/>
                <w:szCs w:val="22"/>
                <w:lang w:val="lt-LT"/>
              </w:rPr>
            </w:pPr>
            <w:r w:rsidRPr="00741122">
              <w:rPr>
                <w:sz w:val="22"/>
                <w:szCs w:val="22"/>
                <w:lang w:val="lt-LT"/>
              </w:rPr>
              <w:t>0,870 [0,678; 1,116]</w:t>
            </w:r>
          </w:p>
        </w:tc>
      </w:tr>
      <w:tr w:rsidR="00DC39C8" w:rsidRPr="00741122" w14:paraId="535614E1" w14:textId="77777777" w:rsidTr="00F533B1">
        <w:tc>
          <w:tcPr>
            <w:tcW w:w="2286" w:type="pct"/>
            <w:vAlign w:val="center"/>
          </w:tcPr>
          <w:p w14:paraId="435DC449" w14:textId="77777777" w:rsidR="00DC39C8" w:rsidRPr="00741122" w:rsidRDefault="00DC39C8" w:rsidP="00343279">
            <w:pPr>
              <w:pStyle w:val="Default"/>
              <w:ind w:left="567"/>
              <w:rPr>
                <w:sz w:val="22"/>
                <w:szCs w:val="22"/>
                <w:lang w:val="lt-LT"/>
              </w:rPr>
            </w:pPr>
            <w:r w:rsidRPr="00741122">
              <w:rPr>
                <w:sz w:val="22"/>
                <w:szCs w:val="22"/>
                <w:lang w:val="lt-LT"/>
              </w:rPr>
              <w:t>Wartość p</w:t>
            </w:r>
          </w:p>
        </w:tc>
        <w:tc>
          <w:tcPr>
            <w:tcW w:w="2714" w:type="pct"/>
            <w:gridSpan w:val="2"/>
          </w:tcPr>
          <w:p w14:paraId="7F3FF2E4" w14:textId="77777777" w:rsidR="00DC39C8" w:rsidRPr="00741122" w:rsidRDefault="00DC39C8" w:rsidP="00114020">
            <w:pPr>
              <w:pStyle w:val="Default"/>
              <w:jc w:val="center"/>
              <w:rPr>
                <w:sz w:val="22"/>
                <w:szCs w:val="22"/>
                <w:lang w:val="lt-LT"/>
              </w:rPr>
            </w:pPr>
            <w:r w:rsidRPr="00741122">
              <w:rPr>
                <w:sz w:val="22"/>
                <w:szCs w:val="22"/>
                <w:lang w:val="lt-LT"/>
              </w:rPr>
              <w:t>0,2711</w:t>
            </w:r>
          </w:p>
        </w:tc>
      </w:tr>
    </w:tbl>
    <w:p w14:paraId="286BE5EA" w14:textId="77777777" w:rsidR="00071CFE" w:rsidRPr="00741122" w:rsidRDefault="00071CFE" w:rsidP="002D6FFD">
      <w:pPr>
        <w:rPr>
          <w:rFonts w:ascii="Times New Roman" w:eastAsia="Times New Roman" w:hAnsi="Times New Roman"/>
          <w:lang w:val="lt-LT"/>
        </w:rPr>
      </w:pPr>
      <w:r w:rsidRPr="00741122">
        <w:rPr>
          <w:rFonts w:ascii="Times New Roman" w:eastAsia="Times New Roman" w:hAnsi="Times New Roman"/>
          <w:lang w:val="lt-LT"/>
        </w:rPr>
        <w:t>Wszystkie analizy przedstawione w powyższej tabeli były analizami stratyfikowanymi.</w:t>
      </w:r>
      <w:r w:rsidR="00DC39C8" w:rsidRPr="00741122">
        <w:rPr>
          <w:rFonts w:ascii="Times New Roman" w:eastAsia="Times New Roman" w:hAnsi="Times New Roman"/>
          <w:lang w:val="lt-LT"/>
        </w:rPr>
        <w:t xml:space="preserve"> </w:t>
      </w:r>
    </w:p>
    <w:p w14:paraId="4E60043E" w14:textId="77777777" w:rsidR="00DC39C8" w:rsidRPr="00741122" w:rsidRDefault="00071CFE" w:rsidP="002D6FFD">
      <w:pPr>
        <w:numPr>
          <w:ilvl w:val="0"/>
          <w:numId w:val="31"/>
        </w:numPr>
        <w:tabs>
          <w:tab w:val="left" w:pos="567"/>
        </w:tabs>
        <w:ind w:left="567" w:hanging="567"/>
        <w:rPr>
          <w:rFonts w:ascii="Times New Roman" w:eastAsia="Times New Roman" w:hAnsi="Times New Roman"/>
          <w:lang w:val="lt-LT"/>
        </w:rPr>
      </w:pPr>
      <w:r w:rsidRPr="00741122">
        <w:rPr>
          <w:rFonts w:ascii="Times New Roman" w:eastAsia="Times New Roman" w:hAnsi="Times New Roman"/>
          <w:lang w:val="lt-LT"/>
        </w:rPr>
        <w:t xml:space="preserve">Analiza pierwotna została przeprowadzona na podstawie danych z datą odcięcia 14 listopada 2011 r. </w:t>
      </w:r>
    </w:p>
    <w:p w14:paraId="548FAE3E" w14:textId="1E7E6A27" w:rsidR="00071CFE" w:rsidRPr="00741122" w:rsidRDefault="00071CFE" w:rsidP="002D6FFD">
      <w:pPr>
        <w:tabs>
          <w:tab w:val="left" w:pos="567"/>
        </w:tabs>
        <w:ind w:left="567" w:hanging="567"/>
        <w:rPr>
          <w:rFonts w:ascii="Times New Roman" w:eastAsia="Times New Roman" w:hAnsi="Times New Roman"/>
          <w:lang w:val="lt-LT"/>
        </w:rPr>
      </w:pPr>
      <w:r w:rsidRPr="00741122">
        <w:rPr>
          <w:rFonts w:ascii="Times New Roman" w:eastAsia="Times New Roman" w:hAnsi="Times New Roman"/>
          <w:lang w:val="lt-LT"/>
        </w:rPr>
        <w:t>**</w:t>
      </w:r>
      <w:r w:rsidR="00DC39C8" w:rsidRPr="00741122">
        <w:rPr>
          <w:rFonts w:ascii="Times New Roman" w:eastAsia="Times New Roman" w:hAnsi="Times New Roman"/>
          <w:lang w:val="lt-LT"/>
        </w:rPr>
        <w:tab/>
      </w:r>
      <w:r w:rsidR="009C7CC3">
        <w:rPr>
          <w:rFonts w:ascii="Times New Roman" w:eastAsia="Times New Roman" w:hAnsi="Times New Roman"/>
          <w:lang w:val="lt-LT"/>
        </w:rPr>
        <w:t>P</w:t>
      </w:r>
      <w:r w:rsidRPr="00741122">
        <w:rPr>
          <w:rFonts w:ascii="Times New Roman" w:eastAsia="Times New Roman" w:hAnsi="Times New Roman"/>
          <w:lang w:val="lt-LT"/>
        </w:rPr>
        <w:t>acjenci randomizowani z mierza</w:t>
      </w:r>
      <w:r w:rsidR="00FD7F9C">
        <w:rPr>
          <w:rFonts w:ascii="Times New Roman" w:eastAsia="Times New Roman" w:hAnsi="Times New Roman"/>
          <w:lang w:val="lt-LT"/>
        </w:rPr>
        <w:t>lną chorobą na początku badania</w:t>
      </w:r>
      <w:r w:rsidR="009C7CC3">
        <w:rPr>
          <w:rFonts w:ascii="Times New Roman" w:eastAsia="Times New Roman" w:hAnsi="Times New Roman"/>
          <w:lang w:val="lt-LT"/>
        </w:rPr>
        <w:t>.</w:t>
      </w:r>
    </w:p>
    <w:p w14:paraId="271C53B2" w14:textId="77777777" w:rsidR="00071CFE" w:rsidRPr="00741122" w:rsidRDefault="00071CFE" w:rsidP="002D6FFD">
      <w:pPr>
        <w:tabs>
          <w:tab w:val="left" w:pos="567"/>
        </w:tabs>
        <w:ind w:left="567" w:hanging="567"/>
        <w:rPr>
          <w:rFonts w:ascii="Times New Roman" w:eastAsia="Times New Roman" w:hAnsi="Times New Roman"/>
          <w:lang w:val="lt-LT"/>
        </w:rPr>
      </w:pPr>
      <w:r w:rsidRPr="00741122">
        <w:rPr>
          <w:rFonts w:ascii="Times New Roman" w:eastAsia="Times New Roman" w:hAnsi="Times New Roman"/>
          <w:lang w:val="lt-LT"/>
        </w:rPr>
        <w:t>***</w:t>
      </w:r>
      <w:r w:rsidR="00DC39C8" w:rsidRPr="00741122">
        <w:rPr>
          <w:rFonts w:ascii="Times New Roman" w:eastAsia="Times New Roman" w:hAnsi="Times New Roman"/>
          <w:lang w:val="lt-LT"/>
        </w:rPr>
        <w:tab/>
      </w:r>
      <w:r w:rsidRPr="00741122">
        <w:rPr>
          <w:rFonts w:ascii="Times New Roman" w:eastAsia="Times New Roman" w:hAnsi="Times New Roman"/>
          <w:lang w:val="lt-LT"/>
        </w:rPr>
        <w:t>Analizę końcową całkowitego czasu przeżycia przeprowadzono po odnotowaniu 266 zgonów, stanowiących 73,7% pacjentów włączonych do badania.</w:t>
      </w:r>
    </w:p>
    <w:p w14:paraId="04C39EF9" w14:textId="77777777" w:rsidR="00071CFE" w:rsidRPr="00741122" w:rsidRDefault="00071CFE" w:rsidP="002D6FFD">
      <w:pPr>
        <w:rPr>
          <w:rFonts w:ascii="Times New Roman" w:eastAsia="Times New Roman" w:hAnsi="Times New Roman" w:cs="Times New Roman"/>
          <w:sz w:val="22"/>
          <w:szCs w:val="22"/>
          <w:lang w:val="lt-LT"/>
        </w:rPr>
      </w:pPr>
    </w:p>
    <w:p w14:paraId="5FB6589F" w14:textId="6E1D3000" w:rsidR="00071CFE" w:rsidRPr="00741122" w:rsidRDefault="00071CFE" w:rsidP="002D6FF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Badanie spełniło pierwszorzędowy punkt końcowy w postaci wydłużenia czasu przeżycia wolnego od progresji choroby. W porównaniu </w:t>
      </w:r>
      <w:r w:rsidR="009B59B2">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pacjent</w:t>
      </w:r>
      <w:r w:rsidR="009B59B2">
        <w:rPr>
          <w:rFonts w:ascii="Times New Roman" w:eastAsia="Times New Roman" w:hAnsi="Times New Roman" w:cs="Times New Roman"/>
          <w:sz w:val="22"/>
          <w:szCs w:val="22"/>
          <w:lang w:val="lt-LT"/>
        </w:rPr>
        <w:t>ami</w:t>
      </w:r>
      <w:r w:rsidRPr="00741122">
        <w:rPr>
          <w:rFonts w:ascii="Times New Roman" w:eastAsia="Times New Roman" w:hAnsi="Times New Roman" w:cs="Times New Roman"/>
          <w:sz w:val="22"/>
          <w:szCs w:val="22"/>
          <w:lang w:val="lt-LT"/>
        </w:rPr>
        <w:t xml:space="preserve"> z nawrotową chorobą oporną na związki platyny, leczony</w:t>
      </w:r>
      <w:r w:rsidR="009B59B2">
        <w:rPr>
          <w:rFonts w:ascii="Times New Roman" w:eastAsia="Times New Roman" w:hAnsi="Times New Roman" w:cs="Times New Roman"/>
          <w:sz w:val="22"/>
          <w:szCs w:val="22"/>
          <w:lang w:val="lt-LT"/>
        </w:rPr>
        <w:t>mi</w:t>
      </w:r>
      <w:r w:rsidRPr="00741122">
        <w:rPr>
          <w:rFonts w:ascii="Times New Roman" w:eastAsia="Times New Roman" w:hAnsi="Times New Roman" w:cs="Times New Roman"/>
          <w:sz w:val="22"/>
          <w:szCs w:val="22"/>
          <w:lang w:val="lt-LT"/>
        </w:rPr>
        <w:t xml:space="preserve"> wyłącznie chemioterapią (paklitaksel, topotekan lub PLD), u pacjentów otrzymu</w:t>
      </w:r>
      <w:r w:rsidR="00DC39C8" w:rsidRPr="00741122">
        <w:rPr>
          <w:rFonts w:ascii="Times New Roman" w:eastAsia="Times New Roman" w:hAnsi="Times New Roman" w:cs="Times New Roman"/>
          <w:sz w:val="22"/>
          <w:szCs w:val="22"/>
          <w:lang w:val="lt-LT"/>
        </w:rPr>
        <w:t>jących bewacyzumab w dawce 10 mg/kg</w:t>
      </w:r>
      <w:r w:rsidR="009B59B2">
        <w:rPr>
          <w:rFonts w:ascii="Times New Roman" w:eastAsia="Times New Roman" w:hAnsi="Times New Roman" w:cs="Times New Roman"/>
          <w:sz w:val="22"/>
          <w:szCs w:val="22"/>
          <w:lang w:val="lt-LT"/>
        </w:rPr>
        <w:t> </w:t>
      </w:r>
      <w:r w:rsidR="00DC39C8" w:rsidRPr="00741122">
        <w:rPr>
          <w:rFonts w:ascii="Times New Roman" w:eastAsia="Times New Roman" w:hAnsi="Times New Roman" w:cs="Times New Roman"/>
          <w:sz w:val="22"/>
          <w:szCs w:val="22"/>
          <w:lang w:val="lt-LT"/>
        </w:rPr>
        <w:t>mc. co 2 tygodnie (lub 15 </w:t>
      </w:r>
      <w:r w:rsidRPr="00741122">
        <w:rPr>
          <w:rFonts w:ascii="Times New Roman" w:eastAsia="Times New Roman" w:hAnsi="Times New Roman" w:cs="Times New Roman"/>
          <w:sz w:val="22"/>
          <w:szCs w:val="22"/>
          <w:lang w:val="lt-LT"/>
        </w:rPr>
        <w:t>mg/kg</w:t>
      </w:r>
      <w:r w:rsidR="009B59B2">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3 tygodnie, w przypadku </w:t>
      </w:r>
      <w:r w:rsidR="00DC39C8" w:rsidRPr="00741122">
        <w:rPr>
          <w:rFonts w:ascii="Times New Roman" w:eastAsia="Times New Roman" w:hAnsi="Times New Roman" w:cs="Times New Roman"/>
          <w:sz w:val="22"/>
          <w:szCs w:val="22"/>
          <w:lang w:val="lt-LT"/>
        </w:rPr>
        <w:t>stosowania w skojarzeniu z 1,25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topotekanu w dniach 1–5</w:t>
      </w:r>
      <w:r w:rsidR="009B59B2">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co 3 tygodnie) w skojarzeniu</w:t>
      </w:r>
      <w:r w:rsidR="00DC39C8"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z chemioterapią i kontynuujących leczenie bewacyzumabem do wystąpienia progresji choroby lub nieakceptowalnej toksyczności, obserwowano statystycznie znamienną poprawę czasu przeżycia wolnego od progresji choroby. Eksploratywne analizy PFS oraz OS według kohorty zależnej od stosowanej chemioterapii wykazały poprawę we wszystkich kohortach (paklitaksel, topotekan i PLD) związana z zastosowaniem bewacyzumabu. Wyniki przedstawiono w Tabeli </w:t>
      </w:r>
      <w:r w:rsidR="00C33782">
        <w:rPr>
          <w:rFonts w:ascii="Times New Roman" w:eastAsia="Times New Roman" w:hAnsi="Times New Roman" w:cs="Times New Roman"/>
          <w:sz w:val="22"/>
          <w:szCs w:val="22"/>
          <w:lang w:val="lt-LT"/>
        </w:rPr>
        <w:t>24</w:t>
      </w:r>
      <w:r w:rsidRPr="00741122">
        <w:rPr>
          <w:rFonts w:ascii="Times New Roman" w:eastAsia="Times New Roman" w:hAnsi="Times New Roman" w:cs="Times New Roman"/>
          <w:sz w:val="22"/>
          <w:szCs w:val="22"/>
          <w:lang w:val="lt-LT"/>
        </w:rPr>
        <w:t>.</w:t>
      </w:r>
    </w:p>
    <w:p w14:paraId="7172C55E" w14:textId="77777777" w:rsidR="00F544C7" w:rsidRPr="00741122" w:rsidRDefault="00F544C7" w:rsidP="002D6FFD">
      <w:pPr>
        <w:rPr>
          <w:rFonts w:ascii="Times New Roman" w:eastAsia="Times New Roman" w:hAnsi="Times New Roman" w:cs="Times New Roman"/>
          <w:b/>
          <w:sz w:val="22"/>
          <w:szCs w:val="22"/>
          <w:lang w:val="lt-LT"/>
        </w:rPr>
      </w:pPr>
    </w:p>
    <w:p w14:paraId="5B0A9FC8" w14:textId="29E11DFD" w:rsidR="00071CFE" w:rsidRPr="00741122" w:rsidRDefault="00071CFE" w:rsidP="005A497F">
      <w:pPr>
        <w:keepNext/>
        <w:keepLines/>
        <w:rPr>
          <w:rFonts w:ascii="Times New Roman" w:eastAsia="Times New Roman" w:hAnsi="Times New Roman" w:cs="Times New Roman"/>
          <w:b/>
          <w:sz w:val="22"/>
          <w:szCs w:val="22"/>
          <w:lang w:val="lt-LT"/>
        </w:rPr>
      </w:pPr>
      <w:bookmarkStart w:id="53" w:name="page51"/>
      <w:bookmarkEnd w:id="53"/>
      <w:r w:rsidRPr="00741122">
        <w:rPr>
          <w:rFonts w:ascii="Times New Roman" w:eastAsia="Times New Roman" w:hAnsi="Times New Roman" w:cs="Times New Roman"/>
          <w:b/>
          <w:sz w:val="22"/>
          <w:szCs w:val="22"/>
          <w:lang w:val="lt-LT"/>
        </w:rPr>
        <w:t xml:space="preserve">Tabela </w:t>
      </w:r>
      <w:r w:rsidR="00C33782" w:rsidRPr="00741122">
        <w:rPr>
          <w:rFonts w:ascii="Times New Roman" w:eastAsia="Times New Roman" w:hAnsi="Times New Roman" w:cs="Times New Roman"/>
          <w:b/>
          <w:sz w:val="22"/>
          <w:szCs w:val="22"/>
          <w:lang w:val="lt-LT"/>
        </w:rPr>
        <w:t>2</w:t>
      </w:r>
      <w:r w:rsidR="00C33782">
        <w:rPr>
          <w:rFonts w:ascii="Times New Roman" w:eastAsia="Times New Roman" w:hAnsi="Times New Roman" w:cs="Times New Roman"/>
          <w:b/>
          <w:sz w:val="22"/>
          <w:szCs w:val="22"/>
          <w:lang w:val="lt-LT"/>
        </w:rPr>
        <w:t>4</w:t>
      </w:r>
      <w:r w:rsidR="00680B01">
        <w:rPr>
          <w:rFonts w:ascii="Times New Roman" w:eastAsia="Times New Roman" w:hAnsi="Times New Roman" w:cs="Times New Roman"/>
          <w:b/>
          <w:sz w:val="22"/>
          <w:szCs w:val="22"/>
          <w:lang w:val="lt-LT"/>
        </w:rPr>
        <w:t>.</w:t>
      </w:r>
      <w:r w:rsidR="00DC39C8" w:rsidRPr="00741122">
        <w:rPr>
          <w:rFonts w:ascii="Times New Roman" w:eastAsia="Times New Roman" w:hAnsi="Times New Roman" w:cs="Times New Roman"/>
          <w:b/>
          <w:sz w:val="22"/>
          <w:szCs w:val="22"/>
          <w:lang w:val="lt-LT"/>
        </w:rPr>
        <w:t xml:space="preserve"> </w:t>
      </w:r>
      <w:r w:rsidRPr="00741122">
        <w:rPr>
          <w:rFonts w:ascii="Times New Roman" w:eastAsia="Times New Roman" w:hAnsi="Times New Roman" w:cs="Times New Roman"/>
          <w:b/>
          <w:sz w:val="22"/>
          <w:szCs w:val="22"/>
          <w:lang w:val="lt-LT"/>
        </w:rPr>
        <w:t>Eksploratywne analizy PFS oraz OS w kohortach według chemioterapii</w:t>
      </w:r>
    </w:p>
    <w:p w14:paraId="41A0A694" w14:textId="77777777" w:rsidR="0004405D" w:rsidRPr="00741122" w:rsidRDefault="0004405D" w:rsidP="005A497F">
      <w:pPr>
        <w:keepNext/>
        <w:keepLines/>
        <w:rPr>
          <w:rFonts w:ascii="Times New Roman" w:eastAsia="Times New Roman" w:hAnsi="Times New Roman" w:cs="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3098"/>
        <w:gridCol w:w="2966"/>
      </w:tblGrid>
      <w:tr w:rsidR="0004405D" w:rsidRPr="00741122" w14:paraId="0F344484" w14:textId="77777777" w:rsidTr="00F533B1">
        <w:trPr>
          <w:tblHeader/>
        </w:trPr>
        <w:tc>
          <w:tcPr>
            <w:tcW w:w="1831" w:type="pct"/>
          </w:tcPr>
          <w:p w14:paraId="4B235D52" w14:textId="77777777" w:rsidR="0004405D" w:rsidRPr="00741122" w:rsidRDefault="0004405D" w:rsidP="005A497F">
            <w:pPr>
              <w:keepNext/>
              <w:keepLines/>
              <w:rPr>
                <w:rFonts w:ascii="Times New Roman" w:hAnsi="Times New Roman" w:cs="Times New Roman"/>
                <w:sz w:val="22"/>
                <w:szCs w:val="22"/>
                <w:lang w:val="lt-LT"/>
              </w:rPr>
            </w:pPr>
          </w:p>
        </w:tc>
        <w:tc>
          <w:tcPr>
            <w:tcW w:w="1619" w:type="pct"/>
            <w:vAlign w:val="center"/>
          </w:tcPr>
          <w:p w14:paraId="26BFFFA9" w14:textId="77777777" w:rsidR="0004405D" w:rsidRPr="004C6405" w:rsidRDefault="0004405D" w:rsidP="005A497F">
            <w:pPr>
              <w:pStyle w:val="Default"/>
              <w:keepNext/>
              <w:keepLines/>
              <w:jc w:val="center"/>
              <w:rPr>
                <w:b/>
                <w:sz w:val="22"/>
                <w:szCs w:val="22"/>
                <w:lang w:val="lt-LT"/>
              </w:rPr>
            </w:pPr>
            <w:r w:rsidRPr="004C6405">
              <w:rPr>
                <w:b/>
                <w:sz w:val="22"/>
                <w:szCs w:val="22"/>
                <w:lang w:val="lt-LT"/>
              </w:rPr>
              <w:t>Chemioterapia</w:t>
            </w:r>
          </w:p>
        </w:tc>
        <w:tc>
          <w:tcPr>
            <w:tcW w:w="1549" w:type="pct"/>
            <w:vAlign w:val="center"/>
          </w:tcPr>
          <w:p w14:paraId="2EBFCD50" w14:textId="77777777" w:rsidR="0004405D" w:rsidRPr="004C6405" w:rsidRDefault="0004405D" w:rsidP="005A497F">
            <w:pPr>
              <w:pStyle w:val="Default"/>
              <w:keepNext/>
              <w:keepLines/>
              <w:jc w:val="center"/>
              <w:rPr>
                <w:b/>
                <w:sz w:val="22"/>
                <w:szCs w:val="22"/>
                <w:lang w:val="lt-LT"/>
              </w:rPr>
            </w:pPr>
            <w:r w:rsidRPr="004C6405">
              <w:rPr>
                <w:b/>
                <w:sz w:val="22"/>
                <w:szCs w:val="22"/>
                <w:lang w:val="lt-LT"/>
              </w:rPr>
              <w:t>Chemioterapia+ bewacyzumab</w:t>
            </w:r>
          </w:p>
        </w:tc>
      </w:tr>
      <w:tr w:rsidR="0004405D" w:rsidRPr="00951322" w14:paraId="3AB4A44B" w14:textId="77777777" w:rsidTr="00F533B1">
        <w:tc>
          <w:tcPr>
            <w:tcW w:w="1831" w:type="pct"/>
            <w:vAlign w:val="center"/>
          </w:tcPr>
          <w:p w14:paraId="6335363F" w14:textId="77777777" w:rsidR="0004405D" w:rsidRPr="00951322" w:rsidRDefault="0004405D" w:rsidP="005A497F">
            <w:pPr>
              <w:pStyle w:val="Default"/>
              <w:keepNext/>
              <w:keepLines/>
              <w:rPr>
                <w:sz w:val="22"/>
                <w:szCs w:val="22"/>
                <w:lang w:val="lt-LT"/>
              </w:rPr>
            </w:pPr>
            <w:r w:rsidRPr="00951322">
              <w:rPr>
                <w:bCs/>
                <w:sz w:val="22"/>
                <w:szCs w:val="22"/>
                <w:lang w:val="lt-LT"/>
              </w:rPr>
              <w:t>Paklitaksel</w:t>
            </w:r>
          </w:p>
        </w:tc>
        <w:tc>
          <w:tcPr>
            <w:tcW w:w="3169" w:type="pct"/>
            <w:gridSpan w:val="2"/>
            <w:vAlign w:val="center"/>
          </w:tcPr>
          <w:p w14:paraId="0B6EF4DE" w14:textId="77777777" w:rsidR="0004405D" w:rsidRPr="00951322" w:rsidRDefault="0004405D" w:rsidP="005A497F">
            <w:pPr>
              <w:keepNext/>
              <w:keepLines/>
              <w:tabs>
                <w:tab w:val="left" w:pos="567"/>
              </w:tabs>
              <w:jc w:val="center"/>
              <w:rPr>
                <w:rFonts w:ascii="Times New Roman" w:hAnsi="Times New Roman" w:cs="Times New Roman"/>
                <w:sz w:val="22"/>
                <w:szCs w:val="22"/>
                <w:lang w:val="lt-LT"/>
              </w:rPr>
            </w:pPr>
            <w:r w:rsidRPr="00951322">
              <w:rPr>
                <w:rFonts w:ascii="Times New Roman" w:hAnsi="Times New Roman" w:cs="Times New Roman"/>
                <w:sz w:val="22"/>
                <w:szCs w:val="22"/>
                <w:lang w:val="lt-LT"/>
              </w:rPr>
              <w:t>n</w:t>
            </w:r>
            <w:r w:rsidR="009B59B2">
              <w:rPr>
                <w:rFonts w:ascii="Times New Roman" w:hAnsi="Times New Roman" w:cs="Times New Roman"/>
                <w:sz w:val="22"/>
                <w:szCs w:val="22"/>
                <w:lang w:val="lt-LT"/>
              </w:rPr>
              <w:t xml:space="preserve"> </w:t>
            </w:r>
            <w:r w:rsidRPr="00951322">
              <w:rPr>
                <w:rFonts w:ascii="Times New Roman" w:hAnsi="Times New Roman" w:cs="Times New Roman"/>
                <w:sz w:val="22"/>
                <w:szCs w:val="22"/>
                <w:lang w:val="lt-LT"/>
              </w:rPr>
              <w:t>=</w:t>
            </w:r>
            <w:r w:rsidR="009B59B2">
              <w:rPr>
                <w:rFonts w:ascii="Times New Roman" w:hAnsi="Times New Roman" w:cs="Times New Roman"/>
                <w:sz w:val="22"/>
                <w:szCs w:val="22"/>
                <w:lang w:val="lt-LT"/>
              </w:rPr>
              <w:t xml:space="preserve"> </w:t>
            </w:r>
            <w:r w:rsidRPr="00951322">
              <w:rPr>
                <w:rFonts w:ascii="Times New Roman" w:hAnsi="Times New Roman" w:cs="Times New Roman"/>
                <w:sz w:val="22"/>
                <w:szCs w:val="22"/>
                <w:lang w:val="lt-LT"/>
              </w:rPr>
              <w:t>115</w:t>
            </w:r>
          </w:p>
        </w:tc>
      </w:tr>
      <w:tr w:rsidR="0004405D" w:rsidRPr="00730C28" w14:paraId="1F14580C" w14:textId="77777777" w:rsidTr="00F533B1">
        <w:tc>
          <w:tcPr>
            <w:tcW w:w="1831" w:type="pct"/>
            <w:vAlign w:val="center"/>
          </w:tcPr>
          <w:p w14:paraId="3F0F9B33" w14:textId="77777777" w:rsidR="0004405D" w:rsidRPr="00730C28" w:rsidRDefault="0004405D" w:rsidP="005A497F">
            <w:pPr>
              <w:keepNext/>
              <w:keepLines/>
              <w:tabs>
                <w:tab w:val="left" w:pos="567"/>
              </w:tabs>
              <w:ind w:left="567"/>
              <w:rPr>
                <w:rFonts w:ascii="Times New Roman" w:hAnsi="Times New Roman" w:cs="Times New Roman"/>
                <w:sz w:val="22"/>
                <w:szCs w:val="22"/>
                <w:lang w:val="lt-LT"/>
              </w:rPr>
            </w:pPr>
            <w:r w:rsidRPr="00730C28">
              <w:rPr>
                <w:rFonts w:ascii="Times New Roman" w:hAnsi="Times New Roman" w:cs="Times New Roman"/>
                <w:sz w:val="22"/>
                <w:szCs w:val="22"/>
                <w:lang w:val="lt-LT"/>
              </w:rPr>
              <w:t>Mediana PFS (miesiące)</w:t>
            </w:r>
          </w:p>
        </w:tc>
        <w:tc>
          <w:tcPr>
            <w:tcW w:w="1619" w:type="pct"/>
            <w:vAlign w:val="center"/>
          </w:tcPr>
          <w:p w14:paraId="54C1D815" w14:textId="77777777" w:rsidR="0004405D" w:rsidRPr="00730C28" w:rsidRDefault="0004405D" w:rsidP="005A497F">
            <w:pPr>
              <w:pStyle w:val="Default"/>
              <w:keepNext/>
              <w:keepLines/>
              <w:jc w:val="center"/>
              <w:rPr>
                <w:sz w:val="22"/>
                <w:szCs w:val="22"/>
                <w:lang w:val="lt-LT"/>
              </w:rPr>
            </w:pPr>
            <w:r w:rsidRPr="00730C28">
              <w:rPr>
                <w:sz w:val="22"/>
                <w:szCs w:val="22"/>
                <w:lang w:val="lt-LT"/>
              </w:rPr>
              <w:t>3,9</w:t>
            </w:r>
          </w:p>
        </w:tc>
        <w:tc>
          <w:tcPr>
            <w:tcW w:w="1549" w:type="pct"/>
            <w:vAlign w:val="center"/>
          </w:tcPr>
          <w:p w14:paraId="2B8B6E54" w14:textId="77777777" w:rsidR="0004405D" w:rsidRPr="00730C28" w:rsidRDefault="0004405D" w:rsidP="005A497F">
            <w:pPr>
              <w:pStyle w:val="Default"/>
              <w:keepNext/>
              <w:keepLines/>
              <w:jc w:val="center"/>
              <w:rPr>
                <w:sz w:val="22"/>
                <w:szCs w:val="22"/>
                <w:lang w:val="lt-LT"/>
              </w:rPr>
            </w:pPr>
            <w:r w:rsidRPr="00730C28">
              <w:rPr>
                <w:sz w:val="22"/>
                <w:szCs w:val="22"/>
                <w:lang w:val="lt-LT"/>
              </w:rPr>
              <w:t>9,2</w:t>
            </w:r>
          </w:p>
        </w:tc>
      </w:tr>
      <w:tr w:rsidR="0004405D" w:rsidRPr="00741122" w14:paraId="0C9B7CA7" w14:textId="77777777" w:rsidTr="00F533B1">
        <w:tc>
          <w:tcPr>
            <w:tcW w:w="1831" w:type="pct"/>
            <w:vAlign w:val="center"/>
          </w:tcPr>
          <w:p w14:paraId="6A827B6E" w14:textId="77777777" w:rsidR="0004405D" w:rsidRPr="00730C28" w:rsidRDefault="0004405D" w:rsidP="005A497F">
            <w:pPr>
              <w:keepNext/>
              <w:keepLines/>
              <w:tabs>
                <w:tab w:val="left" w:pos="567"/>
              </w:tabs>
              <w:ind w:left="567"/>
              <w:rPr>
                <w:rFonts w:ascii="Times New Roman" w:hAnsi="Times New Roman" w:cs="Times New Roman"/>
                <w:sz w:val="22"/>
                <w:szCs w:val="22"/>
                <w:lang w:val="lt-LT"/>
              </w:rPr>
            </w:pPr>
            <w:r w:rsidRPr="00730C28">
              <w:rPr>
                <w:rFonts w:ascii="Times New Roman" w:hAnsi="Times New Roman" w:cs="Times New Roman"/>
                <w:sz w:val="22"/>
                <w:szCs w:val="22"/>
                <w:lang w:val="lt-LT"/>
              </w:rPr>
              <w:t>Współczynnik ryzyka (95% CI)</w:t>
            </w:r>
          </w:p>
        </w:tc>
        <w:tc>
          <w:tcPr>
            <w:tcW w:w="3169" w:type="pct"/>
            <w:gridSpan w:val="2"/>
            <w:vAlign w:val="center"/>
          </w:tcPr>
          <w:p w14:paraId="2AC61835" w14:textId="72BB0DA4" w:rsidR="0004405D" w:rsidRPr="00741122" w:rsidRDefault="0004405D" w:rsidP="005A497F">
            <w:pPr>
              <w:pStyle w:val="Default"/>
              <w:keepNext/>
              <w:keepLines/>
              <w:jc w:val="center"/>
              <w:rPr>
                <w:sz w:val="22"/>
                <w:szCs w:val="22"/>
                <w:lang w:val="lt-LT"/>
              </w:rPr>
            </w:pPr>
            <w:r w:rsidRPr="00741122">
              <w:rPr>
                <w:sz w:val="22"/>
                <w:szCs w:val="22"/>
                <w:lang w:val="lt-LT"/>
              </w:rPr>
              <w:t>0,47 [0,31</w:t>
            </w:r>
            <w:r w:rsidR="00AD65EF">
              <w:rPr>
                <w:sz w:val="22"/>
                <w:szCs w:val="22"/>
                <w:lang w:val="lt-LT"/>
              </w:rPr>
              <w:t>;</w:t>
            </w:r>
            <w:r w:rsidRPr="00741122">
              <w:rPr>
                <w:sz w:val="22"/>
                <w:szCs w:val="22"/>
                <w:lang w:val="lt-LT"/>
              </w:rPr>
              <w:t xml:space="preserve"> 0,72]</w:t>
            </w:r>
          </w:p>
        </w:tc>
      </w:tr>
      <w:tr w:rsidR="0004405D" w:rsidRPr="00741122" w14:paraId="7200A38E" w14:textId="77777777" w:rsidTr="00F533B1">
        <w:tc>
          <w:tcPr>
            <w:tcW w:w="1831" w:type="pct"/>
            <w:vAlign w:val="center"/>
          </w:tcPr>
          <w:p w14:paraId="4409CC83" w14:textId="77777777" w:rsidR="0004405D" w:rsidRPr="00730C28" w:rsidRDefault="0004405D" w:rsidP="00730C28">
            <w:pPr>
              <w:tabs>
                <w:tab w:val="left" w:pos="567"/>
              </w:tabs>
              <w:ind w:left="567"/>
              <w:rPr>
                <w:rFonts w:ascii="Times New Roman" w:hAnsi="Times New Roman" w:cs="Times New Roman"/>
                <w:sz w:val="22"/>
                <w:szCs w:val="22"/>
                <w:lang w:val="lt-LT"/>
              </w:rPr>
            </w:pPr>
            <w:r w:rsidRPr="00730C28">
              <w:rPr>
                <w:rFonts w:ascii="Times New Roman" w:hAnsi="Times New Roman" w:cs="Times New Roman"/>
                <w:sz w:val="22"/>
                <w:szCs w:val="22"/>
                <w:lang w:val="lt-LT"/>
              </w:rPr>
              <w:t>Mediana OS (miesiące)</w:t>
            </w:r>
          </w:p>
        </w:tc>
        <w:tc>
          <w:tcPr>
            <w:tcW w:w="1619" w:type="pct"/>
            <w:vAlign w:val="center"/>
          </w:tcPr>
          <w:p w14:paraId="46F7A01F" w14:textId="77777777" w:rsidR="0004405D" w:rsidRPr="00741122" w:rsidRDefault="0004405D" w:rsidP="00951322">
            <w:pPr>
              <w:pStyle w:val="Default"/>
              <w:jc w:val="center"/>
              <w:rPr>
                <w:sz w:val="22"/>
                <w:szCs w:val="22"/>
                <w:lang w:val="lt-LT"/>
              </w:rPr>
            </w:pPr>
            <w:r w:rsidRPr="00741122">
              <w:rPr>
                <w:sz w:val="22"/>
                <w:szCs w:val="22"/>
                <w:lang w:val="lt-LT"/>
              </w:rPr>
              <w:t>13,2</w:t>
            </w:r>
          </w:p>
        </w:tc>
        <w:tc>
          <w:tcPr>
            <w:tcW w:w="1549" w:type="pct"/>
            <w:vAlign w:val="center"/>
          </w:tcPr>
          <w:p w14:paraId="24C699A2" w14:textId="77777777" w:rsidR="0004405D" w:rsidRPr="00741122" w:rsidRDefault="0004405D" w:rsidP="00951322">
            <w:pPr>
              <w:pStyle w:val="Default"/>
              <w:jc w:val="center"/>
              <w:rPr>
                <w:sz w:val="22"/>
                <w:szCs w:val="22"/>
                <w:lang w:val="lt-LT"/>
              </w:rPr>
            </w:pPr>
            <w:r w:rsidRPr="00741122">
              <w:rPr>
                <w:sz w:val="22"/>
                <w:szCs w:val="22"/>
                <w:lang w:val="lt-LT"/>
              </w:rPr>
              <w:t>22,4</w:t>
            </w:r>
          </w:p>
        </w:tc>
      </w:tr>
      <w:tr w:rsidR="0004405D" w:rsidRPr="00741122" w14:paraId="0CE23EFE" w14:textId="77777777" w:rsidTr="00F533B1">
        <w:tc>
          <w:tcPr>
            <w:tcW w:w="1831" w:type="pct"/>
            <w:vAlign w:val="center"/>
          </w:tcPr>
          <w:p w14:paraId="1D8F7846" w14:textId="77777777" w:rsidR="0004405D" w:rsidRPr="00730C28" w:rsidRDefault="0004405D" w:rsidP="00730C28">
            <w:pPr>
              <w:tabs>
                <w:tab w:val="left" w:pos="567"/>
              </w:tabs>
              <w:ind w:left="567"/>
              <w:rPr>
                <w:rFonts w:ascii="Times New Roman" w:hAnsi="Times New Roman" w:cs="Times New Roman"/>
                <w:sz w:val="22"/>
                <w:szCs w:val="22"/>
                <w:lang w:val="lt-LT"/>
              </w:rPr>
            </w:pPr>
            <w:r w:rsidRPr="00730C28">
              <w:rPr>
                <w:rFonts w:ascii="Times New Roman" w:hAnsi="Times New Roman" w:cs="Times New Roman"/>
                <w:sz w:val="22"/>
                <w:szCs w:val="22"/>
                <w:lang w:val="lt-LT"/>
              </w:rPr>
              <w:t>Współczynnik ryzyka (95% CI)</w:t>
            </w:r>
          </w:p>
        </w:tc>
        <w:tc>
          <w:tcPr>
            <w:tcW w:w="3169" w:type="pct"/>
            <w:gridSpan w:val="2"/>
            <w:vAlign w:val="center"/>
          </w:tcPr>
          <w:p w14:paraId="2405C84F" w14:textId="0D07449E" w:rsidR="0004405D" w:rsidRPr="00741122" w:rsidRDefault="0004405D" w:rsidP="00951322">
            <w:pPr>
              <w:pStyle w:val="Default"/>
              <w:jc w:val="center"/>
              <w:rPr>
                <w:sz w:val="22"/>
                <w:szCs w:val="22"/>
                <w:lang w:val="lt-LT"/>
              </w:rPr>
            </w:pPr>
            <w:r w:rsidRPr="00741122">
              <w:rPr>
                <w:sz w:val="22"/>
                <w:szCs w:val="22"/>
                <w:lang w:val="lt-LT"/>
              </w:rPr>
              <w:t>0,64 [0,41</w:t>
            </w:r>
            <w:r w:rsidR="00AD65EF">
              <w:rPr>
                <w:sz w:val="22"/>
                <w:szCs w:val="22"/>
                <w:lang w:val="lt-LT"/>
              </w:rPr>
              <w:t>;</w:t>
            </w:r>
            <w:r w:rsidRPr="00741122">
              <w:rPr>
                <w:sz w:val="22"/>
                <w:szCs w:val="22"/>
                <w:lang w:val="lt-LT"/>
              </w:rPr>
              <w:t xml:space="preserve"> 0,99]</w:t>
            </w:r>
          </w:p>
        </w:tc>
      </w:tr>
      <w:tr w:rsidR="0004405D" w:rsidRPr="00741122" w14:paraId="78DBF126" w14:textId="77777777" w:rsidTr="00F533B1">
        <w:tc>
          <w:tcPr>
            <w:tcW w:w="1831" w:type="pct"/>
            <w:vAlign w:val="center"/>
          </w:tcPr>
          <w:p w14:paraId="5E9743E7" w14:textId="77777777" w:rsidR="0004405D" w:rsidRPr="00A62134" w:rsidRDefault="0004405D" w:rsidP="002B1650">
            <w:pPr>
              <w:pStyle w:val="Default"/>
              <w:keepNext/>
              <w:rPr>
                <w:sz w:val="22"/>
                <w:szCs w:val="22"/>
                <w:lang w:val="lt-LT"/>
              </w:rPr>
            </w:pPr>
            <w:r w:rsidRPr="00A62134">
              <w:rPr>
                <w:bCs/>
                <w:sz w:val="22"/>
                <w:szCs w:val="22"/>
                <w:lang w:val="lt-LT"/>
              </w:rPr>
              <w:t>Topotekan</w:t>
            </w:r>
          </w:p>
        </w:tc>
        <w:tc>
          <w:tcPr>
            <w:tcW w:w="3169" w:type="pct"/>
            <w:gridSpan w:val="2"/>
            <w:vAlign w:val="center"/>
          </w:tcPr>
          <w:p w14:paraId="6C14E682" w14:textId="77777777" w:rsidR="0004405D" w:rsidRPr="00741122" w:rsidRDefault="0004405D" w:rsidP="00951322">
            <w:pPr>
              <w:pStyle w:val="Default"/>
              <w:jc w:val="center"/>
              <w:rPr>
                <w:sz w:val="22"/>
                <w:szCs w:val="22"/>
                <w:lang w:val="lt-LT"/>
              </w:rPr>
            </w:pPr>
            <w:r w:rsidRPr="00741122">
              <w:rPr>
                <w:sz w:val="22"/>
                <w:szCs w:val="22"/>
                <w:lang w:val="lt-LT"/>
              </w:rPr>
              <w:t>n</w:t>
            </w:r>
            <w:r w:rsidR="009B59B2">
              <w:rPr>
                <w:sz w:val="22"/>
                <w:szCs w:val="22"/>
                <w:lang w:val="lt-LT"/>
              </w:rPr>
              <w:t xml:space="preserve"> </w:t>
            </w:r>
            <w:r w:rsidRPr="00741122">
              <w:rPr>
                <w:sz w:val="22"/>
                <w:szCs w:val="22"/>
                <w:lang w:val="lt-LT"/>
              </w:rPr>
              <w:t>=</w:t>
            </w:r>
            <w:r w:rsidR="009B59B2">
              <w:rPr>
                <w:sz w:val="22"/>
                <w:szCs w:val="22"/>
                <w:lang w:val="lt-LT"/>
              </w:rPr>
              <w:t xml:space="preserve"> </w:t>
            </w:r>
            <w:r w:rsidRPr="00741122">
              <w:rPr>
                <w:sz w:val="22"/>
                <w:szCs w:val="22"/>
                <w:lang w:val="lt-LT"/>
              </w:rPr>
              <w:t>120</w:t>
            </w:r>
          </w:p>
        </w:tc>
      </w:tr>
      <w:tr w:rsidR="0004405D" w:rsidRPr="00741122" w14:paraId="16856A0B" w14:textId="77777777" w:rsidTr="00F533B1">
        <w:tc>
          <w:tcPr>
            <w:tcW w:w="1831" w:type="pct"/>
            <w:vAlign w:val="center"/>
          </w:tcPr>
          <w:p w14:paraId="28BF3C9C" w14:textId="77777777" w:rsidR="0004405D" w:rsidRPr="00A62134" w:rsidRDefault="0004405D" w:rsidP="002B1650">
            <w:pPr>
              <w:keepNext/>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Mediana PFS (miesiące)</w:t>
            </w:r>
          </w:p>
        </w:tc>
        <w:tc>
          <w:tcPr>
            <w:tcW w:w="1619" w:type="pct"/>
            <w:vAlign w:val="center"/>
          </w:tcPr>
          <w:p w14:paraId="4B85059D" w14:textId="77777777" w:rsidR="0004405D" w:rsidRPr="00741122" w:rsidRDefault="0004405D" w:rsidP="00951322">
            <w:pPr>
              <w:pStyle w:val="Default"/>
              <w:jc w:val="center"/>
              <w:rPr>
                <w:sz w:val="22"/>
                <w:szCs w:val="22"/>
                <w:lang w:val="lt-LT"/>
              </w:rPr>
            </w:pPr>
            <w:r w:rsidRPr="00741122">
              <w:rPr>
                <w:sz w:val="22"/>
                <w:szCs w:val="22"/>
                <w:lang w:val="lt-LT"/>
              </w:rPr>
              <w:t>2,1</w:t>
            </w:r>
          </w:p>
        </w:tc>
        <w:tc>
          <w:tcPr>
            <w:tcW w:w="1549" w:type="pct"/>
            <w:vAlign w:val="center"/>
          </w:tcPr>
          <w:p w14:paraId="493522D0" w14:textId="77777777" w:rsidR="0004405D" w:rsidRPr="00741122" w:rsidRDefault="0004405D" w:rsidP="00951322">
            <w:pPr>
              <w:pStyle w:val="Default"/>
              <w:jc w:val="center"/>
              <w:rPr>
                <w:sz w:val="22"/>
                <w:szCs w:val="22"/>
                <w:lang w:val="lt-LT"/>
              </w:rPr>
            </w:pPr>
            <w:r w:rsidRPr="00741122">
              <w:rPr>
                <w:sz w:val="22"/>
                <w:szCs w:val="22"/>
                <w:lang w:val="lt-LT"/>
              </w:rPr>
              <w:t>6,2</w:t>
            </w:r>
          </w:p>
        </w:tc>
      </w:tr>
      <w:tr w:rsidR="0004405D" w:rsidRPr="00741122" w14:paraId="438A0D68" w14:textId="77777777" w:rsidTr="00F533B1">
        <w:tc>
          <w:tcPr>
            <w:tcW w:w="1831" w:type="pct"/>
            <w:vAlign w:val="center"/>
          </w:tcPr>
          <w:p w14:paraId="1741F1BA" w14:textId="77777777" w:rsidR="0004405D" w:rsidRPr="00A62134" w:rsidRDefault="0004405D" w:rsidP="002B1650">
            <w:pPr>
              <w:keepNext/>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Współczynnik ryzyka (95% CI)</w:t>
            </w:r>
          </w:p>
        </w:tc>
        <w:tc>
          <w:tcPr>
            <w:tcW w:w="3169" w:type="pct"/>
            <w:gridSpan w:val="2"/>
            <w:vAlign w:val="center"/>
          </w:tcPr>
          <w:p w14:paraId="57E33C38" w14:textId="6AE01492" w:rsidR="0004405D" w:rsidRPr="00D6025A" w:rsidRDefault="0004405D" w:rsidP="00951322">
            <w:pPr>
              <w:pStyle w:val="Default"/>
              <w:jc w:val="center"/>
              <w:rPr>
                <w:sz w:val="22"/>
                <w:szCs w:val="22"/>
                <w:lang w:val="lt-LT"/>
              </w:rPr>
            </w:pPr>
            <w:r w:rsidRPr="00D6025A">
              <w:rPr>
                <w:sz w:val="22"/>
                <w:szCs w:val="22"/>
                <w:lang w:val="lt-LT"/>
              </w:rPr>
              <w:t>0,28 [0,18</w:t>
            </w:r>
            <w:r w:rsidR="00AD65EF">
              <w:rPr>
                <w:sz w:val="22"/>
                <w:szCs w:val="22"/>
                <w:lang w:val="lt-LT"/>
              </w:rPr>
              <w:t>;</w:t>
            </w:r>
            <w:r w:rsidRPr="00D6025A">
              <w:rPr>
                <w:sz w:val="22"/>
                <w:szCs w:val="22"/>
                <w:lang w:val="lt-LT"/>
              </w:rPr>
              <w:t xml:space="preserve"> 0,44]</w:t>
            </w:r>
          </w:p>
        </w:tc>
      </w:tr>
      <w:tr w:rsidR="0004405D" w:rsidRPr="00741122" w14:paraId="3083B4F0" w14:textId="77777777" w:rsidTr="00F533B1">
        <w:tc>
          <w:tcPr>
            <w:tcW w:w="1831" w:type="pct"/>
            <w:vAlign w:val="center"/>
          </w:tcPr>
          <w:p w14:paraId="22311930" w14:textId="77777777" w:rsidR="0004405D" w:rsidRPr="00A62134" w:rsidRDefault="0004405D" w:rsidP="00D6025A">
            <w:pPr>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Mediana OS (miesiące)</w:t>
            </w:r>
          </w:p>
        </w:tc>
        <w:tc>
          <w:tcPr>
            <w:tcW w:w="1619" w:type="pct"/>
            <w:vAlign w:val="center"/>
          </w:tcPr>
          <w:p w14:paraId="50A00813" w14:textId="77777777" w:rsidR="0004405D" w:rsidRPr="00741122" w:rsidRDefault="0004405D" w:rsidP="00951322">
            <w:pPr>
              <w:pStyle w:val="Default"/>
              <w:jc w:val="center"/>
              <w:rPr>
                <w:sz w:val="22"/>
                <w:szCs w:val="22"/>
                <w:lang w:val="lt-LT"/>
              </w:rPr>
            </w:pPr>
            <w:r w:rsidRPr="00741122">
              <w:rPr>
                <w:sz w:val="22"/>
                <w:szCs w:val="22"/>
                <w:lang w:val="lt-LT"/>
              </w:rPr>
              <w:t>13,3</w:t>
            </w:r>
          </w:p>
        </w:tc>
        <w:tc>
          <w:tcPr>
            <w:tcW w:w="1549" w:type="pct"/>
            <w:vAlign w:val="center"/>
          </w:tcPr>
          <w:p w14:paraId="26629F3D" w14:textId="77777777" w:rsidR="0004405D" w:rsidRPr="00741122" w:rsidRDefault="0004405D" w:rsidP="00951322">
            <w:pPr>
              <w:pStyle w:val="Default"/>
              <w:jc w:val="center"/>
              <w:rPr>
                <w:sz w:val="22"/>
                <w:szCs w:val="22"/>
                <w:lang w:val="lt-LT"/>
              </w:rPr>
            </w:pPr>
            <w:r w:rsidRPr="00741122">
              <w:rPr>
                <w:sz w:val="22"/>
                <w:szCs w:val="22"/>
                <w:lang w:val="lt-LT"/>
              </w:rPr>
              <w:t>13,8</w:t>
            </w:r>
          </w:p>
        </w:tc>
      </w:tr>
      <w:tr w:rsidR="0004405D" w:rsidRPr="00741122" w14:paraId="37898FF5" w14:textId="77777777" w:rsidTr="00F533B1">
        <w:tc>
          <w:tcPr>
            <w:tcW w:w="1831" w:type="pct"/>
            <w:vAlign w:val="center"/>
          </w:tcPr>
          <w:p w14:paraId="47C1237E" w14:textId="77777777" w:rsidR="0004405D" w:rsidRPr="00A62134" w:rsidRDefault="0004405D" w:rsidP="00D6025A">
            <w:pPr>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Współczynnik ryzyka (95% CI)</w:t>
            </w:r>
          </w:p>
        </w:tc>
        <w:tc>
          <w:tcPr>
            <w:tcW w:w="3169" w:type="pct"/>
            <w:gridSpan w:val="2"/>
            <w:vAlign w:val="center"/>
          </w:tcPr>
          <w:p w14:paraId="577B7D7A" w14:textId="31822791" w:rsidR="0004405D" w:rsidRPr="00741122" w:rsidRDefault="0004405D" w:rsidP="00951322">
            <w:pPr>
              <w:pStyle w:val="Default"/>
              <w:jc w:val="center"/>
              <w:rPr>
                <w:sz w:val="22"/>
                <w:szCs w:val="22"/>
                <w:lang w:val="lt-LT"/>
              </w:rPr>
            </w:pPr>
            <w:r w:rsidRPr="00741122">
              <w:rPr>
                <w:sz w:val="22"/>
                <w:szCs w:val="22"/>
                <w:lang w:val="lt-LT"/>
              </w:rPr>
              <w:t>1,07 [0,70</w:t>
            </w:r>
            <w:r w:rsidR="00AD65EF">
              <w:rPr>
                <w:sz w:val="22"/>
                <w:szCs w:val="22"/>
                <w:lang w:val="lt-LT"/>
              </w:rPr>
              <w:t>;</w:t>
            </w:r>
            <w:r w:rsidRPr="00741122">
              <w:rPr>
                <w:sz w:val="22"/>
                <w:szCs w:val="22"/>
                <w:lang w:val="lt-LT"/>
              </w:rPr>
              <w:t xml:space="preserve"> 1,63]</w:t>
            </w:r>
          </w:p>
        </w:tc>
      </w:tr>
      <w:tr w:rsidR="0004405D" w:rsidRPr="00741122" w14:paraId="52740861" w14:textId="77777777" w:rsidTr="00F533B1">
        <w:tc>
          <w:tcPr>
            <w:tcW w:w="1831" w:type="pct"/>
            <w:vAlign w:val="center"/>
          </w:tcPr>
          <w:p w14:paraId="33646D4A" w14:textId="77777777" w:rsidR="0004405D" w:rsidRPr="00A62134" w:rsidRDefault="0004405D" w:rsidP="006046D7">
            <w:pPr>
              <w:keepNext/>
              <w:keepLines/>
              <w:tabs>
                <w:tab w:val="left" w:pos="567"/>
              </w:tabs>
              <w:rPr>
                <w:rFonts w:ascii="Times New Roman" w:hAnsi="Times New Roman" w:cs="Times New Roman"/>
                <w:sz w:val="22"/>
                <w:szCs w:val="22"/>
                <w:lang w:val="lt-LT"/>
              </w:rPr>
            </w:pPr>
            <w:r w:rsidRPr="00A62134">
              <w:rPr>
                <w:rFonts w:ascii="Times New Roman" w:hAnsi="Times New Roman" w:cs="Times New Roman"/>
                <w:bCs/>
                <w:sz w:val="22"/>
                <w:szCs w:val="22"/>
                <w:lang w:val="lt-LT"/>
              </w:rPr>
              <w:lastRenderedPageBreak/>
              <w:t>PLD</w:t>
            </w:r>
          </w:p>
        </w:tc>
        <w:tc>
          <w:tcPr>
            <w:tcW w:w="3169" w:type="pct"/>
            <w:gridSpan w:val="2"/>
            <w:vAlign w:val="center"/>
          </w:tcPr>
          <w:p w14:paraId="2EC18E12" w14:textId="77777777" w:rsidR="0004405D" w:rsidRPr="00741122" w:rsidRDefault="0004405D" w:rsidP="006046D7">
            <w:pPr>
              <w:pStyle w:val="Default"/>
              <w:keepNext/>
              <w:keepLines/>
              <w:jc w:val="center"/>
              <w:rPr>
                <w:sz w:val="22"/>
                <w:szCs w:val="22"/>
                <w:lang w:val="lt-LT"/>
              </w:rPr>
            </w:pPr>
            <w:r w:rsidRPr="00741122">
              <w:rPr>
                <w:sz w:val="22"/>
                <w:szCs w:val="22"/>
                <w:lang w:val="lt-LT"/>
              </w:rPr>
              <w:t>n</w:t>
            </w:r>
            <w:r w:rsidR="009B59B2">
              <w:rPr>
                <w:sz w:val="22"/>
                <w:szCs w:val="22"/>
                <w:lang w:val="lt-LT"/>
              </w:rPr>
              <w:t xml:space="preserve"> </w:t>
            </w:r>
            <w:r w:rsidRPr="00741122">
              <w:rPr>
                <w:sz w:val="22"/>
                <w:szCs w:val="22"/>
                <w:lang w:val="lt-LT"/>
              </w:rPr>
              <w:t>=</w:t>
            </w:r>
            <w:r w:rsidR="009B59B2">
              <w:rPr>
                <w:sz w:val="22"/>
                <w:szCs w:val="22"/>
                <w:lang w:val="lt-LT"/>
              </w:rPr>
              <w:t xml:space="preserve"> </w:t>
            </w:r>
            <w:r w:rsidRPr="00741122">
              <w:rPr>
                <w:sz w:val="22"/>
                <w:szCs w:val="22"/>
                <w:lang w:val="lt-LT"/>
              </w:rPr>
              <w:t>126</w:t>
            </w:r>
          </w:p>
        </w:tc>
      </w:tr>
      <w:tr w:rsidR="0004405D" w:rsidRPr="00741122" w14:paraId="439579D9" w14:textId="77777777" w:rsidTr="00F533B1">
        <w:tc>
          <w:tcPr>
            <w:tcW w:w="1831" w:type="pct"/>
            <w:vAlign w:val="center"/>
          </w:tcPr>
          <w:p w14:paraId="487241C9" w14:textId="77777777" w:rsidR="0004405D" w:rsidRPr="00A62134" w:rsidRDefault="0004405D" w:rsidP="006046D7">
            <w:pPr>
              <w:keepNext/>
              <w:keepLines/>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Mediana PFS (miesiące)</w:t>
            </w:r>
          </w:p>
        </w:tc>
        <w:tc>
          <w:tcPr>
            <w:tcW w:w="1619" w:type="pct"/>
            <w:vAlign w:val="center"/>
          </w:tcPr>
          <w:p w14:paraId="62529FF9" w14:textId="77777777" w:rsidR="0004405D" w:rsidRPr="00741122" w:rsidRDefault="0004405D" w:rsidP="006046D7">
            <w:pPr>
              <w:pStyle w:val="Default"/>
              <w:keepNext/>
              <w:keepLines/>
              <w:jc w:val="center"/>
              <w:rPr>
                <w:sz w:val="22"/>
                <w:szCs w:val="22"/>
                <w:lang w:val="lt-LT"/>
              </w:rPr>
            </w:pPr>
            <w:r w:rsidRPr="00741122">
              <w:rPr>
                <w:sz w:val="22"/>
                <w:szCs w:val="22"/>
                <w:lang w:val="lt-LT"/>
              </w:rPr>
              <w:t>3,5</w:t>
            </w:r>
          </w:p>
        </w:tc>
        <w:tc>
          <w:tcPr>
            <w:tcW w:w="1549" w:type="pct"/>
            <w:vAlign w:val="center"/>
          </w:tcPr>
          <w:p w14:paraId="16CFF923" w14:textId="77777777" w:rsidR="0004405D" w:rsidRPr="00741122" w:rsidRDefault="0004405D" w:rsidP="006046D7">
            <w:pPr>
              <w:pStyle w:val="Default"/>
              <w:keepNext/>
              <w:keepLines/>
              <w:jc w:val="center"/>
              <w:rPr>
                <w:sz w:val="22"/>
                <w:szCs w:val="22"/>
                <w:lang w:val="lt-LT"/>
              </w:rPr>
            </w:pPr>
            <w:r w:rsidRPr="00741122">
              <w:rPr>
                <w:sz w:val="22"/>
                <w:szCs w:val="22"/>
                <w:lang w:val="lt-LT"/>
              </w:rPr>
              <w:t>5,1</w:t>
            </w:r>
          </w:p>
        </w:tc>
      </w:tr>
      <w:tr w:rsidR="0004405D" w:rsidRPr="00741122" w14:paraId="6F538A0B" w14:textId="77777777" w:rsidTr="00F533B1">
        <w:tc>
          <w:tcPr>
            <w:tcW w:w="1831" w:type="pct"/>
            <w:vAlign w:val="center"/>
          </w:tcPr>
          <w:p w14:paraId="58705445" w14:textId="77777777" w:rsidR="0004405D" w:rsidRPr="00A62134" w:rsidRDefault="0004405D" w:rsidP="006046D7">
            <w:pPr>
              <w:keepNext/>
              <w:keepLines/>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Współczynnik ryzyka (95% CI)</w:t>
            </w:r>
          </w:p>
        </w:tc>
        <w:tc>
          <w:tcPr>
            <w:tcW w:w="3169" w:type="pct"/>
            <w:gridSpan w:val="2"/>
            <w:vAlign w:val="center"/>
          </w:tcPr>
          <w:p w14:paraId="685DBE1F" w14:textId="6934A955" w:rsidR="0004405D" w:rsidRPr="00741122" w:rsidRDefault="0004405D" w:rsidP="006046D7">
            <w:pPr>
              <w:pStyle w:val="Default"/>
              <w:keepNext/>
              <w:keepLines/>
              <w:jc w:val="center"/>
              <w:rPr>
                <w:sz w:val="22"/>
                <w:szCs w:val="22"/>
                <w:lang w:val="lt-LT"/>
              </w:rPr>
            </w:pPr>
            <w:r w:rsidRPr="00741122">
              <w:rPr>
                <w:sz w:val="22"/>
                <w:szCs w:val="22"/>
                <w:lang w:val="lt-LT"/>
              </w:rPr>
              <w:t>0,53 [0,36</w:t>
            </w:r>
            <w:r w:rsidR="00AD65EF">
              <w:rPr>
                <w:sz w:val="22"/>
                <w:szCs w:val="22"/>
                <w:lang w:val="lt-LT"/>
              </w:rPr>
              <w:t>;</w:t>
            </w:r>
            <w:r w:rsidRPr="00741122">
              <w:rPr>
                <w:sz w:val="22"/>
                <w:szCs w:val="22"/>
                <w:lang w:val="lt-LT"/>
              </w:rPr>
              <w:t xml:space="preserve"> 0,77]</w:t>
            </w:r>
          </w:p>
        </w:tc>
      </w:tr>
      <w:tr w:rsidR="0004405D" w:rsidRPr="00741122" w14:paraId="73CBD525" w14:textId="77777777" w:rsidTr="00F533B1">
        <w:tc>
          <w:tcPr>
            <w:tcW w:w="1831" w:type="pct"/>
            <w:vAlign w:val="center"/>
          </w:tcPr>
          <w:p w14:paraId="72E3BF94" w14:textId="77777777" w:rsidR="0004405D" w:rsidRPr="00A62134" w:rsidRDefault="0004405D" w:rsidP="006046D7">
            <w:pPr>
              <w:keepNext/>
              <w:keepLines/>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Mediana OS (miesiące)</w:t>
            </w:r>
          </w:p>
        </w:tc>
        <w:tc>
          <w:tcPr>
            <w:tcW w:w="1619" w:type="pct"/>
            <w:vAlign w:val="center"/>
          </w:tcPr>
          <w:p w14:paraId="26398D13" w14:textId="77777777" w:rsidR="0004405D" w:rsidRPr="00741122" w:rsidRDefault="0004405D" w:rsidP="006046D7">
            <w:pPr>
              <w:pStyle w:val="Default"/>
              <w:keepNext/>
              <w:keepLines/>
              <w:jc w:val="center"/>
              <w:rPr>
                <w:sz w:val="22"/>
                <w:szCs w:val="22"/>
                <w:lang w:val="lt-LT"/>
              </w:rPr>
            </w:pPr>
            <w:r w:rsidRPr="00741122">
              <w:rPr>
                <w:sz w:val="22"/>
                <w:szCs w:val="22"/>
                <w:lang w:val="lt-LT"/>
              </w:rPr>
              <w:t>14,1</w:t>
            </w:r>
          </w:p>
        </w:tc>
        <w:tc>
          <w:tcPr>
            <w:tcW w:w="1549" w:type="pct"/>
            <w:vAlign w:val="center"/>
          </w:tcPr>
          <w:p w14:paraId="08E5D292" w14:textId="77777777" w:rsidR="0004405D" w:rsidRPr="00741122" w:rsidRDefault="0004405D" w:rsidP="006046D7">
            <w:pPr>
              <w:pStyle w:val="Default"/>
              <w:keepNext/>
              <w:keepLines/>
              <w:jc w:val="center"/>
              <w:rPr>
                <w:sz w:val="22"/>
                <w:szCs w:val="22"/>
                <w:lang w:val="lt-LT"/>
              </w:rPr>
            </w:pPr>
            <w:r w:rsidRPr="00741122">
              <w:rPr>
                <w:sz w:val="22"/>
                <w:szCs w:val="22"/>
                <w:lang w:val="lt-LT"/>
              </w:rPr>
              <w:t>13,7</w:t>
            </w:r>
          </w:p>
        </w:tc>
      </w:tr>
      <w:tr w:rsidR="0004405D" w:rsidRPr="00741122" w14:paraId="598B6AC7" w14:textId="77777777" w:rsidTr="00F533B1">
        <w:tc>
          <w:tcPr>
            <w:tcW w:w="1831" w:type="pct"/>
            <w:vAlign w:val="center"/>
          </w:tcPr>
          <w:p w14:paraId="6DBCEFCA" w14:textId="77777777" w:rsidR="0004405D" w:rsidRPr="00A62134" w:rsidRDefault="0004405D" w:rsidP="006046D7">
            <w:pPr>
              <w:keepNext/>
              <w:keepLines/>
              <w:tabs>
                <w:tab w:val="left" w:pos="567"/>
              </w:tabs>
              <w:ind w:left="567"/>
              <w:rPr>
                <w:rFonts w:ascii="Times New Roman" w:hAnsi="Times New Roman" w:cs="Times New Roman"/>
                <w:sz w:val="22"/>
                <w:szCs w:val="22"/>
                <w:lang w:val="lt-LT"/>
              </w:rPr>
            </w:pPr>
            <w:r w:rsidRPr="00A62134">
              <w:rPr>
                <w:rFonts w:ascii="Times New Roman" w:hAnsi="Times New Roman" w:cs="Times New Roman"/>
                <w:sz w:val="22"/>
                <w:szCs w:val="22"/>
                <w:lang w:val="lt-LT"/>
              </w:rPr>
              <w:t>Współczynnik ryzyka (95% CI)</w:t>
            </w:r>
          </w:p>
        </w:tc>
        <w:tc>
          <w:tcPr>
            <w:tcW w:w="3169" w:type="pct"/>
            <w:gridSpan w:val="2"/>
            <w:vAlign w:val="center"/>
          </w:tcPr>
          <w:p w14:paraId="04480243" w14:textId="245122E8" w:rsidR="0004405D" w:rsidRPr="00741122" w:rsidRDefault="0004405D" w:rsidP="006046D7">
            <w:pPr>
              <w:pStyle w:val="Default"/>
              <w:keepNext/>
              <w:keepLines/>
              <w:jc w:val="center"/>
              <w:rPr>
                <w:sz w:val="22"/>
                <w:szCs w:val="22"/>
                <w:lang w:val="lt-LT"/>
              </w:rPr>
            </w:pPr>
            <w:r w:rsidRPr="00741122">
              <w:rPr>
                <w:sz w:val="22"/>
                <w:szCs w:val="22"/>
                <w:lang w:val="lt-LT"/>
              </w:rPr>
              <w:t>0,91 [0,61</w:t>
            </w:r>
            <w:r w:rsidR="00AD65EF">
              <w:rPr>
                <w:sz w:val="22"/>
                <w:szCs w:val="22"/>
                <w:lang w:val="lt-LT"/>
              </w:rPr>
              <w:t>;</w:t>
            </w:r>
            <w:r w:rsidRPr="00741122">
              <w:rPr>
                <w:sz w:val="22"/>
                <w:szCs w:val="22"/>
                <w:lang w:val="lt-LT"/>
              </w:rPr>
              <w:t xml:space="preserve"> 1,35]</w:t>
            </w:r>
          </w:p>
        </w:tc>
      </w:tr>
    </w:tbl>
    <w:p w14:paraId="548C3519" w14:textId="77777777" w:rsidR="0004405D" w:rsidRPr="00741122" w:rsidRDefault="0004405D" w:rsidP="002D6FFD">
      <w:pPr>
        <w:rPr>
          <w:rFonts w:ascii="Times New Roman" w:eastAsia="Times New Roman" w:hAnsi="Times New Roman"/>
          <w:b/>
          <w:sz w:val="22"/>
          <w:szCs w:val="22"/>
          <w:lang w:val="lt-LT"/>
        </w:rPr>
      </w:pPr>
    </w:p>
    <w:p w14:paraId="21DDF400" w14:textId="77777777" w:rsidR="00071CFE" w:rsidRPr="00741122" w:rsidRDefault="00B113C2" w:rsidP="002D6FFD">
      <w:pPr>
        <w:keepNext/>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pict w14:anchorId="5920A33F">
          <v:rect id="_x0000_s2130" style="position:absolute;margin-left:162.55pt;margin-top:-70.25pt;width:1pt;height:1pt;z-index:-251659264" o:userdrawn="t" fillcolor="black" strokecolor="none"/>
        </w:pict>
      </w:r>
      <w:r>
        <w:rPr>
          <w:rFonts w:ascii="Times New Roman" w:eastAsia="Times New Roman" w:hAnsi="Times New Roman" w:cs="Times New Roman"/>
          <w:sz w:val="22"/>
          <w:szCs w:val="22"/>
          <w:lang w:val="lt-LT"/>
        </w:rPr>
        <w:pict w14:anchorId="54239774">
          <v:rect id="_x0000_s2131" style="position:absolute;margin-left:424.75pt;margin-top:-71.25pt;width:1pt;height:1.55pt;z-index:-251658240" o:userdrawn="t" fillcolor="black" strokecolor="none"/>
        </w:pict>
      </w:r>
      <w:r w:rsidR="00071CFE" w:rsidRPr="00741122">
        <w:rPr>
          <w:rFonts w:ascii="Times New Roman" w:eastAsia="Times New Roman" w:hAnsi="Times New Roman" w:cs="Times New Roman"/>
          <w:i/>
          <w:sz w:val="22"/>
          <w:szCs w:val="22"/>
          <w:u w:val="single"/>
          <w:lang w:val="lt-LT"/>
        </w:rPr>
        <w:t>Rak szyjki macicy</w:t>
      </w:r>
    </w:p>
    <w:p w14:paraId="5AE65766" w14:textId="77777777" w:rsidR="00071CFE" w:rsidRPr="00741122" w:rsidRDefault="00071CFE" w:rsidP="002D6FFD">
      <w:pPr>
        <w:keepNext/>
        <w:rPr>
          <w:rFonts w:ascii="Times New Roman" w:eastAsia="Times New Roman" w:hAnsi="Times New Roman" w:cs="Times New Roman"/>
          <w:sz w:val="22"/>
          <w:szCs w:val="22"/>
          <w:lang w:val="lt-LT"/>
        </w:rPr>
      </w:pPr>
    </w:p>
    <w:p w14:paraId="51B3D51F" w14:textId="77777777" w:rsidR="00071CFE" w:rsidRPr="00741122" w:rsidRDefault="00071CFE" w:rsidP="002D6FFD">
      <w:pPr>
        <w:keepNext/>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GOG-0240</w:t>
      </w:r>
    </w:p>
    <w:p w14:paraId="7B03E3C5" w14:textId="77777777" w:rsidR="00071CFE" w:rsidRPr="00741122" w:rsidRDefault="00071CFE" w:rsidP="002D6FF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Skuteczność i bezpieczeństwo </w:t>
      </w:r>
      <w:r w:rsidR="00F11CE8">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w skojarzeniu z chemioterapią (paklitaksel z cisplatyną lub paklitaksel z topotekanem) w leczeniu pacjentek z przetrwałym, nawrotowym lub przerzutowym rakiem szyjki macicy oceniano w badaniu GOG-0240, randomizowanym, czteroramiennym, otwartym, wieloośrodkowym badaniu fazy III.</w:t>
      </w:r>
    </w:p>
    <w:p w14:paraId="5F45F0C7" w14:textId="77777777" w:rsidR="00071CFE" w:rsidRPr="00741122" w:rsidRDefault="00071CFE" w:rsidP="002D6FFD">
      <w:pPr>
        <w:rPr>
          <w:rFonts w:ascii="Times New Roman" w:eastAsia="Times New Roman" w:hAnsi="Times New Roman" w:cs="Times New Roman"/>
          <w:sz w:val="22"/>
          <w:szCs w:val="22"/>
          <w:lang w:val="lt-LT"/>
        </w:rPr>
      </w:pPr>
    </w:p>
    <w:p w14:paraId="1932F802" w14:textId="77777777" w:rsidR="00071CFE" w:rsidRPr="00741122" w:rsidRDefault="00071CFE" w:rsidP="002D6FF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badaniu uczestniczyło 452 pacjentek, zrandomizowanych do następujących schematów leczenia:</w:t>
      </w:r>
    </w:p>
    <w:p w14:paraId="536125EA" w14:textId="77777777" w:rsidR="00071CFE" w:rsidRPr="00741122" w:rsidRDefault="00071CFE" w:rsidP="002D6FFD">
      <w:pPr>
        <w:rPr>
          <w:rFonts w:ascii="Times New Roman" w:eastAsia="Times New Roman" w:hAnsi="Times New Roman" w:cs="Times New Roman"/>
          <w:sz w:val="22"/>
          <w:szCs w:val="22"/>
          <w:lang w:val="lt-LT"/>
        </w:rPr>
      </w:pPr>
    </w:p>
    <w:p w14:paraId="50F85CE5" w14:textId="77777777" w:rsidR="0004405D" w:rsidRPr="00741122" w:rsidRDefault="0004405D" w:rsidP="00806668">
      <w:pPr>
        <w:numPr>
          <w:ilvl w:val="0"/>
          <w:numId w:val="92"/>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Paklitaksel 135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24-godzinne</w:t>
      </w:r>
      <w:r w:rsidR="008F4C95">
        <w:rPr>
          <w:rFonts w:ascii="Times New Roman" w:eastAsia="Times New Roman" w:hAnsi="Times New Roman" w:cs="Times New Roman"/>
          <w:sz w:val="22"/>
          <w:szCs w:val="22"/>
          <w:lang w:val="lt-LT"/>
        </w:rPr>
        <w:t>j</w:t>
      </w:r>
      <w:r w:rsidR="008F4C95" w:rsidRPr="008F4C95">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w:t>
      </w:r>
      <w:r w:rsidRPr="00741122">
        <w:rPr>
          <w:rFonts w:ascii="Times New Roman" w:eastAsia="Times New Roman" w:hAnsi="Times New Roman" w:cs="Times New Roman"/>
          <w:sz w:val="22"/>
          <w:szCs w:val="22"/>
          <w:lang w:val="lt-LT"/>
        </w:rPr>
        <w:t>ylne</w:t>
      </w:r>
      <w:r w:rsidR="008F4C95">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i cisplatyna 50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2</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co 3 tygo</w:t>
      </w:r>
      <w:r w:rsidRPr="00741122">
        <w:rPr>
          <w:rFonts w:ascii="Times New Roman" w:eastAsia="Times New Roman" w:hAnsi="Times New Roman" w:cs="Times New Roman"/>
          <w:sz w:val="22"/>
          <w:szCs w:val="22"/>
          <w:lang w:val="lt-LT"/>
        </w:rPr>
        <w:t xml:space="preserve">dnie (q3w); lub </w:t>
      </w:r>
    </w:p>
    <w:p w14:paraId="6310A3B1" w14:textId="77777777" w:rsidR="0004405D" w:rsidRPr="00741122" w:rsidRDefault="0004405D" w:rsidP="002D6FFD">
      <w:pPr>
        <w:tabs>
          <w:tab w:val="left" w:pos="562"/>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Paklitaksel 175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3-godzinne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w:t>
      </w:r>
      <w:r w:rsidRPr="00741122">
        <w:rPr>
          <w:rFonts w:ascii="Times New Roman" w:eastAsia="Times New Roman" w:hAnsi="Times New Roman" w:cs="Times New Roman"/>
          <w:sz w:val="22"/>
          <w:szCs w:val="22"/>
          <w:lang w:val="lt-LT"/>
        </w:rPr>
        <w:t>ylne</w:t>
      </w:r>
      <w:r w:rsidR="008F4C95">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i cisplatyna 50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2</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(q3w); lub</w:t>
      </w:r>
      <w:r w:rsidRPr="00741122">
        <w:rPr>
          <w:rFonts w:ascii="Times New Roman" w:eastAsia="Times New Roman" w:hAnsi="Times New Roman" w:cs="Times New Roman"/>
          <w:sz w:val="22"/>
          <w:szCs w:val="22"/>
          <w:lang w:val="lt-LT"/>
        </w:rPr>
        <w:t xml:space="preserve"> </w:t>
      </w:r>
    </w:p>
    <w:p w14:paraId="1064A9BA" w14:textId="77777777" w:rsidR="00071CFE" w:rsidRPr="00741122" w:rsidRDefault="0004405D" w:rsidP="002D6FFD">
      <w:pPr>
        <w:tabs>
          <w:tab w:val="left" w:pos="567"/>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Paklitaksel 175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3-godzinne</w:t>
      </w:r>
      <w:r w:rsidR="008F4C95">
        <w:rPr>
          <w:rFonts w:ascii="Times New Roman" w:eastAsia="Times New Roman" w:hAnsi="Times New Roman" w:cs="Times New Roman"/>
          <w:sz w:val="22"/>
          <w:szCs w:val="22"/>
          <w:lang w:val="lt-LT"/>
        </w:rPr>
        <w:t>j</w:t>
      </w:r>
      <w:r w:rsidR="008F4C95" w:rsidRPr="008F4C95">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w:t>
      </w:r>
      <w:r w:rsidRPr="00741122">
        <w:rPr>
          <w:rFonts w:ascii="Times New Roman" w:eastAsia="Times New Roman" w:hAnsi="Times New Roman" w:cs="Times New Roman"/>
          <w:sz w:val="22"/>
          <w:szCs w:val="22"/>
          <w:lang w:val="lt-LT"/>
        </w:rPr>
        <w:t>ylne</w:t>
      </w:r>
      <w:r w:rsidR="008F4C95">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i cisplatyna 50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(q3w)</w:t>
      </w:r>
    </w:p>
    <w:p w14:paraId="00CFF1AE" w14:textId="77777777" w:rsidR="00270970" w:rsidRPr="00741122" w:rsidRDefault="00270970" w:rsidP="002D6FFD">
      <w:pPr>
        <w:tabs>
          <w:tab w:val="left" w:pos="567"/>
        </w:tabs>
        <w:rPr>
          <w:rFonts w:ascii="Times New Roman" w:eastAsia="Times New Roman" w:hAnsi="Times New Roman" w:cs="Times New Roman"/>
          <w:sz w:val="22"/>
          <w:szCs w:val="22"/>
          <w:lang w:val="lt-LT"/>
        </w:rPr>
      </w:pPr>
    </w:p>
    <w:p w14:paraId="44776106" w14:textId="77777777" w:rsidR="00071CFE" w:rsidRPr="00741122" w:rsidRDefault="0004405D" w:rsidP="00806668">
      <w:pPr>
        <w:numPr>
          <w:ilvl w:val="0"/>
          <w:numId w:val="92"/>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Paklitaksel 135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24-godzinne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i cisplatyna</w:t>
      </w:r>
      <w:r w:rsidRPr="00741122">
        <w:rPr>
          <w:rFonts w:ascii="Times New Roman" w:eastAsia="Times New Roman" w:hAnsi="Times New Roman" w:cs="Times New Roman"/>
          <w:sz w:val="22"/>
          <w:szCs w:val="22"/>
          <w:lang w:val="lt-LT"/>
        </w:rPr>
        <w:t xml:space="preserve"> 50 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w dniu 2</w:t>
      </w:r>
      <w:r w:rsidR="000E39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oraz bewacyzumab 15 </w:t>
      </w:r>
      <w:r w:rsidR="00071CFE" w:rsidRPr="00741122">
        <w:rPr>
          <w:rFonts w:ascii="Times New Roman" w:eastAsia="Times New Roman" w:hAnsi="Times New Roman" w:cs="Times New Roman"/>
          <w:sz w:val="22"/>
          <w:szCs w:val="22"/>
          <w:lang w:val="lt-LT"/>
        </w:rPr>
        <w:t>mg/kg</w:t>
      </w:r>
      <w:r w:rsidR="008F4C95">
        <w:rPr>
          <w:rFonts w:ascii="Times New Roman" w:eastAsia="Times New Roman" w:hAnsi="Times New Roman" w:cs="Times New Roman"/>
          <w:sz w:val="22"/>
          <w:szCs w:val="22"/>
          <w:lang w:val="lt-LT"/>
        </w:rPr>
        <w:t> mc.</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2</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(q3w); lub</w:t>
      </w:r>
    </w:p>
    <w:p w14:paraId="32D20197" w14:textId="77777777" w:rsidR="00071CFE" w:rsidRPr="00741122" w:rsidRDefault="0004405D" w:rsidP="002D6FFD">
      <w:pPr>
        <w:tabs>
          <w:tab w:val="left" w:pos="562"/>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Paklitaksel 175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3-godzinne</w:t>
      </w:r>
      <w:r w:rsidR="008F4C95">
        <w:rPr>
          <w:rFonts w:ascii="Times New Roman" w:eastAsia="Times New Roman" w:hAnsi="Times New Roman" w:cs="Times New Roman"/>
          <w:sz w:val="22"/>
          <w:szCs w:val="22"/>
          <w:lang w:val="lt-LT"/>
        </w:rPr>
        <w:t>j</w:t>
      </w:r>
      <w:r w:rsidR="008F4C95" w:rsidRPr="008F4C95">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 xml:space="preserve">infuzji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i cisplatyna</w:t>
      </w:r>
      <w:r w:rsidRPr="00741122">
        <w:rPr>
          <w:rFonts w:ascii="Times New Roman" w:eastAsia="Times New Roman" w:hAnsi="Times New Roman" w:cs="Times New Roman"/>
          <w:sz w:val="22"/>
          <w:szCs w:val="22"/>
          <w:lang w:val="lt-LT"/>
        </w:rPr>
        <w:t xml:space="preserve"> 50 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w dniu 2</w:t>
      </w:r>
      <w:r w:rsidR="000E39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oraz bewacyzumab 15 </w:t>
      </w:r>
      <w:r w:rsidR="00071CFE" w:rsidRPr="00741122">
        <w:rPr>
          <w:rFonts w:ascii="Times New Roman" w:eastAsia="Times New Roman" w:hAnsi="Times New Roman" w:cs="Times New Roman"/>
          <w:sz w:val="22"/>
          <w:szCs w:val="22"/>
          <w:lang w:val="lt-LT"/>
        </w:rPr>
        <w:t>mg/kg</w:t>
      </w:r>
      <w:r w:rsidR="008F4C95">
        <w:rPr>
          <w:rFonts w:ascii="Times New Roman" w:eastAsia="Times New Roman" w:hAnsi="Times New Roman" w:cs="Times New Roman"/>
          <w:sz w:val="22"/>
          <w:szCs w:val="22"/>
          <w:lang w:val="lt-LT"/>
        </w:rPr>
        <w:t> mc.</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2</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(q3w); lub</w:t>
      </w:r>
    </w:p>
    <w:p w14:paraId="3D93DE10" w14:textId="77777777" w:rsidR="00071CFE" w:rsidRPr="00741122" w:rsidRDefault="0004405D" w:rsidP="002D6FFD">
      <w:pPr>
        <w:tabs>
          <w:tab w:val="left" w:pos="562"/>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Paklitaksel 175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3-godzinne</w:t>
      </w:r>
      <w:r w:rsidR="008F4C95">
        <w:rPr>
          <w:rFonts w:ascii="Times New Roman" w:eastAsia="Times New Roman" w:hAnsi="Times New Roman" w:cs="Times New Roman"/>
          <w:sz w:val="22"/>
          <w:szCs w:val="22"/>
          <w:lang w:val="lt-LT"/>
        </w:rPr>
        <w:t>j</w:t>
      </w:r>
      <w:r w:rsidR="008F4C95" w:rsidRPr="008F4C95">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i cisplatyna</w:t>
      </w:r>
      <w:r w:rsidRPr="00741122">
        <w:rPr>
          <w:rFonts w:ascii="Times New Roman" w:eastAsia="Times New Roman" w:hAnsi="Times New Roman" w:cs="Times New Roman"/>
          <w:sz w:val="22"/>
          <w:szCs w:val="22"/>
          <w:lang w:val="lt-LT"/>
        </w:rPr>
        <w:t xml:space="preserve"> 50 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oraz bewacyzumab 15 </w:t>
      </w:r>
      <w:r w:rsidR="00071CFE" w:rsidRPr="00741122">
        <w:rPr>
          <w:rFonts w:ascii="Times New Roman" w:eastAsia="Times New Roman" w:hAnsi="Times New Roman" w:cs="Times New Roman"/>
          <w:sz w:val="22"/>
          <w:szCs w:val="22"/>
          <w:lang w:val="lt-LT"/>
        </w:rPr>
        <w:t>mg/kg</w:t>
      </w:r>
      <w:r w:rsidR="008F4C95">
        <w:rPr>
          <w:rFonts w:ascii="Times New Roman" w:eastAsia="Times New Roman" w:hAnsi="Times New Roman" w:cs="Times New Roman"/>
          <w:sz w:val="22"/>
          <w:szCs w:val="22"/>
          <w:lang w:val="lt-LT"/>
        </w:rPr>
        <w:t> mc.</w:t>
      </w:r>
      <w:r w:rsidR="00071CFE" w:rsidRPr="00741122">
        <w:rPr>
          <w:rFonts w:ascii="Times New Roman" w:eastAsia="Times New Roman" w:hAnsi="Times New Roman" w:cs="Times New Roman"/>
          <w:sz w:val="22"/>
          <w:szCs w:val="22"/>
          <w:lang w:val="lt-LT"/>
        </w:rPr>
        <w:t xml:space="preserve"> w postaci </w:t>
      </w:r>
      <w:r w:rsidR="008F4C95">
        <w:rPr>
          <w:rFonts w:ascii="Times New Roman" w:eastAsia="Times New Roman" w:hAnsi="Times New Roman" w:cs="Times New Roman"/>
          <w:sz w:val="22"/>
          <w:szCs w:val="22"/>
          <w:lang w:val="lt-LT"/>
        </w:rPr>
        <w:t>infuzji</w:t>
      </w:r>
      <w:r w:rsidR="008F4C95"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(q3w)</w:t>
      </w:r>
    </w:p>
    <w:p w14:paraId="6CBAEE57" w14:textId="77777777" w:rsidR="00270970" w:rsidRPr="00741122" w:rsidRDefault="00270970" w:rsidP="002D6FFD">
      <w:pPr>
        <w:tabs>
          <w:tab w:val="left" w:pos="562"/>
        </w:tabs>
        <w:rPr>
          <w:rFonts w:ascii="Times New Roman" w:eastAsia="Times New Roman" w:hAnsi="Times New Roman" w:cs="Times New Roman"/>
          <w:sz w:val="22"/>
          <w:szCs w:val="22"/>
          <w:lang w:val="lt-LT"/>
        </w:rPr>
      </w:pPr>
    </w:p>
    <w:p w14:paraId="5A567A56" w14:textId="77777777" w:rsidR="00071CFE" w:rsidRPr="00741122" w:rsidRDefault="0004405D" w:rsidP="008A5502">
      <w:pPr>
        <w:numPr>
          <w:ilvl w:val="0"/>
          <w:numId w:val="92"/>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Paklitaksel 175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3-godzinne</w:t>
      </w:r>
      <w:r w:rsidR="008F4C95">
        <w:rPr>
          <w:rFonts w:ascii="Times New Roman" w:eastAsia="Times New Roman" w:hAnsi="Times New Roman" w:cs="Times New Roman"/>
          <w:sz w:val="22"/>
          <w:szCs w:val="22"/>
          <w:lang w:val="lt-LT"/>
        </w:rPr>
        <w:t>j</w:t>
      </w:r>
      <w:r w:rsidR="008F4C95" w:rsidRPr="008F4C95">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doży</w:t>
      </w:r>
      <w:r w:rsidR="0093010D" w:rsidRPr="00741122">
        <w:rPr>
          <w:rFonts w:ascii="Times New Roman" w:eastAsia="Times New Roman" w:hAnsi="Times New Roman" w:cs="Times New Roman"/>
          <w:sz w:val="22"/>
          <w:szCs w:val="22"/>
          <w:lang w:val="lt-LT"/>
        </w:rPr>
        <w:t>lne</w:t>
      </w:r>
      <w:r w:rsidR="008F4C95">
        <w:rPr>
          <w:rFonts w:ascii="Times New Roman" w:eastAsia="Times New Roman" w:hAnsi="Times New Roman" w:cs="Times New Roman"/>
          <w:sz w:val="22"/>
          <w:szCs w:val="22"/>
          <w:lang w:val="lt-LT"/>
        </w:rPr>
        <w:t>j</w:t>
      </w:r>
      <w:r w:rsidR="0093010D"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93010D" w:rsidRPr="00741122">
        <w:rPr>
          <w:rFonts w:ascii="Times New Roman" w:eastAsia="Times New Roman" w:hAnsi="Times New Roman" w:cs="Times New Roman"/>
          <w:sz w:val="22"/>
          <w:szCs w:val="22"/>
          <w:lang w:val="lt-LT"/>
        </w:rPr>
        <w:t xml:space="preserve"> i topotekan 0,</w:t>
      </w:r>
      <w:r w:rsidRPr="00741122">
        <w:rPr>
          <w:rFonts w:ascii="Times New Roman" w:eastAsia="Times New Roman" w:hAnsi="Times New Roman" w:cs="Times New Roman"/>
          <w:sz w:val="22"/>
          <w:szCs w:val="22"/>
          <w:lang w:val="lt-LT"/>
        </w:rPr>
        <w:t>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30-minutowe</w:t>
      </w:r>
      <w:r w:rsidR="008F4C95">
        <w:rPr>
          <w:rFonts w:ascii="Times New Roman" w:eastAsia="Times New Roman" w:hAnsi="Times New Roman" w:cs="Times New Roman"/>
          <w:sz w:val="22"/>
          <w:szCs w:val="22"/>
          <w:lang w:val="lt-LT"/>
        </w:rPr>
        <w:t>j</w:t>
      </w:r>
      <w:r w:rsidR="008F4C95" w:rsidRPr="008F4C95">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dożylne</w:t>
      </w:r>
      <w:r w:rsidR="008F4C95">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1-3</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(q3w)</w:t>
      </w:r>
    </w:p>
    <w:p w14:paraId="42A02376" w14:textId="77777777" w:rsidR="00270970" w:rsidRPr="00741122" w:rsidRDefault="00270970" w:rsidP="002D6FFD">
      <w:pPr>
        <w:tabs>
          <w:tab w:val="left" w:pos="562"/>
        </w:tabs>
        <w:ind w:left="1"/>
        <w:rPr>
          <w:rFonts w:ascii="Times New Roman" w:eastAsia="Arial" w:hAnsi="Times New Roman" w:cs="Times New Roman"/>
          <w:sz w:val="22"/>
          <w:szCs w:val="22"/>
          <w:lang w:val="lt-LT"/>
        </w:rPr>
      </w:pPr>
    </w:p>
    <w:p w14:paraId="147D4721" w14:textId="77777777" w:rsidR="00071CFE" w:rsidRPr="00741122" w:rsidRDefault="0004405D" w:rsidP="008A5502">
      <w:pPr>
        <w:numPr>
          <w:ilvl w:val="0"/>
          <w:numId w:val="92"/>
        </w:numPr>
        <w:tabs>
          <w:tab w:val="left" w:pos="562"/>
        </w:tabs>
        <w:ind w:left="567" w:hanging="567"/>
        <w:rPr>
          <w:rFonts w:ascii="Times New Roman" w:eastAsia="Arial" w:hAnsi="Times New Roman" w:cs="Times New Roman"/>
          <w:sz w:val="22"/>
          <w:szCs w:val="22"/>
          <w:lang w:val="lt-LT"/>
        </w:rPr>
      </w:pPr>
      <w:bookmarkStart w:id="54" w:name="page52"/>
      <w:bookmarkEnd w:id="54"/>
      <w:r w:rsidRPr="00741122">
        <w:rPr>
          <w:rFonts w:ascii="Times New Roman" w:eastAsia="Times New Roman" w:hAnsi="Times New Roman" w:cs="Times New Roman"/>
          <w:sz w:val="22"/>
          <w:szCs w:val="22"/>
          <w:lang w:val="lt-LT"/>
        </w:rPr>
        <w:t>Paklitaksel 175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3-godzinne</w:t>
      </w:r>
      <w:r w:rsidR="008F4C95">
        <w:rPr>
          <w:rFonts w:ascii="Times New Roman" w:eastAsia="Times New Roman" w:hAnsi="Times New Roman" w:cs="Times New Roman"/>
          <w:sz w:val="22"/>
          <w:szCs w:val="22"/>
          <w:lang w:val="lt-LT"/>
        </w:rPr>
        <w:t>j</w:t>
      </w:r>
      <w:r w:rsidR="008F4C95" w:rsidRPr="008F4C95">
        <w:rPr>
          <w:rFonts w:ascii="Times New Roman" w:eastAsia="Times New Roman" w:hAnsi="Times New Roman" w:cs="Times New Roman"/>
          <w:sz w:val="22"/>
          <w:szCs w:val="22"/>
          <w:lang w:val="lt-LT"/>
        </w:rPr>
        <w:t xml:space="preserve"> </w:t>
      </w:r>
      <w:r w:rsidR="008F4C95">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doży</w:t>
      </w:r>
      <w:r w:rsidR="00771846" w:rsidRPr="00741122">
        <w:rPr>
          <w:rFonts w:ascii="Times New Roman" w:eastAsia="Times New Roman" w:hAnsi="Times New Roman" w:cs="Times New Roman"/>
          <w:sz w:val="22"/>
          <w:szCs w:val="22"/>
          <w:lang w:val="lt-LT"/>
        </w:rPr>
        <w:t>lne</w:t>
      </w:r>
      <w:r w:rsidR="008F4C95">
        <w:rPr>
          <w:rFonts w:ascii="Times New Roman" w:eastAsia="Times New Roman" w:hAnsi="Times New Roman" w:cs="Times New Roman"/>
          <w:sz w:val="22"/>
          <w:szCs w:val="22"/>
          <w:lang w:val="lt-LT"/>
        </w:rPr>
        <w:t>j</w:t>
      </w:r>
      <w:r w:rsidR="00771846"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771846" w:rsidRPr="00741122">
        <w:rPr>
          <w:rFonts w:ascii="Times New Roman" w:eastAsia="Times New Roman" w:hAnsi="Times New Roman" w:cs="Times New Roman"/>
          <w:sz w:val="22"/>
          <w:szCs w:val="22"/>
          <w:lang w:val="lt-LT"/>
        </w:rPr>
        <w:t xml:space="preserve"> i topotekan 0,</w:t>
      </w:r>
      <w:r w:rsidRPr="00741122">
        <w:rPr>
          <w:rFonts w:ascii="Times New Roman" w:eastAsia="Times New Roman" w:hAnsi="Times New Roman" w:cs="Times New Roman"/>
          <w:sz w:val="22"/>
          <w:szCs w:val="22"/>
          <w:lang w:val="lt-LT"/>
        </w:rPr>
        <w:t>75 </w:t>
      </w:r>
      <w:r w:rsidR="00071CFE" w:rsidRPr="00741122">
        <w:rPr>
          <w:rFonts w:ascii="Times New Roman" w:eastAsia="Times New Roman" w:hAnsi="Times New Roman" w:cs="Times New Roman"/>
          <w:sz w:val="22"/>
          <w:szCs w:val="22"/>
          <w:lang w:val="lt-LT"/>
        </w:rPr>
        <w:t>mg/m</w:t>
      </w:r>
      <w:r w:rsidR="00071CFE" w:rsidRPr="00741122">
        <w:rPr>
          <w:rFonts w:ascii="Times New Roman" w:eastAsia="Times New Roman" w:hAnsi="Times New Roman" w:cs="Times New Roman"/>
          <w:sz w:val="22"/>
          <w:szCs w:val="22"/>
          <w:vertAlign w:val="superscript"/>
          <w:lang w:val="lt-LT"/>
        </w:rPr>
        <w:t>2</w:t>
      </w:r>
      <w:r w:rsidR="00071CFE" w:rsidRPr="00741122">
        <w:rPr>
          <w:rFonts w:ascii="Times New Roman" w:eastAsia="Times New Roman" w:hAnsi="Times New Roman" w:cs="Times New Roman"/>
          <w:sz w:val="22"/>
          <w:szCs w:val="22"/>
          <w:lang w:val="lt-LT"/>
        </w:rPr>
        <w:t xml:space="preserve"> w postaci 30-minutowe</w:t>
      </w:r>
      <w:r w:rsidR="00E6696C">
        <w:rPr>
          <w:rFonts w:ascii="Times New Roman" w:eastAsia="Times New Roman" w:hAnsi="Times New Roman" w:cs="Times New Roman"/>
          <w:sz w:val="22"/>
          <w:szCs w:val="22"/>
          <w:lang w:val="lt-LT"/>
        </w:rPr>
        <w:t>j</w:t>
      </w:r>
      <w:r w:rsidR="00E6696C" w:rsidRPr="00E6696C">
        <w:rPr>
          <w:rFonts w:ascii="Times New Roman" w:eastAsia="Times New Roman" w:hAnsi="Times New Roman" w:cs="Times New Roman"/>
          <w:sz w:val="22"/>
          <w:szCs w:val="22"/>
          <w:lang w:val="lt-LT"/>
        </w:rPr>
        <w:t xml:space="preserve"> </w:t>
      </w:r>
      <w:r w:rsidR="00E6696C">
        <w:rPr>
          <w:rFonts w:ascii="Times New Roman" w:eastAsia="Times New Roman" w:hAnsi="Times New Roman" w:cs="Times New Roman"/>
          <w:sz w:val="22"/>
          <w:szCs w:val="22"/>
          <w:lang w:val="lt-LT"/>
        </w:rPr>
        <w:t>infuzji</w:t>
      </w:r>
      <w:r w:rsidR="00071CFE" w:rsidRPr="00741122">
        <w:rPr>
          <w:rFonts w:ascii="Times New Roman" w:eastAsia="Times New Roman" w:hAnsi="Times New Roman" w:cs="Times New Roman"/>
          <w:sz w:val="22"/>
          <w:szCs w:val="22"/>
          <w:lang w:val="lt-LT"/>
        </w:rPr>
        <w:t xml:space="preserve"> dożylne</w:t>
      </w:r>
      <w:r w:rsidR="00E6696C">
        <w:rPr>
          <w:rFonts w:ascii="Times New Roman" w:eastAsia="Times New Roman" w:hAnsi="Times New Roman" w:cs="Times New Roman"/>
          <w:sz w:val="22"/>
          <w:szCs w:val="22"/>
          <w:lang w:val="lt-LT"/>
        </w:rPr>
        <w:t>j</w:t>
      </w:r>
      <w:r w:rsidRPr="00741122">
        <w:rPr>
          <w:rFonts w:ascii="Times New Roman" w:eastAsia="Times New Roman" w:hAnsi="Times New Roman" w:cs="Times New Roman"/>
          <w:sz w:val="22"/>
          <w:szCs w:val="22"/>
          <w:lang w:val="lt-LT"/>
        </w:rPr>
        <w:t xml:space="preserve"> w dniu 1-3</w:t>
      </w:r>
      <w:r w:rsidR="000E3978">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oraz bewacyzumab 15 </w:t>
      </w:r>
      <w:r w:rsidR="00071CFE" w:rsidRPr="00741122">
        <w:rPr>
          <w:rFonts w:ascii="Times New Roman" w:eastAsia="Times New Roman" w:hAnsi="Times New Roman" w:cs="Times New Roman"/>
          <w:sz w:val="22"/>
          <w:szCs w:val="22"/>
          <w:lang w:val="lt-LT"/>
        </w:rPr>
        <w:t>mg/kg</w:t>
      </w:r>
      <w:r w:rsidR="000E3978">
        <w:rPr>
          <w:rFonts w:ascii="Times New Roman" w:eastAsia="Times New Roman" w:hAnsi="Times New Roman" w:cs="Times New Roman"/>
          <w:sz w:val="22"/>
          <w:szCs w:val="22"/>
          <w:lang w:val="lt-LT"/>
        </w:rPr>
        <w:t> mc.</w:t>
      </w:r>
      <w:r w:rsidR="00071CFE" w:rsidRPr="00741122">
        <w:rPr>
          <w:rFonts w:ascii="Times New Roman" w:eastAsia="Times New Roman" w:hAnsi="Times New Roman" w:cs="Times New Roman"/>
          <w:sz w:val="22"/>
          <w:szCs w:val="22"/>
          <w:lang w:val="lt-LT"/>
        </w:rPr>
        <w:t xml:space="preserve"> w postaci </w:t>
      </w:r>
      <w:r w:rsidR="00E6696C">
        <w:rPr>
          <w:rFonts w:ascii="Times New Roman" w:eastAsia="Times New Roman" w:hAnsi="Times New Roman" w:cs="Times New Roman"/>
          <w:sz w:val="22"/>
          <w:szCs w:val="22"/>
          <w:lang w:val="lt-LT"/>
        </w:rPr>
        <w:t>infuzji</w:t>
      </w:r>
      <w:r w:rsidR="00E6696C"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dożylne</w:t>
      </w:r>
      <w:r w:rsidR="00E6696C">
        <w:rPr>
          <w:rFonts w:ascii="Times New Roman" w:eastAsia="Times New Roman" w:hAnsi="Times New Roman" w:cs="Times New Roman"/>
          <w:sz w:val="22"/>
          <w:szCs w:val="22"/>
          <w:lang w:val="lt-LT"/>
        </w:rPr>
        <w:t>j</w:t>
      </w:r>
      <w:r w:rsidR="00071CFE" w:rsidRPr="00741122">
        <w:rPr>
          <w:rFonts w:ascii="Times New Roman" w:eastAsia="Times New Roman" w:hAnsi="Times New Roman" w:cs="Times New Roman"/>
          <w:sz w:val="22"/>
          <w:szCs w:val="22"/>
          <w:lang w:val="lt-LT"/>
        </w:rPr>
        <w:t xml:space="preserve"> w dniu 1</w:t>
      </w:r>
      <w:r w:rsidR="000E3978">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(q3w)</w:t>
      </w:r>
    </w:p>
    <w:p w14:paraId="251E67A0" w14:textId="77777777" w:rsidR="00071CFE" w:rsidRPr="00741122" w:rsidRDefault="00071CFE" w:rsidP="002D6FFD">
      <w:pPr>
        <w:rPr>
          <w:rFonts w:ascii="Times New Roman" w:eastAsia="Times New Roman" w:hAnsi="Times New Roman" w:cs="Times New Roman"/>
          <w:sz w:val="22"/>
          <w:szCs w:val="22"/>
          <w:lang w:val="lt-LT"/>
        </w:rPr>
      </w:pPr>
    </w:p>
    <w:p w14:paraId="1A7A262A" w14:textId="77777777" w:rsidR="00071CFE" w:rsidRPr="00741122" w:rsidRDefault="00071CFE" w:rsidP="002D6FF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Kryterium włączenia do badania był przetrwały, nawrotowy lub przerzutowy</w:t>
      </w:r>
      <w:r w:rsidR="00D637E1">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rak szyjki macicy: płaskonabłonkowy, gruczołowo-płaskonabłonkowy lub gruczolakorak, który nie kwalifikował się do leczenia operacyjnego i (lub) radioterapii. Do badania kwalifikowały się chore, które nie były wcześniej leczone bewacyzumabem ani innym inhibitorem VEGF lub lekiem działającym na receptor VEGF.</w:t>
      </w:r>
    </w:p>
    <w:p w14:paraId="5B16E635" w14:textId="77777777" w:rsidR="00071CFE" w:rsidRPr="00741122" w:rsidRDefault="00071CFE" w:rsidP="002D6FFD">
      <w:pPr>
        <w:rPr>
          <w:rFonts w:ascii="Times New Roman" w:eastAsia="Times New Roman" w:hAnsi="Times New Roman" w:cs="Times New Roman"/>
          <w:sz w:val="22"/>
          <w:szCs w:val="22"/>
          <w:lang w:val="lt-LT"/>
        </w:rPr>
      </w:pPr>
    </w:p>
    <w:p w14:paraId="188A6E00" w14:textId="77777777" w:rsidR="00D72CB2" w:rsidRPr="00741122" w:rsidRDefault="00071CFE" w:rsidP="002D6FF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Mediana wieku wynosiła 46,0 lat (zakres: 20</w:t>
      </w:r>
      <w:r w:rsidRPr="00741122">
        <w:rPr>
          <w:rFonts w:ascii="Times New Roman" w:eastAsia="Arial" w:hAnsi="Times New Roman" w:cs="Times New Roman"/>
          <w:sz w:val="22"/>
          <w:szCs w:val="22"/>
          <w:lang w:val="lt-LT"/>
        </w:rPr>
        <w:t>−</w:t>
      </w:r>
      <w:r w:rsidRPr="00741122">
        <w:rPr>
          <w:rFonts w:ascii="Times New Roman" w:eastAsia="Times New Roman" w:hAnsi="Times New Roman" w:cs="Times New Roman"/>
          <w:sz w:val="22"/>
          <w:szCs w:val="22"/>
          <w:lang w:val="lt-LT"/>
        </w:rPr>
        <w:t>83) w grupie leczonej samą chemioterapią i 48,0 lat</w:t>
      </w:r>
      <w:r w:rsidR="00D72CB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(zakres: 22</w:t>
      </w:r>
      <w:r w:rsidRPr="00741122">
        <w:rPr>
          <w:rFonts w:ascii="Times New Roman" w:eastAsia="Arial" w:hAnsi="Times New Roman" w:cs="Times New Roman"/>
          <w:sz w:val="22"/>
          <w:szCs w:val="22"/>
          <w:lang w:val="lt-LT"/>
        </w:rPr>
        <w:t>−</w:t>
      </w:r>
      <w:r w:rsidRPr="00741122">
        <w:rPr>
          <w:rFonts w:ascii="Times New Roman" w:eastAsia="Times New Roman" w:hAnsi="Times New Roman" w:cs="Times New Roman"/>
          <w:sz w:val="22"/>
          <w:szCs w:val="22"/>
          <w:lang w:val="lt-LT"/>
        </w:rPr>
        <w:t>85) w grupie leczonej chemiot</w:t>
      </w:r>
      <w:r w:rsidR="000E3978">
        <w:rPr>
          <w:rFonts w:ascii="Times New Roman" w:eastAsia="Times New Roman" w:hAnsi="Times New Roman" w:cs="Times New Roman"/>
          <w:sz w:val="22"/>
          <w:szCs w:val="22"/>
          <w:lang w:val="lt-LT"/>
        </w:rPr>
        <w:t>e</w:t>
      </w:r>
      <w:r w:rsidRPr="00741122">
        <w:rPr>
          <w:rFonts w:ascii="Times New Roman" w:eastAsia="Times New Roman" w:hAnsi="Times New Roman" w:cs="Times New Roman"/>
          <w:sz w:val="22"/>
          <w:szCs w:val="22"/>
          <w:lang w:val="lt-LT"/>
        </w:rPr>
        <w:t>rapią+</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9,3% pacjentek otrzymujących samą chemioterapię i 7,5% pacjentek otrzymujących chemioterapię+</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było w wieku powyżej 65 lat.</w:t>
      </w:r>
    </w:p>
    <w:p w14:paraId="11AABB50" w14:textId="77777777" w:rsidR="00270970" w:rsidRPr="00741122" w:rsidRDefault="00270970" w:rsidP="00E640CC">
      <w:pPr>
        <w:keepNext/>
        <w:rPr>
          <w:rFonts w:ascii="Times New Roman" w:eastAsia="Times New Roman" w:hAnsi="Times New Roman" w:cs="Times New Roman"/>
          <w:sz w:val="22"/>
          <w:szCs w:val="22"/>
          <w:lang w:val="lt-LT"/>
        </w:rPr>
      </w:pPr>
    </w:p>
    <w:p w14:paraId="5DE0A036" w14:textId="77777777" w:rsidR="00071CFE" w:rsidRPr="00741122" w:rsidRDefault="00071CFE" w:rsidP="002D6FF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 452 pacjentek zrandomizowanych w chwili rozpoczęcia badania, większość pacjentek była rasy białej (80,0% w grupie otrzymującej samą chemioterapię i 75,3% w grupie otrzymującej chemioterapię+</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miała rozpoznanego raka płaskonabłonkowego (67,1% w grupie otrzymującej samą chemioterapię i 69,6% w grupie otrzymującej chemioterapię+</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miała przetrwałego/nawrotowego raka (83,6% w grupie otrzymującej samą chemioterapię i 82,8% w grupie otrzymującej chemioterapię+</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miała 1-2 przerzuty (72,0% w grupie otrzymującej samą chemioterapię i 76,2% w grupie otrzymującej chemioterapię+</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miała zajęte węzły chłonne (50,2% w grupie otrzymującej samą chemioterapię i 56,4% w grupie otrzymującej</w:t>
      </w:r>
      <w:r w:rsidR="00D72CB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chemioterapię+</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 xml:space="preserve">), okres od zakończenia leczenia związkami platyny </w:t>
      </w:r>
      <w:r w:rsidRPr="00741122">
        <w:rPr>
          <w:rFonts w:ascii="Times New Roman" w:eastAsia="Arial" w:hAnsi="Times New Roman" w:cs="Times New Roman"/>
          <w:sz w:val="22"/>
          <w:szCs w:val="22"/>
          <w:lang w:val="lt-LT"/>
        </w:rPr>
        <w:t>≥</w:t>
      </w:r>
      <w:r w:rsidR="006B3B91">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 miesięcy (72,5% w grupie otrzymującej samą chemioterapię i 64,4% w grupie otrzymującej chemioterapię+</w:t>
      </w:r>
      <w:r w:rsidR="00F11CE8">
        <w:rPr>
          <w:rFonts w:ascii="Times New Roman" w:eastAsia="Times New Roman" w:hAnsi="Times New Roman" w:cs="Times New Roman"/>
          <w:sz w:val="22"/>
          <w:szCs w:val="22"/>
          <w:lang w:val="lt-LT"/>
        </w:rPr>
        <w:t>bewacyzumab</w:t>
      </w:r>
      <w:r w:rsidRPr="00741122">
        <w:rPr>
          <w:rFonts w:ascii="Times New Roman" w:eastAsia="Times New Roman" w:hAnsi="Times New Roman" w:cs="Times New Roman"/>
          <w:sz w:val="22"/>
          <w:szCs w:val="22"/>
          <w:lang w:val="lt-LT"/>
        </w:rPr>
        <w:t>).</w:t>
      </w:r>
    </w:p>
    <w:p w14:paraId="0D6F21A5" w14:textId="77777777" w:rsidR="00071CFE" w:rsidRPr="00741122" w:rsidRDefault="00071CFE" w:rsidP="002D6FFD">
      <w:pPr>
        <w:rPr>
          <w:rFonts w:ascii="Times New Roman" w:eastAsia="Times New Roman" w:hAnsi="Times New Roman" w:cs="Times New Roman"/>
          <w:sz w:val="22"/>
          <w:szCs w:val="22"/>
          <w:lang w:val="lt-LT"/>
        </w:rPr>
      </w:pPr>
    </w:p>
    <w:p w14:paraId="7B6A6B3D" w14:textId="25F9C03E" w:rsidR="00071CFE" w:rsidRPr="00741122" w:rsidRDefault="00071CFE" w:rsidP="002D6FFD">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Pierwszorzędowym punktem końcowem był całkowity czas przeżycia. Drugorzędowe punkty końcowe obejmowały czas przeżycia bez progresji choroby i odsetek obiektywnych odpowiedzi. Wyniki z analizy pierwotnej oraz dalszych analiz dotyczących leczenia </w:t>
      </w:r>
      <w:r w:rsidR="00F11CE8">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 xml:space="preserve"> i pozostałymi lekami są przedstawione odpowiednio w </w:t>
      </w:r>
      <w:r w:rsidR="00FB1AF4">
        <w:rPr>
          <w:rFonts w:ascii="Times New Roman" w:eastAsia="Times New Roman" w:hAnsi="Times New Roman" w:cs="Times New Roman"/>
          <w:sz w:val="22"/>
          <w:szCs w:val="22"/>
          <w:lang w:val="lt-LT"/>
        </w:rPr>
        <w:t>t</w:t>
      </w:r>
      <w:r w:rsidRPr="00741122">
        <w:rPr>
          <w:rFonts w:ascii="Times New Roman" w:eastAsia="Times New Roman" w:hAnsi="Times New Roman" w:cs="Times New Roman"/>
          <w:sz w:val="22"/>
          <w:szCs w:val="22"/>
          <w:lang w:val="lt-LT"/>
        </w:rPr>
        <w:t>abel</w:t>
      </w:r>
      <w:r w:rsidR="00FB1AF4">
        <w:rPr>
          <w:rFonts w:ascii="Times New Roman" w:eastAsia="Times New Roman" w:hAnsi="Times New Roman" w:cs="Times New Roman"/>
          <w:sz w:val="22"/>
          <w:szCs w:val="22"/>
          <w:lang w:val="lt-LT"/>
        </w:rPr>
        <w:t>ach</w:t>
      </w:r>
      <w:r w:rsidRPr="00741122">
        <w:rPr>
          <w:rFonts w:ascii="Times New Roman" w:eastAsia="Times New Roman" w:hAnsi="Times New Roman" w:cs="Times New Roman"/>
          <w:sz w:val="22"/>
          <w:szCs w:val="22"/>
          <w:lang w:val="lt-LT"/>
        </w:rPr>
        <w:t xml:space="preserve"> </w:t>
      </w:r>
      <w:r w:rsidR="00C33782" w:rsidRPr="00741122">
        <w:rPr>
          <w:rFonts w:ascii="Times New Roman" w:eastAsia="Times New Roman" w:hAnsi="Times New Roman" w:cs="Times New Roman"/>
          <w:sz w:val="22"/>
          <w:szCs w:val="22"/>
          <w:lang w:val="lt-LT"/>
        </w:rPr>
        <w:t>2</w:t>
      </w:r>
      <w:r w:rsidR="00C33782">
        <w:rPr>
          <w:rFonts w:ascii="Times New Roman" w:eastAsia="Times New Roman" w:hAnsi="Times New Roman" w:cs="Times New Roman"/>
          <w:sz w:val="22"/>
          <w:szCs w:val="22"/>
          <w:lang w:val="lt-LT"/>
        </w:rPr>
        <w:t>5</w:t>
      </w:r>
      <w:r w:rsidR="00C33782"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i </w:t>
      </w:r>
      <w:r w:rsidR="00C33782" w:rsidRPr="00741122">
        <w:rPr>
          <w:rFonts w:ascii="Times New Roman" w:eastAsia="Times New Roman" w:hAnsi="Times New Roman" w:cs="Times New Roman"/>
          <w:sz w:val="22"/>
          <w:szCs w:val="22"/>
          <w:lang w:val="lt-LT"/>
        </w:rPr>
        <w:t>2</w:t>
      </w:r>
      <w:r w:rsidR="00C33782">
        <w:rPr>
          <w:rFonts w:ascii="Times New Roman" w:eastAsia="Times New Roman" w:hAnsi="Times New Roman" w:cs="Times New Roman"/>
          <w:sz w:val="22"/>
          <w:szCs w:val="22"/>
          <w:lang w:val="lt-LT"/>
        </w:rPr>
        <w:t>6</w:t>
      </w:r>
      <w:r w:rsidRPr="00741122">
        <w:rPr>
          <w:rFonts w:ascii="Times New Roman" w:eastAsia="Times New Roman" w:hAnsi="Times New Roman" w:cs="Times New Roman"/>
          <w:sz w:val="22"/>
          <w:szCs w:val="22"/>
          <w:lang w:val="lt-LT"/>
        </w:rPr>
        <w:t xml:space="preserve">, </w:t>
      </w:r>
      <w:r w:rsidR="006B3B91">
        <w:rPr>
          <w:rFonts w:ascii="Times New Roman" w:eastAsia="Times New Roman" w:hAnsi="Times New Roman" w:cs="Times New Roman"/>
          <w:sz w:val="22"/>
          <w:szCs w:val="22"/>
          <w:lang w:val="lt-LT"/>
        </w:rPr>
        <w:t>odpowiednio</w:t>
      </w:r>
      <w:r w:rsidRPr="00741122">
        <w:rPr>
          <w:rFonts w:ascii="Times New Roman" w:eastAsia="Times New Roman" w:hAnsi="Times New Roman" w:cs="Times New Roman"/>
          <w:sz w:val="22"/>
          <w:szCs w:val="22"/>
          <w:lang w:val="lt-LT"/>
        </w:rPr>
        <w:t>.</w:t>
      </w:r>
    </w:p>
    <w:p w14:paraId="3CA0FB1F" w14:textId="77777777" w:rsidR="00071CFE" w:rsidRPr="00741122" w:rsidRDefault="00071CFE" w:rsidP="002D6FFD">
      <w:pPr>
        <w:rPr>
          <w:rFonts w:ascii="Times New Roman" w:eastAsia="Times New Roman" w:hAnsi="Times New Roman" w:cs="Times New Roman"/>
          <w:sz w:val="22"/>
          <w:szCs w:val="22"/>
          <w:lang w:val="lt-LT"/>
        </w:rPr>
      </w:pPr>
    </w:p>
    <w:p w14:paraId="06CEA6C3" w14:textId="3F2A4E28" w:rsidR="00D72CB2" w:rsidRPr="00741122" w:rsidRDefault="00071CFE" w:rsidP="0023471C">
      <w:pPr>
        <w:keepNext/>
        <w:tabs>
          <w:tab w:val="left" w:pos="1121"/>
        </w:tabs>
        <w:rPr>
          <w:rFonts w:ascii="Times New Roman" w:eastAsia="Times New Roman" w:hAnsi="Times New Roman" w:cs="Times New Roman"/>
          <w:b/>
          <w:sz w:val="22"/>
          <w:szCs w:val="22"/>
          <w:lang w:val="lt-LT"/>
        </w:rPr>
      </w:pPr>
      <w:bookmarkStart w:id="55" w:name="page53"/>
      <w:bookmarkEnd w:id="55"/>
      <w:r w:rsidRPr="00741122">
        <w:rPr>
          <w:rFonts w:ascii="Times New Roman" w:eastAsia="Times New Roman" w:hAnsi="Times New Roman" w:cs="Times New Roman"/>
          <w:b/>
          <w:sz w:val="22"/>
          <w:szCs w:val="22"/>
          <w:lang w:val="lt-LT"/>
        </w:rPr>
        <w:t xml:space="preserve">Tabela </w:t>
      </w:r>
      <w:r w:rsidR="00C33782" w:rsidRPr="00741122">
        <w:rPr>
          <w:rFonts w:ascii="Times New Roman" w:eastAsia="Times New Roman" w:hAnsi="Times New Roman" w:cs="Times New Roman"/>
          <w:b/>
          <w:sz w:val="22"/>
          <w:szCs w:val="22"/>
          <w:lang w:val="lt-LT"/>
        </w:rPr>
        <w:t>2</w:t>
      </w:r>
      <w:r w:rsidR="00C33782">
        <w:rPr>
          <w:rFonts w:ascii="Times New Roman" w:eastAsia="Times New Roman" w:hAnsi="Times New Roman" w:cs="Times New Roman"/>
          <w:b/>
          <w:sz w:val="22"/>
          <w:szCs w:val="22"/>
          <w:lang w:val="lt-LT"/>
        </w:rPr>
        <w:t>5</w:t>
      </w:r>
      <w:r w:rsidR="006B3B91">
        <w:rPr>
          <w:rFonts w:ascii="Times New Roman" w:eastAsia="Times New Roman" w:hAnsi="Times New Roman" w:cs="Times New Roman"/>
          <w:b/>
          <w:sz w:val="22"/>
          <w:szCs w:val="22"/>
          <w:lang w:val="lt-LT"/>
        </w:rPr>
        <w:t>.</w:t>
      </w:r>
      <w:r w:rsidR="00D72CB2" w:rsidRPr="00741122">
        <w:rPr>
          <w:rFonts w:ascii="Times New Roman" w:eastAsia="Times New Roman" w:hAnsi="Times New Roman" w:cs="Times New Roman"/>
          <w:b/>
          <w:sz w:val="22"/>
          <w:szCs w:val="22"/>
          <w:lang w:val="lt-LT"/>
        </w:rPr>
        <w:t xml:space="preserve"> </w:t>
      </w:r>
      <w:r w:rsidRPr="00741122">
        <w:rPr>
          <w:rFonts w:ascii="Times New Roman" w:eastAsia="Times New Roman" w:hAnsi="Times New Roman" w:cs="Times New Roman"/>
          <w:b/>
          <w:sz w:val="22"/>
          <w:szCs w:val="22"/>
          <w:lang w:val="lt-LT"/>
        </w:rPr>
        <w:t>Wyniki badania GOG-0240 dotycząc</w:t>
      </w:r>
      <w:r w:rsidR="00D72CB2" w:rsidRPr="00741122">
        <w:rPr>
          <w:rFonts w:ascii="Times New Roman" w:eastAsia="Times New Roman" w:hAnsi="Times New Roman" w:cs="Times New Roman"/>
          <w:b/>
          <w:sz w:val="22"/>
          <w:szCs w:val="22"/>
          <w:lang w:val="lt-LT"/>
        </w:rPr>
        <w:t xml:space="preserve">e skuteczności </w:t>
      </w:r>
      <w:r w:rsidR="00F11CE8" w:rsidRPr="00FD7F9C">
        <w:rPr>
          <w:rFonts w:ascii="Times New Roman" w:eastAsia="Times New Roman" w:hAnsi="Times New Roman" w:cs="Times New Roman"/>
          <w:b/>
          <w:sz w:val="22"/>
          <w:szCs w:val="22"/>
          <w:lang w:val="lt-LT"/>
        </w:rPr>
        <w:t>bewacyzumabu</w:t>
      </w:r>
    </w:p>
    <w:p w14:paraId="40E039CB" w14:textId="77777777" w:rsidR="00071CFE" w:rsidRPr="00741122" w:rsidRDefault="00071CFE" w:rsidP="0023471C">
      <w:pPr>
        <w:keepNext/>
        <w:tabs>
          <w:tab w:val="left" w:pos="1121"/>
        </w:tabs>
        <w:rPr>
          <w:rFonts w:ascii="Times New Roman" w:eastAsia="Times New Roman" w:hAnsi="Times New Roman" w:cs="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2790"/>
        <w:gridCol w:w="2658"/>
      </w:tblGrid>
      <w:tr w:rsidR="00A05D4E" w:rsidRPr="00741122" w14:paraId="3236E97B" w14:textId="77777777" w:rsidTr="00F533B1">
        <w:tc>
          <w:tcPr>
            <w:tcW w:w="2153" w:type="pct"/>
          </w:tcPr>
          <w:p w14:paraId="7515E800" w14:textId="77777777" w:rsidR="00A05D4E" w:rsidRPr="00741122" w:rsidRDefault="00A05D4E" w:rsidP="0023471C">
            <w:pPr>
              <w:keepNext/>
              <w:rPr>
                <w:rFonts w:ascii="Times New Roman" w:hAnsi="Times New Roman" w:cs="Times New Roman"/>
                <w:sz w:val="22"/>
                <w:szCs w:val="22"/>
                <w:lang w:val="lt-LT"/>
              </w:rPr>
            </w:pPr>
          </w:p>
        </w:tc>
        <w:tc>
          <w:tcPr>
            <w:tcW w:w="1458" w:type="pct"/>
            <w:vAlign w:val="center"/>
          </w:tcPr>
          <w:p w14:paraId="64723E3C" w14:textId="77777777" w:rsidR="00A05D4E" w:rsidRPr="00FD7F9C" w:rsidRDefault="00A05D4E" w:rsidP="0023471C">
            <w:pPr>
              <w:pStyle w:val="Default"/>
              <w:keepNext/>
              <w:jc w:val="center"/>
              <w:rPr>
                <w:b/>
                <w:sz w:val="22"/>
                <w:szCs w:val="22"/>
                <w:lang w:val="lt-LT"/>
              </w:rPr>
            </w:pPr>
            <w:r w:rsidRPr="00FD7F9C">
              <w:rPr>
                <w:b/>
                <w:sz w:val="22"/>
                <w:szCs w:val="22"/>
                <w:lang w:val="lt-LT"/>
              </w:rPr>
              <w:t>Chemioterapia</w:t>
            </w:r>
          </w:p>
          <w:p w14:paraId="0DCA75EB" w14:textId="77777777" w:rsidR="00A05D4E" w:rsidRPr="00FD7F9C" w:rsidRDefault="00A05D4E" w:rsidP="0023471C">
            <w:pPr>
              <w:pStyle w:val="Default"/>
              <w:keepNext/>
              <w:jc w:val="center"/>
              <w:rPr>
                <w:b/>
                <w:sz w:val="22"/>
                <w:szCs w:val="22"/>
                <w:lang w:val="lt-LT"/>
              </w:rPr>
            </w:pPr>
            <w:r w:rsidRPr="00FD7F9C">
              <w:rPr>
                <w:b/>
                <w:sz w:val="22"/>
                <w:szCs w:val="22"/>
                <w:lang w:val="lt-LT"/>
              </w:rPr>
              <w:t>(n</w:t>
            </w:r>
            <w:r w:rsidR="006B3B91">
              <w:rPr>
                <w:b/>
                <w:sz w:val="22"/>
                <w:szCs w:val="22"/>
                <w:lang w:val="lt-LT"/>
              </w:rPr>
              <w:t xml:space="preserve"> </w:t>
            </w:r>
            <w:r w:rsidRPr="00FD7F9C">
              <w:rPr>
                <w:b/>
                <w:sz w:val="22"/>
                <w:szCs w:val="22"/>
                <w:lang w:val="lt-LT"/>
              </w:rPr>
              <w:t>=</w:t>
            </w:r>
            <w:r w:rsidR="006B3B91">
              <w:rPr>
                <w:b/>
                <w:sz w:val="22"/>
                <w:szCs w:val="22"/>
                <w:lang w:val="lt-LT"/>
              </w:rPr>
              <w:t xml:space="preserve"> </w:t>
            </w:r>
            <w:r w:rsidRPr="00FD7F9C">
              <w:rPr>
                <w:b/>
                <w:sz w:val="22"/>
                <w:szCs w:val="22"/>
                <w:lang w:val="lt-LT"/>
              </w:rPr>
              <w:t>225)</w:t>
            </w:r>
          </w:p>
        </w:tc>
        <w:tc>
          <w:tcPr>
            <w:tcW w:w="1389" w:type="pct"/>
            <w:vAlign w:val="center"/>
          </w:tcPr>
          <w:p w14:paraId="2B1A5DFD" w14:textId="77777777" w:rsidR="00A05D4E" w:rsidRPr="00FD7F9C" w:rsidRDefault="00A05D4E" w:rsidP="0023471C">
            <w:pPr>
              <w:pStyle w:val="Default"/>
              <w:keepNext/>
              <w:jc w:val="center"/>
              <w:rPr>
                <w:b/>
                <w:sz w:val="22"/>
                <w:szCs w:val="22"/>
                <w:lang w:val="lt-LT"/>
              </w:rPr>
            </w:pPr>
            <w:r w:rsidRPr="00FD7F9C">
              <w:rPr>
                <w:b/>
                <w:sz w:val="22"/>
                <w:szCs w:val="22"/>
                <w:lang w:val="lt-LT"/>
              </w:rPr>
              <w:t xml:space="preserve">Chemioterapia + </w:t>
            </w:r>
            <w:r w:rsidR="00F11CE8" w:rsidRPr="00FD7F9C">
              <w:rPr>
                <w:rFonts w:eastAsia="Times New Roman"/>
                <w:b/>
                <w:sz w:val="22"/>
                <w:szCs w:val="22"/>
                <w:lang w:val="lt-LT"/>
              </w:rPr>
              <w:t>bewacyzumab</w:t>
            </w:r>
          </w:p>
          <w:p w14:paraId="2D946D6E" w14:textId="77777777" w:rsidR="00A05D4E" w:rsidRPr="00FD7F9C" w:rsidRDefault="00A05D4E" w:rsidP="0023471C">
            <w:pPr>
              <w:pStyle w:val="Default"/>
              <w:keepNext/>
              <w:jc w:val="center"/>
              <w:rPr>
                <w:b/>
                <w:sz w:val="22"/>
                <w:szCs w:val="22"/>
                <w:lang w:val="lt-LT"/>
              </w:rPr>
            </w:pPr>
            <w:r w:rsidRPr="00FD7F9C">
              <w:rPr>
                <w:b/>
                <w:sz w:val="22"/>
                <w:szCs w:val="22"/>
                <w:lang w:val="lt-LT"/>
              </w:rPr>
              <w:t>(n</w:t>
            </w:r>
            <w:r w:rsidR="006B3B91">
              <w:rPr>
                <w:b/>
                <w:sz w:val="22"/>
                <w:szCs w:val="22"/>
                <w:lang w:val="lt-LT"/>
              </w:rPr>
              <w:t xml:space="preserve"> </w:t>
            </w:r>
            <w:r w:rsidRPr="00FD7F9C">
              <w:rPr>
                <w:b/>
                <w:sz w:val="22"/>
                <w:szCs w:val="22"/>
                <w:lang w:val="lt-LT"/>
              </w:rPr>
              <w:t>=</w:t>
            </w:r>
            <w:r w:rsidR="006B3B91">
              <w:rPr>
                <w:b/>
                <w:sz w:val="22"/>
                <w:szCs w:val="22"/>
                <w:lang w:val="lt-LT"/>
              </w:rPr>
              <w:t xml:space="preserve"> </w:t>
            </w:r>
            <w:r w:rsidRPr="00FD7F9C">
              <w:rPr>
                <w:b/>
                <w:sz w:val="22"/>
                <w:szCs w:val="22"/>
                <w:lang w:val="lt-LT"/>
              </w:rPr>
              <w:t>227)</w:t>
            </w:r>
          </w:p>
        </w:tc>
      </w:tr>
      <w:tr w:rsidR="00A05D4E" w:rsidRPr="00741122" w14:paraId="67AF0697" w14:textId="77777777" w:rsidTr="00F533B1">
        <w:tc>
          <w:tcPr>
            <w:tcW w:w="5000" w:type="pct"/>
            <w:gridSpan w:val="3"/>
            <w:vAlign w:val="center"/>
          </w:tcPr>
          <w:p w14:paraId="7FA7E953" w14:textId="77777777" w:rsidR="00A05D4E" w:rsidRPr="00741122" w:rsidRDefault="00A05D4E" w:rsidP="00114020">
            <w:pPr>
              <w:pStyle w:val="Default"/>
              <w:jc w:val="center"/>
              <w:rPr>
                <w:sz w:val="22"/>
                <w:szCs w:val="22"/>
                <w:lang w:val="lt-LT"/>
              </w:rPr>
            </w:pPr>
            <w:r w:rsidRPr="00741122">
              <w:rPr>
                <w:bCs/>
                <w:sz w:val="22"/>
                <w:szCs w:val="22"/>
                <w:lang w:val="lt-LT"/>
              </w:rPr>
              <w:t>Pierwszorzędowy punkt końcowy</w:t>
            </w:r>
          </w:p>
        </w:tc>
      </w:tr>
      <w:tr w:rsidR="00A05D4E" w:rsidRPr="00C70451" w14:paraId="5ACBC39A" w14:textId="77777777" w:rsidTr="00F533B1">
        <w:tc>
          <w:tcPr>
            <w:tcW w:w="5000" w:type="pct"/>
            <w:gridSpan w:val="3"/>
            <w:vAlign w:val="center"/>
          </w:tcPr>
          <w:p w14:paraId="409CCF5C" w14:textId="77777777" w:rsidR="00A05D4E" w:rsidRPr="00741122" w:rsidRDefault="00A05D4E" w:rsidP="00114020">
            <w:pPr>
              <w:pStyle w:val="Default"/>
              <w:rPr>
                <w:sz w:val="22"/>
                <w:szCs w:val="22"/>
                <w:lang w:val="lt-LT"/>
              </w:rPr>
            </w:pPr>
            <w:r w:rsidRPr="00741122">
              <w:rPr>
                <w:bCs/>
                <w:sz w:val="22"/>
                <w:szCs w:val="22"/>
                <w:lang w:val="lt-LT"/>
              </w:rPr>
              <w:t>Całkowity czas przeżycia – Analiza pierwotna</w:t>
            </w:r>
            <w:r w:rsidRPr="00741122">
              <w:rPr>
                <w:bCs/>
                <w:sz w:val="22"/>
                <w:szCs w:val="22"/>
                <w:vertAlign w:val="superscript"/>
                <w:lang w:val="lt-LT"/>
              </w:rPr>
              <w:t>6</w:t>
            </w:r>
            <w:r w:rsidRPr="00741122">
              <w:rPr>
                <w:bCs/>
                <w:sz w:val="22"/>
                <w:szCs w:val="22"/>
                <w:lang w:val="lt-LT"/>
              </w:rPr>
              <w:t xml:space="preserve"> </w:t>
            </w:r>
          </w:p>
        </w:tc>
      </w:tr>
      <w:tr w:rsidR="00A05D4E" w:rsidRPr="00741122" w14:paraId="0361B585" w14:textId="77777777" w:rsidTr="00F533B1">
        <w:tc>
          <w:tcPr>
            <w:tcW w:w="2153" w:type="pct"/>
            <w:vAlign w:val="center"/>
          </w:tcPr>
          <w:p w14:paraId="561BDA36" w14:textId="77777777" w:rsidR="00A05D4E" w:rsidRPr="00741122" w:rsidRDefault="00A05D4E" w:rsidP="00BE079B">
            <w:pPr>
              <w:pStyle w:val="Default"/>
              <w:ind w:left="597"/>
              <w:rPr>
                <w:sz w:val="22"/>
                <w:szCs w:val="22"/>
                <w:lang w:val="lt-LT"/>
              </w:rPr>
            </w:pPr>
            <w:r w:rsidRPr="00741122">
              <w:rPr>
                <w:sz w:val="22"/>
                <w:szCs w:val="22"/>
                <w:lang w:val="lt-LT"/>
              </w:rPr>
              <w:t>Mediana (miesiące)</w:t>
            </w:r>
            <w:r w:rsidRPr="00741122">
              <w:rPr>
                <w:sz w:val="22"/>
                <w:szCs w:val="22"/>
                <w:vertAlign w:val="superscript"/>
                <w:lang w:val="lt-LT"/>
              </w:rPr>
              <w:t>1</w:t>
            </w:r>
          </w:p>
        </w:tc>
        <w:tc>
          <w:tcPr>
            <w:tcW w:w="1458" w:type="pct"/>
            <w:vAlign w:val="center"/>
          </w:tcPr>
          <w:p w14:paraId="058F3FB5" w14:textId="77777777" w:rsidR="00A05D4E" w:rsidRPr="00741122" w:rsidRDefault="00A05D4E" w:rsidP="00114020">
            <w:pPr>
              <w:pStyle w:val="Default"/>
              <w:jc w:val="center"/>
              <w:rPr>
                <w:sz w:val="22"/>
                <w:szCs w:val="22"/>
                <w:lang w:val="lt-LT"/>
              </w:rPr>
            </w:pPr>
            <w:r w:rsidRPr="00741122">
              <w:rPr>
                <w:sz w:val="22"/>
                <w:szCs w:val="22"/>
                <w:lang w:val="lt-LT"/>
              </w:rPr>
              <w:t>12,9</w:t>
            </w:r>
          </w:p>
        </w:tc>
        <w:tc>
          <w:tcPr>
            <w:tcW w:w="1389" w:type="pct"/>
            <w:vAlign w:val="center"/>
          </w:tcPr>
          <w:p w14:paraId="638BC06B" w14:textId="77777777" w:rsidR="00A05D4E" w:rsidRPr="00741122" w:rsidRDefault="00A05D4E" w:rsidP="00114020">
            <w:pPr>
              <w:pStyle w:val="Default"/>
              <w:jc w:val="center"/>
              <w:rPr>
                <w:sz w:val="22"/>
                <w:szCs w:val="22"/>
                <w:lang w:val="lt-LT"/>
              </w:rPr>
            </w:pPr>
            <w:r w:rsidRPr="00741122">
              <w:rPr>
                <w:sz w:val="22"/>
                <w:szCs w:val="22"/>
                <w:lang w:val="lt-LT"/>
              </w:rPr>
              <w:t>16,8</w:t>
            </w:r>
          </w:p>
        </w:tc>
      </w:tr>
      <w:tr w:rsidR="00A05D4E" w:rsidRPr="00741122" w14:paraId="6CF488E6" w14:textId="77777777" w:rsidTr="00F533B1">
        <w:tc>
          <w:tcPr>
            <w:tcW w:w="2153" w:type="pct"/>
          </w:tcPr>
          <w:p w14:paraId="567D7154" w14:textId="77777777" w:rsidR="00A05D4E" w:rsidRPr="00741122" w:rsidRDefault="00E8240E" w:rsidP="00E8240E">
            <w:pPr>
              <w:pStyle w:val="Default"/>
              <w:ind w:left="597"/>
              <w:rPr>
                <w:sz w:val="22"/>
                <w:szCs w:val="22"/>
                <w:lang w:val="lt-LT"/>
              </w:rPr>
            </w:pPr>
            <w:r>
              <w:rPr>
                <w:sz w:val="22"/>
                <w:szCs w:val="22"/>
                <w:lang w:val="lt-LT"/>
              </w:rPr>
              <w:t>Wpółczynnik ryzyka</w:t>
            </w:r>
            <w:r w:rsidR="00A05D4E" w:rsidRPr="00741122">
              <w:rPr>
                <w:sz w:val="22"/>
                <w:szCs w:val="22"/>
                <w:lang w:val="lt-LT"/>
              </w:rPr>
              <w:t xml:space="preserve"> [95% CI]</w:t>
            </w:r>
          </w:p>
        </w:tc>
        <w:tc>
          <w:tcPr>
            <w:tcW w:w="2847" w:type="pct"/>
            <w:gridSpan w:val="2"/>
            <w:vAlign w:val="center"/>
          </w:tcPr>
          <w:p w14:paraId="25717E55" w14:textId="7950D5E6" w:rsidR="00A05D4E" w:rsidRPr="00741122" w:rsidRDefault="00A05D4E" w:rsidP="00114020">
            <w:pPr>
              <w:pStyle w:val="Default"/>
              <w:jc w:val="center"/>
              <w:rPr>
                <w:sz w:val="22"/>
                <w:szCs w:val="22"/>
                <w:lang w:val="lt-LT"/>
              </w:rPr>
            </w:pPr>
            <w:r w:rsidRPr="00741122">
              <w:rPr>
                <w:sz w:val="22"/>
                <w:szCs w:val="22"/>
                <w:lang w:val="lt-LT"/>
              </w:rPr>
              <w:t>0,74 [0,58</w:t>
            </w:r>
            <w:r w:rsidR="00990C40">
              <w:rPr>
                <w:sz w:val="22"/>
                <w:szCs w:val="22"/>
                <w:lang w:val="lt-LT"/>
              </w:rPr>
              <w:t>;</w:t>
            </w:r>
            <w:r w:rsidRPr="00741122">
              <w:rPr>
                <w:sz w:val="22"/>
                <w:szCs w:val="22"/>
                <w:lang w:val="lt-LT"/>
              </w:rPr>
              <w:t xml:space="preserve"> 0,94]</w:t>
            </w:r>
          </w:p>
          <w:p w14:paraId="0E083C0D" w14:textId="77777777" w:rsidR="00A05D4E" w:rsidRPr="00741122" w:rsidRDefault="00A05D4E" w:rsidP="00114020">
            <w:pPr>
              <w:pStyle w:val="Default"/>
              <w:jc w:val="center"/>
              <w:rPr>
                <w:sz w:val="22"/>
                <w:szCs w:val="22"/>
                <w:lang w:val="lt-LT"/>
              </w:rPr>
            </w:pPr>
            <w:r w:rsidRPr="00741122">
              <w:rPr>
                <w:sz w:val="22"/>
                <w:szCs w:val="22"/>
                <w:lang w:val="lt-LT"/>
              </w:rPr>
              <w:t>(wartość p</w:t>
            </w:r>
            <w:r w:rsidRPr="0023471C">
              <w:rPr>
                <w:sz w:val="22"/>
                <w:szCs w:val="22"/>
                <w:vertAlign w:val="superscript"/>
                <w:lang w:val="lt-LT"/>
              </w:rPr>
              <w:t>5</w:t>
            </w:r>
            <w:r w:rsidRPr="00741122">
              <w:rPr>
                <w:sz w:val="22"/>
                <w:szCs w:val="22"/>
                <w:lang w:val="lt-LT"/>
              </w:rPr>
              <w:t xml:space="preserve"> = 0,0132)</w:t>
            </w:r>
          </w:p>
        </w:tc>
      </w:tr>
      <w:tr w:rsidR="00A05D4E" w:rsidRPr="00C70451" w14:paraId="127632DE" w14:textId="77777777" w:rsidTr="00F533B1">
        <w:tc>
          <w:tcPr>
            <w:tcW w:w="5000" w:type="pct"/>
            <w:gridSpan w:val="3"/>
            <w:vAlign w:val="center"/>
          </w:tcPr>
          <w:p w14:paraId="7C34D903" w14:textId="77777777" w:rsidR="00A05D4E" w:rsidRPr="00741122" w:rsidRDefault="00A05D4E" w:rsidP="00114020">
            <w:pPr>
              <w:pStyle w:val="Default"/>
              <w:rPr>
                <w:sz w:val="22"/>
                <w:szCs w:val="22"/>
                <w:lang w:val="lt-LT"/>
              </w:rPr>
            </w:pPr>
            <w:r w:rsidRPr="00741122">
              <w:rPr>
                <w:bCs/>
                <w:sz w:val="22"/>
                <w:szCs w:val="22"/>
                <w:lang w:val="lt-LT"/>
              </w:rPr>
              <w:t>Całkowity czas przeżycia – Analiza po dłuższym czasie obserwacji</w:t>
            </w:r>
            <w:r w:rsidRPr="00741122">
              <w:rPr>
                <w:bCs/>
                <w:sz w:val="22"/>
                <w:szCs w:val="22"/>
                <w:vertAlign w:val="superscript"/>
                <w:lang w:val="lt-LT"/>
              </w:rPr>
              <w:t>7</w:t>
            </w:r>
            <w:r w:rsidRPr="00741122">
              <w:rPr>
                <w:bCs/>
                <w:sz w:val="22"/>
                <w:szCs w:val="22"/>
                <w:lang w:val="lt-LT"/>
              </w:rPr>
              <w:t xml:space="preserve"> </w:t>
            </w:r>
          </w:p>
        </w:tc>
      </w:tr>
      <w:tr w:rsidR="00A05D4E" w:rsidRPr="00741122" w14:paraId="1C77359A" w14:textId="77777777" w:rsidTr="00F533B1">
        <w:tc>
          <w:tcPr>
            <w:tcW w:w="2153" w:type="pct"/>
            <w:vAlign w:val="center"/>
          </w:tcPr>
          <w:p w14:paraId="5B8A1BFB" w14:textId="77777777" w:rsidR="00A05D4E" w:rsidRPr="00741122" w:rsidRDefault="00A05D4E" w:rsidP="00BE079B">
            <w:pPr>
              <w:pStyle w:val="Default"/>
              <w:ind w:left="597"/>
              <w:rPr>
                <w:sz w:val="22"/>
                <w:szCs w:val="22"/>
                <w:lang w:val="lt-LT"/>
              </w:rPr>
            </w:pPr>
            <w:r w:rsidRPr="00741122">
              <w:rPr>
                <w:sz w:val="22"/>
                <w:szCs w:val="22"/>
                <w:lang w:val="lt-LT"/>
              </w:rPr>
              <w:t>Mediana (miesiące)</w:t>
            </w:r>
            <w:r w:rsidRPr="00741122">
              <w:rPr>
                <w:sz w:val="22"/>
                <w:szCs w:val="22"/>
                <w:vertAlign w:val="superscript"/>
                <w:lang w:val="lt-LT"/>
              </w:rPr>
              <w:t>1</w:t>
            </w:r>
          </w:p>
        </w:tc>
        <w:tc>
          <w:tcPr>
            <w:tcW w:w="1458" w:type="pct"/>
            <w:vAlign w:val="center"/>
          </w:tcPr>
          <w:p w14:paraId="5C6041E6" w14:textId="77777777" w:rsidR="00A05D4E" w:rsidRPr="00741122" w:rsidRDefault="00A05D4E" w:rsidP="00114020">
            <w:pPr>
              <w:pStyle w:val="Default"/>
              <w:jc w:val="center"/>
              <w:rPr>
                <w:sz w:val="22"/>
                <w:szCs w:val="22"/>
                <w:lang w:val="lt-LT"/>
              </w:rPr>
            </w:pPr>
            <w:r w:rsidRPr="00741122">
              <w:rPr>
                <w:sz w:val="22"/>
                <w:szCs w:val="22"/>
                <w:lang w:val="lt-LT"/>
              </w:rPr>
              <w:t>13,3</w:t>
            </w:r>
          </w:p>
        </w:tc>
        <w:tc>
          <w:tcPr>
            <w:tcW w:w="1389" w:type="pct"/>
            <w:vAlign w:val="center"/>
          </w:tcPr>
          <w:p w14:paraId="73CD0CF6" w14:textId="77777777" w:rsidR="00A05D4E" w:rsidRPr="00741122" w:rsidRDefault="00A05D4E" w:rsidP="00114020">
            <w:pPr>
              <w:pStyle w:val="Default"/>
              <w:jc w:val="center"/>
              <w:rPr>
                <w:sz w:val="22"/>
                <w:szCs w:val="22"/>
                <w:lang w:val="lt-LT"/>
              </w:rPr>
            </w:pPr>
            <w:r w:rsidRPr="00741122">
              <w:rPr>
                <w:sz w:val="22"/>
                <w:szCs w:val="22"/>
                <w:lang w:val="lt-LT"/>
              </w:rPr>
              <w:t>16,8</w:t>
            </w:r>
          </w:p>
        </w:tc>
      </w:tr>
      <w:tr w:rsidR="00A05D4E" w:rsidRPr="00741122" w14:paraId="286016BE" w14:textId="77777777" w:rsidTr="00F533B1">
        <w:tc>
          <w:tcPr>
            <w:tcW w:w="2153" w:type="pct"/>
          </w:tcPr>
          <w:p w14:paraId="24500EB8" w14:textId="77777777" w:rsidR="00A05D4E" w:rsidRPr="00741122" w:rsidRDefault="00E8240E" w:rsidP="00E8240E">
            <w:pPr>
              <w:pStyle w:val="Default"/>
              <w:ind w:left="597"/>
              <w:rPr>
                <w:sz w:val="22"/>
                <w:szCs w:val="22"/>
                <w:lang w:val="lt-LT"/>
              </w:rPr>
            </w:pPr>
            <w:r>
              <w:rPr>
                <w:sz w:val="22"/>
                <w:szCs w:val="22"/>
                <w:lang w:val="lt-LT"/>
              </w:rPr>
              <w:t>Współczynnik ryzyka</w:t>
            </w:r>
            <w:r w:rsidR="00A05D4E" w:rsidRPr="00741122">
              <w:rPr>
                <w:sz w:val="22"/>
                <w:szCs w:val="22"/>
                <w:lang w:val="lt-LT"/>
              </w:rPr>
              <w:t xml:space="preserve"> [95% CI]</w:t>
            </w:r>
          </w:p>
        </w:tc>
        <w:tc>
          <w:tcPr>
            <w:tcW w:w="2847" w:type="pct"/>
            <w:gridSpan w:val="2"/>
            <w:vAlign w:val="center"/>
          </w:tcPr>
          <w:p w14:paraId="2E515E0B" w14:textId="2D2ACE6B" w:rsidR="00A05D4E" w:rsidRPr="00741122" w:rsidRDefault="00A05D4E" w:rsidP="00114020">
            <w:pPr>
              <w:pStyle w:val="Default"/>
              <w:jc w:val="center"/>
              <w:rPr>
                <w:sz w:val="22"/>
                <w:szCs w:val="22"/>
                <w:lang w:val="lt-LT"/>
              </w:rPr>
            </w:pPr>
            <w:r w:rsidRPr="00741122">
              <w:rPr>
                <w:sz w:val="22"/>
                <w:szCs w:val="22"/>
                <w:lang w:val="lt-LT"/>
              </w:rPr>
              <w:t>0,76 [0,62</w:t>
            </w:r>
            <w:r w:rsidR="00990C40">
              <w:rPr>
                <w:sz w:val="22"/>
                <w:szCs w:val="22"/>
                <w:lang w:val="lt-LT"/>
              </w:rPr>
              <w:t>;</w:t>
            </w:r>
            <w:r w:rsidRPr="00741122">
              <w:rPr>
                <w:sz w:val="22"/>
                <w:szCs w:val="22"/>
                <w:lang w:val="lt-LT"/>
              </w:rPr>
              <w:t xml:space="preserve"> 0,94]</w:t>
            </w:r>
          </w:p>
          <w:p w14:paraId="0291A47E" w14:textId="77777777" w:rsidR="00A05D4E" w:rsidRPr="00741122" w:rsidRDefault="00A05D4E" w:rsidP="00114020">
            <w:pPr>
              <w:pStyle w:val="Default"/>
              <w:jc w:val="center"/>
              <w:rPr>
                <w:sz w:val="22"/>
                <w:szCs w:val="22"/>
                <w:lang w:val="lt-LT"/>
              </w:rPr>
            </w:pPr>
            <w:r w:rsidRPr="00741122">
              <w:rPr>
                <w:sz w:val="22"/>
                <w:szCs w:val="22"/>
                <w:lang w:val="lt-LT"/>
              </w:rPr>
              <w:t>(wartość p</w:t>
            </w:r>
            <w:r w:rsidRPr="00741122">
              <w:rPr>
                <w:sz w:val="22"/>
                <w:szCs w:val="22"/>
                <w:vertAlign w:val="superscript"/>
                <w:lang w:val="lt-LT"/>
              </w:rPr>
              <w:t>5,8</w:t>
            </w:r>
            <w:r w:rsidRPr="00741122">
              <w:rPr>
                <w:sz w:val="22"/>
                <w:szCs w:val="22"/>
                <w:lang w:val="lt-LT"/>
              </w:rPr>
              <w:t xml:space="preserve"> = 0,0126)</w:t>
            </w:r>
          </w:p>
        </w:tc>
      </w:tr>
      <w:tr w:rsidR="00A05D4E" w:rsidRPr="00741122" w14:paraId="28991C23" w14:textId="77777777" w:rsidTr="00F533B1">
        <w:tc>
          <w:tcPr>
            <w:tcW w:w="5000" w:type="pct"/>
            <w:gridSpan w:val="3"/>
            <w:vAlign w:val="center"/>
          </w:tcPr>
          <w:p w14:paraId="09554DDF" w14:textId="77777777" w:rsidR="00A05D4E" w:rsidRPr="00741122" w:rsidRDefault="00A05D4E" w:rsidP="00114020">
            <w:pPr>
              <w:pStyle w:val="Default"/>
              <w:jc w:val="center"/>
              <w:rPr>
                <w:sz w:val="22"/>
                <w:szCs w:val="22"/>
                <w:lang w:val="lt-LT"/>
              </w:rPr>
            </w:pPr>
            <w:r w:rsidRPr="00741122">
              <w:rPr>
                <w:bCs/>
                <w:sz w:val="22"/>
                <w:szCs w:val="22"/>
                <w:lang w:val="lt-LT"/>
              </w:rPr>
              <w:t>Drugorzędowe punkty końcowe</w:t>
            </w:r>
          </w:p>
        </w:tc>
      </w:tr>
      <w:tr w:rsidR="00A05D4E" w:rsidRPr="00C70451" w14:paraId="68AFEC3D" w14:textId="77777777" w:rsidTr="00F533B1">
        <w:tc>
          <w:tcPr>
            <w:tcW w:w="5000" w:type="pct"/>
            <w:gridSpan w:val="3"/>
            <w:vAlign w:val="center"/>
          </w:tcPr>
          <w:p w14:paraId="14D92011" w14:textId="77777777" w:rsidR="00A05D4E" w:rsidRPr="00741122" w:rsidRDefault="00A05D4E" w:rsidP="00114020">
            <w:pPr>
              <w:pStyle w:val="Default"/>
              <w:rPr>
                <w:sz w:val="22"/>
                <w:szCs w:val="22"/>
                <w:lang w:val="lt-LT"/>
              </w:rPr>
            </w:pPr>
            <w:r w:rsidRPr="00741122">
              <w:rPr>
                <w:bCs/>
                <w:sz w:val="22"/>
                <w:szCs w:val="22"/>
                <w:lang w:val="lt-LT"/>
              </w:rPr>
              <w:t>Czas przeżycia wolny od progresji choroby – Analiza pierwotna</w:t>
            </w:r>
            <w:r w:rsidRPr="00741122">
              <w:rPr>
                <w:bCs/>
                <w:sz w:val="22"/>
                <w:szCs w:val="22"/>
                <w:vertAlign w:val="superscript"/>
                <w:lang w:val="lt-LT"/>
              </w:rPr>
              <w:t>6</w:t>
            </w:r>
            <w:r w:rsidRPr="00741122">
              <w:rPr>
                <w:bCs/>
                <w:sz w:val="22"/>
                <w:szCs w:val="22"/>
                <w:lang w:val="lt-LT"/>
              </w:rPr>
              <w:t xml:space="preserve"> </w:t>
            </w:r>
          </w:p>
        </w:tc>
      </w:tr>
      <w:tr w:rsidR="00A05D4E" w:rsidRPr="00741122" w14:paraId="24D36D08" w14:textId="77777777" w:rsidTr="00F533B1">
        <w:tc>
          <w:tcPr>
            <w:tcW w:w="2153" w:type="pct"/>
            <w:vAlign w:val="center"/>
          </w:tcPr>
          <w:p w14:paraId="4006C59D" w14:textId="77777777" w:rsidR="00A05D4E" w:rsidRPr="00741122" w:rsidRDefault="00A05D4E" w:rsidP="00BE079B">
            <w:pPr>
              <w:pStyle w:val="Default"/>
              <w:ind w:left="597"/>
              <w:rPr>
                <w:sz w:val="22"/>
                <w:szCs w:val="22"/>
                <w:lang w:val="lt-LT"/>
              </w:rPr>
            </w:pPr>
            <w:r w:rsidRPr="00741122">
              <w:rPr>
                <w:sz w:val="22"/>
                <w:szCs w:val="22"/>
                <w:lang w:val="lt-LT"/>
              </w:rPr>
              <w:t>Mediana PFS (miesiące)</w:t>
            </w:r>
            <w:r w:rsidRPr="00741122">
              <w:rPr>
                <w:sz w:val="22"/>
                <w:szCs w:val="22"/>
                <w:vertAlign w:val="superscript"/>
                <w:lang w:val="lt-LT"/>
              </w:rPr>
              <w:t>1</w:t>
            </w:r>
          </w:p>
        </w:tc>
        <w:tc>
          <w:tcPr>
            <w:tcW w:w="1458" w:type="pct"/>
            <w:vAlign w:val="center"/>
          </w:tcPr>
          <w:p w14:paraId="5ED7EFA0" w14:textId="77777777" w:rsidR="00A05D4E" w:rsidRPr="00741122" w:rsidRDefault="00A05D4E" w:rsidP="00114020">
            <w:pPr>
              <w:pStyle w:val="Default"/>
              <w:jc w:val="center"/>
              <w:rPr>
                <w:sz w:val="22"/>
                <w:szCs w:val="22"/>
                <w:lang w:val="lt-LT"/>
              </w:rPr>
            </w:pPr>
            <w:r w:rsidRPr="00741122">
              <w:rPr>
                <w:sz w:val="22"/>
                <w:szCs w:val="22"/>
                <w:lang w:val="lt-LT"/>
              </w:rPr>
              <w:t>6,0</w:t>
            </w:r>
          </w:p>
        </w:tc>
        <w:tc>
          <w:tcPr>
            <w:tcW w:w="1389" w:type="pct"/>
            <w:vAlign w:val="center"/>
          </w:tcPr>
          <w:p w14:paraId="1D10B3EE" w14:textId="77777777" w:rsidR="00A05D4E" w:rsidRPr="00741122" w:rsidRDefault="00A05D4E" w:rsidP="00114020">
            <w:pPr>
              <w:pStyle w:val="Default"/>
              <w:jc w:val="center"/>
              <w:rPr>
                <w:sz w:val="22"/>
                <w:szCs w:val="22"/>
                <w:lang w:val="lt-LT"/>
              </w:rPr>
            </w:pPr>
            <w:r w:rsidRPr="00741122">
              <w:rPr>
                <w:sz w:val="22"/>
                <w:szCs w:val="22"/>
                <w:lang w:val="lt-LT"/>
              </w:rPr>
              <w:t>8,3</w:t>
            </w:r>
          </w:p>
        </w:tc>
      </w:tr>
      <w:tr w:rsidR="00A05D4E" w:rsidRPr="00741122" w14:paraId="2061227D" w14:textId="77777777" w:rsidTr="00F533B1">
        <w:tc>
          <w:tcPr>
            <w:tcW w:w="2153" w:type="pct"/>
          </w:tcPr>
          <w:p w14:paraId="5E0A8EE4" w14:textId="77777777" w:rsidR="00A05D4E" w:rsidRPr="00741122" w:rsidRDefault="00E8240E" w:rsidP="00E8240E">
            <w:pPr>
              <w:pStyle w:val="Default"/>
              <w:ind w:left="597"/>
              <w:rPr>
                <w:sz w:val="22"/>
                <w:szCs w:val="22"/>
                <w:lang w:val="lt-LT"/>
              </w:rPr>
            </w:pPr>
            <w:r>
              <w:rPr>
                <w:sz w:val="22"/>
                <w:szCs w:val="22"/>
                <w:lang w:val="lt-LT"/>
              </w:rPr>
              <w:t>Współczynnik ryzyka</w:t>
            </w:r>
            <w:r w:rsidR="00A05D4E" w:rsidRPr="00741122">
              <w:rPr>
                <w:sz w:val="22"/>
                <w:szCs w:val="22"/>
                <w:lang w:val="lt-LT"/>
              </w:rPr>
              <w:t xml:space="preserve"> [95% CI]</w:t>
            </w:r>
          </w:p>
        </w:tc>
        <w:tc>
          <w:tcPr>
            <w:tcW w:w="2847" w:type="pct"/>
            <w:gridSpan w:val="2"/>
            <w:vAlign w:val="center"/>
          </w:tcPr>
          <w:p w14:paraId="5618A980" w14:textId="5E3DAE12" w:rsidR="00A05D4E" w:rsidRPr="00741122" w:rsidRDefault="00A05D4E" w:rsidP="00114020">
            <w:pPr>
              <w:pStyle w:val="Default"/>
              <w:jc w:val="center"/>
              <w:rPr>
                <w:sz w:val="22"/>
                <w:szCs w:val="22"/>
                <w:lang w:val="lt-LT"/>
              </w:rPr>
            </w:pPr>
            <w:r w:rsidRPr="00741122">
              <w:rPr>
                <w:sz w:val="22"/>
                <w:szCs w:val="22"/>
                <w:lang w:val="lt-LT"/>
              </w:rPr>
              <w:t>0,66 [0,54</w:t>
            </w:r>
            <w:r w:rsidR="00990C40">
              <w:rPr>
                <w:sz w:val="22"/>
                <w:szCs w:val="22"/>
                <w:lang w:val="lt-LT"/>
              </w:rPr>
              <w:t>;</w:t>
            </w:r>
            <w:r w:rsidRPr="00741122">
              <w:rPr>
                <w:sz w:val="22"/>
                <w:szCs w:val="22"/>
                <w:lang w:val="lt-LT"/>
              </w:rPr>
              <w:t xml:space="preserve"> 0,81]</w:t>
            </w:r>
          </w:p>
          <w:p w14:paraId="0B2B8A31" w14:textId="77777777" w:rsidR="00A05D4E" w:rsidRPr="00741122" w:rsidRDefault="00A05D4E" w:rsidP="00114020">
            <w:pPr>
              <w:pStyle w:val="Default"/>
              <w:jc w:val="center"/>
              <w:rPr>
                <w:sz w:val="22"/>
                <w:szCs w:val="22"/>
                <w:lang w:val="lt-LT"/>
              </w:rPr>
            </w:pPr>
            <w:r w:rsidRPr="00741122">
              <w:rPr>
                <w:sz w:val="22"/>
                <w:szCs w:val="22"/>
                <w:lang w:val="lt-LT"/>
              </w:rPr>
              <w:t>(wartość p</w:t>
            </w:r>
            <w:r w:rsidRPr="00741122">
              <w:rPr>
                <w:sz w:val="22"/>
                <w:szCs w:val="22"/>
                <w:vertAlign w:val="superscript"/>
                <w:lang w:val="lt-LT"/>
              </w:rPr>
              <w:t>5</w:t>
            </w:r>
            <w:r w:rsidRPr="00741122">
              <w:rPr>
                <w:sz w:val="22"/>
                <w:szCs w:val="22"/>
                <w:lang w:val="lt-LT"/>
              </w:rPr>
              <w:t xml:space="preserve"> &lt;</w:t>
            </w:r>
            <w:r w:rsidR="006B3B91">
              <w:rPr>
                <w:sz w:val="22"/>
                <w:szCs w:val="22"/>
                <w:lang w:val="lt-LT"/>
              </w:rPr>
              <w:t xml:space="preserve"> </w:t>
            </w:r>
            <w:r w:rsidRPr="00741122">
              <w:rPr>
                <w:sz w:val="22"/>
                <w:szCs w:val="22"/>
                <w:lang w:val="lt-LT"/>
              </w:rPr>
              <w:t>0,0001)</w:t>
            </w:r>
          </w:p>
        </w:tc>
      </w:tr>
      <w:tr w:rsidR="00A05D4E" w:rsidRPr="00C70451" w14:paraId="23EBF45E" w14:textId="77777777" w:rsidTr="00F533B1">
        <w:tc>
          <w:tcPr>
            <w:tcW w:w="5000" w:type="pct"/>
            <w:gridSpan w:val="3"/>
            <w:vAlign w:val="center"/>
          </w:tcPr>
          <w:p w14:paraId="4974E116" w14:textId="77777777" w:rsidR="00A05D4E" w:rsidRPr="00741122" w:rsidRDefault="00A05D4E" w:rsidP="005A497F">
            <w:pPr>
              <w:pStyle w:val="Default"/>
              <w:keepNext/>
              <w:keepLines/>
              <w:rPr>
                <w:sz w:val="22"/>
                <w:szCs w:val="22"/>
                <w:lang w:val="lt-LT"/>
              </w:rPr>
            </w:pPr>
            <w:r w:rsidRPr="00741122">
              <w:rPr>
                <w:bCs/>
                <w:sz w:val="22"/>
                <w:szCs w:val="22"/>
                <w:lang w:val="lt-LT"/>
              </w:rPr>
              <w:t>Najlepsza całkowita odpowiedź – Analiza pierwotna</w:t>
            </w:r>
            <w:r w:rsidRPr="00741122">
              <w:rPr>
                <w:bCs/>
                <w:sz w:val="22"/>
                <w:szCs w:val="22"/>
                <w:vertAlign w:val="superscript"/>
                <w:lang w:val="lt-LT"/>
              </w:rPr>
              <w:t>6</w:t>
            </w:r>
            <w:r w:rsidRPr="00741122">
              <w:rPr>
                <w:bCs/>
                <w:sz w:val="22"/>
                <w:szCs w:val="22"/>
                <w:lang w:val="lt-LT"/>
              </w:rPr>
              <w:t xml:space="preserve"> </w:t>
            </w:r>
          </w:p>
        </w:tc>
      </w:tr>
      <w:tr w:rsidR="00A05D4E" w:rsidRPr="00741122" w14:paraId="28510DF0" w14:textId="77777777" w:rsidTr="00F533B1">
        <w:tc>
          <w:tcPr>
            <w:tcW w:w="2153" w:type="pct"/>
            <w:vAlign w:val="center"/>
          </w:tcPr>
          <w:p w14:paraId="2E0A78CA" w14:textId="77777777" w:rsidR="00A05D4E" w:rsidRPr="00741122" w:rsidRDefault="00A05D4E" w:rsidP="005A497F">
            <w:pPr>
              <w:pStyle w:val="Default"/>
              <w:keepNext/>
              <w:keepLines/>
              <w:ind w:left="597"/>
              <w:rPr>
                <w:sz w:val="22"/>
                <w:szCs w:val="22"/>
                <w:lang w:val="lt-LT"/>
              </w:rPr>
            </w:pPr>
            <w:r w:rsidRPr="00741122">
              <w:rPr>
                <w:sz w:val="22"/>
                <w:szCs w:val="22"/>
                <w:lang w:val="lt-LT"/>
              </w:rPr>
              <w:t>Pacjentki odpowiadające na leczenie (Współczynnik odpowiedzi</w:t>
            </w:r>
            <w:r w:rsidRPr="00741122">
              <w:rPr>
                <w:sz w:val="22"/>
                <w:szCs w:val="22"/>
                <w:vertAlign w:val="superscript"/>
                <w:lang w:val="lt-LT"/>
              </w:rPr>
              <w:t>2</w:t>
            </w:r>
            <w:r w:rsidRPr="00741122">
              <w:rPr>
                <w:sz w:val="22"/>
                <w:szCs w:val="22"/>
                <w:lang w:val="lt-LT"/>
              </w:rPr>
              <w:t>)</w:t>
            </w:r>
          </w:p>
        </w:tc>
        <w:tc>
          <w:tcPr>
            <w:tcW w:w="1458" w:type="pct"/>
            <w:vAlign w:val="center"/>
          </w:tcPr>
          <w:p w14:paraId="62C8B187" w14:textId="77777777" w:rsidR="00A05D4E" w:rsidRPr="00741122" w:rsidRDefault="00F8540F" w:rsidP="005A497F">
            <w:pPr>
              <w:pStyle w:val="Default"/>
              <w:keepNext/>
              <w:keepLines/>
              <w:jc w:val="center"/>
              <w:rPr>
                <w:sz w:val="22"/>
                <w:szCs w:val="22"/>
                <w:lang w:val="lt-LT"/>
              </w:rPr>
            </w:pPr>
            <w:r>
              <w:rPr>
                <w:sz w:val="22"/>
                <w:szCs w:val="22"/>
                <w:lang w:val="lt-LT"/>
              </w:rPr>
              <w:t>76 (33,8</w:t>
            </w:r>
            <w:r w:rsidR="00A05D4E" w:rsidRPr="00741122">
              <w:rPr>
                <w:sz w:val="22"/>
                <w:szCs w:val="22"/>
                <w:lang w:val="lt-LT"/>
              </w:rPr>
              <w:t>%)</w:t>
            </w:r>
          </w:p>
        </w:tc>
        <w:tc>
          <w:tcPr>
            <w:tcW w:w="1389" w:type="pct"/>
            <w:vAlign w:val="center"/>
          </w:tcPr>
          <w:p w14:paraId="484F6135" w14:textId="77777777" w:rsidR="00A05D4E" w:rsidRPr="00741122" w:rsidRDefault="00F8540F" w:rsidP="00114020">
            <w:pPr>
              <w:pStyle w:val="Default"/>
              <w:jc w:val="center"/>
              <w:rPr>
                <w:sz w:val="22"/>
                <w:szCs w:val="22"/>
                <w:lang w:val="lt-LT"/>
              </w:rPr>
            </w:pPr>
            <w:r>
              <w:rPr>
                <w:sz w:val="22"/>
                <w:szCs w:val="22"/>
                <w:lang w:val="lt-LT"/>
              </w:rPr>
              <w:t>103 (45,4</w:t>
            </w:r>
            <w:r w:rsidR="00A05D4E" w:rsidRPr="00741122">
              <w:rPr>
                <w:sz w:val="22"/>
                <w:szCs w:val="22"/>
                <w:lang w:val="lt-LT"/>
              </w:rPr>
              <w:t>%)</w:t>
            </w:r>
          </w:p>
        </w:tc>
      </w:tr>
      <w:tr w:rsidR="00A05D4E" w:rsidRPr="00741122" w14:paraId="78BF3138" w14:textId="77777777" w:rsidTr="00F533B1">
        <w:tc>
          <w:tcPr>
            <w:tcW w:w="2153" w:type="pct"/>
            <w:vAlign w:val="center"/>
          </w:tcPr>
          <w:p w14:paraId="4890884E" w14:textId="77777777" w:rsidR="00A05D4E" w:rsidRPr="00741122" w:rsidRDefault="00A05D4E" w:rsidP="006D77E0">
            <w:pPr>
              <w:pStyle w:val="Default"/>
              <w:ind w:left="597"/>
              <w:rPr>
                <w:sz w:val="22"/>
                <w:szCs w:val="22"/>
                <w:lang w:val="lt-LT"/>
              </w:rPr>
            </w:pPr>
            <w:r w:rsidRPr="00741122">
              <w:rPr>
                <w:sz w:val="22"/>
                <w:szCs w:val="22"/>
                <w:lang w:val="lt-LT"/>
              </w:rPr>
              <w:t>95% CI dla wspólczynników odpowiedzi</w:t>
            </w:r>
            <w:r w:rsidRPr="00741122">
              <w:rPr>
                <w:sz w:val="22"/>
                <w:szCs w:val="22"/>
                <w:vertAlign w:val="superscript"/>
                <w:lang w:val="lt-LT"/>
              </w:rPr>
              <w:t>3</w:t>
            </w:r>
          </w:p>
        </w:tc>
        <w:tc>
          <w:tcPr>
            <w:tcW w:w="1458" w:type="pct"/>
            <w:vAlign w:val="center"/>
          </w:tcPr>
          <w:p w14:paraId="6BC9E330" w14:textId="7F4BC226" w:rsidR="00A05D4E" w:rsidRPr="00741122" w:rsidRDefault="00A05D4E" w:rsidP="00114020">
            <w:pPr>
              <w:pStyle w:val="Default"/>
              <w:jc w:val="center"/>
              <w:rPr>
                <w:sz w:val="22"/>
                <w:szCs w:val="22"/>
                <w:lang w:val="lt-LT"/>
              </w:rPr>
            </w:pPr>
            <w:r w:rsidRPr="00741122">
              <w:rPr>
                <w:sz w:val="22"/>
                <w:szCs w:val="22"/>
                <w:lang w:val="lt-LT"/>
              </w:rPr>
              <w:t>[27,6%</w:t>
            </w:r>
            <w:r w:rsidR="00990C40">
              <w:rPr>
                <w:sz w:val="22"/>
                <w:szCs w:val="22"/>
                <w:lang w:val="lt-LT"/>
              </w:rPr>
              <w:t>;</w:t>
            </w:r>
            <w:r w:rsidRPr="00741122">
              <w:rPr>
                <w:sz w:val="22"/>
                <w:szCs w:val="22"/>
                <w:lang w:val="lt-LT"/>
              </w:rPr>
              <w:t xml:space="preserve"> 40,4%]</w:t>
            </w:r>
          </w:p>
        </w:tc>
        <w:tc>
          <w:tcPr>
            <w:tcW w:w="1389" w:type="pct"/>
            <w:vAlign w:val="center"/>
          </w:tcPr>
          <w:p w14:paraId="3B1D93E3" w14:textId="1864354D" w:rsidR="00A05D4E" w:rsidRPr="00741122" w:rsidRDefault="00A05D4E" w:rsidP="00114020">
            <w:pPr>
              <w:pStyle w:val="Default"/>
              <w:jc w:val="center"/>
              <w:rPr>
                <w:sz w:val="22"/>
                <w:szCs w:val="22"/>
                <w:lang w:val="lt-LT"/>
              </w:rPr>
            </w:pPr>
            <w:r w:rsidRPr="00741122">
              <w:rPr>
                <w:sz w:val="22"/>
                <w:szCs w:val="22"/>
                <w:lang w:val="lt-LT"/>
              </w:rPr>
              <w:t>[38,8%</w:t>
            </w:r>
            <w:r w:rsidR="00990C40">
              <w:rPr>
                <w:sz w:val="22"/>
                <w:szCs w:val="22"/>
                <w:lang w:val="lt-LT"/>
              </w:rPr>
              <w:t>;</w:t>
            </w:r>
            <w:r w:rsidRPr="00741122">
              <w:rPr>
                <w:sz w:val="22"/>
                <w:szCs w:val="22"/>
                <w:lang w:val="lt-LT"/>
              </w:rPr>
              <w:t xml:space="preserve"> 52,1%]</w:t>
            </w:r>
          </w:p>
        </w:tc>
      </w:tr>
      <w:tr w:rsidR="00A05D4E" w:rsidRPr="00741122" w14:paraId="737A4F85" w14:textId="77777777" w:rsidTr="00F533B1">
        <w:tc>
          <w:tcPr>
            <w:tcW w:w="2153" w:type="pct"/>
            <w:vAlign w:val="center"/>
          </w:tcPr>
          <w:p w14:paraId="59D035AA" w14:textId="77777777" w:rsidR="00A05D4E" w:rsidRPr="00741122" w:rsidRDefault="00A05D4E" w:rsidP="006D77E0">
            <w:pPr>
              <w:pStyle w:val="Default"/>
              <w:ind w:left="597"/>
              <w:rPr>
                <w:sz w:val="22"/>
                <w:szCs w:val="22"/>
                <w:lang w:val="lt-LT"/>
              </w:rPr>
            </w:pPr>
            <w:r w:rsidRPr="00741122">
              <w:rPr>
                <w:sz w:val="22"/>
                <w:szCs w:val="22"/>
                <w:lang w:val="lt-LT"/>
              </w:rPr>
              <w:t>Różnice współczynników odpowiedzi</w:t>
            </w:r>
          </w:p>
        </w:tc>
        <w:tc>
          <w:tcPr>
            <w:tcW w:w="2847" w:type="pct"/>
            <w:gridSpan w:val="2"/>
            <w:vAlign w:val="center"/>
          </w:tcPr>
          <w:p w14:paraId="23A7B292" w14:textId="77777777" w:rsidR="00A05D4E" w:rsidRPr="00741122" w:rsidRDefault="00A05D4E" w:rsidP="00114020">
            <w:pPr>
              <w:pStyle w:val="Default"/>
              <w:jc w:val="center"/>
              <w:rPr>
                <w:sz w:val="22"/>
                <w:szCs w:val="22"/>
                <w:lang w:val="lt-LT"/>
              </w:rPr>
            </w:pPr>
            <w:r w:rsidRPr="00741122">
              <w:rPr>
                <w:sz w:val="22"/>
                <w:szCs w:val="22"/>
                <w:lang w:val="lt-LT"/>
              </w:rPr>
              <w:t>11,60%</w:t>
            </w:r>
          </w:p>
        </w:tc>
      </w:tr>
      <w:tr w:rsidR="00A05D4E" w:rsidRPr="00741122" w14:paraId="3BE19214" w14:textId="77777777" w:rsidTr="00F533B1">
        <w:tc>
          <w:tcPr>
            <w:tcW w:w="2153" w:type="pct"/>
            <w:vAlign w:val="center"/>
          </w:tcPr>
          <w:p w14:paraId="3649A245" w14:textId="77777777" w:rsidR="00A05D4E" w:rsidRPr="00741122" w:rsidRDefault="00A05D4E" w:rsidP="006D77E0">
            <w:pPr>
              <w:pStyle w:val="Default"/>
              <w:ind w:left="597"/>
              <w:rPr>
                <w:sz w:val="22"/>
                <w:szCs w:val="22"/>
                <w:lang w:val="lt-LT"/>
              </w:rPr>
            </w:pPr>
            <w:r w:rsidRPr="00741122">
              <w:rPr>
                <w:sz w:val="22"/>
                <w:szCs w:val="22"/>
                <w:lang w:val="lt-LT"/>
              </w:rPr>
              <w:t>95% CI dla różnicy we współczynnikach odpowiedzi</w:t>
            </w:r>
            <w:r w:rsidRPr="00741122">
              <w:rPr>
                <w:sz w:val="22"/>
                <w:szCs w:val="22"/>
                <w:vertAlign w:val="superscript"/>
                <w:lang w:val="lt-LT"/>
              </w:rPr>
              <w:t>4</w:t>
            </w:r>
          </w:p>
        </w:tc>
        <w:tc>
          <w:tcPr>
            <w:tcW w:w="2847" w:type="pct"/>
            <w:gridSpan w:val="2"/>
            <w:vAlign w:val="center"/>
          </w:tcPr>
          <w:p w14:paraId="41E2FBC5" w14:textId="575D8A70" w:rsidR="00A05D4E" w:rsidRPr="00741122" w:rsidRDefault="00A05D4E" w:rsidP="00114020">
            <w:pPr>
              <w:pStyle w:val="Default"/>
              <w:jc w:val="center"/>
              <w:rPr>
                <w:sz w:val="22"/>
                <w:szCs w:val="22"/>
                <w:lang w:val="lt-LT"/>
              </w:rPr>
            </w:pPr>
            <w:r w:rsidRPr="00741122">
              <w:rPr>
                <w:sz w:val="22"/>
                <w:szCs w:val="22"/>
                <w:lang w:val="lt-LT"/>
              </w:rPr>
              <w:t>[2,4%</w:t>
            </w:r>
            <w:r w:rsidR="00990C40">
              <w:rPr>
                <w:sz w:val="22"/>
                <w:szCs w:val="22"/>
                <w:lang w:val="lt-LT"/>
              </w:rPr>
              <w:t>;</w:t>
            </w:r>
            <w:r w:rsidRPr="00741122">
              <w:rPr>
                <w:sz w:val="22"/>
                <w:szCs w:val="22"/>
                <w:lang w:val="lt-LT"/>
              </w:rPr>
              <w:t xml:space="preserve"> 20,8%]</w:t>
            </w:r>
          </w:p>
        </w:tc>
      </w:tr>
      <w:tr w:rsidR="00A05D4E" w:rsidRPr="00741122" w14:paraId="1A299D92" w14:textId="77777777" w:rsidTr="00F533B1">
        <w:tc>
          <w:tcPr>
            <w:tcW w:w="2153" w:type="pct"/>
            <w:vAlign w:val="center"/>
          </w:tcPr>
          <w:p w14:paraId="57ADD71D" w14:textId="77777777" w:rsidR="00A05D4E" w:rsidRPr="00741122" w:rsidRDefault="00A05D4E" w:rsidP="006D77E0">
            <w:pPr>
              <w:pStyle w:val="Default"/>
              <w:ind w:left="597"/>
              <w:rPr>
                <w:sz w:val="22"/>
                <w:szCs w:val="22"/>
                <w:lang w:val="lt-LT"/>
              </w:rPr>
            </w:pPr>
            <w:r w:rsidRPr="00741122">
              <w:rPr>
                <w:sz w:val="22"/>
                <w:szCs w:val="22"/>
                <w:lang w:val="lt-LT"/>
              </w:rPr>
              <w:t>Wartość p (Chi-squared Test)</w:t>
            </w:r>
          </w:p>
        </w:tc>
        <w:tc>
          <w:tcPr>
            <w:tcW w:w="2847" w:type="pct"/>
            <w:gridSpan w:val="2"/>
            <w:vAlign w:val="center"/>
          </w:tcPr>
          <w:p w14:paraId="4322692C" w14:textId="77777777" w:rsidR="00A05D4E" w:rsidRPr="00741122" w:rsidRDefault="00A05D4E" w:rsidP="00114020">
            <w:pPr>
              <w:pStyle w:val="Default"/>
              <w:jc w:val="center"/>
              <w:rPr>
                <w:sz w:val="22"/>
                <w:szCs w:val="22"/>
                <w:lang w:val="lt-LT"/>
              </w:rPr>
            </w:pPr>
            <w:r w:rsidRPr="00741122">
              <w:rPr>
                <w:sz w:val="22"/>
                <w:szCs w:val="22"/>
                <w:lang w:val="lt-LT"/>
              </w:rPr>
              <w:t>0,0117</w:t>
            </w:r>
          </w:p>
        </w:tc>
      </w:tr>
    </w:tbl>
    <w:p w14:paraId="498EA2AF" w14:textId="77777777" w:rsidR="00071CFE" w:rsidRPr="006D77E0" w:rsidRDefault="00071CFE" w:rsidP="002D6FFD">
      <w:pPr>
        <w:numPr>
          <w:ilvl w:val="0"/>
          <w:numId w:val="33"/>
        </w:numPr>
        <w:tabs>
          <w:tab w:val="left" w:pos="567"/>
        </w:tabs>
        <w:rPr>
          <w:rFonts w:ascii="Times New Roman" w:eastAsia="Times New Roman" w:hAnsi="Times New Roman" w:cs="Times New Roman"/>
          <w:lang w:val="lt-LT"/>
        </w:rPr>
      </w:pPr>
      <w:r w:rsidRPr="00741122">
        <w:rPr>
          <w:rFonts w:ascii="Times New Roman" w:eastAsia="Times New Roman" w:hAnsi="Times New Roman" w:cs="Times New Roman"/>
          <w:lang w:val="lt-LT"/>
        </w:rPr>
        <w:t>estymator Kaplan-Meiera</w:t>
      </w:r>
    </w:p>
    <w:p w14:paraId="0003F9B5" w14:textId="77777777" w:rsidR="00071CFE" w:rsidRPr="006D77E0" w:rsidRDefault="00FD7F9C" w:rsidP="002D6FFD">
      <w:pPr>
        <w:numPr>
          <w:ilvl w:val="0"/>
          <w:numId w:val="34"/>
        </w:numPr>
        <w:tabs>
          <w:tab w:val="left" w:pos="567"/>
        </w:tabs>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071CFE" w:rsidRPr="006D77E0">
        <w:rPr>
          <w:rFonts w:ascii="Times New Roman" w:eastAsia="Times New Roman" w:hAnsi="Times New Roman" w:cs="Times New Roman"/>
          <w:lang w:val="lt-LT"/>
        </w:rPr>
        <w:t>acjentki oraz procent pacjentek z najlepszą całkowitą odpowiedzią - potwierdzone CR lub PR; procent wyliczony na podstawie pacjentek z mierzalną chorobą na początku badania</w:t>
      </w:r>
    </w:p>
    <w:p w14:paraId="338F37F9" w14:textId="77777777" w:rsidR="00071CFE" w:rsidRPr="006D77E0" w:rsidRDefault="00071CFE" w:rsidP="002D6FFD">
      <w:pPr>
        <w:numPr>
          <w:ilvl w:val="0"/>
          <w:numId w:val="34"/>
        </w:numPr>
        <w:tabs>
          <w:tab w:val="left" w:pos="567"/>
        </w:tabs>
        <w:ind w:left="122" w:hanging="122"/>
        <w:rPr>
          <w:rFonts w:ascii="Times New Roman" w:eastAsia="Times New Roman" w:hAnsi="Times New Roman" w:cs="Times New Roman"/>
          <w:lang w:val="lt-LT"/>
        </w:rPr>
      </w:pPr>
      <w:r w:rsidRPr="006D77E0">
        <w:rPr>
          <w:rFonts w:ascii="Times New Roman" w:eastAsia="Times New Roman" w:hAnsi="Times New Roman" w:cs="Times New Roman"/>
          <w:lang w:val="lt-LT"/>
        </w:rPr>
        <w:t>95% CI dla jednej próby z rozkładu dwumianowego wyznaczony metodą Pearsona-Cloppera</w:t>
      </w:r>
    </w:p>
    <w:p w14:paraId="18630D2C" w14:textId="77777777" w:rsidR="00071CFE" w:rsidRPr="006D77E0" w:rsidRDefault="00071CFE" w:rsidP="002D6FFD">
      <w:pPr>
        <w:numPr>
          <w:ilvl w:val="0"/>
          <w:numId w:val="35"/>
        </w:numPr>
        <w:tabs>
          <w:tab w:val="left" w:pos="567"/>
        </w:tabs>
        <w:ind w:left="122" w:hanging="122"/>
        <w:rPr>
          <w:rFonts w:ascii="Times New Roman" w:eastAsia="Times New Roman" w:hAnsi="Times New Roman" w:cs="Times New Roman"/>
          <w:lang w:val="lt-LT"/>
        </w:rPr>
      </w:pPr>
      <w:r w:rsidRPr="006D77E0">
        <w:rPr>
          <w:rFonts w:ascii="Times New Roman" w:eastAsia="Times New Roman" w:hAnsi="Times New Roman" w:cs="Times New Roman"/>
          <w:lang w:val="lt-LT"/>
        </w:rPr>
        <w:t>Około 95% CI dla różnicy dwóch odsetków odpowiedzi za pomocą metody Haucka-Andersona</w:t>
      </w:r>
    </w:p>
    <w:p w14:paraId="2AFD1DC0" w14:textId="5CE36DD9" w:rsidR="00071CFE" w:rsidRPr="00741122" w:rsidRDefault="00071CFE" w:rsidP="002D6FFD">
      <w:pPr>
        <w:ind w:left="567"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t>5</w:t>
      </w:r>
      <w:r w:rsidR="004B3C3C" w:rsidRPr="00741122">
        <w:rPr>
          <w:rFonts w:ascii="Times New Roman" w:eastAsia="Times New Roman" w:hAnsi="Times New Roman" w:cs="Times New Roman"/>
          <w:lang w:val="lt-LT"/>
        </w:rPr>
        <w:tab/>
      </w:r>
      <w:r w:rsidR="00B21870">
        <w:rPr>
          <w:rFonts w:ascii="Times New Roman" w:eastAsia="Times New Roman" w:hAnsi="Times New Roman" w:cs="Times New Roman"/>
          <w:lang w:val="lt-LT"/>
        </w:rPr>
        <w:t>T</w:t>
      </w:r>
      <w:r w:rsidRPr="00741122">
        <w:rPr>
          <w:rFonts w:ascii="Times New Roman" w:eastAsia="Times New Roman" w:hAnsi="Times New Roman" w:cs="Times New Roman"/>
          <w:lang w:val="lt-LT"/>
        </w:rPr>
        <w:t>est logarytmiczny rang (za stratyfikacją)</w:t>
      </w:r>
    </w:p>
    <w:p w14:paraId="4B6B18E4" w14:textId="77777777" w:rsidR="00071CFE" w:rsidRPr="00741122" w:rsidRDefault="00071CFE" w:rsidP="002D6FFD">
      <w:pPr>
        <w:ind w:left="567"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t>6</w:t>
      </w:r>
      <w:r w:rsidR="004B3C3C" w:rsidRPr="00741122">
        <w:rPr>
          <w:rFonts w:ascii="Times New Roman" w:eastAsia="Times New Roman" w:hAnsi="Times New Roman" w:cs="Times New Roman"/>
          <w:lang w:val="lt-LT"/>
        </w:rPr>
        <w:tab/>
      </w:r>
      <w:r w:rsidR="006B3B91">
        <w:rPr>
          <w:rFonts w:ascii="Times New Roman" w:eastAsia="Times New Roman" w:hAnsi="Times New Roman" w:cs="Times New Roman"/>
          <w:lang w:val="lt-LT"/>
        </w:rPr>
        <w:t>A</w:t>
      </w:r>
      <w:r w:rsidRPr="00741122">
        <w:rPr>
          <w:rFonts w:ascii="Times New Roman" w:eastAsia="Times New Roman" w:hAnsi="Times New Roman" w:cs="Times New Roman"/>
          <w:lang w:val="lt-LT"/>
        </w:rPr>
        <w:t>naliza pierwotna została przeprowadzona z datą odcięcia danych w dniu 12 grudnia 2012</w:t>
      </w:r>
      <w:r w:rsidR="006B3B91">
        <w:rPr>
          <w:rFonts w:ascii="Times New Roman" w:eastAsia="Times New Roman" w:hAnsi="Times New Roman" w:cs="Times New Roman"/>
          <w:lang w:val="lt-LT"/>
        </w:rPr>
        <w:t xml:space="preserve"> r.</w:t>
      </w:r>
      <w:r w:rsidRPr="00741122">
        <w:rPr>
          <w:rFonts w:ascii="Times New Roman" w:eastAsia="Times New Roman" w:hAnsi="Times New Roman" w:cs="Times New Roman"/>
          <w:lang w:val="lt-LT"/>
        </w:rPr>
        <w:t xml:space="preserve"> i jest uważana za analizę końcową</w:t>
      </w:r>
      <w:r w:rsidR="00165813">
        <w:rPr>
          <w:rFonts w:ascii="Times New Roman" w:eastAsia="Times New Roman" w:hAnsi="Times New Roman" w:cs="Times New Roman"/>
          <w:lang w:val="lt-LT"/>
        </w:rPr>
        <w:t>.</w:t>
      </w:r>
    </w:p>
    <w:p w14:paraId="66A6C59E" w14:textId="77777777" w:rsidR="004B3C3C" w:rsidRPr="00741122" w:rsidRDefault="00071CFE" w:rsidP="002D6FFD">
      <w:pPr>
        <w:ind w:left="567"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lastRenderedPageBreak/>
        <w:t>7</w:t>
      </w:r>
      <w:r w:rsidR="004B3C3C" w:rsidRPr="00741122">
        <w:rPr>
          <w:rFonts w:ascii="Times New Roman" w:eastAsia="Times New Roman" w:hAnsi="Times New Roman" w:cs="Times New Roman"/>
          <w:lang w:val="lt-LT"/>
        </w:rPr>
        <w:tab/>
      </w:r>
      <w:r w:rsidR="006B3B91">
        <w:rPr>
          <w:rFonts w:ascii="Times New Roman" w:eastAsia="Times New Roman" w:hAnsi="Times New Roman" w:cs="Times New Roman"/>
          <w:lang w:val="lt-LT"/>
        </w:rPr>
        <w:t>A</w:t>
      </w:r>
      <w:r w:rsidRPr="00741122">
        <w:rPr>
          <w:rFonts w:ascii="Times New Roman" w:eastAsia="Times New Roman" w:hAnsi="Times New Roman" w:cs="Times New Roman"/>
          <w:lang w:val="lt-LT"/>
        </w:rPr>
        <w:t>naliza po dłuższym czasie obserwacji została przeprowadzone z datą odcięcia danych w dniu 07 marca 2014</w:t>
      </w:r>
      <w:r w:rsidR="006B3B91">
        <w:rPr>
          <w:rFonts w:ascii="Times New Roman" w:eastAsia="Times New Roman" w:hAnsi="Times New Roman" w:cs="Times New Roman"/>
          <w:lang w:val="lt-LT"/>
        </w:rPr>
        <w:t xml:space="preserve"> r</w:t>
      </w:r>
      <w:r w:rsidR="00165813">
        <w:rPr>
          <w:rFonts w:ascii="Times New Roman" w:eastAsia="Times New Roman" w:hAnsi="Times New Roman" w:cs="Times New Roman"/>
          <w:lang w:val="lt-LT"/>
        </w:rPr>
        <w:t>.</w:t>
      </w:r>
      <w:r w:rsidRPr="00741122">
        <w:rPr>
          <w:rFonts w:ascii="Times New Roman" w:eastAsia="Times New Roman" w:hAnsi="Times New Roman" w:cs="Times New Roman"/>
          <w:lang w:val="lt-LT"/>
        </w:rPr>
        <w:t xml:space="preserve"> </w:t>
      </w:r>
    </w:p>
    <w:p w14:paraId="26F83E61" w14:textId="77777777" w:rsidR="00071CFE" w:rsidRPr="00741122" w:rsidRDefault="00071CFE" w:rsidP="002D6FFD">
      <w:pPr>
        <w:ind w:left="567" w:hanging="567"/>
        <w:rPr>
          <w:rFonts w:ascii="Times New Roman" w:eastAsia="Times New Roman" w:hAnsi="Times New Roman" w:cs="Times New Roman"/>
          <w:lang w:val="lt-LT"/>
        </w:rPr>
      </w:pPr>
      <w:r w:rsidRPr="00741122">
        <w:rPr>
          <w:rFonts w:ascii="Times New Roman" w:eastAsia="Times New Roman" w:hAnsi="Times New Roman" w:cs="Times New Roman"/>
          <w:vertAlign w:val="superscript"/>
          <w:lang w:val="lt-LT"/>
        </w:rPr>
        <w:t>8</w:t>
      </w:r>
      <w:r w:rsidR="004B3C3C" w:rsidRPr="00741122">
        <w:rPr>
          <w:rFonts w:ascii="Times New Roman" w:eastAsia="Times New Roman" w:hAnsi="Times New Roman" w:cs="Times New Roman"/>
          <w:lang w:val="lt-LT"/>
        </w:rPr>
        <w:tab/>
      </w:r>
      <w:r w:rsidR="00E6696C">
        <w:rPr>
          <w:rFonts w:ascii="Times New Roman" w:eastAsia="Times New Roman" w:hAnsi="Times New Roman" w:cs="Times New Roman"/>
          <w:lang w:val="lt-LT"/>
        </w:rPr>
        <w:t>w</w:t>
      </w:r>
      <w:r w:rsidRPr="00741122">
        <w:rPr>
          <w:rFonts w:ascii="Times New Roman" w:eastAsia="Times New Roman" w:hAnsi="Times New Roman" w:cs="Times New Roman"/>
          <w:lang w:val="lt-LT"/>
        </w:rPr>
        <w:t>artość p dodana jest w celach opisowych</w:t>
      </w:r>
      <w:r w:rsidR="00165813">
        <w:rPr>
          <w:rFonts w:ascii="Times New Roman" w:eastAsia="Times New Roman" w:hAnsi="Times New Roman" w:cs="Times New Roman"/>
          <w:lang w:val="lt-LT"/>
        </w:rPr>
        <w:t>.</w:t>
      </w:r>
    </w:p>
    <w:p w14:paraId="1C7DCC02" w14:textId="77777777" w:rsidR="00071CFE" w:rsidRPr="002A1D22" w:rsidRDefault="00071CFE" w:rsidP="004B3C3C">
      <w:pPr>
        <w:rPr>
          <w:rFonts w:ascii="Times New Roman" w:eastAsia="Times New Roman" w:hAnsi="Times New Roman" w:cs="Times New Roman"/>
          <w:sz w:val="22"/>
          <w:szCs w:val="22"/>
          <w:lang w:val="lt-LT"/>
        </w:rPr>
      </w:pPr>
    </w:p>
    <w:p w14:paraId="2108281E" w14:textId="417AB393" w:rsidR="00071CFE" w:rsidRPr="00741122" w:rsidRDefault="00071CFE" w:rsidP="00BE079B">
      <w:pPr>
        <w:keepNext/>
        <w:rPr>
          <w:rFonts w:ascii="Times New Roman" w:eastAsia="Times New Roman" w:hAnsi="Times New Roman" w:cs="Times New Roman"/>
          <w:b/>
          <w:sz w:val="22"/>
          <w:szCs w:val="22"/>
          <w:lang w:val="lt-LT"/>
        </w:rPr>
      </w:pPr>
      <w:bookmarkStart w:id="56" w:name="page54"/>
      <w:bookmarkEnd w:id="56"/>
      <w:r w:rsidRPr="00741122">
        <w:rPr>
          <w:rFonts w:ascii="Times New Roman" w:eastAsia="Times New Roman" w:hAnsi="Times New Roman" w:cs="Times New Roman"/>
          <w:b/>
          <w:sz w:val="22"/>
          <w:szCs w:val="22"/>
          <w:lang w:val="lt-LT"/>
        </w:rPr>
        <w:t xml:space="preserve">Tabela </w:t>
      </w:r>
      <w:r w:rsidR="00C33782" w:rsidRPr="00741122">
        <w:rPr>
          <w:rFonts w:ascii="Times New Roman" w:eastAsia="Times New Roman" w:hAnsi="Times New Roman" w:cs="Times New Roman"/>
          <w:b/>
          <w:sz w:val="22"/>
          <w:szCs w:val="22"/>
          <w:lang w:val="lt-LT"/>
        </w:rPr>
        <w:t>2</w:t>
      </w:r>
      <w:r w:rsidR="00C33782">
        <w:rPr>
          <w:rFonts w:ascii="Times New Roman" w:eastAsia="Times New Roman" w:hAnsi="Times New Roman" w:cs="Times New Roman"/>
          <w:b/>
          <w:sz w:val="22"/>
          <w:szCs w:val="22"/>
          <w:lang w:val="lt-LT"/>
        </w:rPr>
        <w:t>6</w:t>
      </w:r>
      <w:r w:rsidR="0053082F">
        <w:rPr>
          <w:rFonts w:ascii="Times New Roman" w:eastAsia="Times New Roman" w:hAnsi="Times New Roman" w:cs="Times New Roman"/>
          <w:b/>
          <w:sz w:val="22"/>
          <w:szCs w:val="22"/>
          <w:lang w:val="lt-LT"/>
        </w:rPr>
        <w:t>.</w:t>
      </w:r>
      <w:r w:rsidRPr="00741122">
        <w:rPr>
          <w:rFonts w:ascii="Times New Roman" w:eastAsia="Times New Roman" w:hAnsi="Times New Roman" w:cs="Times New Roman"/>
          <w:b/>
          <w:sz w:val="22"/>
          <w:szCs w:val="22"/>
          <w:lang w:val="lt-LT"/>
        </w:rPr>
        <w:t xml:space="preserve"> Czas przeżycia całkowitego pacjentów w badaniu GOG-0240 w zal</w:t>
      </w:r>
      <w:r w:rsidR="004B3C3C" w:rsidRPr="00741122">
        <w:rPr>
          <w:rFonts w:ascii="Times New Roman" w:eastAsia="Times New Roman" w:hAnsi="Times New Roman" w:cs="Times New Roman"/>
          <w:b/>
          <w:sz w:val="22"/>
          <w:szCs w:val="22"/>
          <w:lang w:val="lt-LT"/>
        </w:rPr>
        <w:t>eżności od stosowanego leczenia</w:t>
      </w:r>
    </w:p>
    <w:p w14:paraId="50F7D400" w14:textId="77777777" w:rsidR="00BE079B" w:rsidRPr="00741122" w:rsidRDefault="00BE079B" w:rsidP="00BE079B">
      <w:pPr>
        <w:keepNext/>
        <w:rPr>
          <w:rFonts w:ascii="Times New Roman" w:eastAsia="Times New Roman" w:hAnsi="Times New Roman" w:cs="Times New Roman"/>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1"/>
        <w:gridCol w:w="1356"/>
        <w:gridCol w:w="2998"/>
        <w:gridCol w:w="3247"/>
      </w:tblGrid>
      <w:tr w:rsidR="00CB52F9" w:rsidRPr="00741122" w14:paraId="35FD84E0" w14:textId="77777777" w:rsidTr="009F06BE">
        <w:tc>
          <w:tcPr>
            <w:tcW w:w="941" w:type="pct"/>
            <w:vAlign w:val="center"/>
          </w:tcPr>
          <w:p w14:paraId="4E8CDA51" w14:textId="77777777" w:rsidR="00CB52F9" w:rsidRPr="008835CE" w:rsidRDefault="00CB52F9" w:rsidP="008835CE">
            <w:pPr>
              <w:keepNext/>
              <w:autoSpaceDE w:val="0"/>
              <w:autoSpaceDN w:val="0"/>
              <w:adjustRightInd w:val="0"/>
              <w:ind w:left="181"/>
              <w:jc w:val="center"/>
              <w:rPr>
                <w:rFonts w:ascii="Times New Roman" w:hAnsi="Times New Roman" w:cs="Times New Roman"/>
                <w:b/>
                <w:sz w:val="22"/>
                <w:szCs w:val="22"/>
                <w:lang w:val="lt-LT"/>
              </w:rPr>
            </w:pPr>
            <w:r w:rsidRPr="008835CE">
              <w:rPr>
                <w:rFonts w:ascii="Times New Roman" w:hAnsi="Times New Roman" w:cs="Times New Roman"/>
                <w:b/>
                <w:sz w:val="22"/>
                <w:szCs w:val="22"/>
                <w:lang w:val="lt-LT"/>
              </w:rPr>
              <w:t>Porównanie leczenia</w:t>
            </w:r>
          </w:p>
        </w:tc>
        <w:tc>
          <w:tcPr>
            <w:tcW w:w="724" w:type="pct"/>
            <w:tcBorders>
              <w:bottom w:val="single" w:sz="4" w:space="0" w:color="auto"/>
            </w:tcBorders>
            <w:vAlign w:val="center"/>
          </w:tcPr>
          <w:p w14:paraId="0CA038DC" w14:textId="77777777" w:rsidR="00CB52F9" w:rsidRPr="008835CE" w:rsidRDefault="00CB52F9" w:rsidP="008835CE">
            <w:pPr>
              <w:autoSpaceDE w:val="0"/>
              <w:autoSpaceDN w:val="0"/>
              <w:adjustRightInd w:val="0"/>
              <w:ind w:left="51"/>
              <w:jc w:val="center"/>
              <w:rPr>
                <w:rFonts w:ascii="Times New Roman" w:hAnsi="Times New Roman" w:cs="Times New Roman"/>
                <w:b/>
                <w:sz w:val="22"/>
                <w:szCs w:val="22"/>
                <w:lang w:val="lt-LT"/>
              </w:rPr>
            </w:pPr>
            <w:r w:rsidRPr="008835CE">
              <w:rPr>
                <w:rFonts w:ascii="Times New Roman" w:hAnsi="Times New Roman" w:cs="Times New Roman"/>
                <w:b/>
                <w:sz w:val="22"/>
                <w:szCs w:val="22"/>
                <w:lang w:val="lt-LT"/>
              </w:rPr>
              <w:t>Inny czynnik</w:t>
            </w:r>
          </w:p>
        </w:tc>
        <w:tc>
          <w:tcPr>
            <w:tcW w:w="1601" w:type="pct"/>
            <w:tcBorders>
              <w:bottom w:val="single" w:sz="4" w:space="0" w:color="auto"/>
            </w:tcBorders>
            <w:vAlign w:val="center"/>
          </w:tcPr>
          <w:p w14:paraId="79B204D1" w14:textId="77777777" w:rsidR="00CB52F9" w:rsidRPr="008835CE" w:rsidRDefault="00CB52F9" w:rsidP="008835CE">
            <w:pPr>
              <w:pStyle w:val="Default"/>
              <w:keepNext/>
              <w:ind w:left="907" w:hanging="907"/>
              <w:jc w:val="center"/>
              <w:rPr>
                <w:b/>
                <w:sz w:val="22"/>
                <w:szCs w:val="22"/>
                <w:lang w:val="lt-LT"/>
              </w:rPr>
            </w:pPr>
            <w:r w:rsidRPr="008835CE">
              <w:rPr>
                <w:b/>
                <w:sz w:val="22"/>
                <w:szCs w:val="22"/>
                <w:lang w:val="lt-LT"/>
              </w:rPr>
              <w:t>Całkowity czas przeżycia – Analiza pierwotna</w:t>
            </w:r>
            <w:r w:rsidRPr="008835CE">
              <w:rPr>
                <w:b/>
                <w:sz w:val="22"/>
                <w:szCs w:val="22"/>
                <w:vertAlign w:val="superscript"/>
                <w:lang w:val="lt-LT"/>
              </w:rPr>
              <w:t>1</w:t>
            </w:r>
          </w:p>
          <w:p w14:paraId="3D6FCF45" w14:textId="77777777" w:rsidR="00CB52F9" w:rsidRPr="008835CE" w:rsidRDefault="00E8240E" w:rsidP="00E8240E">
            <w:pPr>
              <w:autoSpaceDE w:val="0"/>
              <w:autoSpaceDN w:val="0"/>
              <w:adjustRightInd w:val="0"/>
              <w:jc w:val="center"/>
              <w:rPr>
                <w:rFonts w:ascii="Times New Roman" w:hAnsi="Times New Roman" w:cs="Times New Roman"/>
                <w:b/>
                <w:sz w:val="22"/>
                <w:szCs w:val="22"/>
                <w:lang w:val="lt-LT"/>
              </w:rPr>
            </w:pPr>
            <w:r>
              <w:rPr>
                <w:rFonts w:ascii="Times New Roman" w:hAnsi="Times New Roman" w:cs="Times New Roman"/>
                <w:b/>
                <w:sz w:val="22"/>
                <w:szCs w:val="22"/>
                <w:lang w:val="lt-LT"/>
              </w:rPr>
              <w:t>Współczynnik ryzyka</w:t>
            </w:r>
            <w:r w:rsidR="00CB52F9" w:rsidRPr="008835CE">
              <w:rPr>
                <w:rFonts w:ascii="Times New Roman" w:hAnsi="Times New Roman" w:cs="Times New Roman"/>
                <w:b/>
                <w:sz w:val="22"/>
                <w:szCs w:val="22"/>
                <w:lang w:val="lt-LT"/>
              </w:rPr>
              <w:t xml:space="preserve"> (95% CI)</w:t>
            </w:r>
          </w:p>
        </w:tc>
        <w:tc>
          <w:tcPr>
            <w:tcW w:w="1734" w:type="pct"/>
            <w:tcBorders>
              <w:bottom w:val="single" w:sz="4" w:space="0" w:color="auto"/>
            </w:tcBorders>
            <w:vAlign w:val="center"/>
          </w:tcPr>
          <w:p w14:paraId="056F61F6" w14:textId="77777777" w:rsidR="00CB52F9" w:rsidRPr="008835CE" w:rsidRDefault="00CB52F9" w:rsidP="008835CE">
            <w:pPr>
              <w:pStyle w:val="Default"/>
              <w:keepNext/>
              <w:ind w:left="468" w:hanging="468"/>
              <w:jc w:val="center"/>
              <w:rPr>
                <w:b/>
                <w:sz w:val="22"/>
                <w:szCs w:val="22"/>
                <w:lang w:val="lt-LT"/>
              </w:rPr>
            </w:pPr>
            <w:r w:rsidRPr="008835CE">
              <w:rPr>
                <w:b/>
                <w:sz w:val="22"/>
                <w:szCs w:val="22"/>
                <w:lang w:val="lt-LT"/>
              </w:rPr>
              <w:t xml:space="preserve">Całkowity czas przeżycia – Analiza po dłuższym czasie obserwacji </w:t>
            </w:r>
            <w:r w:rsidRPr="008835CE">
              <w:rPr>
                <w:b/>
                <w:sz w:val="22"/>
                <w:szCs w:val="22"/>
                <w:vertAlign w:val="superscript"/>
                <w:lang w:val="lt-LT"/>
              </w:rPr>
              <w:t>2</w:t>
            </w:r>
          </w:p>
          <w:p w14:paraId="1D0DD051" w14:textId="77777777" w:rsidR="00CB52F9" w:rsidRPr="008835CE" w:rsidRDefault="00E8240E" w:rsidP="00E8240E">
            <w:pPr>
              <w:autoSpaceDE w:val="0"/>
              <w:autoSpaceDN w:val="0"/>
              <w:adjustRightInd w:val="0"/>
              <w:jc w:val="center"/>
              <w:rPr>
                <w:rFonts w:ascii="Times New Roman" w:hAnsi="Times New Roman" w:cs="Times New Roman"/>
                <w:b/>
                <w:sz w:val="22"/>
                <w:szCs w:val="22"/>
                <w:lang w:val="lt-LT"/>
              </w:rPr>
            </w:pPr>
            <w:r>
              <w:rPr>
                <w:rFonts w:ascii="Times New Roman" w:hAnsi="Times New Roman" w:cs="Times New Roman"/>
                <w:b/>
                <w:sz w:val="22"/>
                <w:szCs w:val="22"/>
                <w:lang w:val="lt-LT"/>
              </w:rPr>
              <w:t>Współczynnik ryzyka</w:t>
            </w:r>
            <w:r w:rsidR="00CB52F9" w:rsidRPr="008835CE">
              <w:rPr>
                <w:rFonts w:ascii="Times New Roman" w:hAnsi="Times New Roman" w:cs="Times New Roman"/>
                <w:b/>
                <w:sz w:val="22"/>
                <w:szCs w:val="22"/>
                <w:lang w:val="lt-LT"/>
              </w:rPr>
              <w:t xml:space="preserve"> (95% CI)</w:t>
            </w:r>
          </w:p>
        </w:tc>
      </w:tr>
      <w:tr w:rsidR="00CB52F9" w:rsidRPr="00741122" w14:paraId="357ED857" w14:textId="77777777" w:rsidTr="009F06BE">
        <w:tc>
          <w:tcPr>
            <w:tcW w:w="941" w:type="pct"/>
            <w:vMerge w:val="restart"/>
          </w:tcPr>
          <w:p w14:paraId="59DF49DC" w14:textId="77777777" w:rsidR="00CB52F9" w:rsidRPr="00741122" w:rsidRDefault="00F11CE8" w:rsidP="00CB52F9">
            <w:pPr>
              <w:keepNext/>
              <w:autoSpaceDE w:val="0"/>
              <w:autoSpaceDN w:val="0"/>
              <w:adjustRightInd w:val="0"/>
              <w:ind w:left="181"/>
              <w:rPr>
                <w:rFonts w:ascii="Times New Roman" w:hAnsi="Times New Roman" w:cs="Times New Roman"/>
                <w:sz w:val="22"/>
                <w:szCs w:val="22"/>
                <w:lang w:val="lt-LT"/>
              </w:rPr>
            </w:pPr>
            <w:r>
              <w:rPr>
                <w:rFonts w:ascii="Times New Roman" w:eastAsia="Times New Roman" w:hAnsi="Times New Roman" w:cs="Times New Roman"/>
                <w:sz w:val="22"/>
                <w:szCs w:val="22"/>
                <w:lang w:val="lt-LT"/>
              </w:rPr>
              <w:t>Bewacyzumab</w:t>
            </w:r>
            <w:r w:rsidR="00CB52F9" w:rsidRPr="00741122">
              <w:rPr>
                <w:rFonts w:ascii="Times New Roman" w:hAnsi="Times New Roman" w:cs="Times New Roman"/>
                <w:sz w:val="22"/>
                <w:szCs w:val="22"/>
                <w:lang w:val="lt-LT"/>
              </w:rPr>
              <w:t xml:space="preserve"> vs. Nie </w:t>
            </w:r>
            <w:r>
              <w:rPr>
                <w:rFonts w:ascii="Times New Roman" w:eastAsia="Times New Roman" w:hAnsi="Times New Roman" w:cs="Times New Roman"/>
                <w:sz w:val="22"/>
                <w:szCs w:val="22"/>
                <w:lang w:val="lt-LT"/>
              </w:rPr>
              <w:t>bewacyzumab</w:t>
            </w:r>
          </w:p>
        </w:tc>
        <w:tc>
          <w:tcPr>
            <w:tcW w:w="724" w:type="pct"/>
            <w:tcBorders>
              <w:bottom w:val="single" w:sz="4" w:space="0" w:color="auto"/>
            </w:tcBorders>
          </w:tcPr>
          <w:p w14:paraId="66215782" w14:textId="77777777" w:rsidR="00CB52F9" w:rsidRPr="00741122" w:rsidRDefault="00CB52F9" w:rsidP="00CB52F9">
            <w:pPr>
              <w:keepNext/>
              <w:autoSpaceDE w:val="0"/>
              <w:autoSpaceDN w:val="0"/>
              <w:adjustRightInd w:val="0"/>
              <w:ind w:left="51"/>
              <w:rPr>
                <w:rFonts w:ascii="Times New Roman" w:hAnsi="Times New Roman" w:cs="Times New Roman"/>
                <w:sz w:val="22"/>
                <w:szCs w:val="22"/>
                <w:lang w:val="lt-LT"/>
              </w:rPr>
            </w:pPr>
            <w:r w:rsidRPr="00741122">
              <w:rPr>
                <w:rFonts w:ascii="Times New Roman" w:hAnsi="Times New Roman" w:cs="Times New Roman"/>
                <w:sz w:val="22"/>
                <w:szCs w:val="22"/>
                <w:lang w:val="lt-LT"/>
              </w:rPr>
              <w:t>Cisplatyna+ Paklitaksel</w:t>
            </w:r>
          </w:p>
        </w:tc>
        <w:tc>
          <w:tcPr>
            <w:tcW w:w="1601" w:type="pct"/>
            <w:tcBorders>
              <w:bottom w:val="single" w:sz="4" w:space="0" w:color="auto"/>
            </w:tcBorders>
          </w:tcPr>
          <w:p w14:paraId="28270738" w14:textId="3A94BEC2"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0,72 (0,51</w:t>
            </w:r>
            <w:r w:rsidR="00B7516D">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1,02)</w:t>
            </w:r>
          </w:p>
          <w:p w14:paraId="7C4CC5E2" w14:textId="77777777" w:rsidR="00CB52F9" w:rsidRPr="00741122" w:rsidRDefault="00CB52F9" w:rsidP="00E92B61">
            <w:pPr>
              <w:keepNext/>
              <w:autoSpaceDE w:val="0"/>
              <w:autoSpaceDN w:val="0"/>
              <w:adjustRightInd w:val="0"/>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(17,5 vs.14,3 </w:t>
            </w:r>
            <w:r w:rsidR="004C78FF"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0,0609)</w:t>
            </w:r>
          </w:p>
        </w:tc>
        <w:tc>
          <w:tcPr>
            <w:tcW w:w="1734" w:type="pct"/>
            <w:tcBorders>
              <w:bottom w:val="single" w:sz="4" w:space="0" w:color="auto"/>
            </w:tcBorders>
          </w:tcPr>
          <w:p w14:paraId="28506770" w14:textId="7766EAAB"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0,75 (0,55</w:t>
            </w:r>
            <w:r w:rsidR="00B7516D">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1,01)</w:t>
            </w:r>
          </w:p>
          <w:p w14:paraId="2F9D02BD" w14:textId="77777777" w:rsidR="00CB52F9" w:rsidRPr="00741122" w:rsidRDefault="00CB52F9" w:rsidP="00E92B61">
            <w:pPr>
              <w:keepNext/>
              <w:autoSpaceDE w:val="0"/>
              <w:autoSpaceDN w:val="0"/>
              <w:adjustRightInd w:val="0"/>
              <w:jc w:val="center"/>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(17,5 vs.15,0 </w:t>
            </w:r>
            <w:r w:rsidR="0026169E"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0,0584)</w:t>
            </w:r>
          </w:p>
        </w:tc>
      </w:tr>
      <w:tr w:rsidR="00CB52F9" w:rsidRPr="00741122" w14:paraId="023892A1" w14:textId="77777777" w:rsidTr="009F06BE">
        <w:tc>
          <w:tcPr>
            <w:tcW w:w="941" w:type="pct"/>
            <w:vMerge/>
            <w:tcBorders>
              <w:bottom w:val="nil"/>
            </w:tcBorders>
          </w:tcPr>
          <w:p w14:paraId="62ADAD8D" w14:textId="77777777" w:rsidR="00CB52F9" w:rsidRPr="00741122" w:rsidRDefault="00CB52F9" w:rsidP="00CB52F9">
            <w:pPr>
              <w:keepNext/>
              <w:autoSpaceDE w:val="0"/>
              <w:autoSpaceDN w:val="0"/>
              <w:adjustRightInd w:val="0"/>
              <w:ind w:left="181"/>
              <w:rPr>
                <w:rFonts w:ascii="Times New Roman" w:hAnsi="Times New Roman" w:cs="Times New Roman"/>
                <w:sz w:val="22"/>
                <w:szCs w:val="22"/>
                <w:lang w:val="lt-LT"/>
              </w:rPr>
            </w:pPr>
          </w:p>
        </w:tc>
        <w:tc>
          <w:tcPr>
            <w:tcW w:w="724" w:type="pct"/>
            <w:tcBorders>
              <w:top w:val="single" w:sz="4" w:space="0" w:color="auto"/>
              <w:bottom w:val="single" w:sz="4" w:space="0" w:color="auto"/>
            </w:tcBorders>
          </w:tcPr>
          <w:p w14:paraId="3BE7EB71" w14:textId="77777777" w:rsidR="00CB52F9" w:rsidRPr="00741122" w:rsidRDefault="00CB52F9" w:rsidP="00CB52F9">
            <w:pPr>
              <w:keepNext/>
              <w:autoSpaceDE w:val="0"/>
              <w:autoSpaceDN w:val="0"/>
              <w:adjustRightInd w:val="0"/>
              <w:ind w:left="51"/>
              <w:rPr>
                <w:rFonts w:ascii="Times New Roman" w:hAnsi="Times New Roman" w:cs="Times New Roman"/>
                <w:sz w:val="22"/>
                <w:szCs w:val="22"/>
                <w:lang w:val="lt-LT"/>
              </w:rPr>
            </w:pPr>
            <w:r w:rsidRPr="00741122">
              <w:rPr>
                <w:rFonts w:ascii="Times New Roman" w:hAnsi="Times New Roman" w:cs="Times New Roman"/>
                <w:sz w:val="22"/>
                <w:szCs w:val="22"/>
                <w:lang w:val="lt-LT"/>
              </w:rPr>
              <w:t>Topotekan+ Paklitaksel</w:t>
            </w:r>
          </w:p>
        </w:tc>
        <w:tc>
          <w:tcPr>
            <w:tcW w:w="1601" w:type="pct"/>
            <w:tcBorders>
              <w:top w:val="single" w:sz="4" w:space="0" w:color="auto"/>
              <w:bottom w:val="single" w:sz="4" w:space="0" w:color="auto"/>
            </w:tcBorders>
          </w:tcPr>
          <w:p w14:paraId="4B401322" w14:textId="4245AC4A"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0,76 (0,55</w:t>
            </w:r>
            <w:r w:rsidR="003B0004">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1,06)</w:t>
            </w:r>
          </w:p>
          <w:p w14:paraId="742AEB52" w14:textId="77777777" w:rsidR="00CB52F9" w:rsidRPr="00741122" w:rsidRDefault="00CB52F9" w:rsidP="00E92B61">
            <w:pPr>
              <w:keepNext/>
              <w:autoSpaceDE w:val="0"/>
              <w:autoSpaceDN w:val="0"/>
              <w:adjustRightInd w:val="0"/>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(14,9 vs. 11,9 </w:t>
            </w:r>
            <w:r w:rsidR="0026169E"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0,1061)</w:t>
            </w:r>
          </w:p>
        </w:tc>
        <w:tc>
          <w:tcPr>
            <w:tcW w:w="1734" w:type="pct"/>
            <w:tcBorders>
              <w:top w:val="single" w:sz="4" w:space="0" w:color="auto"/>
              <w:bottom w:val="single" w:sz="4" w:space="0" w:color="auto"/>
            </w:tcBorders>
          </w:tcPr>
          <w:p w14:paraId="2D929F2D" w14:textId="05EF6AA1"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0,79 (0,59</w:t>
            </w:r>
            <w:r w:rsidR="003B0004">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1,07)</w:t>
            </w:r>
          </w:p>
          <w:p w14:paraId="6CF15AE2" w14:textId="77777777" w:rsidR="00CB52F9" w:rsidRPr="00741122" w:rsidRDefault="00CB52F9" w:rsidP="00E92B61">
            <w:pPr>
              <w:keepNext/>
              <w:autoSpaceDE w:val="0"/>
              <w:autoSpaceDN w:val="0"/>
              <w:adjustRightInd w:val="0"/>
              <w:jc w:val="center"/>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(16,2 vs. 12,0 </w:t>
            </w:r>
            <w:r w:rsidR="0026169E"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0,1342)</w:t>
            </w:r>
          </w:p>
        </w:tc>
      </w:tr>
      <w:tr w:rsidR="00CB52F9" w:rsidRPr="00741122" w14:paraId="20657B73" w14:textId="77777777" w:rsidTr="009F06BE">
        <w:tc>
          <w:tcPr>
            <w:tcW w:w="941" w:type="pct"/>
            <w:vMerge w:val="restart"/>
            <w:tcBorders>
              <w:top w:val="single" w:sz="4" w:space="0" w:color="auto"/>
            </w:tcBorders>
          </w:tcPr>
          <w:p w14:paraId="65F55895" w14:textId="77777777" w:rsidR="00CB52F9" w:rsidRPr="00741122" w:rsidRDefault="00CB52F9" w:rsidP="00CB52F9">
            <w:pPr>
              <w:keepNext/>
              <w:autoSpaceDE w:val="0"/>
              <w:autoSpaceDN w:val="0"/>
              <w:adjustRightInd w:val="0"/>
              <w:ind w:left="181"/>
              <w:rPr>
                <w:rFonts w:ascii="Times New Roman" w:hAnsi="Times New Roman" w:cs="Times New Roman"/>
                <w:sz w:val="22"/>
                <w:szCs w:val="22"/>
                <w:lang w:val="lt-LT"/>
              </w:rPr>
            </w:pPr>
            <w:r w:rsidRPr="00741122">
              <w:rPr>
                <w:rFonts w:ascii="Times New Roman" w:hAnsi="Times New Roman" w:cs="Times New Roman"/>
                <w:sz w:val="22"/>
                <w:szCs w:val="22"/>
                <w:lang w:val="lt-LT"/>
              </w:rPr>
              <w:t>Topotekan+ Paklitaksel</w:t>
            </w:r>
          </w:p>
          <w:p w14:paraId="105436E8" w14:textId="77777777" w:rsidR="00CB52F9" w:rsidRPr="00741122" w:rsidRDefault="00CB52F9" w:rsidP="00CB52F9">
            <w:pPr>
              <w:keepNext/>
              <w:autoSpaceDE w:val="0"/>
              <w:autoSpaceDN w:val="0"/>
              <w:adjustRightInd w:val="0"/>
              <w:ind w:left="181"/>
              <w:rPr>
                <w:rFonts w:ascii="Times New Roman" w:hAnsi="Times New Roman" w:cs="Times New Roman"/>
                <w:sz w:val="22"/>
                <w:szCs w:val="22"/>
                <w:lang w:val="lt-LT"/>
              </w:rPr>
            </w:pPr>
            <w:r w:rsidRPr="00741122">
              <w:rPr>
                <w:rFonts w:ascii="Times New Roman" w:hAnsi="Times New Roman" w:cs="Times New Roman"/>
                <w:sz w:val="22"/>
                <w:szCs w:val="22"/>
                <w:lang w:val="lt-LT"/>
              </w:rPr>
              <w:t>vs.</w:t>
            </w:r>
          </w:p>
          <w:p w14:paraId="09CB0F8B" w14:textId="77777777" w:rsidR="00CB52F9" w:rsidRPr="00741122" w:rsidRDefault="00CB52F9" w:rsidP="00CB52F9">
            <w:pPr>
              <w:keepNext/>
              <w:autoSpaceDE w:val="0"/>
              <w:autoSpaceDN w:val="0"/>
              <w:adjustRightInd w:val="0"/>
              <w:ind w:left="181"/>
              <w:rPr>
                <w:rFonts w:ascii="Times New Roman" w:hAnsi="Times New Roman" w:cs="Times New Roman"/>
                <w:sz w:val="22"/>
                <w:szCs w:val="22"/>
                <w:lang w:val="lt-LT"/>
              </w:rPr>
            </w:pPr>
            <w:r w:rsidRPr="00741122">
              <w:rPr>
                <w:rFonts w:ascii="Times New Roman" w:hAnsi="Times New Roman" w:cs="Times New Roman"/>
                <w:sz w:val="22"/>
                <w:szCs w:val="22"/>
                <w:lang w:val="lt-LT"/>
              </w:rPr>
              <w:t>Cisplatyna+ Paklitaksel</w:t>
            </w:r>
          </w:p>
        </w:tc>
        <w:tc>
          <w:tcPr>
            <w:tcW w:w="724" w:type="pct"/>
            <w:tcBorders>
              <w:top w:val="single" w:sz="4" w:space="0" w:color="auto"/>
              <w:bottom w:val="single" w:sz="4" w:space="0" w:color="auto"/>
            </w:tcBorders>
          </w:tcPr>
          <w:p w14:paraId="4E1FEFE2" w14:textId="77777777" w:rsidR="00CB52F9" w:rsidRPr="00741122" w:rsidRDefault="00F11CE8" w:rsidP="00CB52F9">
            <w:pPr>
              <w:keepNext/>
              <w:ind w:left="51"/>
              <w:rPr>
                <w:rFonts w:ascii="Times New Roman" w:hAnsi="Times New Roman" w:cs="Times New Roman"/>
                <w:color w:val="000000"/>
                <w:sz w:val="22"/>
                <w:szCs w:val="22"/>
                <w:lang w:val="lt-LT"/>
              </w:rPr>
            </w:pPr>
            <w:r>
              <w:rPr>
                <w:rFonts w:ascii="Times New Roman" w:eastAsia="Times New Roman" w:hAnsi="Times New Roman" w:cs="Times New Roman"/>
                <w:sz w:val="22"/>
                <w:szCs w:val="22"/>
                <w:lang w:val="lt-LT"/>
              </w:rPr>
              <w:t>Bewacyzumab</w:t>
            </w:r>
          </w:p>
        </w:tc>
        <w:tc>
          <w:tcPr>
            <w:tcW w:w="1601" w:type="pct"/>
            <w:tcBorders>
              <w:top w:val="single" w:sz="4" w:space="0" w:color="auto"/>
              <w:bottom w:val="single" w:sz="4" w:space="0" w:color="auto"/>
            </w:tcBorders>
          </w:tcPr>
          <w:p w14:paraId="3A428745" w14:textId="4CDA4A80"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1,15 (0,82</w:t>
            </w:r>
            <w:r w:rsidR="003B0004">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1,61)</w:t>
            </w:r>
          </w:p>
          <w:p w14:paraId="254C3790" w14:textId="77777777" w:rsidR="00CB52F9" w:rsidRPr="00741122" w:rsidRDefault="00CB52F9" w:rsidP="00E92B61">
            <w:pPr>
              <w:keepNext/>
              <w:autoSpaceDE w:val="0"/>
              <w:autoSpaceDN w:val="0"/>
              <w:adjustRightInd w:val="0"/>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(14,9 vs. 17,5 </w:t>
            </w:r>
            <w:r w:rsidR="0026169E"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0,4146)</w:t>
            </w:r>
          </w:p>
        </w:tc>
        <w:tc>
          <w:tcPr>
            <w:tcW w:w="1734" w:type="pct"/>
            <w:tcBorders>
              <w:top w:val="single" w:sz="4" w:space="0" w:color="auto"/>
              <w:bottom w:val="single" w:sz="4" w:space="0" w:color="auto"/>
            </w:tcBorders>
          </w:tcPr>
          <w:p w14:paraId="77FC4C73" w14:textId="6D68EA30"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1,15 (0,85</w:t>
            </w:r>
            <w:r w:rsidR="003B0004">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1,56)</w:t>
            </w:r>
          </w:p>
          <w:p w14:paraId="250DE060" w14:textId="77777777" w:rsidR="00CB52F9" w:rsidRPr="00741122" w:rsidRDefault="00CB52F9" w:rsidP="00E92B61">
            <w:pPr>
              <w:keepNext/>
              <w:autoSpaceDE w:val="0"/>
              <w:autoSpaceDN w:val="0"/>
              <w:adjustRightInd w:val="0"/>
              <w:jc w:val="center"/>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(16,2 vs. 17,5 </w:t>
            </w:r>
            <w:r w:rsidR="0026169E"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0,3769)</w:t>
            </w:r>
          </w:p>
        </w:tc>
      </w:tr>
      <w:tr w:rsidR="00CB52F9" w:rsidRPr="00741122" w14:paraId="45BE8FBF" w14:textId="77777777" w:rsidTr="009F06BE">
        <w:trPr>
          <w:trHeight w:val="617"/>
        </w:trPr>
        <w:tc>
          <w:tcPr>
            <w:tcW w:w="941" w:type="pct"/>
            <w:vMerge/>
          </w:tcPr>
          <w:p w14:paraId="2F7611BE" w14:textId="77777777" w:rsidR="00CB52F9" w:rsidRPr="00741122" w:rsidRDefault="00CB52F9" w:rsidP="00E92B61">
            <w:pPr>
              <w:keepNext/>
              <w:autoSpaceDE w:val="0"/>
              <w:autoSpaceDN w:val="0"/>
              <w:adjustRightInd w:val="0"/>
              <w:rPr>
                <w:rFonts w:ascii="Times New Roman" w:hAnsi="Times New Roman" w:cs="Times New Roman"/>
                <w:sz w:val="22"/>
                <w:szCs w:val="22"/>
                <w:lang w:val="lt-LT"/>
              </w:rPr>
            </w:pPr>
          </w:p>
        </w:tc>
        <w:tc>
          <w:tcPr>
            <w:tcW w:w="724" w:type="pct"/>
            <w:tcBorders>
              <w:top w:val="single" w:sz="4" w:space="0" w:color="auto"/>
            </w:tcBorders>
          </w:tcPr>
          <w:p w14:paraId="5F936EED" w14:textId="77777777" w:rsidR="00CB52F9" w:rsidRPr="00741122" w:rsidRDefault="00CB52F9" w:rsidP="00CB52F9">
            <w:pPr>
              <w:keepNext/>
              <w:autoSpaceDE w:val="0"/>
              <w:autoSpaceDN w:val="0"/>
              <w:adjustRightInd w:val="0"/>
              <w:ind w:left="51"/>
              <w:rPr>
                <w:rFonts w:ascii="Times New Roman" w:hAnsi="Times New Roman" w:cs="Times New Roman"/>
                <w:sz w:val="22"/>
                <w:szCs w:val="22"/>
                <w:lang w:val="lt-LT"/>
              </w:rPr>
            </w:pPr>
            <w:r w:rsidRPr="00741122">
              <w:rPr>
                <w:rFonts w:ascii="Times New Roman" w:hAnsi="Times New Roman" w:cs="Times New Roman"/>
                <w:sz w:val="22"/>
                <w:szCs w:val="22"/>
                <w:lang w:val="lt-LT"/>
              </w:rPr>
              <w:t xml:space="preserve">Nie </w:t>
            </w:r>
            <w:r w:rsidR="00F11CE8">
              <w:rPr>
                <w:rFonts w:ascii="Times New Roman" w:eastAsia="Times New Roman" w:hAnsi="Times New Roman" w:cs="Times New Roman"/>
                <w:sz w:val="22"/>
                <w:szCs w:val="22"/>
                <w:lang w:val="lt-LT"/>
              </w:rPr>
              <w:t>bewacyzumab</w:t>
            </w:r>
          </w:p>
        </w:tc>
        <w:tc>
          <w:tcPr>
            <w:tcW w:w="1601" w:type="pct"/>
            <w:tcBorders>
              <w:top w:val="single" w:sz="4" w:space="0" w:color="auto"/>
            </w:tcBorders>
          </w:tcPr>
          <w:p w14:paraId="36137030" w14:textId="6CED1D89"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1,13 (0,81</w:t>
            </w:r>
            <w:r w:rsidR="003B0004">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1,57)</w:t>
            </w:r>
          </w:p>
          <w:p w14:paraId="22C39F1B" w14:textId="77777777" w:rsidR="00CB52F9" w:rsidRPr="00741122" w:rsidRDefault="00CB52F9" w:rsidP="00E92B61">
            <w:pPr>
              <w:keepNext/>
              <w:autoSpaceDE w:val="0"/>
              <w:autoSpaceDN w:val="0"/>
              <w:adjustRightInd w:val="0"/>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(11,9 vs.14,3 </w:t>
            </w:r>
            <w:r w:rsidR="0026169E"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0,4825)</w:t>
            </w:r>
          </w:p>
        </w:tc>
        <w:tc>
          <w:tcPr>
            <w:tcW w:w="1734" w:type="pct"/>
            <w:tcBorders>
              <w:top w:val="single" w:sz="4" w:space="0" w:color="auto"/>
            </w:tcBorders>
          </w:tcPr>
          <w:p w14:paraId="45BB9517" w14:textId="5F92F266" w:rsidR="00CB52F9" w:rsidRPr="00741122" w:rsidRDefault="00CB52F9" w:rsidP="00E92B61">
            <w:pPr>
              <w:keepNext/>
              <w:jc w:val="center"/>
              <w:rPr>
                <w:rFonts w:ascii="Times New Roman" w:hAnsi="Times New Roman" w:cs="Times New Roman"/>
                <w:color w:val="000000"/>
                <w:sz w:val="22"/>
                <w:szCs w:val="22"/>
                <w:lang w:val="lt-LT"/>
              </w:rPr>
            </w:pPr>
            <w:r w:rsidRPr="00741122">
              <w:rPr>
                <w:rFonts w:ascii="Times New Roman" w:hAnsi="Times New Roman" w:cs="Times New Roman"/>
                <w:color w:val="000000"/>
                <w:sz w:val="22"/>
                <w:szCs w:val="22"/>
                <w:lang w:val="lt-LT"/>
              </w:rPr>
              <w:t>1,08 (0,80</w:t>
            </w:r>
            <w:r w:rsidR="003B0004">
              <w:rPr>
                <w:rFonts w:ascii="Times New Roman" w:hAnsi="Times New Roman" w:cs="Times New Roman"/>
                <w:color w:val="000000"/>
                <w:sz w:val="22"/>
                <w:szCs w:val="22"/>
                <w:lang w:val="lt-LT"/>
              </w:rPr>
              <w:t>;</w:t>
            </w:r>
            <w:r w:rsidRPr="00741122">
              <w:rPr>
                <w:rFonts w:ascii="Times New Roman" w:hAnsi="Times New Roman" w:cs="Times New Roman"/>
                <w:color w:val="000000"/>
                <w:sz w:val="22"/>
                <w:szCs w:val="22"/>
                <w:lang w:val="lt-LT"/>
              </w:rPr>
              <w:t xml:space="preserve"> 1,45)</w:t>
            </w:r>
          </w:p>
          <w:p w14:paraId="48537BBB" w14:textId="77777777" w:rsidR="00CB52F9" w:rsidRPr="00741122" w:rsidRDefault="00CB52F9" w:rsidP="00E92B61">
            <w:pPr>
              <w:keepNext/>
              <w:autoSpaceDE w:val="0"/>
              <w:autoSpaceDN w:val="0"/>
              <w:adjustRightInd w:val="0"/>
              <w:jc w:val="center"/>
              <w:rPr>
                <w:rFonts w:ascii="Times New Roman" w:hAnsi="Times New Roman" w:cs="Times New Roman"/>
                <w:sz w:val="22"/>
                <w:szCs w:val="22"/>
                <w:lang w:val="lt-LT"/>
              </w:rPr>
            </w:pPr>
            <w:r w:rsidRPr="00741122">
              <w:rPr>
                <w:rFonts w:ascii="Times New Roman" w:hAnsi="Times New Roman" w:cs="Times New Roman"/>
                <w:color w:val="000000"/>
                <w:sz w:val="22"/>
                <w:szCs w:val="22"/>
                <w:lang w:val="lt-LT"/>
              </w:rPr>
              <w:t>(12,0 vs. 15,0 </w:t>
            </w:r>
            <w:r w:rsidR="0026169E" w:rsidRPr="00741122">
              <w:rPr>
                <w:rFonts w:ascii="Times New Roman" w:hAnsi="Times New Roman" w:cs="Times New Roman"/>
                <w:color w:val="000000"/>
                <w:sz w:val="22"/>
                <w:szCs w:val="22"/>
                <w:lang w:val="lt-LT"/>
              </w:rPr>
              <w:t>miesięcy</w:t>
            </w:r>
            <w:r w:rsidRPr="00741122">
              <w:rPr>
                <w:rFonts w:ascii="Times New Roman" w:hAnsi="Times New Roman" w:cs="Times New Roman"/>
                <w:color w:val="000000"/>
                <w:sz w:val="22"/>
                <w:szCs w:val="22"/>
                <w:lang w:val="lt-LT"/>
              </w:rPr>
              <w:t>; p = 0,6267)</w:t>
            </w:r>
          </w:p>
        </w:tc>
      </w:tr>
    </w:tbl>
    <w:p w14:paraId="3A9D71EC" w14:textId="77777777" w:rsidR="00071CFE" w:rsidRPr="00EE5581" w:rsidRDefault="003C4873" w:rsidP="00F12C6A">
      <w:pPr>
        <w:numPr>
          <w:ilvl w:val="0"/>
          <w:numId w:val="36"/>
        </w:numPr>
        <w:tabs>
          <w:tab w:val="left" w:pos="567"/>
        </w:tabs>
        <w:ind w:left="567" w:hanging="567"/>
        <w:rPr>
          <w:rFonts w:ascii="Times New Roman" w:eastAsia="Times New Roman" w:hAnsi="Times New Roman"/>
          <w:lang w:val="lt-LT"/>
        </w:rPr>
      </w:pPr>
      <w:r>
        <w:rPr>
          <w:rFonts w:ascii="Times New Roman" w:eastAsia="Times New Roman" w:hAnsi="Times New Roman"/>
          <w:lang w:val="lt-LT"/>
        </w:rPr>
        <w:t>A</w:t>
      </w:r>
      <w:r w:rsidR="00071CFE" w:rsidRPr="00741122">
        <w:rPr>
          <w:rFonts w:ascii="Times New Roman" w:eastAsia="Times New Roman" w:hAnsi="Times New Roman"/>
          <w:lang w:val="lt-LT"/>
        </w:rPr>
        <w:t>naliza pierwotna została przeprowadzona z datą odcięcia danych w dniu 12 grudnia 2012</w:t>
      </w:r>
      <w:r>
        <w:rPr>
          <w:rFonts w:ascii="Times New Roman" w:eastAsia="Times New Roman" w:hAnsi="Times New Roman"/>
          <w:lang w:val="lt-LT"/>
        </w:rPr>
        <w:t xml:space="preserve"> r.</w:t>
      </w:r>
      <w:r w:rsidR="00071CFE" w:rsidRPr="00741122">
        <w:rPr>
          <w:rFonts w:ascii="Times New Roman" w:eastAsia="Times New Roman" w:hAnsi="Times New Roman"/>
          <w:lang w:val="lt-LT"/>
        </w:rPr>
        <w:t xml:space="preserve"> i jest uważana za analizę końcową</w:t>
      </w:r>
      <w:r w:rsidR="00EE5581">
        <w:rPr>
          <w:rFonts w:ascii="Times New Roman" w:eastAsia="Times New Roman" w:hAnsi="Times New Roman"/>
          <w:lang w:val="lt-LT"/>
        </w:rPr>
        <w:t>.</w:t>
      </w:r>
    </w:p>
    <w:p w14:paraId="452834EA" w14:textId="77777777" w:rsidR="00071CFE" w:rsidRPr="00741122" w:rsidRDefault="00071CFE" w:rsidP="00FE1AC3">
      <w:pPr>
        <w:ind w:left="567" w:hanging="567"/>
        <w:rPr>
          <w:rFonts w:ascii="Times New Roman" w:eastAsia="Times New Roman" w:hAnsi="Times New Roman"/>
          <w:lang w:val="lt-LT"/>
        </w:rPr>
      </w:pPr>
      <w:r w:rsidRPr="00741122">
        <w:rPr>
          <w:rFonts w:ascii="Times New Roman" w:eastAsia="Times New Roman" w:hAnsi="Times New Roman"/>
          <w:vertAlign w:val="superscript"/>
          <w:lang w:val="lt-LT"/>
        </w:rPr>
        <w:t>2</w:t>
      </w:r>
      <w:r w:rsidR="00BC25F7" w:rsidRPr="00741122">
        <w:rPr>
          <w:rFonts w:ascii="Times New Roman" w:eastAsia="Times New Roman" w:hAnsi="Times New Roman"/>
          <w:lang w:val="lt-LT"/>
        </w:rPr>
        <w:tab/>
      </w:r>
      <w:r w:rsidR="003C4873">
        <w:rPr>
          <w:rFonts w:ascii="Times New Roman" w:eastAsia="Times New Roman" w:hAnsi="Times New Roman"/>
          <w:lang w:val="lt-LT"/>
        </w:rPr>
        <w:t>A</w:t>
      </w:r>
      <w:r w:rsidRPr="00741122">
        <w:rPr>
          <w:rFonts w:ascii="Times New Roman" w:eastAsia="Times New Roman" w:hAnsi="Times New Roman"/>
          <w:lang w:val="lt-LT"/>
        </w:rPr>
        <w:t>naliza po dłuższym czasie obserwacji została przeprowadzone z datą odcięcia danych w dniu 07 marca 2014</w:t>
      </w:r>
      <w:r w:rsidR="003C4873">
        <w:rPr>
          <w:rFonts w:ascii="Times New Roman" w:eastAsia="Times New Roman" w:hAnsi="Times New Roman"/>
          <w:lang w:val="lt-LT"/>
        </w:rPr>
        <w:t> r.</w:t>
      </w:r>
    </w:p>
    <w:p w14:paraId="3282C81B" w14:textId="77777777" w:rsidR="00071CFE" w:rsidRPr="00741122" w:rsidRDefault="00071CFE" w:rsidP="006C170B">
      <w:pPr>
        <w:rPr>
          <w:rFonts w:ascii="Times New Roman" w:eastAsia="Times New Roman" w:hAnsi="Times New Roman" w:cs="Times New Roman"/>
          <w:sz w:val="22"/>
          <w:szCs w:val="22"/>
          <w:lang w:val="lt-LT"/>
        </w:rPr>
      </w:pPr>
    </w:p>
    <w:p w14:paraId="5E437824" w14:textId="77777777" w:rsidR="00071CFE" w:rsidRPr="00741122" w:rsidRDefault="00FE1AC3" w:rsidP="006C170B">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Dzieci i młodzież</w:t>
      </w:r>
    </w:p>
    <w:p w14:paraId="5D64F017" w14:textId="77777777" w:rsidR="00CB52F9" w:rsidRPr="00741122" w:rsidRDefault="00CB52F9" w:rsidP="006C170B">
      <w:pPr>
        <w:rPr>
          <w:rFonts w:ascii="Times New Roman" w:eastAsia="Times New Roman" w:hAnsi="Times New Roman" w:cs="Times New Roman"/>
          <w:i/>
          <w:sz w:val="22"/>
          <w:szCs w:val="22"/>
          <w:u w:val="single"/>
          <w:lang w:val="lt-LT"/>
        </w:rPr>
      </w:pPr>
    </w:p>
    <w:p w14:paraId="045B9B98"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Europejska Agencja Leków (EMA) uchyla obowiązek dołączania wyników badań bewacyzumabu we wszystkich podgrupach populacji dzieci i młodzieży dotyczących pacjentów z rakiem piersi, rakiem gruczołowym okrężnicy lub odbytnicy, rakiem płuca (drobnokomórkowym i niedrobnokomórkowym rakiem płuca), rakiem nerki oraz rakiem miedniczek nerkowych (z wyłączeniem pacjentów z guzem Wilmsa, nefroblastomatozą, mięsakiem jasnokomórkowym, nerczakiem mezoblastycznym, rakiem rdzeniastym nerki, guzem rabdoidalnym nerki), rakiem jajnika (z wyłączeniem mięśniakomięsaka prążkowanokomórkowego i guzów wywodzących się z komórek rozrodczych), rakiem jajowodu (z wyłączeniem mięśniakomięsaka prążkowanokomórkowego i guzów wywodzących się z komórek rozrodczych) rakiem otrzewnej (z wyłączeniem blastoma i mięsaków) oraz z rakiem szyjki i trzonu macicy.</w:t>
      </w:r>
    </w:p>
    <w:p w14:paraId="496CC5A6" w14:textId="77777777" w:rsidR="00071CFE" w:rsidRPr="00741122" w:rsidRDefault="00071CFE" w:rsidP="006C170B">
      <w:pPr>
        <w:rPr>
          <w:rFonts w:ascii="Times New Roman" w:eastAsia="Times New Roman" w:hAnsi="Times New Roman" w:cs="Times New Roman"/>
          <w:sz w:val="22"/>
          <w:szCs w:val="22"/>
          <w:lang w:val="lt-LT"/>
        </w:rPr>
      </w:pPr>
    </w:p>
    <w:p w14:paraId="6CE74A51" w14:textId="77777777" w:rsidR="00071CFE" w:rsidRPr="00741122" w:rsidRDefault="00071CFE" w:rsidP="006C170B">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Glejak o wysokim stopniu złośliwości</w:t>
      </w:r>
    </w:p>
    <w:p w14:paraId="001AFD8A" w14:textId="77777777" w:rsidR="00CB52F9" w:rsidRPr="00741122" w:rsidRDefault="00CB52F9" w:rsidP="006C170B">
      <w:pPr>
        <w:rPr>
          <w:rFonts w:ascii="Times New Roman" w:eastAsia="Times New Roman" w:hAnsi="Times New Roman" w:cs="Times New Roman"/>
          <w:i/>
          <w:sz w:val="22"/>
          <w:szCs w:val="22"/>
          <w:lang w:val="lt-LT"/>
        </w:rPr>
      </w:pPr>
    </w:p>
    <w:p w14:paraId="267D5134"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stwierdzono działania przeciwnowotworowego w dwóch wcześniejszych badaniach z zastosowaniem bewacyzumabu i irynotekanu u łącznie 30 dzieci w wieku &gt;</w:t>
      </w:r>
      <w:r w:rsidR="00D0149C">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3 lat chorych na glejaka o wysokim stopniu złośliwości wykazującego wznowę lub progresję (CPT-11). Brak wystarczających danych, aby określić bezpieczeństwo i skuteczność bewacyzumabu u dzieci z nowo rozpoznanym glejakiem o wysokim stopniu złośliwości.</w:t>
      </w:r>
    </w:p>
    <w:p w14:paraId="30A108F7" w14:textId="77777777" w:rsidR="00071CFE" w:rsidRPr="00741122" w:rsidRDefault="00071CFE" w:rsidP="006C170B">
      <w:pPr>
        <w:rPr>
          <w:rFonts w:ascii="Times New Roman" w:eastAsia="Times New Roman" w:hAnsi="Times New Roman" w:cs="Times New Roman"/>
          <w:sz w:val="22"/>
          <w:szCs w:val="22"/>
          <w:lang w:val="lt-LT"/>
        </w:rPr>
      </w:pPr>
    </w:p>
    <w:p w14:paraId="2CE1C220" w14:textId="77777777" w:rsidR="00071CFE" w:rsidRPr="00741122" w:rsidRDefault="00071CFE" w:rsidP="006C170B">
      <w:pPr>
        <w:tabs>
          <w:tab w:val="left" w:pos="567"/>
        </w:tab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jednoramiennym badaniu PBTC-022 18 dzieci chorych na glejaka o innej lokalizacji niż most, o wysokim stopniu złośliwości wykazującego wznowę lub progresję (w</w:t>
      </w:r>
      <w:r w:rsidR="00D0149C">
        <w:rPr>
          <w:rFonts w:ascii="Times New Roman" w:eastAsia="Times New Roman" w:hAnsi="Times New Roman" w:cs="Times New Roman"/>
          <w:sz w:val="22"/>
          <w:szCs w:val="22"/>
          <w:lang w:val="lt-LT"/>
        </w:rPr>
        <w:t xml:space="preserve"> tm</w:t>
      </w:r>
      <w:r w:rsidRPr="00741122">
        <w:rPr>
          <w:rFonts w:ascii="Times New Roman" w:eastAsia="Times New Roman" w:hAnsi="Times New Roman" w:cs="Times New Roman"/>
          <w:sz w:val="22"/>
          <w:szCs w:val="22"/>
          <w:lang w:val="lt-LT"/>
        </w:rPr>
        <w:t xml:space="preserve"> 8 pacjentów z glejakiem wielopostaciowym [IV stopień złośliwości wg WHO], 9 pacjentów z gwiaździakiem anaplastycznym [III stopień] i 1 pacjent z anaplastycznym skąpodrzewiakiem [III stopień]) było lec</w:t>
      </w:r>
      <w:r w:rsidR="00FE1AC3" w:rsidRPr="00741122">
        <w:rPr>
          <w:rFonts w:ascii="Times New Roman" w:eastAsia="Times New Roman" w:hAnsi="Times New Roman" w:cs="Times New Roman"/>
          <w:sz w:val="22"/>
          <w:szCs w:val="22"/>
          <w:lang w:val="lt-LT"/>
        </w:rPr>
        <w:t>zonych bewacyzumabem w dawce 10 </w:t>
      </w:r>
      <w:r w:rsidRPr="00741122">
        <w:rPr>
          <w:rFonts w:ascii="Times New Roman" w:eastAsia="Times New Roman" w:hAnsi="Times New Roman" w:cs="Times New Roman"/>
          <w:sz w:val="22"/>
          <w:szCs w:val="22"/>
          <w:lang w:val="lt-LT"/>
        </w:rPr>
        <w:t>mg/kg</w:t>
      </w:r>
      <w:r w:rsidR="00D0149C">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w odstępie 2 tygodni, a następnie bewacyzumabem </w:t>
      </w:r>
      <w:r w:rsidR="00FE1AC3" w:rsidRPr="00741122">
        <w:rPr>
          <w:rFonts w:ascii="Times New Roman" w:eastAsia="Times New Roman" w:hAnsi="Times New Roman" w:cs="Times New Roman"/>
          <w:sz w:val="22"/>
          <w:szCs w:val="22"/>
          <w:lang w:val="lt-LT"/>
        </w:rPr>
        <w:t>w skojarzeniu z CPT-11 (125</w:t>
      </w:r>
      <w:r w:rsidR="00A73F6F">
        <w:rPr>
          <w:rFonts w:ascii="Times New Roman" w:eastAsia="Times New Roman" w:hAnsi="Times New Roman" w:cs="Times New Roman"/>
          <w:sz w:val="22"/>
          <w:szCs w:val="22"/>
          <w:lang w:val="lt-LT"/>
        </w:rPr>
        <w:noBreakHyphen/>
      </w:r>
      <w:r w:rsidR="00FE1AC3" w:rsidRPr="00741122">
        <w:rPr>
          <w:rFonts w:ascii="Times New Roman" w:eastAsia="Times New Roman" w:hAnsi="Times New Roman" w:cs="Times New Roman"/>
          <w:sz w:val="22"/>
          <w:szCs w:val="22"/>
          <w:lang w:val="lt-LT"/>
        </w:rPr>
        <w:t>350 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xml:space="preserve">) podawanych co 2 tygodnie do progresji choroby. Nie stwierdzono obiektywnych </w:t>
      </w:r>
      <w:r w:rsidRPr="00741122">
        <w:rPr>
          <w:rFonts w:ascii="Times New Roman" w:eastAsia="Times New Roman" w:hAnsi="Times New Roman" w:cs="Times New Roman"/>
          <w:sz w:val="22"/>
          <w:szCs w:val="22"/>
          <w:lang w:val="lt-LT"/>
        </w:rPr>
        <w:lastRenderedPageBreak/>
        <w:t>(częściowych lub całkowitych) odpowiedzi radiologicznych (w/g kryteriów Mac</w:t>
      </w:r>
      <w:r w:rsidR="0074077F">
        <w:rPr>
          <w:rFonts w:ascii="Times New Roman" w:eastAsia="Times New Roman" w:hAnsi="Times New Roman" w:cs="Times New Roman"/>
          <w:sz w:val="22"/>
          <w:szCs w:val="22"/>
          <w:lang w:val="lt-LT"/>
        </w:rPr>
        <w:t>D</w:t>
      </w:r>
      <w:r w:rsidRPr="00741122">
        <w:rPr>
          <w:rFonts w:ascii="Times New Roman" w:eastAsia="Times New Roman" w:hAnsi="Times New Roman" w:cs="Times New Roman"/>
          <w:sz w:val="22"/>
          <w:szCs w:val="22"/>
          <w:lang w:val="lt-LT"/>
        </w:rPr>
        <w:t>onalda). Toksyczności i działania niepożądane obejmowały nadciśnienie tętnicze i zmęczenie oraz niedokrwienie ośrodkowego układu nerwowego z ostrym deficytem neurologicznym.</w:t>
      </w:r>
    </w:p>
    <w:p w14:paraId="6BE109A8" w14:textId="77777777" w:rsidR="00CB52F9" w:rsidRPr="00741122" w:rsidRDefault="00CB52F9" w:rsidP="006C170B">
      <w:pPr>
        <w:tabs>
          <w:tab w:val="left" w:pos="567"/>
        </w:tabs>
        <w:rPr>
          <w:rFonts w:ascii="Times New Roman" w:eastAsia="Arial" w:hAnsi="Times New Roman" w:cs="Times New Roman"/>
          <w:sz w:val="22"/>
          <w:szCs w:val="22"/>
          <w:lang w:val="lt-LT"/>
        </w:rPr>
      </w:pPr>
    </w:p>
    <w:p w14:paraId="333C6F8A" w14:textId="77777777" w:rsidR="00071CFE" w:rsidRPr="00741122" w:rsidRDefault="00071CFE" w:rsidP="006C170B">
      <w:pPr>
        <w:tabs>
          <w:tab w:val="left" w:pos="560"/>
        </w:tabs>
        <w:rPr>
          <w:rFonts w:ascii="Times New Roman" w:eastAsia="Arial" w:hAnsi="Times New Roman" w:cs="Times New Roman"/>
          <w:sz w:val="22"/>
          <w:szCs w:val="22"/>
          <w:lang w:val="lt-LT"/>
        </w:rPr>
      </w:pPr>
      <w:bookmarkStart w:id="57" w:name="page55"/>
      <w:bookmarkEnd w:id="57"/>
      <w:r w:rsidRPr="00741122">
        <w:rPr>
          <w:rFonts w:ascii="Times New Roman" w:eastAsia="Times New Roman" w:hAnsi="Times New Roman" w:cs="Times New Roman"/>
          <w:sz w:val="22"/>
          <w:szCs w:val="22"/>
          <w:lang w:val="lt-LT"/>
        </w:rPr>
        <w:t>W retrospektywnej analizie danych serii pacjentów leczonych w jednym ośrodku, 12 kolejnych dzieci (2005-2008) chorych na glejaka o wysokim stopniu złośliwości wykazującego wznowę lub progresję (3 ze stopniem złośliwości IV wg WHO, 9 ze stopniem złośliwości III) było lec</w:t>
      </w:r>
      <w:r w:rsidR="00FE1AC3" w:rsidRPr="00741122">
        <w:rPr>
          <w:rFonts w:ascii="Times New Roman" w:eastAsia="Times New Roman" w:hAnsi="Times New Roman" w:cs="Times New Roman"/>
          <w:sz w:val="22"/>
          <w:szCs w:val="22"/>
          <w:lang w:val="lt-LT"/>
        </w:rPr>
        <w:t>zonych bewacyzumabem w dawce 10 </w:t>
      </w:r>
      <w:r w:rsidRPr="00741122">
        <w:rPr>
          <w:rFonts w:ascii="Times New Roman" w:eastAsia="Times New Roman" w:hAnsi="Times New Roman" w:cs="Times New Roman"/>
          <w:sz w:val="22"/>
          <w:szCs w:val="22"/>
          <w:lang w:val="lt-LT"/>
        </w:rPr>
        <w:t>mg/kg</w:t>
      </w:r>
      <w:r w:rsidR="0074077F">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w </w:t>
      </w:r>
      <w:r w:rsidR="00FE1AC3" w:rsidRPr="00741122">
        <w:rPr>
          <w:rFonts w:ascii="Times New Roman" w:eastAsia="Times New Roman" w:hAnsi="Times New Roman" w:cs="Times New Roman"/>
          <w:sz w:val="22"/>
          <w:szCs w:val="22"/>
          <w:lang w:val="lt-LT"/>
        </w:rPr>
        <w:t>skojarzeniu z irinotekanem (125 </w:t>
      </w:r>
      <w:r w:rsidRPr="00741122">
        <w:rPr>
          <w:rFonts w:ascii="Times New Roman" w:eastAsia="Times New Roman" w:hAnsi="Times New Roman" w:cs="Times New Roman"/>
          <w:sz w:val="22"/>
          <w:szCs w:val="22"/>
          <w:lang w:val="lt-LT"/>
        </w:rPr>
        <w:t>mg/m</w:t>
      </w:r>
      <w:r w:rsidRPr="00741122">
        <w:rPr>
          <w:rFonts w:ascii="Times New Roman" w:eastAsia="Times New Roman" w:hAnsi="Times New Roman" w:cs="Times New Roman"/>
          <w:sz w:val="22"/>
          <w:szCs w:val="22"/>
          <w:vertAlign w:val="superscript"/>
          <w:lang w:val="lt-LT"/>
        </w:rPr>
        <w:t>2</w:t>
      </w:r>
      <w:r w:rsidRPr="00741122">
        <w:rPr>
          <w:rFonts w:ascii="Times New Roman" w:eastAsia="Times New Roman" w:hAnsi="Times New Roman" w:cs="Times New Roman"/>
          <w:sz w:val="22"/>
          <w:szCs w:val="22"/>
          <w:lang w:val="lt-LT"/>
        </w:rPr>
        <w:t>) podawanych co 2 tygodnie. Nie stwierdzono całkowitych odpowiedzi, obserwowano 2 odpowiedzi częściowe (wg kryteriów MacDonalda).</w:t>
      </w:r>
    </w:p>
    <w:p w14:paraId="308FBE33" w14:textId="77777777" w:rsidR="00071CFE" w:rsidRPr="00741122" w:rsidRDefault="00071CFE" w:rsidP="006C170B">
      <w:pPr>
        <w:rPr>
          <w:rFonts w:ascii="Times New Roman" w:eastAsia="Times New Roman" w:hAnsi="Times New Roman" w:cs="Times New Roman"/>
          <w:sz w:val="22"/>
          <w:szCs w:val="22"/>
          <w:lang w:val="lt-LT"/>
        </w:rPr>
      </w:pPr>
    </w:p>
    <w:p w14:paraId="158085CB" w14:textId="77777777" w:rsidR="00071CFE" w:rsidRPr="00741122" w:rsidRDefault="00071CFE" w:rsidP="006C170B">
      <w:pPr>
        <w:ind w:right="8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randomizowanym badaniu II fazy (BO25041) łącznie 121 pacjentów w wieku od ≥</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3 lat do &lt;</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18 lat ze świeżo rozpoznaną lokalizacją glejaka móżdżku, nadnamiotową lub podnamiotową albo konarową o wysokim stopniu złośliwości (ang. high-grade glioma, HGG) otrzymywało pooperacyjną radioterapię (RT) i adjuwantowo temozolomid (T) z bewacyzumabem l</w:t>
      </w:r>
      <w:r w:rsidR="00FE1AC3" w:rsidRPr="00741122">
        <w:rPr>
          <w:rFonts w:ascii="Times New Roman" w:eastAsia="Times New Roman" w:hAnsi="Times New Roman" w:cs="Times New Roman"/>
          <w:sz w:val="22"/>
          <w:szCs w:val="22"/>
          <w:lang w:val="lt-LT"/>
        </w:rPr>
        <w:t>ub bez bewacyzumabu:</w:t>
      </w:r>
      <w:r w:rsidR="009222A2">
        <w:rPr>
          <w:rFonts w:ascii="Times New Roman" w:eastAsia="Times New Roman" w:hAnsi="Times New Roman" w:cs="Times New Roman"/>
          <w:sz w:val="22"/>
          <w:szCs w:val="22"/>
          <w:lang w:val="lt-LT"/>
        </w:rPr>
        <w:t xml:space="preserve"> </w:t>
      </w:r>
      <w:r w:rsidR="00FE1AC3" w:rsidRPr="00741122">
        <w:rPr>
          <w:rFonts w:ascii="Times New Roman" w:eastAsia="Times New Roman" w:hAnsi="Times New Roman" w:cs="Times New Roman"/>
          <w:sz w:val="22"/>
          <w:szCs w:val="22"/>
          <w:lang w:val="lt-LT"/>
        </w:rPr>
        <w:t>w dawce 10 </w:t>
      </w:r>
      <w:r w:rsidRPr="00741122">
        <w:rPr>
          <w:rFonts w:ascii="Times New Roman" w:eastAsia="Times New Roman" w:hAnsi="Times New Roman" w:cs="Times New Roman"/>
          <w:sz w:val="22"/>
          <w:szCs w:val="22"/>
          <w:lang w:val="lt-LT"/>
        </w:rPr>
        <w:t>mg/kg</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mc. co 2 tygodnie, </w:t>
      </w:r>
      <w:r w:rsidRPr="00FD7F9C">
        <w:rPr>
          <w:rFonts w:ascii="Times New Roman" w:eastAsia="Times New Roman" w:hAnsi="Times New Roman" w:cs="Times New Roman"/>
          <w:sz w:val="22"/>
          <w:szCs w:val="22"/>
          <w:lang w:val="lt-LT"/>
        </w:rPr>
        <w:t>iv</w:t>
      </w:r>
      <w:r w:rsidRPr="009222A2">
        <w:rPr>
          <w:rFonts w:ascii="Times New Roman" w:eastAsia="Times New Roman" w:hAnsi="Times New Roman" w:cs="Times New Roman"/>
          <w:sz w:val="22"/>
          <w:szCs w:val="22"/>
          <w:lang w:val="lt-LT"/>
        </w:rPr>
        <w:t>.</w:t>
      </w:r>
    </w:p>
    <w:p w14:paraId="7E99795C" w14:textId="77777777" w:rsidR="00071CFE" w:rsidRPr="00741122" w:rsidRDefault="00071CFE" w:rsidP="006C170B">
      <w:pPr>
        <w:rPr>
          <w:rFonts w:ascii="Times New Roman" w:eastAsia="Times New Roman" w:hAnsi="Times New Roman" w:cs="Times New Roman"/>
          <w:sz w:val="22"/>
          <w:szCs w:val="22"/>
          <w:lang w:val="lt-LT"/>
        </w:rPr>
      </w:pPr>
    </w:p>
    <w:p w14:paraId="60D1BC99" w14:textId="6F30AF9F"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Badanie nie osiągnęło pierwszorzędowego punktu końcowego wykazującego znamienne wydłużenie EFS </w:t>
      </w:r>
      <w:r w:rsidR="00CE1BB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ocenianego przez Centralną Komisję Oceny Radiologicznej </w:t>
      </w:r>
      <w:r w:rsidR="00CE1BB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ang. Central Radiology Review Committee, CRRC)</w:t>
      </w:r>
      <w:r w:rsidR="00CE1BB7">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w ramieniu, w którym dodano bewacyzumab do leczenia RT/T w porównaniu</w:t>
      </w:r>
      <w:r w:rsidR="00FE1AC3"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 grupą otrzymującą tylko RT/T (HR</w:t>
      </w:r>
      <w:r w:rsidR="0074077F">
        <w:rPr>
          <w:rFonts w:ascii="Times New Roman" w:eastAsia="Times New Roman" w:hAnsi="Times New Roman" w:cs="Times New Roman"/>
          <w:sz w:val="22"/>
          <w:szCs w:val="22"/>
          <w:lang w:val="lt-LT"/>
        </w:rPr>
        <w:t> </w:t>
      </w:r>
      <w:r w:rsidRPr="00741122">
        <w:rPr>
          <w:rFonts w:ascii="Times New Roman" w:eastAsia="Arial" w:hAnsi="Times New Roman" w:cs="Times New Roman"/>
          <w:sz w:val="22"/>
          <w:szCs w:val="22"/>
          <w:lang w:val="lt-LT"/>
        </w:rPr>
        <w:t>=</w:t>
      </w:r>
      <w:r w:rsidR="0074077F">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1,44; 95% CI: 0,90; 2,30). Wyniki te były zgodne z wynikami różnych analiz wrażliwości oraz wynikami uzyskanymi w klinicznie istotnych grupach. Wyniki dla wszystkich drugorzędowych punktów końcowych (EFS oceniany przez badacza oraz ORR i OS) były zgodne, pokazując brak poprawy związanej z dodaniem bewacyzumabu w ramieniu RT/T w porównaniu z ramieniem otrzymującym tylko RT/T.</w:t>
      </w:r>
    </w:p>
    <w:p w14:paraId="693D3549" w14:textId="77777777" w:rsidR="00071CFE" w:rsidRPr="00741122" w:rsidRDefault="00071CFE" w:rsidP="006C170B">
      <w:pPr>
        <w:rPr>
          <w:rFonts w:ascii="Times New Roman" w:eastAsia="Times New Roman" w:hAnsi="Times New Roman" w:cs="Times New Roman"/>
          <w:sz w:val="22"/>
          <w:szCs w:val="22"/>
          <w:lang w:val="lt-LT"/>
        </w:rPr>
      </w:pPr>
    </w:p>
    <w:p w14:paraId="6C322D73"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Dodanie </w:t>
      </w:r>
      <w:r w:rsidR="00F11CE8">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do leczenia RT/T nie wykazywało korzyści klinicznej w badaniu BO25041 u 60 ocenianych dzieci ze świeżo rozpoznaną lokalizacją glejaka móżdżku, nadnamiotową lub podnamiotową albo konarową o wysokim stopniu złośliwości (HGG) (</w:t>
      </w:r>
      <w:r w:rsidR="0074077F">
        <w:rPr>
          <w:rFonts w:ascii="Times New Roman" w:eastAsia="Times New Roman" w:hAnsi="Times New Roman" w:cs="Times New Roman"/>
          <w:sz w:val="22"/>
          <w:szCs w:val="22"/>
          <w:lang w:val="lt-LT"/>
        </w:rPr>
        <w:t>s</w:t>
      </w:r>
      <w:r w:rsidRPr="00741122">
        <w:rPr>
          <w:rFonts w:ascii="Times New Roman" w:eastAsia="Times New Roman" w:hAnsi="Times New Roman" w:cs="Times New Roman"/>
          <w:sz w:val="22"/>
          <w:szCs w:val="22"/>
          <w:lang w:val="lt-LT"/>
        </w:rPr>
        <w:t>tosowanie u dzieci i młodzieży, patrz punkt 4.2).</w:t>
      </w:r>
    </w:p>
    <w:p w14:paraId="5C067F40" w14:textId="77777777" w:rsidR="00071CFE" w:rsidRPr="00741122" w:rsidRDefault="00071CFE" w:rsidP="006C170B">
      <w:pPr>
        <w:rPr>
          <w:rFonts w:ascii="Times New Roman" w:eastAsia="Times New Roman" w:hAnsi="Times New Roman" w:cs="Times New Roman"/>
          <w:sz w:val="22"/>
          <w:szCs w:val="22"/>
          <w:lang w:val="lt-LT"/>
        </w:rPr>
      </w:pPr>
    </w:p>
    <w:p w14:paraId="004C9870" w14:textId="77777777" w:rsidR="00071CFE" w:rsidRPr="00741122" w:rsidRDefault="00071CFE" w:rsidP="006C170B">
      <w:pPr>
        <w:rPr>
          <w:rFonts w:ascii="Times New Roman" w:eastAsia="Times New Roman" w:hAnsi="Times New Roman" w:cs="Times New Roman"/>
          <w:i/>
          <w:sz w:val="22"/>
          <w:szCs w:val="22"/>
          <w:lang w:val="lt-LT"/>
        </w:rPr>
      </w:pPr>
      <w:r w:rsidRPr="00741122">
        <w:rPr>
          <w:rFonts w:ascii="Times New Roman" w:eastAsia="Times New Roman" w:hAnsi="Times New Roman" w:cs="Times New Roman"/>
          <w:i/>
          <w:sz w:val="22"/>
          <w:szCs w:val="22"/>
          <w:lang w:val="lt-LT"/>
        </w:rPr>
        <w:t>Mięsak tkanek miękkich</w:t>
      </w:r>
    </w:p>
    <w:p w14:paraId="1580C088" w14:textId="77777777" w:rsidR="00071CFE" w:rsidRPr="00741122" w:rsidRDefault="00071CFE" w:rsidP="006C170B">
      <w:pPr>
        <w:rPr>
          <w:rFonts w:ascii="Times New Roman" w:eastAsia="Times New Roman" w:hAnsi="Times New Roman" w:cs="Times New Roman"/>
          <w:sz w:val="22"/>
          <w:szCs w:val="22"/>
          <w:lang w:val="lt-LT"/>
        </w:rPr>
      </w:pPr>
    </w:p>
    <w:p w14:paraId="0766CB99" w14:textId="2AA87123" w:rsidR="00071CFE" w:rsidRPr="0041202B" w:rsidRDefault="00071CFE" w:rsidP="006C170B">
      <w:pPr>
        <w:rPr>
          <w:rFonts w:ascii="Times New Roman" w:eastAsia="Times New Roman" w:hAnsi="Times New Roman" w:cs="Times New Roman"/>
          <w:sz w:val="22"/>
          <w:szCs w:val="22"/>
          <w:lang w:val="pl-PL"/>
        </w:rPr>
      </w:pPr>
      <w:r w:rsidRPr="00741122">
        <w:rPr>
          <w:rFonts w:ascii="Times New Roman" w:eastAsia="Times New Roman" w:hAnsi="Times New Roman" w:cs="Times New Roman"/>
          <w:sz w:val="22"/>
          <w:szCs w:val="22"/>
          <w:lang w:val="lt-LT"/>
        </w:rPr>
        <w:t>W randomizowanym badaniu fazy II (BO20924) u 154 pacjentów w wieku ≥</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6 miesięcy do &lt;</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18 lat z nowo rozpoznanym przerzutowym mięśniakomięsakiem prążkowanokomórkowym i nieprążkowanokomórkowym stosowane było leczenie standardowe (terapia indukcyjna IVADO/IVA +/- leczenie miejscowe, następnie leczenie podtrzymujące z zastosowaniem winorelbiny i cyklofosfamidu) w połączeniu z bewacyzu</w:t>
      </w:r>
      <w:r w:rsidR="00FE1AC3" w:rsidRPr="00741122">
        <w:rPr>
          <w:rFonts w:ascii="Times New Roman" w:eastAsia="Times New Roman" w:hAnsi="Times New Roman" w:cs="Times New Roman"/>
          <w:sz w:val="22"/>
          <w:szCs w:val="22"/>
          <w:lang w:val="lt-LT"/>
        </w:rPr>
        <w:t>mabem lub bez bewacyzumabu (2,5 </w:t>
      </w:r>
      <w:r w:rsidRPr="00741122">
        <w:rPr>
          <w:rFonts w:ascii="Times New Roman" w:eastAsia="Times New Roman" w:hAnsi="Times New Roman" w:cs="Times New Roman"/>
          <w:sz w:val="22"/>
          <w:szCs w:val="22"/>
          <w:lang w:val="lt-LT"/>
        </w:rPr>
        <w:t>mg/kg</w:t>
      </w:r>
      <w:r w:rsidR="009222A2">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/tydzień) przez cały okres leczenia, tj. około 18 miesięcy. W momencie końcowej analizy pierwotnej, niezależny centralny organ oceniający nie stwierdził statystycznie istotnej różnicy w czasie przeżycia bez wystąpienia zdarzenia (ang. event-free survival</w:t>
      </w:r>
      <w:r w:rsidR="009222A2">
        <w:rPr>
          <w:rFonts w:ascii="Times New Roman" w:eastAsia="Times New Roman" w:hAnsi="Times New Roman" w:cs="Times New Roman"/>
          <w:sz w:val="22"/>
          <w:szCs w:val="22"/>
          <w:lang w:val="lt-LT"/>
        </w:rPr>
        <w:t xml:space="preserve">, </w:t>
      </w:r>
      <w:r w:rsidR="009222A2" w:rsidRPr="00741122">
        <w:rPr>
          <w:rFonts w:ascii="Times New Roman" w:eastAsia="Times New Roman" w:hAnsi="Times New Roman" w:cs="Times New Roman"/>
          <w:sz w:val="22"/>
          <w:szCs w:val="22"/>
          <w:lang w:val="lt-LT"/>
        </w:rPr>
        <w:t>EFS</w:t>
      </w:r>
      <w:r w:rsidRPr="00741122">
        <w:rPr>
          <w:rFonts w:ascii="Times New Roman" w:eastAsia="Times New Roman" w:hAnsi="Times New Roman" w:cs="Times New Roman"/>
          <w:sz w:val="22"/>
          <w:szCs w:val="22"/>
          <w:lang w:val="lt-LT"/>
        </w:rPr>
        <w:t>), stanowiącym pierwszorzędowy punkt końcowy, pomiędzy dwoma ramionami badania, przy współczynniku ryzyka wynoszącym 0,93 (95% CI: 0,61</w:t>
      </w:r>
      <w:r w:rsidR="00997F1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1,41; wartość p</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0,72). Różnica w ORR stwierdzona przez niezależny centralny organ oceniający pomiędzy dwoma ramionami badania wyniosła 18% (CI: 0,6%</w:t>
      </w:r>
      <w:r w:rsidR="00997F1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35,3%) u nielicznych pacjentów z guzem możliwym do oceny na początku badania i potwierdzoną odpowiedzią przed otrzymaniem jakiegokolwiek leczenia miejscowego: 27/75 pacjentów (36,0%</w:t>
      </w:r>
      <w:r w:rsidR="00997F1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95% CI: 25,2%</w:t>
      </w:r>
      <w:r w:rsidR="00997F1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47,9%) w ramieniu z chemioterapią i 34/63 pacjentów (54,0%</w:t>
      </w:r>
      <w:r w:rsidR="00997F1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95% CI: 40,9%</w:t>
      </w:r>
      <w:r w:rsidR="00997F1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66,6%) w ramieniu z bewacyzumabem + chemioterapia. </w:t>
      </w:r>
      <w:r w:rsidR="00CC17DE" w:rsidRPr="00CC17DE">
        <w:rPr>
          <w:rFonts w:ascii="Times New Roman" w:eastAsia="Times New Roman" w:hAnsi="Times New Roman" w:cs="Times New Roman"/>
          <w:sz w:val="22"/>
          <w:szCs w:val="22"/>
          <w:lang w:val="lt-LT"/>
        </w:rPr>
        <w:t>Analizy końcowe wyników dotyczących czasu przeżycia całkowitego (ang. Overall Survival, OS) nie wykazały znaczących korzyści klinicznych z dodania bewacyzumabu do chemioterapii w tej populacji pacjentów.</w:t>
      </w:r>
    </w:p>
    <w:p w14:paraId="0D9D522E" w14:textId="77777777" w:rsidR="00071CFE" w:rsidRPr="00741122" w:rsidRDefault="00071CFE" w:rsidP="006C170B">
      <w:pPr>
        <w:rPr>
          <w:rFonts w:ascii="Times New Roman" w:eastAsia="Times New Roman" w:hAnsi="Times New Roman" w:cs="Times New Roman"/>
          <w:sz w:val="22"/>
          <w:szCs w:val="22"/>
          <w:lang w:val="lt-LT"/>
        </w:rPr>
      </w:pPr>
    </w:p>
    <w:p w14:paraId="67667114"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W badaniu klinicznym BO20924 dodanie </w:t>
      </w:r>
      <w:r w:rsidR="0099177E">
        <w:rPr>
          <w:rFonts w:ascii="Times New Roman" w:eastAsia="Times New Roman" w:hAnsi="Times New Roman" w:cs="Times New Roman"/>
          <w:sz w:val="22"/>
          <w:szCs w:val="22"/>
          <w:lang w:val="lt-LT"/>
        </w:rPr>
        <w:t>bewacyzumabu</w:t>
      </w:r>
      <w:r w:rsidRPr="00741122">
        <w:rPr>
          <w:rFonts w:ascii="Times New Roman" w:eastAsia="Times New Roman" w:hAnsi="Times New Roman" w:cs="Times New Roman"/>
          <w:sz w:val="22"/>
          <w:szCs w:val="22"/>
          <w:lang w:val="lt-LT"/>
        </w:rPr>
        <w:t xml:space="preserve"> do leczenia standardowego nie wiązało się z uzyskaniem korzyści klinicznej u 71 ocenionych pacjentów (w wieku od 6 miesięcy do poniżej 18 lat) z przerzutowym mięśniakomięsakiem prążkowanokomórkowym i nieprążkowanokomórkowym (informacje dotyczące stosowania u dzieci patrz punkt 4.2).</w:t>
      </w:r>
    </w:p>
    <w:p w14:paraId="600CEB67" w14:textId="77777777" w:rsidR="00071CFE" w:rsidRPr="00741122" w:rsidRDefault="00071CFE" w:rsidP="006C170B">
      <w:pPr>
        <w:rPr>
          <w:rFonts w:ascii="Times New Roman" w:eastAsia="Times New Roman" w:hAnsi="Times New Roman" w:cs="Times New Roman"/>
          <w:sz w:val="22"/>
          <w:szCs w:val="22"/>
          <w:lang w:val="lt-LT"/>
        </w:rPr>
      </w:pPr>
    </w:p>
    <w:p w14:paraId="6AAFCA59" w14:textId="295E0088"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 xml:space="preserve">Częstość występowania </w:t>
      </w:r>
      <w:r w:rsidR="00B21870">
        <w:rPr>
          <w:rFonts w:ascii="Times New Roman" w:eastAsia="Times New Roman" w:hAnsi="Times New Roman" w:cs="Times New Roman"/>
          <w:sz w:val="22"/>
          <w:szCs w:val="22"/>
          <w:lang w:val="lt-LT"/>
        </w:rPr>
        <w:t>działań</w:t>
      </w:r>
      <w:r w:rsidR="00B2187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niepożądanych, w tym </w:t>
      </w:r>
      <w:r w:rsidR="00B21870">
        <w:rPr>
          <w:rFonts w:ascii="Times New Roman" w:eastAsia="Times New Roman" w:hAnsi="Times New Roman" w:cs="Times New Roman"/>
          <w:sz w:val="22"/>
          <w:szCs w:val="22"/>
          <w:lang w:val="lt-LT"/>
        </w:rPr>
        <w:t>działań</w:t>
      </w:r>
      <w:r w:rsidR="00B2187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niepożądanych w stopniu </w:t>
      </w:r>
      <w:r w:rsidRPr="00741122">
        <w:rPr>
          <w:rFonts w:ascii="Times New Roman" w:eastAsia="Arial" w:hAnsi="Times New Roman" w:cs="Times New Roman"/>
          <w:sz w:val="22"/>
          <w:szCs w:val="22"/>
          <w:lang w:val="lt-LT"/>
        </w:rPr>
        <w:t>≥</w:t>
      </w:r>
      <w:r w:rsidR="009222A2">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 xml:space="preserve">3 i ciężkich </w:t>
      </w:r>
      <w:r w:rsidR="00B21870">
        <w:rPr>
          <w:rFonts w:ascii="Times New Roman" w:eastAsia="Times New Roman" w:hAnsi="Times New Roman" w:cs="Times New Roman"/>
          <w:sz w:val="22"/>
          <w:szCs w:val="22"/>
          <w:lang w:val="lt-LT"/>
        </w:rPr>
        <w:t>działań</w:t>
      </w:r>
      <w:r w:rsidR="00B2187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niepożądanych, była podobna w obydwu ramionach badania. W żadnym z ramion nie wystąpiło </w:t>
      </w:r>
      <w:r w:rsidR="00B21870">
        <w:rPr>
          <w:rFonts w:ascii="Times New Roman" w:eastAsia="Times New Roman" w:hAnsi="Times New Roman" w:cs="Times New Roman"/>
          <w:sz w:val="22"/>
          <w:szCs w:val="22"/>
          <w:lang w:val="lt-LT"/>
        </w:rPr>
        <w:t>działanie</w:t>
      </w:r>
      <w:r w:rsidR="00B21870"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niepożądane prowadzące do zgonu; wszystkie zgony były spowodowane progresją choroby. W tej populacji dzieci i młodzieży bewacyzumab stosowany w połączeniu ze złożonym leczeniem standardowym wydawał się być tolerowany.</w:t>
      </w:r>
    </w:p>
    <w:p w14:paraId="74F2A2CD" w14:textId="77777777" w:rsidR="00071CFE" w:rsidRPr="00741122" w:rsidRDefault="00071CFE" w:rsidP="006C170B">
      <w:pPr>
        <w:rPr>
          <w:rFonts w:ascii="Times New Roman" w:eastAsia="Times New Roman" w:hAnsi="Times New Roman" w:cs="Times New Roman"/>
          <w:sz w:val="22"/>
          <w:szCs w:val="22"/>
          <w:lang w:val="lt-LT"/>
        </w:rPr>
      </w:pPr>
    </w:p>
    <w:p w14:paraId="1B5C96F3" w14:textId="77777777" w:rsidR="00071CFE" w:rsidRPr="00741122" w:rsidRDefault="00071CFE" w:rsidP="006C170B">
      <w:pPr>
        <w:tabs>
          <w:tab w:val="left" w:pos="540"/>
        </w:tabs>
        <w:ind w:left="567" w:hanging="567"/>
        <w:rPr>
          <w:rFonts w:ascii="Times New Roman" w:eastAsia="Times New Roman" w:hAnsi="Times New Roman"/>
          <w:b/>
          <w:sz w:val="22"/>
          <w:lang w:val="lt-LT"/>
        </w:rPr>
      </w:pPr>
      <w:bookmarkStart w:id="58" w:name="page56"/>
      <w:bookmarkEnd w:id="58"/>
      <w:r w:rsidRPr="00741122">
        <w:rPr>
          <w:rFonts w:ascii="Times New Roman" w:eastAsia="Times New Roman" w:hAnsi="Times New Roman"/>
          <w:b/>
          <w:sz w:val="22"/>
          <w:lang w:val="lt-LT"/>
        </w:rPr>
        <w:t>5.2</w:t>
      </w:r>
      <w:r w:rsidRPr="00741122">
        <w:rPr>
          <w:rFonts w:ascii="Times New Roman" w:eastAsia="Times New Roman" w:hAnsi="Times New Roman"/>
          <w:lang w:val="lt-LT"/>
        </w:rPr>
        <w:tab/>
      </w:r>
      <w:r w:rsidRPr="00741122">
        <w:rPr>
          <w:rFonts w:ascii="Times New Roman" w:eastAsia="Times New Roman" w:hAnsi="Times New Roman"/>
          <w:b/>
          <w:sz w:val="22"/>
          <w:lang w:val="lt-LT"/>
        </w:rPr>
        <w:t>Właściwości farmakokinetyczne</w:t>
      </w:r>
    </w:p>
    <w:p w14:paraId="4A17A126" w14:textId="77777777" w:rsidR="00071CFE" w:rsidRPr="00741122" w:rsidRDefault="00071CFE" w:rsidP="006C170B">
      <w:pPr>
        <w:rPr>
          <w:rFonts w:ascii="Times New Roman" w:eastAsia="Times New Roman" w:hAnsi="Times New Roman" w:cs="Times New Roman"/>
          <w:sz w:val="22"/>
          <w:szCs w:val="22"/>
          <w:lang w:val="lt-LT"/>
        </w:rPr>
      </w:pPr>
    </w:p>
    <w:p w14:paraId="078E037A"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Dane farmakokinetyczne dla bewacyzumabu pochodzą z dziesięciu badań klinicznych przeprowadzonych u pacjentów z guzami litymi. We wszystkich badaniach bewacyzumab był podawany w</w:t>
      </w:r>
      <w:r w:rsidR="0074077F" w:rsidRPr="0074077F">
        <w:rPr>
          <w:rFonts w:ascii="Times New Roman" w:eastAsia="Times New Roman" w:hAnsi="Times New Roman" w:cs="Times New Roman"/>
          <w:sz w:val="22"/>
          <w:szCs w:val="22"/>
          <w:lang w:val="lt-LT"/>
        </w:rPr>
        <w:t xml:space="preserve"> </w:t>
      </w:r>
      <w:r w:rsidR="0074077F">
        <w:rPr>
          <w:rFonts w:ascii="Times New Roman" w:eastAsia="Times New Roman" w:hAnsi="Times New Roman" w:cs="Times New Roman"/>
          <w:sz w:val="22"/>
          <w:szCs w:val="22"/>
          <w:lang w:val="lt-LT"/>
        </w:rPr>
        <w:t>infuzji</w:t>
      </w:r>
      <w:r w:rsidRPr="00741122">
        <w:rPr>
          <w:rFonts w:ascii="Times New Roman" w:eastAsia="Times New Roman" w:hAnsi="Times New Roman" w:cs="Times New Roman"/>
          <w:sz w:val="22"/>
          <w:szCs w:val="22"/>
          <w:lang w:val="lt-LT"/>
        </w:rPr>
        <w:t xml:space="preserve"> dożyln</w:t>
      </w:r>
      <w:r w:rsidR="0074077F">
        <w:rPr>
          <w:rFonts w:ascii="Times New Roman" w:eastAsia="Times New Roman" w:hAnsi="Times New Roman" w:cs="Times New Roman"/>
          <w:sz w:val="22"/>
          <w:szCs w:val="22"/>
          <w:lang w:val="lt-LT"/>
        </w:rPr>
        <w:t>ej</w:t>
      </w:r>
      <w:r w:rsidRPr="00741122">
        <w:rPr>
          <w:rFonts w:ascii="Times New Roman" w:eastAsia="Times New Roman" w:hAnsi="Times New Roman" w:cs="Times New Roman"/>
          <w:sz w:val="22"/>
          <w:szCs w:val="22"/>
          <w:lang w:val="lt-LT"/>
        </w:rPr>
        <w:t xml:space="preserve">. Szybkość </w:t>
      </w:r>
      <w:r w:rsidR="0074077F">
        <w:rPr>
          <w:rFonts w:ascii="Times New Roman" w:eastAsia="Times New Roman" w:hAnsi="Times New Roman" w:cs="Times New Roman"/>
          <w:sz w:val="22"/>
          <w:szCs w:val="22"/>
          <w:lang w:val="lt-LT"/>
        </w:rPr>
        <w:t>infuzji</w:t>
      </w:r>
      <w:r w:rsidRPr="00741122">
        <w:rPr>
          <w:rFonts w:ascii="Times New Roman" w:eastAsia="Times New Roman" w:hAnsi="Times New Roman" w:cs="Times New Roman"/>
          <w:sz w:val="22"/>
          <w:szCs w:val="22"/>
          <w:lang w:val="lt-LT"/>
        </w:rPr>
        <w:t xml:space="preserve"> ustalana była w zależności od tolerancji leku przez pacjenta, przy czym początkowy czas trwania </w:t>
      </w:r>
      <w:r w:rsidR="0074077F">
        <w:rPr>
          <w:rFonts w:ascii="Times New Roman" w:eastAsia="Times New Roman" w:hAnsi="Times New Roman" w:cs="Times New Roman"/>
          <w:sz w:val="22"/>
          <w:szCs w:val="22"/>
          <w:lang w:val="lt-LT"/>
        </w:rPr>
        <w:t>infuzji</w:t>
      </w:r>
      <w:r w:rsidRPr="00741122">
        <w:rPr>
          <w:rFonts w:ascii="Times New Roman" w:eastAsia="Times New Roman" w:hAnsi="Times New Roman" w:cs="Times New Roman"/>
          <w:sz w:val="22"/>
          <w:szCs w:val="22"/>
          <w:lang w:val="lt-LT"/>
        </w:rPr>
        <w:t xml:space="preserve"> wynosił 90 minut. Farmakokinetyka bewacyzumabu była liniow</w:t>
      </w:r>
      <w:r w:rsidR="009E74C8" w:rsidRPr="00741122">
        <w:rPr>
          <w:rFonts w:ascii="Times New Roman" w:eastAsia="Times New Roman" w:hAnsi="Times New Roman" w:cs="Times New Roman"/>
          <w:sz w:val="22"/>
          <w:szCs w:val="22"/>
          <w:lang w:val="lt-LT"/>
        </w:rPr>
        <w:t>a w przedziale dawek od 1 do 10 </w:t>
      </w:r>
      <w:r w:rsidRPr="00741122">
        <w:rPr>
          <w:rFonts w:ascii="Times New Roman" w:eastAsia="Times New Roman" w:hAnsi="Times New Roman" w:cs="Times New Roman"/>
          <w:sz w:val="22"/>
          <w:szCs w:val="22"/>
          <w:lang w:val="lt-LT"/>
        </w:rPr>
        <w:t>mg/kg</w:t>
      </w:r>
      <w:r w:rsidR="00B35581">
        <w:rPr>
          <w:rFonts w:ascii="Times New Roman" w:eastAsia="Times New Roman" w:hAnsi="Times New Roman" w:cs="Times New Roman"/>
          <w:sz w:val="22"/>
          <w:szCs w:val="22"/>
          <w:lang w:val="lt-LT"/>
        </w:rPr>
        <w:t> mc</w:t>
      </w:r>
      <w:r w:rsidR="0074077F">
        <w:rPr>
          <w:rFonts w:ascii="Times New Roman" w:eastAsia="Times New Roman" w:hAnsi="Times New Roman" w:cs="Times New Roman"/>
          <w:sz w:val="22"/>
          <w:szCs w:val="22"/>
          <w:lang w:val="lt-LT"/>
        </w:rPr>
        <w:t>.</w:t>
      </w:r>
    </w:p>
    <w:p w14:paraId="6E281C89" w14:textId="77777777" w:rsidR="00071CFE" w:rsidRPr="00741122" w:rsidRDefault="00071CFE" w:rsidP="006C170B">
      <w:pPr>
        <w:rPr>
          <w:rFonts w:ascii="Times New Roman" w:eastAsia="Times New Roman" w:hAnsi="Times New Roman" w:cs="Times New Roman"/>
          <w:sz w:val="22"/>
          <w:szCs w:val="22"/>
          <w:lang w:val="lt-LT"/>
        </w:rPr>
      </w:pPr>
    </w:p>
    <w:p w14:paraId="13DB9CF9" w14:textId="77777777" w:rsidR="00071CFE" w:rsidRPr="00741122" w:rsidRDefault="00071CFE" w:rsidP="006C170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Dystrybucja</w:t>
      </w:r>
    </w:p>
    <w:p w14:paraId="6B21B0D4" w14:textId="77777777" w:rsidR="00110779" w:rsidRPr="00741122" w:rsidRDefault="00110779" w:rsidP="006C170B">
      <w:pPr>
        <w:rPr>
          <w:rFonts w:ascii="Times New Roman" w:eastAsia="Times New Roman" w:hAnsi="Times New Roman" w:cs="Times New Roman"/>
          <w:sz w:val="22"/>
          <w:szCs w:val="22"/>
          <w:u w:val="single"/>
          <w:lang w:val="lt-LT"/>
        </w:rPr>
      </w:pPr>
    </w:p>
    <w:p w14:paraId="0689B3F3"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Typowa objętość kompartmentu centralnego (V</w:t>
      </w:r>
      <w:r w:rsidRPr="00741122">
        <w:rPr>
          <w:rFonts w:ascii="Times New Roman" w:eastAsia="Times New Roman" w:hAnsi="Times New Roman" w:cs="Times New Roman"/>
          <w:sz w:val="22"/>
          <w:szCs w:val="22"/>
          <w:vertAlign w:val="subscript"/>
          <w:lang w:val="lt-LT"/>
        </w:rPr>
        <w:t>c</w:t>
      </w:r>
      <w:r w:rsidRPr="00741122">
        <w:rPr>
          <w:rFonts w:ascii="Times New Roman" w:eastAsia="Times New Roman" w:hAnsi="Times New Roman" w:cs="Times New Roman"/>
          <w:sz w:val="22"/>
          <w:szCs w:val="22"/>
          <w:lang w:val="lt-LT"/>
        </w:rPr>
        <w:t>) wynosiła 2,73</w:t>
      </w:r>
      <w:r w:rsidR="009741EC">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l oraz 3,28</w:t>
      </w:r>
      <w:r w:rsidR="009741EC">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l odpowiednio dla kobiet i mężczyzn, co stanowi zakres opisany dla IgG oraz innych przeciwciał monoklonalnych. Typowa objętość kompartmentu obwodowego (V</w:t>
      </w:r>
      <w:r w:rsidRPr="00741122">
        <w:rPr>
          <w:rFonts w:ascii="Times New Roman" w:eastAsia="Times New Roman" w:hAnsi="Times New Roman" w:cs="Times New Roman"/>
          <w:sz w:val="22"/>
          <w:szCs w:val="22"/>
          <w:vertAlign w:val="subscript"/>
          <w:lang w:val="lt-LT"/>
        </w:rPr>
        <w:t>p</w:t>
      </w:r>
      <w:r w:rsidRPr="00741122">
        <w:rPr>
          <w:rFonts w:ascii="Times New Roman" w:eastAsia="Times New Roman" w:hAnsi="Times New Roman" w:cs="Times New Roman"/>
          <w:sz w:val="22"/>
          <w:szCs w:val="22"/>
          <w:lang w:val="lt-LT"/>
        </w:rPr>
        <w:t>) wynosiła 1,69</w:t>
      </w:r>
      <w:r w:rsidR="009741EC">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l oraz 2,35</w:t>
      </w:r>
      <w:r w:rsidR="009741EC">
        <w:rPr>
          <w:rFonts w:ascii="Times New Roman" w:eastAsia="Times New Roman" w:hAnsi="Times New Roman" w:cs="Times New Roman"/>
          <w:sz w:val="22"/>
          <w:szCs w:val="22"/>
          <w:lang w:val="lt-LT"/>
        </w:rPr>
        <w:t> </w:t>
      </w:r>
      <w:r w:rsidRPr="00741122">
        <w:rPr>
          <w:rFonts w:ascii="Times New Roman" w:eastAsia="Times New Roman" w:hAnsi="Times New Roman" w:cs="Times New Roman"/>
          <w:sz w:val="22"/>
          <w:szCs w:val="22"/>
          <w:lang w:val="lt-LT"/>
        </w:rPr>
        <w:t>l odpowiednio dla kobiet i mężczyzn, kiedy bewacyzumab był stosowany jednocześnie z lekami przeciwnowotworowymi. Wyniki wskazują również, że po skorygowaniu ze względu na masę ciała, wartość V</w:t>
      </w:r>
      <w:r w:rsidRPr="00741122">
        <w:rPr>
          <w:rFonts w:ascii="Times New Roman" w:eastAsia="Times New Roman" w:hAnsi="Times New Roman" w:cs="Times New Roman"/>
          <w:sz w:val="22"/>
          <w:szCs w:val="22"/>
          <w:vertAlign w:val="subscript"/>
          <w:lang w:val="lt-LT"/>
        </w:rPr>
        <w:t>c</w:t>
      </w:r>
      <w:r w:rsidRPr="00741122">
        <w:rPr>
          <w:rFonts w:ascii="Times New Roman" w:eastAsia="Times New Roman" w:hAnsi="Times New Roman" w:cs="Times New Roman"/>
          <w:sz w:val="22"/>
          <w:szCs w:val="22"/>
          <w:lang w:val="lt-LT"/>
        </w:rPr>
        <w:t xml:space="preserve"> była większa u mężczyzn (+ 20%) niż u kobiet.</w:t>
      </w:r>
    </w:p>
    <w:p w14:paraId="6BC9195D" w14:textId="77777777" w:rsidR="00071CFE" w:rsidRPr="00741122" w:rsidRDefault="00071CFE" w:rsidP="006C170B">
      <w:pPr>
        <w:rPr>
          <w:rFonts w:ascii="Times New Roman" w:eastAsia="Times New Roman" w:hAnsi="Times New Roman" w:cs="Times New Roman"/>
          <w:sz w:val="22"/>
          <w:szCs w:val="22"/>
          <w:lang w:val="lt-LT"/>
        </w:rPr>
      </w:pPr>
    </w:p>
    <w:p w14:paraId="1CDEE572" w14:textId="77777777" w:rsidR="00071CFE" w:rsidRPr="00741122" w:rsidRDefault="00071CFE" w:rsidP="006C170B">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Biotransformacja</w:t>
      </w:r>
    </w:p>
    <w:p w14:paraId="2E15062E" w14:textId="77777777" w:rsidR="00110779" w:rsidRPr="00741122" w:rsidRDefault="00110779" w:rsidP="006C170B">
      <w:pPr>
        <w:rPr>
          <w:rFonts w:ascii="Times New Roman" w:eastAsia="Times New Roman" w:hAnsi="Times New Roman" w:cs="Times New Roman"/>
          <w:sz w:val="22"/>
          <w:szCs w:val="22"/>
          <w:u w:val="single"/>
          <w:lang w:val="lt-LT"/>
        </w:rPr>
      </w:pPr>
    </w:p>
    <w:p w14:paraId="779ADC4A"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Z oceny metabolizmu bewacyzumabu u królików po podaniu pojedynczej dawki dożylnej leku znakowanego izotopem </w:t>
      </w:r>
      <w:r w:rsidRPr="00741122">
        <w:rPr>
          <w:rFonts w:ascii="Times New Roman" w:eastAsia="Times New Roman" w:hAnsi="Times New Roman" w:cs="Times New Roman"/>
          <w:sz w:val="22"/>
          <w:szCs w:val="22"/>
          <w:vertAlign w:val="superscript"/>
          <w:lang w:val="lt-LT"/>
        </w:rPr>
        <w:t>125</w:t>
      </w:r>
      <w:r w:rsidRPr="00741122">
        <w:rPr>
          <w:rFonts w:ascii="Times New Roman" w:eastAsia="Times New Roman" w:hAnsi="Times New Roman" w:cs="Times New Roman"/>
          <w:sz w:val="22"/>
          <w:szCs w:val="22"/>
          <w:lang w:val="lt-LT"/>
        </w:rPr>
        <w:t>I wynika, że jego profil metaboliczny jest zbliżony do oczekiwanego profilu natywnej cząsteczki IgG, która nie wiąże się z VEGF. Metabolizm i wydalanie bewacyzumabu są podobne do tych właściwych dla endogennej IgG, tj. następują głównie drogą rozkładu proteolitycznego przez organizm, w tym przez komórki śródbłonka. Nie zależą głównie od wydalania przez nerki lub wątrobę. Związanie się IgG z fragmentem Fc receptora chroni ją przez rozkładem komórkowym i wydłuża okres półtrwania.</w:t>
      </w:r>
    </w:p>
    <w:p w14:paraId="0B01EAF6" w14:textId="77777777" w:rsidR="00071CFE" w:rsidRPr="00741122" w:rsidRDefault="00071CFE" w:rsidP="006C170B">
      <w:pPr>
        <w:rPr>
          <w:rFonts w:ascii="Times New Roman" w:eastAsia="Times New Roman" w:hAnsi="Times New Roman" w:cs="Times New Roman"/>
          <w:sz w:val="22"/>
          <w:szCs w:val="22"/>
          <w:lang w:val="lt-LT"/>
        </w:rPr>
      </w:pPr>
    </w:p>
    <w:p w14:paraId="639F9E61" w14:textId="77777777" w:rsidR="00071CFE" w:rsidRPr="00741122" w:rsidRDefault="00071CFE" w:rsidP="005A497F">
      <w:pPr>
        <w:keepNext/>
        <w:keepLines/>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Eliminacja</w:t>
      </w:r>
    </w:p>
    <w:p w14:paraId="7D8BE639" w14:textId="77777777" w:rsidR="00110779" w:rsidRPr="00741122" w:rsidRDefault="00110779" w:rsidP="005A497F">
      <w:pPr>
        <w:keepNext/>
        <w:keepLines/>
        <w:rPr>
          <w:rFonts w:ascii="Times New Roman" w:eastAsia="Times New Roman" w:hAnsi="Times New Roman" w:cs="Times New Roman"/>
          <w:sz w:val="22"/>
          <w:szCs w:val="22"/>
          <w:u w:val="single"/>
          <w:lang w:val="lt-LT"/>
        </w:rPr>
      </w:pPr>
    </w:p>
    <w:p w14:paraId="7B0C03A0" w14:textId="77777777" w:rsidR="00071CFE" w:rsidRPr="00741122" w:rsidRDefault="00071CFE" w:rsidP="005A497F">
      <w:pPr>
        <w:keepNext/>
        <w:keepLines/>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Wartość klirensu wynosi</w:t>
      </w:r>
      <w:r w:rsidR="009E74C8" w:rsidRPr="00741122">
        <w:rPr>
          <w:rFonts w:ascii="Times New Roman" w:eastAsia="Times New Roman" w:hAnsi="Times New Roman" w:cs="Times New Roman"/>
          <w:sz w:val="22"/>
          <w:szCs w:val="22"/>
          <w:lang w:val="lt-LT"/>
        </w:rPr>
        <w:t>ła przeciętnie 0,188 oraz 0,220 </w:t>
      </w:r>
      <w:r w:rsidRPr="00741122">
        <w:rPr>
          <w:rFonts w:ascii="Times New Roman" w:eastAsia="Times New Roman" w:hAnsi="Times New Roman" w:cs="Times New Roman"/>
          <w:sz w:val="22"/>
          <w:szCs w:val="22"/>
          <w:lang w:val="lt-LT"/>
        </w:rPr>
        <w:t>l/dobę odpowiednio dla kobiet i mężczyzn. Po skorygowaniu ze względu na masę ciała, klirens bewacyzumabu był większy u mężczyzn (+17%) niż u kobiet. Zgodnie z modelem opartym na dwóch kompartmentach, okres półtrwania w fazie eliminacji wynosił 18 dni dla typowej kobiety oraz 20 dni dla typowego mężczyzny.</w:t>
      </w:r>
    </w:p>
    <w:p w14:paraId="16F4191F" w14:textId="77777777" w:rsidR="00071CFE" w:rsidRPr="00741122" w:rsidRDefault="00071CFE" w:rsidP="006C170B">
      <w:pPr>
        <w:rPr>
          <w:rFonts w:ascii="Times New Roman" w:eastAsia="Times New Roman" w:hAnsi="Times New Roman" w:cs="Times New Roman"/>
          <w:sz w:val="22"/>
          <w:szCs w:val="22"/>
          <w:lang w:val="lt-LT"/>
        </w:rPr>
      </w:pPr>
    </w:p>
    <w:p w14:paraId="2D7487D0"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Małe stężenie albumin oraz duża masa guza są zazwyczaj wskaźnikami ciężkości choroby. Klirens bewacyzumabu był ok. 30% szybszy w przypadku pacjentów z małym stęż</w:t>
      </w:r>
      <w:r w:rsidR="00F8540F">
        <w:rPr>
          <w:rFonts w:ascii="Times New Roman" w:eastAsia="Times New Roman" w:hAnsi="Times New Roman" w:cs="Times New Roman"/>
          <w:sz w:val="22"/>
          <w:szCs w:val="22"/>
          <w:lang w:val="lt-LT"/>
        </w:rPr>
        <w:t>eniem albumin w surowicy oraz 7</w:t>
      </w:r>
      <w:r w:rsidRPr="00741122">
        <w:rPr>
          <w:rFonts w:ascii="Times New Roman" w:eastAsia="Times New Roman" w:hAnsi="Times New Roman" w:cs="Times New Roman"/>
          <w:sz w:val="22"/>
          <w:szCs w:val="22"/>
          <w:lang w:val="lt-LT"/>
        </w:rPr>
        <w:t>% szybszy w przypadku pacjentów z dużą masą guza w porównaniu</w:t>
      </w:r>
      <w:r w:rsidR="00B35581">
        <w:rPr>
          <w:rFonts w:ascii="Times New Roman" w:eastAsia="Times New Roman" w:hAnsi="Times New Roman" w:cs="Times New Roman"/>
          <w:sz w:val="22"/>
          <w:szCs w:val="22"/>
          <w:lang w:val="lt-LT"/>
        </w:rPr>
        <w:t xml:space="preserve"> z</w:t>
      </w:r>
      <w:r w:rsidRPr="00741122">
        <w:rPr>
          <w:rFonts w:ascii="Times New Roman" w:eastAsia="Times New Roman" w:hAnsi="Times New Roman" w:cs="Times New Roman"/>
          <w:sz w:val="22"/>
          <w:szCs w:val="22"/>
          <w:lang w:val="lt-LT"/>
        </w:rPr>
        <w:t xml:space="preserve"> typowy</w:t>
      </w:r>
      <w:r w:rsidR="00B35581">
        <w:rPr>
          <w:rFonts w:ascii="Times New Roman" w:eastAsia="Times New Roman" w:hAnsi="Times New Roman" w:cs="Times New Roman"/>
          <w:sz w:val="22"/>
          <w:szCs w:val="22"/>
          <w:lang w:val="lt-LT"/>
        </w:rPr>
        <w:t>mi</w:t>
      </w:r>
      <w:r w:rsidRPr="00741122">
        <w:rPr>
          <w:rFonts w:ascii="Times New Roman" w:eastAsia="Times New Roman" w:hAnsi="Times New Roman" w:cs="Times New Roman"/>
          <w:sz w:val="22"/>
          <w:szCs w:val="22"/>
          <w:lang w:val="lt-LT"/>
        </w:rPr>
        <w:t xml:space="preserve"> pacjent</w:t>
      </w:r>
      <w:r w:rsidR="00B35581">
        <w:rPr>
          <w:rFonts w:ascii="Times New Roman" w:eastAsia="Times New Roman" w:hAnsi="Times New Roman" w:cs="Times New Roman"/>
          <w:sz w:val="22"/>
          <w:szCs w:val="22"/>
          <w:lang w:val="lt-LT"/>
        </w:rPr>
        <w:t>ami</w:t>
      </w:r>
      <w:r w:rsidRPr="00741122">
        <w:rPr>
          <w:rFonts w:ascii="Times New Roman" w:eastAsia="Times New Roman" w:hAnsi="Times New Roman" w:cs="Times New Roman"/>
          <w:sz w:val="22"/>
          <w:szCs w:val="22"/>
          <w:lang w:val="lt-LT"/>
        </w:rPr>
        <w:t xml:space="preserve"> z poziomem albumin oraz masą guza w granicach mediany.</w:t>
      </w:r>
    </w:p>
    <w:p w14:paraId="6A8B1053" w14:textId="77777777" w:rsidR="00071CFE" w:rsidRPr="00741122" w:rsidRDefault="00071CFE" w:rsidP="006C170B">
      <w:pPr>
        <w:rPr>
          <w:rFonts w:ascii="Times New Roman" w:eastAsia="Times New Roman" w:hAnsi="Times New Roman" w:cs="Times New Roman"/>
          <w:sz w:val="22"/>
          <w:szCs w:val="22"/>
          <w:lang w:val="lt-LT"/>
        </w:rPr>
      </w:pPr>
    </w:p>
    <w:p w14:paraId="73FE3137" w14:textId="77777777" w:rsidR="00071CFE" w:rsidRPr="00741122" w:rsidRDefault="00071CFE" w:rsidP="00A230CE">
      <w:pPr>
        <w:keepNext/>
        <w:keepLines/>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Farmakokinetyka w szczególnych grupach pacjentów</w:t>
      </w:r>
    </w:p>
    <w:p w14:paraId="79B30EDA" w14:textId="77777777" w:rsidR="00110779" w:rsidRPr="00741122" w:rsidRDefault="00110779" w:rsidP="00A230CE">
      <w:pPr>
        <w:keepNext/>
        <w:keepLines/>
        <w:rPr>
          <w:rFonts w:ascii="Times New Roman" w:eastAsia="Times New Roman" w:hAnsi="Times New Roman" w:cs="Times New Roman"/>
          <w:sz w:val="22"/>
          <w:szCs w:val="22"/>
          <w:u w:val="single"/>
          <w:lang w:val="lt-LT"/>
        </w:rPr>
      </w:pPr>
    </w:p>
    <w:p w14:paraId="654DB568"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celu ustalenia wpływu zmiennych demograficznych analizowano farmakokinetykę populacyjną u dorosłych oraz u dzieci i młodzieży. U dorosłych wykazano brak znaczących różnic</w:t>
      </w:r>
      <w:r w:rsidR="009E74C8"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 farmakokinetyce bewacyzumabu w zależności od wieku.</w:t>
      </w:r>
    </w:p>
    <w:p w14:paraId="71354C7E" w14:textId="77777777" w:rsidR="00071CFE" w:rsidRPr="00741122" w:rsidRDefault="00071CFE" w:rsidP="006C170B">
      <w:pPr>
        <w:rPr>
          <w:rFonts w:ascii="Times New Roman" w:eastAsia="Times New Roman" w:hAnsi="Times New Roman" w:cs="Times New Roman"/>
          <w:sz w:val="22"/>
          <w:szCs w:val="22"/>
          <w:lang w:val="lt-LT"/>
        </w:rPr>
      </w:pPr>
    </w:p>
    <w:p w14:paraId="24C46554" w14:textId="77777777" w:rsidR="00071CFE" w:rsidRPr="00741122" w:rsidRDefault="00071CFE" w:rsidP="006C170B">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Pacjenci z zaburzoną czynnością nerek</w:t>
      </w:r>
    </w:p>
    <w:p w14:paraId="1D6FFC31" w14:textId="77777777" w:rsidR="00110779" w:rsidRPr="00741122" w:rsidRDefault="00110779" w:rsidP="006C170B">
      <w:pPr>
        <w:rPr>
          <w:rFonts w:ascii="Times New Roman" w:eastAsia="Times New Roman" w:hAnsi="Times New Roman" w:cs="Times New Roman"/>
          <w:i/>
          <w:sz w:val="22"/>
          <w:szCs w:val="22"/>
          <w:lang w:val="lt-LT"/>
        </w:rPr>
      </w:pPr>
    </w:p>
    <w:p w14:paraId="6C2AB1E0"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przeprowadzono badań oceniających farmakokinetykę bewacyzumabu u pacjentów z zaburzoną czynnością nerek, gdyż nerki nie są głównym organem rozkładającym lub wydalającym bewacyzumab.</w:t>
      </w:r>
    </w:p>
    <w:p w14:paraId="3CF6C28E" w14:textId="77777777" w:rsidR="00071CFE" w:rsidRPr="00741122" w:rsidRDefault="00071CFE" w:rsidP="006C170B">
      <w:pPr>
        <w:rPr>
          <w:rFonts w:ascii="Times New Roman" w:eastAsia="Times New Roman" w:hAnsi="Times New Roman" w:cs="Times New Roman"/>
          <w:sz w:val="22"/>
          <w:szCs w:val="22"/>
          <w:lang w:val="lt-LT"/>
        </w:rPr>
      </w:pPr>
    </w:p>
    <w:p w14:paraId="619295E1" w14:textId="77777777" w:rsidR="00071CFE" w:rsidRPr="00741122" w:rsidRDefault="00071CFE" w:rsidP="006C170B">
      <w:pPr>
        <w:keepNext/>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Pacjenci z zaburzoną czynnością wątroby</w:t>
      </w:r>
    </w:p>
    <w:p w14:paraId="4F8CBFD7" w14:textId="77777777" w:rsidR="00110779" w:rsidRPr="00741122" w:rsidRDefault="00110779" w:rsidP="006C170B">
      <w:pPr>
        <w:keepNext/>
        <w:rPr>
          <w:rFonts w:ascii="Times New Roman" w:eastAsia="Times New Roman" w:hAnsi="Times New Roman" w:cs="Times New Roman"/>
          <w:i/>
          <w:sz w:val="22"/>
          <w:szCs w:val="22"/>
          <w:u w:val="single"/>
          <w:lang w:val="lt-LT"/>
        </w:rPr>
      </w:pPr>
    </w:p>
    <w:p w14:paraId="65A8728B"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przeprowadzono badań oceniających farmakokinetykę bewacyzumabu u pacjentów z zaburzoną czynnością wątroby, gdyż wątroba nie jest głównym organem rozkładającym lub wydalającym bewacyzumab.</w:t>
      </w:r>
    </w:p>
    <w:p w14:paraId="0A3F3DBA" w14:textId="77777777" w:rsidR="00071CFE" w:rsidRPr="00741122" w:rsidRDefault="00071CFE" w:rsidP="006C170B">
      <w:pPr>
        <w:rPr>
          <w:rFonts w:ascii="Times New Roman" w:eastAsia="Times New Roman" w:hAnsi="Times New Roman" w:cs="Times New Roman"/>
          <w:sz w:val="22"/>
          <w:szCs w:val="22"/>
          <w:lang w:val="lt-LT"/>
        </w:rPr>
      </w:pPr>
    </w:p>
    <w:p w14:paraId="372FCC62" w14:textId="77777777" w:rsidR="00071CFE" w:rsidRPr="00741122" w:rsidRDefault="00071CFE" w:rsidP="006C170B">
      <w:pPr>
        <w:rPr>
          <w:rFonts w:ascii="Times New Roman" w:eastAsia="Times New Roman" w:hAnsi="Times New Roman" w:cs="Times New Roman"/>
          <w:i/>
          <w:sz w:val="22"/>
          <w:szCs w:val="22"/>
          <w:u w:val="single"/>
          <w:lang w:val="lt-LT"/>
        </w:rPr>
      </w:pPr>
      <w:r w:rsidRPr="00741122">
        <w:rPr>
          <w:rFonts w:ascii="Times New Roman" w:eastAsia="Times New Roman" w:hAnsi="Times New Roman" w:cs="Times New Roman"/>
          <w:i/>
          <w:sz w:val="22"/>
          <w:szCs w:val="22"/>
          <w:u w:val="single"/>
          <w:lang w:val="lt-LT"/>
        </w:rPr>
        <w:t>Dzieci i młodzież</w:t>
      </w:r>
    </w:p>
    <w:p w14:paraId="3FC08DD7" w14:textId="77777777" w:rsidR="00110779" w:rsidRPr="00741122" w:rsidRDefault="00110779" w:rsidP="006C170B">
      <w:pPr>
        <w:rPr>
          <w:rFonts w:ascii="Times New Roman" w:eastAsia="Times New Roman" w:hAnsi="Times New Roman" w:cs="Times New Roman"/>
          <w:i/>
          <w:sz w:val="22"/>
          <w:szCs w:val="22"/>
          <w:u w:val="single"/>
          <w:lang w:val="lt-LT"/>
        </w:rPr>
      </w:pPr>
    </w:p>
    <w:p w14:paraId="590E3A76" w14:textId="2144F8A4"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Farmakokinetykę bewacyzumabu oceniano u 152 dzieci, młodzieży i młodych dorosłych (od 7 mie</w:t>
      </w:r>
      <w:r w:rsidR="006B5917" w:rsidRPr="00741122">
        <w:rPr>
          <w:rFonts w:ascii="Times New Roman" w:eastAsia="Times New Roman" w:hAnsi="Times New Roman" w:cs="Times New Roman"/>
          <w:sz w:val="22"/>
          <w:szCs w:val="22"/>
          <w:lang w:val="lt-LT"/>
        </w:rPr>
        <w:t>sięcy do 21 lat, 5,9 do 125 </w:t>
      </w:r>
      <w:r w:rsidRPr="00741122">
        <w:rPr>
          <w:rFonts w:ascii="Times New Roman" w:eastAsia="Times New Roman" w:hAnsi="Times New Roman" w:cs="Times New Roman"/>
          <w:sz w:val="22"/>
          <w:szCs w:val="22"/>
          <w:lang w:val="lt-LT"/>
        </w:rPr>
        <w:t xml:space="preserve">kg) w czterech badaniach klinicznych, przy użyciu modelu farmakokinetyki populacyjnej. Wyniki tych badań wskazują, że klirens i objętość dystrybucji bewacyzumabu były porównywalne u dzieci i </w:t>
      </w:r>
      <w:r w:rsidR="004D54A4" w:rsidRPr="004D54A4">
        <w:rPr>
          <w:rFonts w:ascii="Times New Roman" w:eastAsia="Times New Roman" w:hAnsi="Times New Roman" w:cs="Times New Roman"/>
          <w:sz w:val="22"/>
          <w:szCs w:val="22"/>
          <w:lang w:val="lt-LT"/>
        </w:rPr>
        <w:t xml:space="preserve">młodych </w:t>
      </w:r>
      <w:r w:rsidRPr="00741122">
        <w:rPr>
          <w:rFonts w:ascii="Times New Roman" w:eastAsia="Times New Roman" w:hAnsi="Times New Roman" w:cs="Times New Roman"/>
          <w:sz w:val="22"/>
          <w:szCs w:val="22"/>
          <w:lang w:val="lt-LT"/>
        </w:rPr>
        <w:t>dorosłych przy znormalizowaniu w</w:t>
      </w:r>
      <w:r w:rsidR="00B35581">
        <w:rPr>
          <w:rFonts w:ascii="Times New Roman" w:eastAsia="Times New Roman" w:hAnsi="Times New Roman" w:cs="Times New Roman"/>
          <w:sz w:val="22"/>
          <w:szCs w:val="22"/>
          <w:lang w:val="lt-LT"/>
        </w:rPr>
        <w:t>y</w:t>
      </w:r>
      <w:r w:rsidRPr="00741122">
        <w:rPr>
          <w:rFonts w:ascii="Times New Roman" w:eastAsia="Times New Roman" w:hAnsi="Times New Roman" w:cs="Times New Roman"/>
          <w:sz w:val="22"/>
          <w:szCs w:val="22"/>
          <w:lang w:val="lt-LT"/>
        </w:rPr>
        <w:t>ników</w:t>
      </w:r>
      <w:bookmarkStart w:id="59" w:name="page57"/>
      <w:bookmarkEnd w:id="59"/>
      <w:r w:rsidR="006B5917"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uwzględniając masę ciała, przy czym odnotowano tendencję do zmniejszania się ekspozycji wraz z malejącą masą ciała. Wiek nie miał wpływu na farmakokinetykę bewacyzumabu, jeśli brano pod uwagę masę ciała.</w:t>
      </w:r>
    </w:p>
    <w:p w14:paraId="11E5940A" w14:textId="77777777" w:rsidR="00071CFE" w:rsidRPr="00741122" w:rsidRDefault="00071CFE" w:rsidP="006C170B">
      <w:pPr>
        <w:rPr>
          <w:rFonts w:ascii="Times New Roman" w:eastAsia="Times New Roman" w:hAnsi="Times New Roman" w:cs="Times New Roman"/>
          <w:sz w:val="22"/>
          <w:szCs w:val="22"/>
          <w:lang w:val="lt-LT"/>
        </w:rPr>
      </w:pPr>
    </w:p>
    <w:p w14:paraId="2F6D0EF0"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Farmakokinetyka bewacyzumabu została dobrze scharakteryzowana przy użyciu modelu farmakokinetycznego w populacji pediatrycznej u 70 dzieci w badaniu BO20924</w:t>
      </w:r>
      <w:r w:rsidR="006B5917" w:rsidRPr="00741122">
        <w:rPr>
          <w:rFonts w:ascii="Times New Roman" w:eastAsia="Times New Roman" w:hAnsi="Times New Roman" w:cs="Times New Roman"/>
          <w:sz w:val="22"/>
          <w:szCs w:val="22"/>
          <w:lang w:val="lt-LT"/>
        </w:rPr>
        <w:t xml:space="preserve"> (1,4 do 17,6 lat; 11,6 do 77,5 </w:t>
      </w:r>
      <w:r w:rsidRPr="00741122">
        <w:rPr>
          <w:rFonts w:ascii="Times New Roman" w:eastAsia="Times New Roman" w:hAnsi="Times New Roman" w:cs="Times New Roman"/>
          <w:sz w:val="22"/>
          <w:szCs w:val="22"/>
          <w:lang w:val="lt-LT"/>
        </w:rPr>
        <w:t>kg) oraz u 59 pacjentów w badaniu BO2</w:t>
      </w:r>
      <w:r w:rsidR="006B5917" w:rsidRPr="00741122">
        <w:rPr>
          <w:rFonts w:ascii="Times New Roman" w:eastAsia="Times New Roman" w:hAnsi="Times New Roman" w:cs="Times New Roman"/>
          <w:sz w:val="22"/>
          <w:szCs w:val="22"/>
          <w:lang w:val="lt-LT"/>
        </w:rPr>
        <w:t>5041 (1 do 17 lat; 11,2 do 82,3 </w:t>
      </w:r>
      <w:r w:rsidRPr="00741122">
        <w:rPr>
          <w:rFonts w:ascii="Times New Roman" w:eastAsia="Times New Roman" w:hAnsi="Times New Roman" w:cs="Times New Roman"/>
          <w:sz w:val="22"/>
          <w:szCs w:val="22"/>
          <w:lang w:val="lt-LT"/>
        </w:rPr>
        <w:t xml:space="preserve">kg). W badaniu BO20924 ekspozycja na bewacyzumab była zasadniczo </w:t>
      </w:r>
      <w:r w:rsidR="00307D30">
        <w:rPr>
          <w:rFonts w:ascii="Times New Roman" w:eastAsia="Times New Roman" w:hAnsi="Times New Roman" w:cs="Times New Roman"/>
          <w:sz w:val="22"/>
          <w:szCs w:val="22"/>
          <w:lang w:val="lt-LT"/>
        </w:rPr>
        <w:t>mniejsza</w:t>
      </w:r>
      <w:r w:rsidRPr="00741122">
        <w:rPr>
          <w:rFonts w:ascii="Times New Roman" w:eastAsia="Times New Roman" w:hAnsi="Times New Roman" w:cs="Times New Roman"/>
          <w:sz w:val="22"/>
          <w:szCs w:val="22"/>
          <w:lang w:val="lt-LT"/>
        </w:rPr>
        <w:t xml:space="preserve"> w porównaniu </w:t>
      </w:r>
      <w:r w:rsidR="00B35581">
        <w:rPr>
          <w:rFonts w:ascii="Times New Roman" w:eastAsia="Times New Roman" w:hAnsi="Times New Roman" w:cs="Times New Roman"/>
          <w:sz w:val="22"/>
          <w:szCs w:val="22"/>
          <w:lang w:val="lt-LT"/>
        </w:rPr>
        <w:t>z</w:t>
      </w:r>
      <w:r w:rsidRPr="00741122">
        <w:rPr>
          <w:rFonts w:ascii="Times New Roman" w:eastAsia="Times New Roman" w:hAnsi="Times New Roman" w:cs="Times New Roman"/>
          <w:sz w:val="22"/>
          <w:szCs w:val="22"/>
          <w:lang w:val="lt-LT"/>
        </w:rPr>
        <w:t xml:space="preserve"> typow</w:t>
      </w:r>
      <w:r w:rsidR="00B35581">
        <w:rPr>
          <w:rFonts w:ascii="Times New Roman" w:eastAsia="Times New Roman" w:hAnsi="Times New Roman" w:cs="Times New Roman"/>
          <w:sz w:val="22"/>
          <w:szCs w:val="22"/>
          <w:lang w:val="lt-LT"/>
        </w:rPr>
        <w:t>ym</w:t>
      </w:r>
      <w:r w:rsidRPr="00741122">
        <w:rPr>
          <w:rFonts w:ascii="Times New Roman" w:eastAsia="Times New Roman" w:hAnsi="Times New Roman" w:cs="Times New Roman"/>
          <w:sz w:val="22"/>
          <w:szCs w:val="22"/>
          <w:lang w:val="lt-LT"/>
        </w:rPr>
        <w:t xml:space="preserve"> dorosł</w:t>
      </w:r>
      <w:r w:rsidR="00B35581">
        <w:rPr>
          <w:rFonts w:ascii="Times New Roman" w:eastAsia="Times New Roman" w:hAnsi="Times New Roman" w:cs="Times New Roman"/>
          <w:sz w:val="22"/>
          <w:szCs w:val="22"/>
          <w:lang w:val="lt-LT"/>
        </w:rPr>
        <w:t>ym</w:t>
      </w:r>
      <w:r w:rsidRPr="00741122">
        <w:rPr>
          <w:rFonts w:ascii="Times New Roman" w:eastAsia="Times New Roman" w:hAnsi="Times New Roman" w:cs="Times New Roman"/>
          <w:sz w:val="22"/>
          <w:szCs w:val="22"/>
          <w:lang w:val="lt-LT"/>
        </w:rPr>
        <w:t xml:space="preserve"> pacjent</w:t>
      </w:r>
      <w:r w:rsidR="00B35581">
        <w:rPr>
          <w:rFonts w:ascii="Times New Roman" w:eastAsia="Times New Roman" w:hAnsi="Times New Roman" w:cs="Times New Roman"/>
          <w:sz w:val="22"/>
          <w:szCs w:val="22"/>
          <w:lang w:val="lt-LT"/>
        </w:rPr>
        <w:t>em</w:t>
      </w:r>
      <w:r w:rsidRPr="00741122">
        <w:rPr>
          <w:rFonts w:ascii="Times New Roman" w:eastAsia="Times New Roman" w:hAnsi="Times New Roman" w:cs="Times New Roman"/>
          <w:sz w:val="22"/>
          <w:szCs w:val="22"/>
          <w:lang w:val="lt-LT"/>
        </w:rPr>
        <w:t xml:space="preserve"> przyjmując</w:t>
      </w:r>
      <w:r w:rsidR="00B35581">
        <w:rPr>
          <w:rFonts w:ascii="Times New Roman" w:eastAsia="Times New Roman" w:hAnsi="Times New Roman" w:cs="Times New Roman"/>
          <w:sz w:val="22"/>
          <w:szCs w:val="22"/>
          <w:lang w:val="lt-LT"/>
        </w:rPr>
        <w:t>ym</w:t>
      </w:r>
      <w:r w:rsidRPr="00741122">
        <w:rPr>
          <w:rFonts w:ascii="Times New Roman" w:eastAsia="Times New Roman" w:hAnsi="Times New Roman" w:cs="Times New Roman"/>
          <w:sz w:val="22"/>
          <w:szCs w:val="22"/>
          <w:lang w:val="lt-LT"/>
        </w:rPr>
        <w:t xml:space="preserve"> taką samą dawkę. W badaniu BO25041 ekspozycja na bewacyzumab była podobna do typowego dorosłego pacjenta przyjmującego taką samą dawkę. W obu badaniach ekspozycja na bewacyzumab wykazywała tendencję do zmniejszania się wraz ze zmniejszaniem się masy ciała.</w:t>
      </w:r>
    </w:p>
    <w:p w14:paraId="05E2D5B9" w14:textId="77777777" w:rsidR="00071CFE" w:rsidRPr="00741122" w:rsidRDefault="00071CFE" w:rsidP="006C170B">
      <w:pPr>
        <w:rPr>
          <w:rFonts w:ascii="Times New Roman" w:eastAsia="Times New Roman" w:hAnsi="Times New Roman" w:cs="Times New Roman"/>
          <w:sz w:val="22"/>
          <w:szCs w:val="22"/>
          <w:lang w:val="lt-LT"/>
        </w:rPr>
      </w:pPr>
    </w:p>
    <w:p w14:paraId="6A2DC716" w14:textId="77777777" w:rsidR="00071CFE" w:rsidRPr="00741122" w:rsidRDefault="00071CFE" w:rsidP="006C170B">
      <w:pPr>
        <w:tabs>
          <w:tab w:val="left" w:pos="541"/>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5.3</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Przedkliniczne dane o bezpieczeństwie</w:t>
      </w:r>
    </w:p>
    <w:p w14:paraId="793B8FA0" w14:textId="77777777" w:rsidR="00071CFE" w:rsidRPr="00741122" w:rsidRDefault="00071CFE" w:rsidP="006C170B">
      <w:pPr>
        <w:rPr>
          <w:rFonts w:ascii="Times New Roman" w:eastAsia="Times New Roman" w:hAnsi="Times New Roman" w:cs="Times New Roman"/>
          <w:sz w:val="22"/>
          <w:szCs w:val="22"/>
          <w:lang w:val="lt-LT"/>
        </w:rPr>
      </w:pPr>
    </w:p>
    <w:p w14:paraId="7D01D7E5"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 badaniach trwających do 26 tygodni u małp cynomolgus zaobserwowano występowanie dysplazji nasad kostnych u młodych zwierząt z otwartymi płytkami wzrostowymi przy średnich stężeniach bewacyzumabu w surowicy poniżej oczekiwanego poziomu średnich stężeń terapeutycznych u ludzi. U królików bewacyzumab hamował gojenie się ran w dawkach mniejszych od proponowanej dawki klinicznej. Działanie na proces gojenia ran okazało się w pełni przemijające.</w:t>
      </w:r>
    </w:p>
    <w:p w14:paraId="4AC46640" w14:textId="77777777" w:rsidR="00071CFE" w:rsidRPr="00741122" w:rsidRDefault="00071CFE" w:rsidP="006C170B">
      <w:pPr>
        <w:rPr>
          <w:rFonts w:ascii="Times New Roman" w:eastAsia="Times New Roman" w:hAnsi="Times New Roman" w:cs="Times New Roman"/>
          <w:sz w:val="22"/>
          <w:szCs w:val="22"/>
          <w:lang w:val="lt-LT"/>
        </w:rPr>
      </w:pPr>
    </w:p>
    <w:p w14:paraId="6B937B0A"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Badania oceniające potencjalne działanie mutagenne i rakotwórcze bewacyzumabu nie były prowadzone.</w:t>
      </w:r>
    </w:p>
    <w:p w14:paraId="13E42E04" w14:textId="77777777" w:rsidR="00071CFE" w:rsidRPr="00741122" w:rsidRDefault="00071CFE" w:rsidP="006C170B">
      <w:pPr>
        <w:rPr>
          <w:rFonts w:ascii="Times New Roman" w:eastAsia="Times New Roman" w:hAnsi="Times New Roman"/>
          <w:lang w:val="lt-LT"/>
        </w:rPr>
      </w:pPr>
    </w:p>
    <w:p w14:paraId="33C5FAD6" w14:textId="77777777"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przeprowadzono specyficznych badań na zwierzętach w celu ustalenia wpływu na płodność. Można jednak oczekiwać ujemnego działania na płodność u kobiet, ponieważ badania toksyczności po podaniu wielokrotnym u zwierząt wykazały zahamowanie dojrzewania pęcherzyków jajnikowych oraz zmniejszenie lub brak ciałek żółtych z towarzyszącym zmniejszeniem masy jajników i macicy, jak również zmniejszenie liczby cyklów miesiączkowych.</w:t>
      </w:r>
    </w:p>
    <w:p w14:paraId="4D34C419" w14:textId="77777777" w:rsidR="00071CFE" w:rsidRPr="00741122" w:rsidRDefault="00071CFE" w:rsidP="006C170B">
      <w:pPr>
        <w:rPr>
          <w:rFonts w:ascii="Times New Roman" w:eastAsia="Times New Roman" w:hAnsi="Times New Roman" w:cs="Times New Roman"/>
          <w:sz w:val="22"/>
          <w:szCs w:val="22"/>
          <w:lang w:val="lt-LT"/>
        </w:rPr>
      </w:pPr>
    </w:p>
    <w:p w14:paraId="7C53E38C" w14:textId="03C19F9C" w:rsidR="00071CFE" w:rsidRPr="00741122" w:rsidRDefault="00071CFE" w:rsidP="006C170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Bewacyzumab wykazuje działanie embriotoksyczne i teratogenne u królików. Zaobserwowane zmiany obejmują zmniejszenie masy ciała u matki i płodu, zwiększoną liczbę przypadków resorpcji płodu i zwiększoną częstość występowania swoistych wad budowy i wad układu szkieletowego u płodu. Działania niepożądane na płód były obserwowane w przypadku każdej z badanych dawek, z których najmniejsza dawała średnie stężenia w surowicy około 3-krotnie większe, niż u lu</w:t>
      </w:r>
      <w:r w:rsidR="006B5917" w:rsidRPr="00741122">
        <w:rPr>
          <w:rFonts w:ascii="Times New Roman" w:eastAsia="Times New Roman" w:hAnsi="Times New Roman" w:cs="Times New Roman"/>
          <w:sz w:val="22"/>
          <w:szCs w:val="22"/>
          <w:lang w:val="lt-LT"/>
        </w:rPr>
        <w:t>dzi otrzymujących lek w dawce 5 </w:t>
      </w:r>
      <w:r w:rsidRPr="00741122">
        <w:rPr>
          <w:rFonts w:ascii="Times New Roman" w:eastAsia="Times New Roman" w:hAnsi="Times New Roman" w:cs="Times New Roman"/>
          <w:sz w:val="22"/>
          <w:szCs w:val="22"/>
          <w:lang w:val="lt-LT"/>
        </w:rPr>
        <w:t>mg/kg</w:t>
      </w:r>
      <w:r w:rsidR="00307D30">
        <w:rPr>
          <w:rFonts w:ascii="Times New Roman" w:eastAsia="Times New Roman" w:hAnsi="Times New Roman" w:cs="Times New Roman"/>
          <w:sz w:val="22"/>
          <w:szCs w:val="22"/>
          <w:lang w:val="lt-LT"/>
        </w:rPr>
        <w:t> mc.</w:t>
      </w:r>
      <w:r w:rsidRPr="00741122">
        <w:rPr>
          <w:rFonts w:ascii="Times New Roman" w:eastAsia="Times New Roman" w:hAnsi="Times New Roman" w:cs="Times New Roman"/>
          <w:sz w:val="22"/>
          <w:szCs w:val="22"/>
          <w:lang w:val="lt-LT"/>
        </w:rPr>
        <w:t xml:space="preserve"> co 2 tygodnie. Informacje o wadach rozwojowych płodu, obserwowanych po wprowadzeniu produktu do obrotu są zawarte w punk</w:t>
      </w:r>
      <w:r w:rsidR="00307D30">
        <w:rPr>
          <w:rFonts w:ascii="Times New Roman" w:eastAsia="Times New Roman" w:hAnsi="Times New Roman" w:cs="Times New Roman"/>
          <w:sz w:val="22"/>
          <w:szCs w:val="22"/>
          <w:lang w:val="lt-LT"/>
        </w:rPr>
        <w:t>tach</w:t>
      </w:r>
      <w:r w:rsidRPr="00741122">
        <w:rPr>
          <w:rFonts w:ascii="Times New Roman" w:eastAsia="Times New Roman" w:hAnsi="Times New Roman" w:cs="Times New Roman"/>
          <w:sz w:val="22"/>
          <w:szCs w:val="22"/>
          <w:lang w:val="lt-LT"/>
        </w:rPr>
        <w:t xml:space="preserve"> 4.6 </w:t>
      </w:r>
      <w:r w:rsidR="005E1C34" w:rsidRPr="005E1C34">
        <w:rPr>
          <w:rFonts w:ascii="Times New Roman" w:eastAsia="Times New Roman" w:hAnsi="Times New Roman" w:cs="Times New Roman"/>
          <w:sz w:val="22"/>
          <w:szCs w:val="22"/>
          <w:lang w:val="lt-LT"/>
        </w:rPr>
        <w:t>Wpływ na płodność, ciążę i laktację</w:t>
      </w:r>
      <w:r w:rsidR="005E1C34">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i 4.8</w:t>
      </w:r>
      <w:r w:rsidR="005E1C34">
        <w:rPr>
          <w:rFonts w:ascii="Times New Roman" w:eastAsia="Times New Roman" w:hAnsi="Times New Roman" w:cs="Times New Roman"/>
          <w:sz w:val="22"/>
          <w:szCs w:val="22"/>
          <w:lang w:val="lt-LT"/>
        </w:rPr>
        <w:t xml:space="preserve"> </w:t>
      </w:r>
      <w:r w:rsidR="005E1C34" w:rsidRPr="005E1C34">
        <w:rPr>
          <w:rFonts w:ascii="Times New Roman" w:eastAsia="Times New Roman" w:hAnsi="Times New Roman" w:cs="Times New Roman"/>
          <w:sz w:val="22"/>
          <w:szCs w:val="22"/>
          <w:lang w:val="lt-LT"/>
        </w:rPr>
        <w:t>Działania niepożądane</w:t>
      </w:r>
      <w:r w:rsidRPr="00741122">
        <w:rPr>
          <w:rFonts w:ascii="Times New Roman" w:eastAsia="Times New Roman" w:hAnsi="Times New Roman" w:cs="Times New Roman"/>
          <w:sz w:val="22"/>
          <w:szCs w:val="22"/>
          <w:lang w:val="lt-LT"/>
        </w:rPr>
        <w:t>.</w:t>
      </w:r>
    </w:p>
    <w:p w14:paraId="394D645A" w14:textId="77777777" w:rsidR="00071CFE" w:rsidRPr="00741122" w:rsidRDefault="00071CFE" w:rsidP="006C170B">
      <w:pPr>
        <w:rPr>
          <w:rFonts w:ascii="Times New Roman" w:eastAsia="Times New Roman" w:hAnsi="Times New Roman" w:cs="Times New Roman"/>
          <w:sz w:val="22"/>
          <w:szCs w:val="22"/>
          <w:lang w:val="lt-LT"/>
        </w:rPr>
      </w:pPr>
    </w:p>
    <w:p w14:paraId="690F9926" w14:textId="77777777" w:rsidR="00071CFE" w:rsidRPr="00741122" w:rsidRDefault="00071CFE" w:rsidP="006C170B">
      <w:pPr>
        <w:rPr>
          <w:rFonts w:ascii="Times New Roman" w:eastAsia="Times New Roman" w:hAnsi="Times New Roman" w:cs="Times New Roman"/>
          <w:sz w:val="22"/>
          <w:szCs w:val="22"/>
          <w:lang w:val="lt-LT"/>
        </w:rPr>
      </w:pPr>
    </w:p>
    <w:p w14:paraId="16733973" w14:textId="77777777" w:rsidR="00071CFE" w:rsidRPr="00741122" w:rsidRDefault="00071CFE" w:rsidP="00633F20">
      <w:pPr>
        <w:keepNext/>
        <w:numPr>
          <w:ilvl w:val="0"/>
          <w:numId w:val="37"/>
        </w:numPr>
        <w:tabs>
          <w:tab w:val="left" w:pos="561"/>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lastRenderedPageBreak/>
        <w:t>DANE FARMACEUTYCZNE</w:t>
      </w:r>
    </w:p>
    <w:p w14:paraId="5D6FA0CE" w14:textId="77777777" w:rsidR="00071CFE" w:rsidRPr="00741122" w:rsidRDefault="00071CFE" w:rsidP="00633F20">
      <w:pPr>
        <w:keepNext/>
        <w:rPr>
          <w:rFonts w:ascii="Times New Roman" w:eastAsia="Times New Roman" w:hAnsi="Times New Roman" w:cs="Times New Roman"/>
          <w:sz w:val="22"/>
          <w:szCs w:val="22"/>
          <w:lang w:val="lt-LT"/>
        </w:rPr>
      </w:pPr>
    </w:p>
    <w:p w14:paraId="1E78E93D" w14:textId="77777777" w:rsidR="00071CFE" w:rsidRPr="00741122" w:rsidRDefault="00071CFE" w:rsidP="00633F20">
      <w:pPr>
        <w:keepNext/>
        <w:tabs>
          <w:tab w:val="left" w:pos="541"/>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6.1</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Wykaz substancji pomocniczych</w:t>
      </w:r>
    </w:p>
    <w:p w14:paraId="1F9879F1" w14:textId="77777777" w:rsidR="00071CFE" w:rsidRPr="00741122" w:rsidRDefault="00071CFE" w:rsidP="00633F20">
      <w:pPr>
        <w:keepNext/>
        <w:rPr>
          <w:rFonts w:ascii="Times New Roman" w:eastAsia="Times New Roman" w:hAnsi="Times New Roman" w:cs="Times New Roman"/>
          <w:sz w:val="22"/>
          <w:szCs w:val="22"/>
          <w:lang w:val="lt-LT"/>
        </w:rPr>
      </w:pPr>
    </w:p>
    <w:p w14:paraId="378ACF8B" w14:textId="77777777" w:rsidR="00071CFE" w:rsidRPr="00741122" w:rsidRDefault="00071CFE" w:rsidP="00633F20">
      <w:pPr>
        <w:keepNex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Trehalozy dwuwodzian</w:t>
      </w:r>
    </w:p>
    <w:p w14:paraId="6348DBCA" w14:textId="77777777" w:rsidR="00071CFE" w:rsidRPr="00741122" w:rsidRDefault="00071CFE" w:rsidP="00633F20">
      <w:pPr>
        <w:keepNex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Sodu fosforan</w:t>
      </w:r>
    </w:p>
    <w:p w14:paraId="7D24BB7B" w14:textId="77777777" w:rsidR="00071CFE" w:rsidRPr="00741122" w:rsidRDefault="00071CFE" w:rsidP="00633F20">
      <w:pPr>
        <w:keepNext/>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Polisorbat 20</w:t>
      </w:r>
    </w:p>
    <w:p w14:paraId="05395B7E" w14:textId="77777777" w:rsidR="00071CFE" w:rsidRPr="00741122" w:rsidRDefault="00071CFE" w:rsidP="00110779">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Woda do wstrzykiwań</w:t>
      </w:r>
    </w:p>
    <w:p w14:paraId="0477A35B" w14:textId="77777777" w:rsidR="00071CFE" w:rsidRPr="00741122" w:rsidRDefault="00071CFE" w:rsidP="00110779">
      <w:pPr>
        <w:rPr>
          <w:rFonts w:ascii="Times New Roman" w:eastAsia="Times New Roman" w:hAnsi="Times New Roman" w:cs="Times New Roman"/>
          <w:sz w:val="22"/>
          <w:szCs w:val="22"/>
          <w:lang w:val="lt-LT"/>
        </w:rPr>
      </w:pPr>
    </w:p>
    <w:p w14:paraId="7CC27E78" w14:textId="77777777" w:rsidR="00071CFE" w:rsidRPr="00741122" w:rsidRDefault="00071CFE" w:rsidP="00110779">
      <w:pPr>
        <w:keepNext/>
        <w:tabs>
          <w:tab w:val="left" w:pos="541"/>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6.2</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Niezgodności farmaceutyczne</w:t>
      </w:r>
    </w:p>
    <w:p w14:paraId="4C7ACC6F" w14:textId="77777777" w:rsidR="00071CFE" w:rsidRPr="00741122" w:rsidRDefault="00071CFE" w:rsidP="00110779">
      <w:pPr>
        <w:keepNext/>
        <w:rPr>
          <w:rFonts w:ascii="Times New Roman" w:eastAsia="Times New Roman" w:hAnsi="Times New Roman" w:cs="Times New Roman"/>
          <w:sz w:val="22"/>
          <w:szCs w:val="22"/>
          <w:lang w:val="lt-LT"/>
        </w:rPr>
      </w:pPr>
    </w:p>
    <w:p w14:paraId="1E01AE7F"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wolno mieszać produktu leczniczego z innymi produktami leczniczymi oprócz wymienionych w punkcie 6.6.</w:t>
      </w:r>
    </w:p>
    <w:p w14:paraId="418FEE64" w14:textId="77777777" w:rsidR="00071CFE" w:rsidRPr="00741122" w:rsidRDefault="00071CFE" w:rsidP="006B5917">
      <w:pPr>
        <w:rPr>
          <w:rFonts w:ascii="Times New Roman" w:eastAsia="Times New Roman" w:hAnsi="Times New Roman" w:cs="Times New Roman"/>
          <w:sz w:val="22"/>
          <w:szCs w:val="22"/>
          <w:lang w:val="lt-LT"/>
        </w:rPr>
      </w:pPr>
    </w:p>
    <w:p w14:paraId="49B94B45"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Obserwowano zależny od stężenia profil rozkładu bewacyzumabu po rozcieńczeniu roztworem glukozy (5%).</w:t>
      </w:r>
    </w:p>
    <w:p w14:paraId="648960D8" w14:textId="77777777" w:rsidR="006B5917" w:rsidRPr="00741122" w:rsidRDefault="006B5917" w:rsidP="006B5917">
      <w:pPr>
        <w:rPr>
          <w:rFonts w:ascii="Times New Roman" w:eastAsia="Times New Roman" w:hAnsi="Times New Roman" w:cs="Times New Roman"/>
          <w:sz w:val="22"/>
          <w:szCs w:val="22"/>
          <w:lang w:val="lt-LT"/>
        </w:rPr>
      </w:pPr>
    </w:p>
    <w:p w14:paraId="055522F4" w14:textId="77777777" w:rsidR="00071CFE" w:rsidRPr="00741122" w:rsidRDefault="00071CFE" w:rsidP="00110779">
      <w:pPr>
        <w:tabs>
          <w:tab w:val="left" w:pos="540"/>
        </w:tabs>
        <w:ind w:left="567" w:hanging="567"/>
        <w:rPr>
          <w:rFonts w:ascii="Times New Roman" w:eastAsia="Times New Roman" w:hAnsi="Times New Roman" w:cs="Times New Roman"/>
          <w:b/>
          <w:sz w:val="22"/>
          <w:szCs w:val="22"/>
          <w:lang w:val="lt-LT"/>
        </w:rPr>
      </w:pPr>
      <w:bookmarkStart w:id="60" w:name="page58"/>
      <w:bookmarkEnd w:id="60"/>
      <w:r w:rsidRPr="00741122">
        <w:rPr>
          <w:rFonts w:ascii="Times New Roman" w:eastAsia="Times New Roman" w:hAnsi="Times New Roman" w:cs="Times New Roman"/>
          <w:b/>
          <w:sz w:val="22"/>
          <w:szCs w:val="22"/>
          <w:lang w:val="lt-LT"/>
        </w:rPr>
        <w:t>6.3</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Okres ważności</w:t>
      </w:r>
    </w:p>
    <w:p w14:paraId="2E2A8E02" w14:textId="77777777" w:rsidR="00071CFE" w:rsidRPr="00741122" w:rsidRDefault="00071CFE" w:rsidP="006B5917">
      <w:pPr>
        <w:rPr>
          <w:rFonts w:ascii="Times New Roman" w:eastAsia="Times New Roman" w:hAnsi="Times New Roman" w:cs="Times New Roman"/>
          <w:sz w:val="22"/>
          <w:szCs w:val="22"/>
          <w:lang w:val="lt-LT"/>
        </w:rPr>
      </w:pPr>
    </w:p>
    <w:p w14:paraId="3196B260" w14:textId="77777777" w:rsidR="00071CFE" w:rsidRPr="00741122" w:rsidRDefault="00071CFE" w:rsidP="006B5917">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Fiolka (nieotwarta)</w:t>
      </w:r>
    </w:p>
    <w:p w14:paraId="7D45E9EF" w14:textId="77777777" w:rsidR="00071CFE" w:rsidRPr="00741122" w:rsidRDefault="00071CFE" w:rsidP="006B5917">
      <w:pPr>
        <w:rPr>
          <w:rFonts w:ascii="Times New Roman" w:eastAsia="Times New Roman" w:hAnsi="Times New Roman" w:cs="Times New Roman"/>
          <w:sz w:val="22"/>
          <w:szCs w:val="22"/>
          <w:lang w:val="lt-LT"/>
        </w:rPr>
      </w:pPr>
    </w:p>
    <w:p w14:paraId="7E2C6696" w14:textId="77777777" w:rsidR="00071CFE" w:rsidRPr="00741122" w:rsidRDefault="00E01221" w:rsidP="006B5917">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2</w:t>
      </w:r>
      <w:r w:rsidR="00071CFE" w:rsidRPr="00741122">
        <w:rPr>
          <w:rFonts w:ascii="Times New Roman" w:eastAsia="Times New Roman" w:hAnsi="Times New Roman" w:cs="Times New Roman"/>
          <w:sz w:val="22"/>
          <w:szCs w:val="22"/>
          <w:lang w:val="lt-LT"/>
        </w:rPr>
        <w:t xml:space="preserve"> lata</w:t>
      </w:r>
    </w:p>
    <w:p w14:paraId="086896EF" w14:textId="77777777" w:rsidR="00071CFE" w:rsidRPr="00741122" w:rsidRDefault="00071CFE" w:rsidP="006B5917">
      <w:pPr>
        <w:rPr>
          <w:rFonts w:ascii="Times New Roman" w:eastAsia="Times New Roman" w:hAnsi="Times New Roman" w:cs="Times New Roman"/>
          <w:sz w:val="22"/>
          <w:szCs w:val="22"/>
          <w:lang w:val="lt-LT"/>
        </w:rPr>
      </w:pPr>
    </w:p>
    <w:p w14:paraId="2F730DD7" w14:textId="77777777" w:rsidR="00071CFE" w:rsidRPr="00741122" w:rsidRDefault="00071CFE" w:rsidP="006B5917">
      <w:pPr>
        <w:rPr>
          <w:rFonts w:ascii="Times New Roman" w:eastAsia="Times New Roman" w:hAnsi="Times New Roman" w:cs="Times New Roman"/>
          <w:sz w:val="22"/>
          <w:szCs w:val="22"/>
          <w:u w:val="single"/>
          <w:lang w:val="lt-LT"/>
        </w:rPr>
      </w:pPr>
      <w:r w:rsidRPr="00741122">
        <w:rPr>
          <w:rFonts w:ascii="Times New Roman" w:eastAsia="Times New Roman" w:hAnsi="Times New Roman" w:cs="Times New Roman"/>
          <w:sz w:val="22"/>
          <w:szCs w:val="22"/>
          <w:u w:val="single"/>
          <w:lang w:val="lt-LT"/>
        </w:rPr>
        <w:t>Produkt leczniczy po rozcieńczeniu</w:t>
      </w:r>
    </w:p>
    <w:p w14:paraId="6BE6C1BA" w14:textId="77777777" w:rsidR="00071CFE" w:rsidRPr="00741122" w:rsidRDefault="00071CFE" w:rsidP="006B5917">
      <w:pPr>
        <w:rPr>
          <w:rFonts w:ascii="Times New Roman" w:eastAsia="Times New Roman" w:hAnsi="Times New Roman" w:cs="Times New Roman"/>
          <w:sz w:val="22"/>
          <w:szCs w:val="22"/>
          <w:lang w:val="lt-LT"/>
        </w:rPr>
      </w:pPr>
    </w:p>
    <w:p w14:paraId="0EA2E77F" w14:textId="470BFBF6"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Przygotowany do infuzji roztwór produktu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zachowuje stabilność fizyczną i chemiczną przez </w:t>
      </w:r>
      <w:r w:rsidR="00226B6B">
        <w:rPr>
          <w:rFonts w:ascii="Times New Roman" w:eastAsia="Times New Roman" w:hAnsi="Times New Roman" w:cs="Times New Roman"/>
          <w:sz w:val="22"/>
          <w:szCs w:val="22"/>
          <w:lang w:val="lt-LT"/>
        </w:rPr>
        <w:t>35 dni</w:t>
      </w:r>
      <w:r w:rsidRPr="00741122">
        <w:rPr>
          <w:rFonts w:ascii="Times New Roman" w:eastAsia="Times New Roman" w:hAnsi="Times New Roman" w:cs="Times New Roman"/>
          <w:sz w:val="22"/>
          <w:szCs w:val="22"/>
          <w:lang w:val="lt-LT"/>
        </w:rPr>
        <w:t xml:space="preserve"> w </w:t>
      </w:r>
      <w:r w:rsidR="006B5917" w:rsidRPr="00741122">
        <w:rPr>
          <w:rFonts w:ascii="Times New Roman" w:eastAsia="Times New Roman" w:hAnsi="Times New Roman" w:cs="Times New Roman"/>
          <w:sz w:val="22"/>
          <w:szCs w:val="22"/>
          <w:lang w:val="lt-LT"/>
        </w:rPr>
        <w:t xml:space="preserve">temperaturze od 2°C do </w:t>
      </w:r>
      <w:r w:rsidR="00226B6B">
        <w:rPr>
          <w:rFonts w:ascii="Times New Roman" w:eastAsia="Times New Roman" w:hAnsi="Times New Roman" w:cs="Times New Roman"/>
          <w:sz w:val="22"/>
          <w:szCs w:val="22"/>
          <w:lang w:val="lt-LT"/>
        </w:rPr>
        <w:t>8</w:t>
      </w:r>
      <w:r w:rsidR="006B5917" w:rsidRPr="00741122">
        <w:rPr>
          <w:rFonts w:ascii="Times New Roman" w:eastAsia="Times New Roman" w:hAnsi="Times New Roman" w:cs="Times New Roman"/>
          <w:sz w:val="22"/>
          <w:szCs w:val="22"/>
          <w:lang w:val="lt-LT"/>
        </w:rPr>
        <w:t xml:space="preserve">°C </w:t>
      </w:r>
      <w:r w:rsidR="00226B6B">
        <w:rPr>
          <w:rFonts w:ascii="Times New Roman" w:eastAsia="Times New Roman" w:hAnsi="Times New Roman" w:cs="Times New Roman"/>
          <w:sz w:val="22"/>
          <w:szCs w:val="22"/>
          <w:lang w:val="lt-LT"/>
        </w:rPr>
        <w:t xml:space="preserve">oraz dodatkowe 48 godzin w temperaturach nie przekraczających 30°C </w:t>
      </w:r>
      <w:r w:rsidR="006B5917" w:rsidRPr="00741122">
        <w:rPr>
          <w:rFonts w:ascii="Times New Roman" w:eastAsia="Times New Roman" w:hAnsi="Times New Roman" w:cs="Times New Roman"/>
          <w:sz w:val="22"/>
          <w:szCs w:val="22"/>
          <w:lang w:val="lt-LT"/>
        </w:rPr>
        <w:t>w 9 </w:t>
      </w:r>
      <w:r w:rsidRPr="00741122">
        <w:rPr>
          <w:rFonts w:ascii="Times New Roman" w:eastAsia="Times New Roman" w:hAnsi="Times New Roman" w:cs="Times New Roman"/>
          <w:sz w:val="22"/>
          <w:szCs w:val="22"/>
          <w:lang w:val="lt-LT"/>
        </w:rPr>
        <w:t>mg/ml (0,9%) roztworze chlorku sodu. Z mikrobiologicznego punktu widzenia przygotowany produkt należy zużyć natychmiast. Jeśli nie zostanie zużyty natychmiast, za ustalenie czasu i warunków przechowywania jest odpowiedzialna osoba podająca lek i czas ten nie powinien być dłuższy niż 24 godziny w temperaturze 2°C do 8°C, chyba że rozpuszczenie miało miejsce w kontrolowanych i walidowanych warunkach pełnej aseptyki.</w:t>
      </w:r>
    </w:p>
    <w:p w14:paraId="1A97AE68" w14:textId="77777777" w:rsidR="00071CFE" w:rsidRPr="00741122" w:rsidRDefault="00071CFE" w:rsidP="006B5917">
      <w:pPr>
        <w:rPr>
          <w:rFonts w:ascii="Times New Roman" w:eastAsia="Times New Roman" w:hAnsi="Times New Roman" w:cs="Times New Roman"/>
          <w:sz w:val="22"/>
          <w:szCs w:val="22"/>
          <w:lang w:val="lt-LT"/>
        </w:rPr>
      </w:pPr>
    </w:p>
    <w:p w14:paraId="480A9942" w14:textId="77777777" w:rsidR="00071CFE" w:rsidRPr="00741122" w:rsidRDefault="00071CFE" w:rsidP="00110779">
      <w:pPr>
        <w:tabs>
          <w:tab w:val="left" w:pos="540"/>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6.4</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Specjalne środki ostrożności podczas przechowywania</w:t>
      </w:r>
    </w:p>
    <w:p w14:paraId="59A64BC5" w14:textId="77777777" w:rsidR="00071CFE" w:rsidRPr="00741122" w:rsidRDefault="00071CFE" w:rsidP="006B5917">
      <w:pPr>
        <w:rPr>
          <w:rFonts w:ascii="Times New Roman" w:eastAsia="Times New Roman" w:hAnsi="Times New Roman" w:cs="Times New Roman"/>
          <w:sz w:val="22"/>
          <w:szCs w:val="22"/>
          <w:lang w:val="lt-LT"/>
        </w:rPr>
      </w:pPr>
    </w:p>
    <w:p w14:paraId="5BB5B9C1"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Przechowywać w lodówce (2°C-8°C).</w:t>
      </w:r>
    </w:p>
    <w:p w14:paraId="65A3FE3F"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zamrażać.</w:t>
      </w:r>
    </w:p>
    <w:p w14:paraId="5F5DAE9F"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Fiolki z lekiem przechowywać w opakowaniu zewnętrznym w celu ochrony przed światłem.</w:t>
      </w:r>
    </w:p>
    <w:p w14:paraId="2800EDA5" w14:textId="77777777" w:rsidR="00071CFE" w:rsidRPr="00741122" w:rsidRDefault="00071CFE" w:rsidP="006B5917">
      <w:pPr>
        <w:rPr>
          <w:rFonts w:ascii="Times New Roman" w:eastAsia="Times New Roman" w:hAnsi="Times New Roman" w:cs="Times New Roman"/>
          <w:sz w:val="22"/>
          <w:szCs w:val="22"/>
          <w:lang w:val="lt-LT"/>
        </w:rPr>
      </w:pPr>
    </w:p>
    <w:p w14:paraId="46A98B4A"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Warunki przechowywania produktu leczniczego po rozcieńczeniu, patrz punkt 6.3.</w:t>
      </w:r>
    </w:p>
    <w:p w14:paraId="71516022" w14:textId="77777777" w:rsidR="00071CFE" w:rsidRPr="00741122" w:rsidRDefault="00071CFE" w:rsidP="006B5917">
      <w:pPr>
        <w:rPr>
          <w:rFonts w:ascii="Times New Roman" w:eastAsia="Times New Roman" w:hAnsi="Times New Roman" w:cs="Times New Roman"/>
          <w:sz w:val="22"/>
          <w:szCs w:val="22"/>
          <w:lang w:val="lt-LT"/>
        </w:rPr>
      </w:pPr>
    </w:p>
    <w:p w14:paraId="59E1F8C7" w14:textId="77777777" w:rsidR="00071CFE" w:rsidRPr="00741122" w:rsidRDefault="00071CFE" w:rsidP="00110779">
      <w:pPr>
        <w:tabs>
          <w:tab w:val="left" w:pos="540"/>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6.5</w:t>
      </w:r>
      <w:r w:rsidRPr="00741122">
        <w:rPr>
          <w:rFonts w:ascii="Times New Roman" w:eastAsia="Times New Roman" w:hAnsi="Times New Roman" w:cs="Times New Roman"/>
          <w:sz w:val="22"/>
          <w:szCs w:val="22"/>
          <w:lang w:val="lt-LT"/>
        </w:rPr>
        <w:tab/>
      </w:r>
      <w:r w:rsidRPr="00741122">
        <w:rPr>
          <w:rFonts w:ascii="Times New Roman" w:eastAsia="Times New Roman" w:hAnsi="Times New Roman" w:cs="Times New Roman"/>
          <w:b/>
          <w:sz w:val="22"/>
          <w:szCs w:val="22"/>
          <w:lang w:val="lt-LT"/>
        </w:rPr>
        <w:t>Rodzaj i zawartość opakowania</w:t>
      </w:r>
    </w:p>
    <w:p w14:paraId="4D11D105" w14:textId="77777777" w:rsidR="00071CFE" w:rsidRPr="00741122" w:rsidRDefault="00071CFE" w:rsidP="006B5917">
      <w:pPr>
        <w:rPr>
          <w:rFonts w:ascii="Times New Roman" w:eastAsia="Times New Roman" w:hAnsi="Times New Roman" w:cs="Times New Roman"/>
          <w:sz w:val="22"/>
          <w:szCs w:val="22"/>
          <w:lang w:val="lt-LT"/>
        </w:rPr>
      </w:pPr>
    </w:p>
    <w:p w14:paraId="3F8C87C8" w14:textId="77777777" w:rsidR="00071CFE" w:rsidRPr="00741122" w:rsidRDefault="006B5917"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4 </w:t>
      </w:r>
      <w:r w:rsidR="00071CFE" w:rsidRPr="00741122">
        <w:rPr>
          <w:rFonts w:ascii="Times New Roman" w:eastAsia="Times New Roman" w:hAnsi="Times New Roman" w:cs="Times New Roman"/>
          <w:sz w:val="22"/>
          <w:szCs w:val="22"/>
          <w:lang w:val="lt-LT"/>
        </w:rPr>
        <w:t xml:space="preserve">ml roztworu w fiolce (szkło typu I) </w:t>
      </w:r>
      <w:r w:rsidRPr="00741122">
        <w:rPr>
          <w:rFonts w:ascii="Times New Roman" w:eastAsia="Times New Roman" w:hAnsi="Times New Roman" w:cs="Times New Roman"/>
          <w:sz w:val="22"/>
          <w:szCs w:val="22"/>
          <w:lang w:val="lt-LT"/>
        </w:rPr>
        <w:t>z korkiem (gumowym) zawiera 100 </w:t>
      </w:r>
      <w:r w:rsidR="00071CFE" w:rsidRPr="00741122">
        <w:rPr>
          <w:rFonts w:ascii="Times New Roman" w:eastAsia="Times New Roman" w:hAnsi="Times New Roman" w:cs="Times New Roman"/>
          <w:sz w:val="22"/>
          <w:szCs w:val="22"/>
          <w:lang w:val="lt-LT"/>
        </w:rPr>
        <w:t>mg bewacyzumabu</w:t>
      </w:r>
      <w:r w:rsidR="00834B5C">
        <w:rPr>
          <w:rFonts w:ascii="Times New Roman" w:eastAsia="Times New Roman" w:hAnsi="Times New Roman" w:cs="Times New Roman"/>
          <w:sz w:val="22"/>
          <w:szCs w:val="22"/>
          <w:lang w:val="lt-LT"/>
        </w:rPr>
        <w:t>.</w:t>
      </w:r>
    </w:p>
    <w:p w14:paraId="0D41CAC4" w14:textId="77777777" w:rsidR="00071CFE" w:rsidRPr="00741122" w:rsidRDefault="006B5917"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16 </w:t>
      </w:r>
      <w:r w:rsidR="00071CFE" w:rsidRPr="00741122">
        <w:rPr>
          <w:rFonts w:ascii="Times New Roman" w:eastAsia="Times New Roman" w:hAnsi="Times New Roman" w:cs="Times New Roman"/>
          <w:sz w:val="22"/>
          <w:szCs w:val="22"/>
          <w:lang w:val="lt-LT"/>
        </w:rPr>
        <w:t xml:space="preserve">ml roztworu w fiolce (szkło typu I) </w:t>
      </w:r>
      <w:r w:rsidRPr="00741122">
        <w:rPr>
          <w:rFonts w:ascii="Times New Roman" w:eastAsia="Times New Roman" w:hAnsi="Times New Roman" w:cs="Times New Roman"/>
          <w:sz w:val="22"/>
          <w:szCs w:val="22"/>
          <w:lang w:val="lt-LT"/>
        </w:rPr>
        <w:t>z korkiem (gumowym) zawiera 400 </w:t>
      </w:r>
      <w:r w:rsidR="00071CFE" w:rsidRPr="00741122">
        <w:rPr>
          <w:rFonts w:ascii="Times New Roman" w:eastAsia="Times New Roman" w:hAnsi="Times New Roman" w:cs="Times New Roman"/>
          <w:sz w:val="22"/>
          <w:szCs w:val="22"/>
          <w:lang w:val="lt-LT"/>
        </w:rPr>
        <w:t>mg bewacyzumabu</w:t>
      </w:r>
      <w:r w:rsidR="00834B5C">
        <w:rPr>
          <w:rFonts w:ascii="Times New Roman" w:eastAsia="Times New Roman" w:hAnsi="Times New Roman" w:cs="Times New Roman"/>
          <w:sz w:val="22"/>
          <w:szCs w:val="22"/>
          <w:lang w:val="lt-LT"/>
        </w:rPr>
        <w:t>.</w:t>
      </w:r>
    </w:p>
    <w:p w14:paraId="300C8324" w14:textId="77777777" w:rsidR="00071CFE" w:rsidRPr="00741122" w:rsidRDefault="00071CFE" w:rsidP="006B5917">
      <w:pPr>
        <w:rPr>
          <w:rFonts w:ascii="Times New Roman" w:eastAsia="Times New Roman" w:hAnsi="Times New Roman" w:cs="Times New Roman"/>
          <w:sz w:val="22"/>
          <w:szCs w:val="22"/>
          <w:lang w:val="lt-LT"/>
        </w:rPr>
      </w:pPr>
    </w:p>
    <w:p w14:paraId="6B0FCFEC" w14:textId="14F98F52"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Opakowanie zawiera 1 fiolkę</w:t>
      </w:r>
      <w:r w:rsidR="00BF27AA">
        <w:rPr>
          <w:rFonts w:ascii="Times New Roman" w:eastAsia="Times New Roman" w:hAnsi="Times New Roman" w:cs="Times New Roman"/>
          <w:sz w:val="22"/>
          <w:szCs w:val="22"/>
          <w:lang w:val="lt-LT"/>
        </w:rPr>
        <w:t>.</w:t>
      </w:r>
    </w:p>
    <w:p w14:paraId="58A87463" w14:textId="77777777" w:rsidR="00071CFE" w:rsidRPr="00741122" w:rsidRDefault="00071CFE" w:rsidP="006B5917">
      <w:pPr>
        <w:rPr>
          <w:rFonts w:ascii="Times New Roman" w:eastAsia="Times New Roman" w:hAnsi="Times New Roman" w:cs="Times New Roman"/>
          <w:sz w:val="22"/>
          <w:szCs w:val="22"/>
          <w:lang w:val="lt-LT"/>
        </w:rPr>
      </w:pPr>
    </w:p>
    <w:p w14:paraId="5185EA48" w14:textId="77777777" w:rsidR="00071CFE" w:rsidRPr="00741122" w:rsidRDefault="00071CFE" w:rsidP="002B1650">
      <w:pPr>
        <w:keepNext/>
        <w:tabs>
          <w:tab w:val="left" w:pos="540"/>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6.6</w:t>
      </w:r>
      <w:r w:rsidRPr="00741122">
        <w:rPr>
          <w:rFonts w:ascii="Times New Roman" w:eastAsia="Times New Roman" w:hAnsi="Times New Roman" w:cs="Times New Roman"/>
          <w:b/>
          <w:sz w:val="22"/>
          <w:szCs w:val="22"/>
          <w:lang w:val="lt-LT"/>
        </w:rPr>
        <w:tab/>
        <w:t>Specjalne środki ostrożności dotyczące usuwania i przygotowania produktu leczniczego do stosowania</w:t>
      </w:r>
    </w:p>
    <w:p w14:paraId="1979B0B6" w14:textId="77777777" w:rsidR="00071CFE" w:rsidRPr="00741122" w:rsidRDefault="00071CFE" w:rsidP="006B5917">
      <w:pPr>
        <w:rPr>
          <w:rFonts w:ascii="Times New Roman" w:eastAsia="Times New Roman" w:hAnsi="Times New Roman" w:cs="Times New Roman"/>
          <w:sz w:val="22"/>
          <w:szCs w:val="22"/>
          <w:lang w:val="lt-LT"/>
        </w:rPr>
      </w:pPr>
    </w:p>
    <w:p w14:paraId="07DF775A" w14:textId="1763BF33" w:rsidR="004D54A4" w:rsidRDefault="004D54A4" w:rsidP="006B5917">
      <w:pPr>
        <w:rPr>
          <w:rFonts w:ascii="Times New Roman" w:eastAsia="Times New Roman" w:hAnsi="Times New Roman" w:cs="Times New Roman"/>
          <w:sz w:val="22"/>
          <w:szCs w:val="22"/>
          <w:lang w:val="lt-LT"/>
        </w:rPr>
      </w:pPr>
      <w:r w:rsidRPr="004D54A4">
        <w:rPr>
          <w:rFonts w:ascii="Times New Roman" w:eastAsia="Times New Roman" w:hAnsi="Times New Roman" w:cs="Times New Roman"/>
          <w:sz w:val="22"/>
          <w:szCs w:val="22"/>
          <w:lang w:val="lt-LT"/>
        </w:rPr>
        <w:t>Nie wstrząsać fiolką.</w:t>
      </w:r>
    </w:p>
    <w:p w14:paraId="68AAD048" w14:textId="77777777" w:rsidR="004D54A4" w:rsidRDefault="004D54A4" w:rsidP="006B5917">
      <w:pPr>
        <w:rPr>
          <w:rFonts w:ascii="Times New Roman" w:eastAsia="Times New Roman" w:hAnsi="Times New Roman" w:cs="Times New Roman"/>
          <w:sz w:val="22"/>
          <w:szCs w:val="22"/>
          <w:lang w:val="lt-LT"/>
        </w:rPr>
      </w:pPr>
    </w:p>
    <w:p w14:paraId="6C7D06D0" w14:textId="01392224" w:rsidR="00071CFE" w:rsidRPr="0041202B" w:rsidRDefault="00261A5A" w:rsidP="006B5917">
      <w:pPr>
        <w:rPr>
          <w:rFonts w:ascii="Times New Roman" w:eastAsia="Times New Roman" w:hAnsi="Times New Roman" w:cs="Times New Roman"/>
          <w:sz w:val="22"/>
          <w:szCs w:val="22"/>
          <w:lang w:val="pl-PL"/>
        </w:rPr>
      </w:pPr>
      <w:r>
        <w:rPr>
          <w:rFonts w:ascii="Times New Roman" w:eastAsia="Times New Roman" w:hAnsi="Times New Roman" w:cs="Times New Roman"/>
          <w:sz w:val="22"/>
          <w:szCs w:val="22"/>
          <w:lang w:val="lt-LT"/>
        </w:rPr>
        <w:lastRenderedPageBreak/>
        <w:t>MVASI</w:t>
      </w:r>
      <w:r w:rsidR="00071CFE" w:rsidRPr="00741122">
        <w:rPr>
          <w:rFonts w:ascii="Times New Roman" w:eastAsia="Times New Roman" w:hAnsi="Times New Roman" w:cs="Times New Roman"/>
          <w:sz w:val="22"/>
          <w:szCs w:val="22"/>
          <w:lang w:val="lt-LT"/>
        </w:rPr>
        <w:t xml:space="preserve"> </w:t>
      </w:r>
      <w:r w:rsidR="00E01221">
        <w:rPr>
          <w:rFonts w:ascii="Times New Roman" w:eastAsia="Times New Roman" w:hAnsi="Times New Roman" w:cs="Times New Roman"/>
          <w:sz w:val="22"/>
          <w:szCs w:val="22"/>
          <w:lang w:val="lt-LT"/>
        </w:rPr>
        <w:t>należy</w:t>
      </w:r>
      <w:r w:rsidR="00071CFE" w:rsidRPr="00741122">
        <w:rPr>
          <w:rFonts w:ascii="Times New Roman" w:eastAsia="Times New Roman" w:hAnsi="Times New Roman" w:cs="Times New Roman"/>
          <w:sz w:val="22"/>
          <w:szCs w:val="22"/>
          <w:lang w:val="lt-LT"/>
        </w:rPr>
        <w:t xml:space="preserve"> przygotowa</w:t>
      </w:r>
      <w:r w:rsidR="00E01221">
        <w:rPr>
          <w:rFonts w:ascii="Times New Roman" w:eastAsia="Times New Roman" w:hAnsi="Times New Roman" w:cs="Times New Roman"/>
          <w:sz w:val="22"/>
          <w:szCs w:val="22"/>
          <w:lang w:val="lt-LT"/>
        </w:rPr>
        <w:t>ć</w:t>
      </w:r>
      <w:r w:rsidR="00071CFE" w:rsidRPr="00741122">
        <w:rPr>
          <w:rFonts w:ascii="Times New Roman" w:eastAsia="Times New Roman" w:hAnsi="Times New Roman" w:cs="Times New Roman"/>
          <w:sz w:val="22"/>
          <w:szCs w:val="22"/>
          <w:lang w:val="lt-LT"/>
        </w:rPr>
        <w:t xml:space="preserve"> z zachowaniem zasad aseptyki przez osobę należącą do personelu medycznego, by zapewnić jałowość roztworu przygotowanego do podania.</w:t>
      </w:r>
      <w:r w:rsidR="00CC17DE">
        <w:rPr>
          <w:rFonts w:ascii="Times New Roman" w:eastAsia="Times New Roman" w:hAnsi="Times New Roman" w:cs="Times New Roman"/>
          <w:sz w:val="22"/>
          <w:szCs w:val="22"/>
          <w:lang w:val="lt-LT"/>
        </w:rPr>
        <w:t xml:space="preserve"> </w:t>
      </w:r>
      <w:r w:rsidR="00CC17DE" w:rsidRPr="00CC17DE">
        <w:rPr>
          <w:rFonts w:ascii="Times New Roman" w:eastAsia="Times New Roman" w:hAnsi="Times New Roman" w:cs="Times New Roman"/>
          <w:sz w:val="22"/>
          <w:szCs w:val="22"/>
          <w:lang w:val="lt-LT"/>
        </w:rPr>
        <w:t xml:space="preserve">Do przygotowania leku </w:t>
      </w:r>
      <w:r w:rsidR="00FB1AF4">
        <w:rPr>
          <w:rFonts w:ascii="Times New Roman" w:eastAsia="Times New Roman" w:hAnsi="Times New Roman" w:cs="Times New Roman"/>
          <w:sz w:val="22"/>
          <w:szCs w:val="22"/>
          <w:lang w:val="lt-LT"/>
        </w:rPr>
        <w:t>MVASI</w:t>
      </w:r>
      <w:r w:rsidR="00CC17DE" w:rsidRPr="00CC17DE">
        <w:rPr>
          <w:rFonts w:ascii="Times New Roman" w:eastAsia="Times New Roman" w:hAnsi="Times New Roman" w:cs="Times New Roman"/>
          <w:sz w:val="22"/>
          <w:szCs w:val="22"/>
          <w:lang w:val="lt-LT"/>
        </w:rPr>
        <w:t xml:space="preserve"> należy użyć sterylnej igły i strzykawki.</w:t>
      </w:r>
    </w:p>
    <w:p w14:paraId="137B4B75" w14:textId="77777777" w:rsidR="00071CFE" w:rsidRPr="00741122" w:rsidRDefault="00071CFE" w:rsidP="006B5917">
      <w:pPr>
        <w:rPr>
          <w:rFonts w:ascii="Times New Roman" w:eastAsia="Times New Roman" w:hAnsi="Times New Roman" w:cs="Times New Roman"/>
          <w:sz w:val="22"/>
          <w:szCs w:val="22"/>
          <w:lang w:val="lt-LT"/>
        </w:rPr>
      </w:pPr>
    </w:p>
    <w:p w14:paraId="7C0A7E93" w14:textId="442363CB"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Wymaganą do podania dawkę bewacyzumabu należy rozcieńczyć przy użyciu roztwor</w:t>
      </w:r>
      <w:r w:rsidR="006B5917" w:rsidRPr="00741122">
        <w:rPr>
          <w:rFonts w:ascii="Times New Roman" w:eastAsia="Times New Roman" w:hAnsi="Times New Roman" w:cs="Times New Roman"/>
          <w:sz w:val="22"/>
          <w:szCs w:val="22"/>
          <w:lang w:val="lt-LT"/>
        </w:rPr>
        <w:t>u chlorku sodu do wstrzykiwań 9 </w:t>
      </w:r>
      <w:r w:rsidRPr="00741122">
        <w:rPr>
          <w:rFonts w:ascii="Times New Roman" w:eastAsia="Times New Roman" w:hAnsi="Times New Roman" w:cs="Times New Roman"/>
          <w:sz w:val="22"/>
          <w:szCs w:val="22"/>
          <w:lang w:val="lt-LT"/>
        </w:rPr>
        <w:t>mg/ml (0,9%). Otrzymane końcowe stężenie roztworu bewacyzumab</w:t>
      </w:r>
      <w:r w:rsidR="006B5917" w:rsidRPr="00741122">
        <w:rPr>
          <w:rFonts w:ascii="Times New Roman" w:eastAsia="Times New Roman" w:hAnsi="Times New Roman" w:cs="Times New Roman"/>
          <w:sz w:val="22"/>
          <w:szCs w:val="22"/>
          <w:lang w:val="lt-LT"/>
        </w:rPr>
        <w:t>u powinno być w zakresie od 1,4 mg/ml do 16,5 </w:t>
      </w:r>
      <w:r w:rsidRPr="00741122">
        <w:rPr>
          <w:rFonts w:ascii="Times New Roman" w:eastAsia="Times New Roman" w:hAnsi="Times New Roman" w:cs="Times New Roman"/>
          <w:sz w:val="22"/>
          <w:szCs w:val="22"/>
          <w:lang w:val="lt-LT"/>
        </w:rPr>
        <w:t xml:space="preserve">mg/ml. W większości przypadków wymaganą do podania dawkę </w:t>
      </w:r>
      <w:r w:rsidR="00E01221">
        <w:rPr>
          <w:rFonts w:ascii="Times New Roman" w:eastAsia="Times New Roman" w:hAnsi="Times New Roman" w:cs="Times New Roman"/>
          <w:sz w:val="22"/>
          <w:szCs w:val="22"/>
          <w:lang w:val="lt-LT"/>
        </w:rPr>
        <w:t>produktu</w:t>
      </w:r>
      <w:r w:rsidRPr="00741122">
        <w:rPr>
          <w:rFonts w:ascii="Times New Roman" w:eastAsia="Times New Roman" w:hAnsi="Times New Roman" w:cs="Times New Roman"/>
          <w:sz w:val="22"/>
          <w:szCs w:val="22"/>
          <w:lang w:val="lt-LT"/>
        </w:rPr>
        <w:t xml:space="preserve">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można rozcieńczyć przy użyciu roztworu chlorku sodu do wstrzykiwań o stężeniu </w:t>
      </w:r>
      <w:r w:rsidR="00105519">
        <w:rPr>
          <w:rFonts w:ascii="Times New Roman" w:eastAsia="Times New Roman" w:hAnsi="Times New Roman" w:cs="Times New Roman"/>
          <w:sz w:val="22"/>
          <w:szCs w:val="22"/>
          <w:lang w:val="lt-LT"/>
        </w:rPr>
        <w:t>9 mg/ml (0,9%)</w:t>
      </w:r>
      <w:r w:rsidR="004D5D05" w:rsidRPr="00741122">
        <w:rPr>
          <w:rFonts w:ascii="Times New Roman" w:eastAsia="Times New Roman" w:hAnsi="Times New Roman" w:cs="Times New Roman"/>
          <w:sz w:val="22"/>
          <w:szCs w:val="22"/>
          <w:lang w:val="lt-LT"/>
        </w:rPr>
        <w:t xml:space="preserve"> do całkowitej objętości 100 </w:t>
      </w:r>
      <w:r w:rsidRPr="00741122">
        <w:rPr>
          <w:rFonts w:ascii="Times New Roman" w:eastAsia="Times New Roman" w:hAnsi="Times New Roman" w:cs="Times New Roman"/>
          <w:sz w:val="22"/>
          <w:szCs w:val="22"/>
          <w:lang w:val="lt-LT"/>
        </w:rPr>
        <w:t>ml.</w:t>
      </w:r>
    </w:p>
    <w:p w14:paraId="39A6BAA6" w14:textId="77777777" w:rsidR="00071CFE" w:rsidRPr="00741122" w:rsidRDefault="00071CFE" w:rsidP="006B5917">
      <w:pPr>
        <w:rPr>
          <w:rFonts w:ascii="Times New Roman" w:eastAsia="Times New Roman" w:hAnsi="Times New Roman" w:cs="Times New Roman"/>
          <w:sz w:val="22"/>
          <w:szCs w:val="22"/>
          <w:lang w:val="lt-LT"/>
        </w:rPr>
      </w:pPr>
    </w:p>
    <w:p w14:paraId="4C5345D9"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Przed parenteralnym podaniem produktów leczniczych należy sprawdzić wzrokowo, czy przygotowany produkt nie zawiera żadnych widocznych cząstek i czy nie zmienił zabarwienia.</w:t>
      </w:r>
    </w:p>
    <w:p w14:paraId="31AB83FA" w14:textId="77777777" w:rsidR="00071CFE" w:rsidRPr="00741122" w:rsidRDefault="00071CFE" w:rsidP="006B5917">
      <w:pPr>
        <w:rPr>
          <w:rFonts w:ascii="Times New Roman" w:eastAsia="Times New Roman" w:hAnsi="Times New Roman" w:cs="Times New Roman"/>
          <w:sz w:val="22"/>
          <w:szCs w:val="22"/>
          <w:lang w:val="lt-LT"/>
        </w:rPr>
      </w:pPr>
    </w:p>
    <w:p w14:paraId="1BF2E81D" w14:textId="77777777" w:rsidR="00071CFE" w:rsidRPr="00741122"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obserwowano żadnych niezgodności pomiędzy produktem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a polichlorkiem winylu, torbami z poliolefin lub zestawami do infuzji.</w:t>
      </w:r>
    </w:p>
    <w:p w14:paraId="50BF4F4A" w14:textId="77777777" w:rsidR="00071CFE" w:rsidRPr="00741122" w:rsidRDefault="00071CFE" w:rsidP="006B5917">
      <w:pPr>
        <w:rPr>
          <w:rFonts w:ascii="Times New Roman" w:eastAsia="Times New Roman" w:hAnsi="Times New Roman" w:cs="Times New Roman"/>
          <w:sz w:val="22"/>
          <w:szCs w:val="22"/>
          <w:lang w:val="lt-LT"/>
        </w:rPr>
      </w:pPr>
    </w:p>
    <w:p w14:paraId="5651B0E8" w14:textId="77777777" w:rsidR="00071CFE" w:rsidRPr="00741122" w:rsidRDefault="00261A5A" w:rsidP="006B5917">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produktem do jednorazowego użycia ze względu na to, że nie zawiera on żadnych konserwantów. Wszelkie niewykorzystane resztki produktu leczniczego lub jego odpady należy usunąć zgodnie z lokalnymi przepisami.</w:t>
      </w:r>
    </w:p>
    <w:p w14:paraId="16FCAB1F" w14:textId="77777777" w:rsidR="00071CFE" w:rsidRPr="00741122" w:rsidRDefault="00071CFE" w:rsidP="006B5917">
      <w:pPr>
        <w:rPr>
          <w:rFonts w:ascii="Times New Roman" w:eastAsia="Times New Roman" w:hAnsi="Times New Roman" w:cs="Times New Roman"/>
          <w:sz w:val="22"/>
          <w:szCs w:val="22"/>
          <w:lang w:val="lt-LT"/>
        </w:rPr>
      </w:pPr>
    </w:p>
    <w:p w14:paraId="763D7AE2" w14:textId="77777777" w:rsidR="00071CFE" w:rsidRPr="00741122" w:rsidRDefault="00071CFE" w:rsidP="006B5917">
      <w:pPr>
        <w:rPr>
          <w:rFonts w:ascii="Times New Roman" w:eastAsia="Times New Roman" w:hAnsi="Times New Roman" w:cs="Times New Roman"/>
          <w:sz w:val="22"/>
          <w:szCs w:val="22"/>
          <w:lang w:val="lt-LT"/>
        </w:rPr>
      </w:pPr>
    </w:p>
    <w:p w14:paraId="2FA019E7" w14:textId="77777777" w:rsidR="00071CFE" w:rsidRPr="00741122" w:rsidRDefault="00071CFE" w:rsidP="0023471C">
      <w:pPr>
        <w:numPr>
          <w:ilvl w:val="0"/>
          <w:numId w:val="38"/>
        </w:numPr>
        <w:tabs>
          <w:tab w:val="left" w:pos="562"/>
        </w:tabs>
        <w:ind w:left="567" w:hanging="567"/>
        <w:rPr>
          <w:rFonts w:ascii="Times New Roman" w:eastAsia="Times New Roman" w:hAnsi="Times New Roman" w:cs="Times New Roman"/>
          <w:b/>
          <w:sz w:val="22"/>
          <w:szCs w:val="22"/>
          <w:lang w:val="lt-LT"/>
        </w:rPr>
      </w:pPr>
      <w:bookmarkStart w:id="61" w:name="page59"/>
      <w:bookmarkEnd w:id="61"/>
      <w:r w:rsidRPr="00741122">
        <w:rPr>
          <w:rFonts w:ascii="Times New Roman" w:eastAsia="Times New Roman" w:hAnsi="Times New Roman" w:cs="Times New Roman"/>
          <w:b/>
          <w:sz w:val="22"/>
          <w:szCs w:val="22"/>
          <w:lang w:val="lt-LT"/>
        </w:rPr>
        <w:t>PODMIOT ODPOWIEDZIALNY POSIADAJĄCY POZWOLENIE NA DOPUSZCZENIE DO OBROTU</w:t>
      </w:r>
    </w:p>
    <w:p w14:paraId="2C0E78AE" w14:textId="77777777" w:rsidR="00071CFE" w:rsidRPr="00741122" w:rsidRDefault="00071CFE" w:rsidP="00110779">
      <w:pPr>
        <w:rPr>
          <w:rFonts w:ascii="Times New Roman" w:eastAsia="Times New Roman" w:hAnsi="Times New Roman" w:cs="Times New Roman"/>
          <w:sz w:val="22"/>
          <w:szCs w:val="22"/>
          <w:lang w:val="lt-LT"/>
        </w:rPr>
      </w:pPr>
    </w:p>
    <w:p w14:paraId="423862CF" w14:textId="77777777" w:rsidR="00405231" w:rsidRPr="005C5382" w:rsidRDefault="00405231" w:rsidP="005C5382">
      <w:pPr>
        <w:rPr>
          <w:rFonts w:ascii="Times New Roman" w:hAnsi="Times New Roman" w:cs="Times New Roman"/>
          <w:sz w:val="22"/>
          <w:szCs w:val="22"/>
        </w:rPr>
      </w:pPr>
      <w:r w:rsidRPr="005C5382">
        <w:rPr>
          <w:rFonts w:ascii="Times New Roman" w:hAnsi="Times New Roman" w:cs="Times New Roman"/>
          <w:sz w:val="22"/>
          <w:szCs w:val="22"/>
        </w:rPr>
        <w:t>Amgen Technology (Ireland) UC,</w:t>
      </w:r>
    </w:p>
    <w:p w14:paraId="08337080" w14:textId="77777777" w:rsidR="00405231" w:rsidRPr="005C5382" w:rsidRDefault="00405231" w:rsidP="005C5382">
      <w:pPr>
        <w:rPr>
          <w:rFonts w:ascii="Times New Roman" w:hAnsi="Times New Roman" w:cs="Times New Roman"/>
          <w:sz w:val="22"/>
          <w:szCs w:val="22"/>
        </w:rPr>
      </w:pPr>
      <w:r w:rsidRPr="005C5382">
        <w:rPr>
          <w:rFonts w:ascii="Times New Roman" w:hAnsi="Times New Roman" w:cs="Times New Roman"/>
          <w:sz w:val="22"/>
          <w:szCs w:val="22"/>
        </w:rPr>
        <w:t>Pottery Road,</w:t>
      </w:r>
    </w:p>
    <w:p w14:paraId="386F950C" w14:textId="77777777" w:rsidR="00405231" w:rsidRPr="005C5382" w:rsidRDefault="00405231" w:rsidP="005C5382">
      <w:pPr>
        <w:rPr>
          <w:rFonts w:ascii="Times New Roman" w:hAnsi="Times New Roman" w:cs="Times New Roman"/>
          <w:sz w:val="22"/>
          <w:szCs w:val="22"/>
        </w:rPr>
      </w:pPr>
      <w:r w:rsidRPr="005C5382">
        <w:rPr>
          <w:rFonts w:ascii="Times New Roman" w:hAnsi="Times New Roman" w:cs="Times New Roman"/>
          <w:sz w:val="22"/>
          <w:szCs w:val="22"/>
        </w:rPr>
        <w:t>Dun Laoghaire,</w:t>
      </w:r>
    </w:p>
    <w:p w14:paraId="2BB5D031" w14:textId="77777777" w:rsidR="00405231" w:rsidRPr="005C5382" w:rsidRDefault="00405231" w:rsidP="005C5382">
      <w:pPr>
        <w:rPr>
          <w:rFonts w:ascii="Times New Roman" w:hAnsi="Times New Roman" w:cs="Times New Roman"/>
          <w:sz w:val="22"/>
          <w:szCs w:val="22"/>
        </w:rPr>
      </w:pPr>
      <w:r w:rsidRPr="005C5382">
        <w:rPr>
          <w:rFonts w:ascii="Times New Roman" w:hAnsi="Times New Roman" w:cs="Times New Roman"/>
          <w:sz w:val="22"/>
          <w:szCs w:val="22"/>
        </w:rPr>
        <w:t>Co. Dublin,</w:t>
      </w:r>
    </w:p>
    <w:p w14:paraId="7900B1AD" w14:textId="77777777" w:rsidR="00405231" w:rsidRPr="00E77ACE" w:rsidRDefault="00405231" w:rsidP="00405231">
      <w:pPr>
        <w:widowControl w:val="0"/>
        <w:autoSpaceDE w:val="0"/>
        <w:autoSpaceDN w:val="0"/>
        <w:adjustRightInd w:val="0"/>
        <w:rPr>
          <w:rFonts w:ascii="Times New Roman" w:hAnsi="Times New Roman" w:cs="Times New Roman"/>
          <w:color w:val="000000"/>
          <w:sz w:val="22"/>
          <w:szCs w:val="22"/>
          <w:lang w:val="pl-PL"/>
        </w:rPr>
      </w:pPr>
      <w:r w:rsidRPr="00E77ACE">
        <w:rPr>
          <w:rFonts w:ascii="Times New Roman" w:hAnsi="Times New Roman" w:cs="Times New Roman"/>
          <w:color w:val="000000"/>
          <w:sz w:val="22"/>
          <w:szCs w:val="22"/>
          <w:lang w:val="pl-PL"/>
        </w:rPr>
        <w:t>Irlandia</w:t>
      </w:r>
    </w:p>
    <w:p w14:paraId="2AAD3DCC" w14:textId="77777777" w:rsidR="00071CFE" w:rsidRPr="00741122" w:rsidRDefault="00071CFE" w:rsidP="00110779">
      <w:pPr>
        <w:rPr>
          <w:rFonts w:ascii="Times New Roman" w:eastAsia="Times New Roman" w:hAnsi="Times New Roman" w:cs="Times New Roman"/>
          <w:sz w:val="22"/>
          <w:szCs w:val="22"/>
          <w:lang w:val="lt-LT"/>
        </w:rPr>
      </w:pPr>
    </w:p>
    <w:p w14:paraId="53289001" w14:textId="77777777" w:rsidR="00071CFE" w:rsidRPr="00741122" w:rsidRDefault="00071CFE" w:rsidP="00110779">
      <w:pPr>
        <w:rPr>
          <w:rFonts w:ascii="Times New Roman" w:eastAsia="Times New Roman" w:hAnsi="Times New Roman" w:cs="Times New Roman"/>
          <w:sz w:val="22"/>
          <w:szCs w:val="22"/>
          <w:lang w:val="lt-LT"/>
        </w:rPr>
      </w:pPr>
    </w:p>
    <w:p w14:paraId="5629487C" w14:textId="77777777" w:rsidR="00071CFE" w:rsidRPr="00741122" w:rsidRDefault="00071CFE" w:rsidP="0023471C">
      <w:pPr>
        <w:numPr>
          <w:ilvl w:val="0"/>
          <w:numId w:val="39"/>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NUMER(-Y) POZWOLENIA(Ń) NA DOPUSZCZENIE DO OBROTU</w:t>
      </w:r>
    </w:p>
    <w:p w14:paraId="08CE99E3" w14:textId="77777777" w:rsidR="00071CFE" w:rsidRPr="00741122" w:rsidRDefault="00071CFE" w:rsidP="006B5917">
      <w:pPr>
        <w:rPr>
          <w:rFonts w:ascii="Times New Roman" w:eastAsia="Times New Roman" w:hAnsi="Times New Roman" w:cs="Times New Roman"/>
          <w:sz w:val="22"/>
          <w:szCs w:val="22"/>
          <w:lang w:val="lt-LT"/>
        </w:rPr>
      </w:pPr>
    </w:p>
    <w:p w14:paraId="78F24EF6" w14:textId="77777777" w:rsidR="00071CFE" w:rsidRDefault="00842916" w:rsidP="006B5917">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EU/1/17/1246/001</w:t>
      </w:r>
    </w:p>
    <w:p w14:paraId="02CC27BC" w14:textId="77777777" w:rsidR="00842916" w:rsidRPr="00741122" w:rsidRDefault="00842916" w:rsidP="00842916">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EU/1/17/1246/002</w:t>
      </w:r>
    </w:p>
    <w:p w14:paraId="6D1D0E38" w14:textId="77777777" w:rsidR="00842916" w:rsidRDefault="00842916" w:rsidP="006B5917">
      <w:pPr>
        <w:rPr>
          <w:rFonts w:ascii="Times New Roman" w:eastAsia="Times New Roman" w:hAnsi="Times New Roman" w:cs="Times New Roman"/>
          <w:sz w:val="22"/>
          <w:szCs w:val="22"/>
          <w:lang w:val="lt-LT"/>
        </w:rPr>
      </w:pPr>
    </w:p>
    <w:p w14:paraId="0E0557E4" w14:textId="77777777" w:rsidR="00E640CC" w:rsidRPr="00741122" w:rsidRDefault="00E640CC" w:rsidP="006B5917">
      <w:pPr>
        <w:rPr>
          <w:rFonts w:ascii="Times New Roman" w:eastAsia="Times New Roman" w:hAnsi="Times New Roman" w:cs="Times New Roman"/>
          <w:sz w:val="22"/>
          <w:szCs w:val="22"/>
          <w:lang w:val="lt-LT"/>
        </w:rPr>
      </w:pPr>
    </w:p>
    <w:p w14:paraId="0EB759A9" w14:textId="77777777" w:rsidR="00071CFE" w:rsidRPr="00741122" w:rsidRDefault="00D7780D" w:rsidP="00F12C6A">
      <w:pPr>
        <w:numPr>
          <w:ilvl w:val="0"/>
          <w:numId w:val="39"/>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DATA WYDANIA PIERWSZEGO POZWOLENIA NA DOPUSZCZENIE DO OBROTU / DATA PRZEDŁUŻENIA POZWOLENIA</w:t>
      </w:r>
    </w:p>
    <w:p w14:paraId="2AF74E63" w14:textId="77777777" w:rsidR="00D7780D" w:rsidRPr="00741122" w:rsidRDefault="00D7780D" w:rsidP="00D7780D">
      <w:pPr>
        <w:tabs>
          <w:tab w:val="left" w:pos="562"/>
        </w:tabs>
        <w:rPr>
          <w:rFonts w:ascii="Times New Roman" w:eastAsia="Times New Roman" w:hAnsi="Times New Roman" w:cs="Times New Roman"/>
          <w:b/>
          <w:sz w:val="22"/>
          <w:szCs w:val="22"/>
          <w:lang w:val="lt-LT"/>
        </w:rPr>
      </w:pPr>
    </w:p>
    <w:p w14:paraId="6C86E2F6" w14:textId="77777777" w:rsidR="00071CFE" w:rsidRDefault="00071CFE" w:rsidP="006B5917">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Data wydania pierwszego pozwolenia na dopuszczenia do obrotu: </w:t>
      </w:r>
      <w:r w:rsidR="00892D6F" w:rsidRPr="00892D6F">
        <w:rPr>
          <w:rFonts w:ascii="Times New Roman" w:eastAsia="Times New Roman" w:hAnsi="Times New Roman" w:cs="Times New Roman"/>
          <w:sz w:val="22"/>
          <w:szCs w:val="22"/>
          <w:lang w:val="lt-LT"/>
        </w:rPr>
        <w:t>1</w:t>
      </w:r>
      <w:r w:rsidR="00892D6F">
        <w:rPr>
          <w:rFonts w:ascii="Times New Roman" w:eastAsia="Times New Roman" w:hAnsi="Times New Roman" w:cs="Times New Roman"/>
          <w:sz w:val="22"/>
          <w:szCs w:val="22"/>
          <w:lang w:val="lt-LT"/>
        </w:rPr>
        <w:t>5</w:t>
      </w:r>
      <w:r w:rsidR="00892D6F" w:rsidRPr="00892D6F">
        <w:rPr>
          <w:rFonts w:ascii="Times New Roman" w:eastAsia="Times New Roman" w:hAnsi="Times New Roman" w:cs="Times New Roman"/>
          <w:sz w:val="22"/>
          <w:szCs w:val="22"/>
          <w:lang w:val="lt-LT"/>
        </w:rPr>
        <w:t xml:space="preserve"> stycznia 201</w:t>
      </w:r>
      <w:r w:rsidR="00892D6F">
        <w:rPr>
          <w:rFonts w:ascii="Times New Roman" w:eastAsia="Times New Roman" w:hAnsi="Times New Roman" w:cs="Times New Roman"/>
          <w:sz w:val="22"/>
          <w:szCs w:val="22"/>
          <w:lang w:val="lt-LT"/>
        </w:rPr>
        <w:t>8</w:t>
      </w:r>
    </w:p>
    <w:p w14:paraId="1737D7B8" w14:textId="5724EEF4" w:rsidR="00105519" w:rsidRPr="00741122" w:rsidRDefault="00105519" w:rsidP="006B5917">
      <w:pPr>
        <w:rPr>
          <w:rFonts w:ascii="Times New Roman" w:eastAsia="Times New Roman" w:hAnsi="Times New Roman" w:cs="Times New Roman"/>
          <w:sz w:val="22"/>
          <w:szCs w:val="22"/>
          <w:lang w:val="lt-LT"/>
        </w:rPr>
      </w:pPr>
      <w:r w:rsidRPr="00105519">
        <w:rPr>
          <w:rFonts w:ascii="Times New Roman" w:eastAsia="Times New Roman" w:hAnsi="Times New Roman" w:cs="Times New Roman"/>
          <w:sz w:val="22"/>
          <w:szCs w:val="22"/>
          <w:lang w:val="lt-LT"/>
        </w:rPr>
        <w:t>Data ostatniego przedłużenia pozwolenia:</w:t>
      </w:r>
      <w:r w:rsidR="00754B1C">
        <w:rPr>
          <w:rFonts w:ascii="Times New Roman" w:eastAsia="Times New Roman" w:hAnsi="Times New Roman" w:cs="Times New Roman"/>
          <w:sz w:val="22"/>
          <w:szCs w:val="22"/>
          <w:lang w:val="lt-LT"/>
        </w:rPr>
        <w:t xml:space="preserve"> 21 września 2022</w:t>
      </w:r>
    </w:p>
    <w:p w14:paraId="0DBDDDA6" w14:textId="77777777" w:rsidR="00071CFE" w:rsidRPr="00741122" w:rsidRDefault="00071CFE" w:rsidP="006B5917">
      <w:pPr>
        <w:rPr>
          <w:rFonts w:ascii="Times New Roman" w:eastAsia="Times New Roman" w:hAnsi="Times New Roman" w:cs="Times New Roman"/>
          <w:sz w:val="22"/>
          <w:szCs w:val="22"/>
          <w:lang w:val="lt-LT"/>
        </w:rPr>
      </w:pPr>
    </w:p>
    <w:p w14:paraId="47ECDA88" w14:textId="77777777" w:rsidR="00071CFE" w:rsidRPr="00741122" w:rsidRDefault="00071CFE" w:rsidP="006B5917">
      <w:pPr>
        <w:rPr>
          <w:rFonts w:ascii="Times New Roman" w:eastAsia="Times New Roman" w:hAnsi="Times New Roman" w:cs="Times New Roman"/>
          <w:sz w:val="22"/>
          <w:szCs w:val="22"/>
          <w:lang w:val="lt-LT"/>
        </w:rPr>
      </w:pPr>
    </w:p>
    <w:p w14:paraId="64887A35" w14:textId="77777777" w:rsidR="00D24A07" w:rsidRPr="00741122" w:rsidRDefault="00D24A07" w:rsidP="00F12C6A">
      <w:pPr>
        <w:numPr>
          <w:ilvl w:val="0"/>
          <w:numId w:val="39"/>
        </w:numPr>
        <w:tabs>
          <w:tab w:val="left" w:pos="567"/>
        </w:tabs>
        <w:ind w:left="567" w:hanging="567"/>
        <w:rPr>
          <w:rFonts w:ascii="Times New Roman" w:hAnsi="Times New Roman" w:cs="Times New Roman"/>
          <w:b/>
          <w:noProof/>
          <w:sz w:val="22"/>
          <w:szCs w:val="22"/>
          <w:lang w:val="lt-LT"/>
        </w:rPr>
      </w:pPr>
      <w:bookmarkStart w:id="62" w:name="_Hlk489434440"/>
      <w:r w:rsidRPr="00741122">
        <w:rPr>
          <w:rFonts w:ascii="Times New Roman" w:hAnsi="Times New Roman" w:cs="Times New Roman"/>
          <w:b/>
          <w:noProof/>
          <w:sz w:val="22"/>
          <w:lang w:val="lt-LT"/>
        </w:rPr>
        <w:t>DATA ZATWIERDZENIA LUB CZĘŚCIOWEJ ZMIANY TEKSTU CHARAKTERYSTYKI PRODUKTU LECZNICZEGO</w:t>
      </w:r>
      <w:bookmarkEnd w:id="62"/>
    </w:p>
    <w:p w14:paraId="62C5252F" w14:textId="77777777" w:rsidR="00071CFE" w:rsidRPr="00741122" w:rsidRDefault="00071CFE">
      <w:pPr>
        <w:spacing w:line="253" w:lineRule="exact"/>
        <w:rPr>
          <w:rFonts w:ascii="Times New Roman" w:eastAsia="Times New Roman" w:hAnsi="Times New Roman" w:cs="Times New Roman"/>
          <w:sz w:val="22"/>
          <w:lang w:val="lt-LT"/>
        </w:rPr>
      </w:pPr>
    </w:p>
    <w:p w14:paraId="4030656C" w14:textId="77777777" w:rsidR="00892D6F" w:rsidRDefault="00892D6F" w:rsidP="007F7246">
      <w:pPr>
        <w:spacing w:line="273" w:lineRule="auto"/>
        <w:ind w:left="2" w:right="20"/>
        <w:rPr>
          <w:rFonts w:ascii="Times New Roman" w:eastAsia="Times New Roman" w:hAnsi="Times New Roman" w:cs="Times New Roman"/>
          <w:sz w:val="22"/>
          <w:szCs w:val="22"/>
          <w:lang w:val="lt-LT"/>
        </w:rPr>
      </w:pPr>
    </w:p>
    <w:p w14:paraId="1BAFC8E9" w14:textId="77777777" w:rsidR="00892D6F" w:rsidRDefault="00892D6F" w:rsidP="007F7246">
      <w:pPr>
        <w:spacing w:line="273" w:lineRule="auto"/>
        <w:ind w:left="2" w:right="20"/>
        <w:rPr>
          <w:rFonts w:ascii="Times New Roman" w:eastAsia="Times New Roman" w:hAnsi="Times New Roman" w:cs="Times New Roman"/>
          <w:sz w:val="22"/>
          <w:szCs w:val="22"/>
          <w:lang w:val="lt-LT"/>
        </w:rPr>
      </w:pPr>
    </w:p>
    <w:p w14:paraId="41BB62F8" w14:textId="77777777" w:rsidR="00071CFE" w:rsidRPr="007F7246" w:rsidRDefault="00071CFE" w:rsidP="007F7246">
      <w:pPr>
        <w:spacing w:line="273" w:lineRule="auto"/>
        <w:ind w:left="2" w:right="20"/>
        <w:rPr>
          <w:rFonts w:ascii="Times New Roman" w:eastAsia="Times New Roman" w:hAnsi="Times New Roman"/>
          <w:sz w:val="22"/>
          <w:u w:val="single"/>
          <w:lang w:val="lt-LT"/>
        </w:rPr>
      </w:pPr>
      <w:r w:rsidRPr="007F7246">
        <w:rPr>
          <w:rFonts w:ascii="Times New Roman" w:eastAsia="Times New Roman" w:hAnsi="Times New Roman" w:cs="Times New Roman"/>
          <w:sz w:val="22"/>
          <w:szCs w:val="22"/>
          <w:lang w:val="lt-LT"/>
        </w:rPr>
        <w:t>Szczegółowe informacje o tym produkcie leczniczym są dostępne na stronie internetowej Europejskiej Agencji Leków</w:t>
      </w:r>
      <w:r w:rsidR="007F7246">
        <w:rPr>
          <w:rFonts w:ascii="Times New Roman" w:eastAsia="Times New Roman" w:hAnsi="Times New Roman" w:cs="Times New Roman"/>
          <w:sz w:val="22"/>
          <w:szCs w:val="22"/>
          <w:lang w:val="lt-LT"/>
        </w:rPr>
        <w:t xml:space="preserve"> </w:t>
      </w:r>
      <w:r w:rsidR="007F7246">
        <w:fldChar w:fldCharType="begin"/>
      </w:r>
      <w:r w:rsidR="007F7246" w:rsidRPr="00BC56FD">
        <w:rPr>
          <w:lang w:val="lt-LT"/>
          <w:rPrChange w:id="63" w:author="Author">
            <w:rPr/>
          </w:rPrChange>
        </w:rPr>
        <w:instrText>HYPERLINK "http://www.ema.europa.eu"</w:instrText>
      </w:r>
      <w:r w:rsidR="007F7246">
        <w:fldChar w:fldCharType="separate"/>
      </w:r>
      <w:r w:rsidR="007F7246" w:rsidRPr="00261A5A">
        <w:rPr>
          <w:rStyle w:val="Hyperlink"/>
          <w:rFonts w:ascii="Times New Roman" w:hAnsi="Times New Roman" w:cs="Times New Roman"/>
          <w:noProof/>
          <w:sz w:val="22"/>
          <w:szCs w:val="22"/>
          <w:lang w:val="pl-PL"/>
        </w:rPr>
        <w:t>http://www.ema.eur</w:t>
      </w:r>
      <w:r w:rsidR="007F7246" w:rsidRPr="00261A5A">
        <w:rPr>
          <w:rStyle w:val="Hyperlink"/>
          <w:rFonts w:ascii="Times New Roman" w:hAnsi="Times New Roman" w:cs="Times New Roman"/>
          <w:noProof/>
          <w:sz w:val="22"/>
          <w:szCs w:val="22"/>
          <w:lang w:val="pl-PL"/>
        </w:rPr>
        <w:t>o</w:t>
      </w:r>
      <w:r w:rsidR="007F7246" w:rsidRPr="00261A5A">
        <w:rPr>
          <w:rStyle w:val="Hyperlink"/>
          <w:rFonts w:ascii="Times New Roman" w:hAnsi="Times New Roman" w:cs="Times New Roman"/>
          <w:noProof/>
          <w:sz w:val="22"/>
          <w:szCs w:val="22"/>
          <w:lang w:val="pl-PL"/>
        </w:rPr>
        <w:t>pa.eu</w:t>
      </w:r>
      <w:r w:rsidR="007F7246">
        <w:fldChar w:fldCharType="end"/>
      </w:r>
      <w:r w:rsidRPr="006046D7">
        <w:rPr>
          <w:rFonts w:ascii="Times New Roman" w:eastAsia="Times New Roman" w:hAnsi="Times New Roman"/>
          <w:sz w:val="22"/>
          <w:lang w:val="lt-LT"/>
        </w:rPr>
        <w:t>.</w:t>
      </w:r>
      <w:bookmarkStart w:id="64" w:name="page60"/>
      <w:bookmarkStart w:id="65" w:name="page63"/>
      <w:bookmarkEnd w:id="64"/>
      <w:bookmarkEnd w:id="65"/>
    </w:p>
    <w:p w14:paraId="4CD09325" w14:textId="77777777" w:rsidR="005C20EB" w:rsidRPr="00147AF3" w:rsidRDefault="00D24A07" w:rsidP="00633F20">
      <w:pPr>
        <w:jc w:val="center"/>
        <w:rPr>
          <w:rFonts w:ascii="Times New Roman" w:hAnsi="Times New Roman" w:cs="Times New Roman"/>
          <w:noProof/>
          <w:sz w:val="22"/>
          <w:szCs w:val="22"/>
          <w:lang w:val="pl-PL"/>
        </w:rPr>
      </w:pPr>
      <w:r w:rsidRPr="00741122">
        <w:rPr>
          <w:rFonts w:ascii="Times New Roman" w:eastAsia="Times New Roman" w:hAnsi="Times New Roman"/>
          <w:lang w:val="lt-LT"/>
        </w:rPr>
        <w:br w:type="page"/>
      </w:r>
    </w:p>
    <w:p w14:paraId="78A9BE1E" w14:textId="77777777" w:rsidR="005C20EB" w:rsidRPr="00147AF3" w:rsidRDefault="005C20EB" w:rsidP="00633F20">
      <w:pPr>
        <w:jc w:val="center"/>
        <w:rPr>
          <w:rFonts w:ascii="Times New Roman" w:hAnsi="Times New Roman" w:cs="Times New Roman"/>
          <w:noProof/>
          <w:sz w:val="22"/>
          <w:szCs w:val="22"/>
          <w:lang w:val="pl-PL"/>
        </w:rPr>
      </w:pPr>
    </w:p>
    <w:p w14:paraId="22EF7046" w14:textId="77777777" w:rsidR="005C20EB" w:rsidRPr="00147AF3" w:rsidRDefault="005C20EB" w:rsidP="00633F20">
      <w:pPr>
        <w:jc w:val="center"/>
        <w:rPr>
          <w:rFonts w:ascii="Times New Roman" w:hAnsi="Times New Roman" w:cs="Times New Roman"/>
          <w:noProof/>
          <w:sz w:val="22"/>
          <w:szCs w:val="22"/>
          <w:lang w:val="pl-PL"/>
        </w:rPr>
      </w:pPr>
    </w:p>
    <w:p w14:paraId="56B2EC25" w14:textId="77777777" w:rsidR="005C20EB" w:rsidRPr="00147AF3" w:rsidRDefault="005C20EB" w:rsidP="00633F20">
      <w:pPr>
        <w:jc w:val="center"/>
        <w:rPr>
          <w:rFonts w:ascii="Times New Roman" w:hAnsi="Times New Roman" w:cs="Times New Roman"/>
          <w:noProof/>
          <w:sz w:val="22"/>
          <w:szCs w:val="22"/>
          <w:lang w:val="pl-PL"/>
        </w:rPr>
      </w:pPr>
    </w:p>
    <w:p w14:paraId="291A228E" w14:textId="77777777" w:rsidR="005C20EB" w:rsidRPr="00147AF3" w:rsidRDefault="005C20EB" w:rsidP="00633F20">
      <w:pPr>
        <w:jc w:val="center"/>
        <w:rPr>
          <w:rFonts w:ascii="Times New Roman" w:hAnsi="Times New Roman" w:cs="Times New Roman"/>
          <w:noProof/>
          <w:sz w:val="22"/>
          <w:szCs w:val="22"/>
          <w:lang w:val="pl-PL"/>
        </w:rPr>
      </w:pPr>
    </w:p>
    <w:p w14:paraId="6AAC76A1" w14:textId="77777777" w:rsidR="005C20EB" w:rsidRPr="00147AF3" w:rsidRDefault="005C20EB" w:rsidP="00633F20">
      <w:pPr>
        <w:jc w:val="center"/>
        <w:rPr>
          <w:rFonts w:ascii="Times New Roman" w:hAnsi="Times New Roman" w:cs="Times New Roman"/>
          <w:noProof/>
          <w:sz w:val="22"/>
          <w:szCs w:val="22"/>
          <w:lang w:val="pl-PL"/>
        </w:rPr>
      </w:pPr>
    </w:p>
    <w:p w14:paraId="754FDE8B" w14:textId="77777777" w:rsidR="005C20EB" w:rsidRPr="00147AF3" w:rsidRDefault="005C20EB" w:rsidP="00633F20">
      <w:pPr>
        <w:jc w:val="center"/>
        <w:rPr>
          <w:rFonts w:ascii="Times New Roman" w:hAnsi="Times New Roman" w:cs="Times New Roman"/>
          <w:noProof/>
          <w:sz w:val="22"/>
          <w:szCs w:val="22"/>
          <w:lang w:val="pl-PL"/>
        </w:rPr>
      </w:pPr>
    </w:p>
    <w:p w14:paraId="14197575" w14:textId="77777777" w:rsidR="005C20EB" w:rsidRPr="00147AF3" w:rsidRDefault="005C20EB" w:rsidP="00633F20">
      <w:pPr>
        <w:jc w:val="center"/>
        <w:rPr>
          <w:rFonts w:ascii="Times New Roman" w:hAnsi="Times New Roman" w:cs="Times New Roman"/>
          <w:noProof/>
          <w:sz w:val="22"/>
          <w:szCs w:val="22"/>
          <w:lang w:val="pl-PL"/>
        </w:rPr>
      </w:pPr>
    </w:p>
    <w:p w14:paraId="2FBBBFD4" w14:textId="77777777" w:rsidR="005C20EB" w:rsidRPr="00147AF3" w:rsidRDefault="005C20EB" w:rsidP="00633F20">
      <w:pPr>
        <w:jc w:val="center"/>
        <w:rPr>
          <w:rFonts w:ascii="Times New Roman" w:hAnsi="Times New Roman" w:cs="Times New Roman"/>
          <w:noProof/>
          <w:sz w:val="22"/>
          <w:szCs w:val="22"/>
          <w:lang w:val="pl-PL"/>
        </w:rPr>
      </w:pPr>
    </w:p>
    <w:p w14:paraId="50BAF5F1" w14:textId="77777777" w:rsidR="005C20EB" w:rsidRPr="00147AF3" w:rsidRDefault="005C20EB" w:rsidP="00633F20">
      <w:pPr>
        <w:jc w:val="center"/>
        <w:rPr>
          <w:rFonts w:ascii="Times New Roman" w:hAnsi="Times New Roman" w:cs="Times New Roman"/>
          <w:noProof/>
          <w:sz w:val="22"/>
          <w:szCs w:val="22"/>
          <w:lang w:val="pl-PL"/>
        </w:rPr>
      </w:pPr>
    </w:p>
    <w:p w14:paraId="2F79F4CB" w14:textId="77777777" w:rsidR="005C20EB" w:rsidRPr="00147AF3" w:rsidRDefault="005C20EB" w:rsidP="00633F20">
      <w:pPr>
        <w:jc w:val="center"/>
        <w:rPr>
          <w:rFonts w:ascii="Times New Roman" w:hAnsi="Times New Roman" w:cs="Times New Roman"/>
          <w:noProof/>
          <w:sz w:val="22"/>
          <w:szCs w:val="22"/>
          <w:lang w:val="pl-PL"/>
        </w:rPr>
      </w:pPr>
    </w:p>
    <w:p w14:paraId="74B0EC34" w14:textId="77777777" w:rsidR="005C20EB" w:rsidRPr="00147AF3" w:rsidRDefault="005C20EB" w:rsidP="00633F20">
      <w:pPr>
        <w:jc w:val="center"/>
        <w:rPr>
          <w:rFonts w:ascii="Times New Roman" w:hAnsi="Times New Roman" w:cs="Times New Roman"/>
          <w:noProof/>
          <w:sz w:val="22"/>
          <w:szCs w:val="22"/>
          <w:lang w:val="pl-PL"/>
        </w:rPr>
      </w:pPr>
    </w:p>
    <w:p w14:paraId="42628CA3" w14:textId="77777777" w:rsidR="005C20EB" w:rsidRPr="00147AF3" w:rsidRDefault="005C20EB" w:rsidP="00633F20">
      <w:pPr>
        <w:jc w:val="center"/>
        <w:rPr>
          <w:rFonts w:ascii="Times New Roman" w:hAnsi="Times New Roman" w:cs="Times New Roman"/>
          <w:noProof/>
          <w:sz w:val="22"/>
          <w:szCs w:val="22"/>
          <w:lang w:val="pl-PL"/>
        </w:rPr>
      </w:pPr>
    </w:p>
    <w:p w14:paraId="59BA2BE5" w14:textId="77777777" w:rsidR="005C20EB" w:rsidRPr="00147AF3" w:rsidRDefault="005C20EB" w:rsidP="00633F20">
      <w:pPr>
        <w:jc w:val="center"/>
        <w:rPr>
          <w:rFonts w:ascii="Times New Roman" w:hAnsi="Times New Roman" w:cs="Times New Roman"/>
          <w:noProof/>
          <w:sz w:val="22"/>
          <w:szCs w:val="22"/>
          <w:lang w:val="pl-PL"/>
        </w:rPr>
      </w:pPr>
    </w:p>
    <w:p w14:paraId="5632D27F" w14:textId="77777777" w:rsidR="005C20EB" w:rsidRPr="00147AF3" w:rsidRDefault="005C20EB" w:rsidP="00633F20">
      <w:pPr>
        <w:jc w:val="center"/>
        <w:rPr>
          <w:rFonts w:ascii="Times New Roman" w:hAnsi="Times New Roman" w:cs="Times New Roman"/>
          <w:noProof/>
          <w:sz w:val="22"/>
          <w:szCs w:val="22"/>
          <w:lang w:val="pl-PL"/>
        </w:rPr>
      </w:pPr>
    </w:p>
    <w:p w14:paraId="76C237F6" w14:textId="77777777" w:rsidR="005C20EB" w:rsidRPr="00147AF3" w:rsidRDefault="005C20EB" w:rsidP="00633F20">
      <w:pPr>
        <w:jc w:val="center"/>
        <w:rPr>
          <w:rFonts w:ascii="Times New Roman" w:hAnsi="Times New Roman" w:cs="Times New Roman"/>
          <w:noProof/>
          <w:sz w:val="22"/>
          <w:szCs w:val="22"/>
          <w:lang w:val="pl-PL"/>
        </w:rPr>
      </w:pPr>
    </w:p>
    <w:p w14:paraId="13E9D2CE" w14:textId="77777777" w:rsidR="005C20EB" w:rsidRPr="00147AF3" w:rsidRDefault="005C20EB" w:rsidP="00633F20">
      <w:pPr>
        <w:jc w:val="center"/>
        <w:rPr>
          <w:rFonts w:ascii="Times New Roman" w:hAnsi="Times New Roman" w:cs="Times New Roman"/>
          <w:noProof/>
          <w:sz w:val="22"/>
          <w:szCs w:val="22"/>
          <w:lang w:val="pl-PL"/>
        </w:rPr>
      </w:pPr>
    </w:p>
    <w:p w14:paraId="0C48D4D3" w14:textId="77777777" w:rsidR="005C20EB" w:rsidRPr="00147AF3" w:rsidRDefault="005C20EB" w:rsidP="00633F20">
      <w:pPr>
        <w:jc w:val="center"/>
        <w:rPr>
          <w:rFonts w:ascii="Times New Roman" w:hAnsi="Times New Roman" w:cs="Times New Roman"/>
          <w:noProof/>
          <w:sz w:val="22"/>
          <w:szCs w:val="22"/>
          <w:lang w:val="pl-PL"/>
        </w:rPr>
      </w:pPr>
    </w:p>
    <w:p w14:paraId="611947AA" w14:textId="77777777" w:rsidR="005C20EB" w:rsidRPr="00147AF3" w:rsidRDefault="005C20EB" w:rsidP="00633F20">
      <w:pPr>
        <w:jc w:val="center"/>
        <w:rPr>
          <w:rFonts w:ascii="Times New Roman" w:hAnsi="Times New Roman" w:cs="Times New Roman"/>
          <w:noProof/>
          <w:sz w:val="22"/>
          <w:szCs w:val="22"/>
          <w:lang w:val="pl-PL"/>
        </w:rPr>
      </w:pPr>
    </w:p>
    <w:p w14:paraId="21DF3A9F" w14:textId="77777777" w:rsidR="005C20EB" w:rsidRPr="00147AF3" w:rsidRDefault="005C20EB" w:rsidP="00633F20">
      <w:pPr>
        <w:jc w:val="center"/>
        <w:rPr>
          <w:rFonts w:ascii="Times New Roman" w:hAnsi="Times New Roman" w:cs="Times New Roman"/>
          <w:noProof/>
          <w:sz w:val="22"/>
          <w:szCs w:val="22"/>
          <w:lang w:val="pl-PL"/>
        </w:rPr>
      </w:pPr>
    </w:p>
    <w:p w14:paraId="0BD8B4E4" w14:textId="77777777" w:rsidR="005C20EB" w:rsidRPr="00147AF3" w:rsidRDefault="005C20EB" w:rsidP="00633F20">
      <w:pPr>
        <w:jc w:val="center"/>
        <w:rPr>
          <w:rFonts w:ascii="Times New Roman" w:hAnsi="Times New Roman" w:cs="Times New Roman"/>
          <w:noProof/>
          <w:sz w:val="22"/>
          <w:szCs w:val="22"/>
          <w:lang w:val="pl-PL"/>
        </w:rPr>
      </w:pPr>
    </w:p>
    <w:p w14:paraId="13A03B1D" w14:textId="77777777" w:rsidR="005C20EB" w:rsidRPr="00147AF3" w:rsidRDefault="005C20EB" w:rsidP="00633F20">
      <w:pPr>
        <w:jc w:val="center"/>
        <w:rPr>
          <w:rFonts w:ascii="Times New Roman" w:hAnsi="Times New Roman" w:cs="Times New Roman"/>
          <w:noProof/>
          <w:sz w:val="22"/>
          <w:szCs w:val="22"/>
          <w:lang w:val="pl-PL"/>
        </w:rPr>
      </w:pPr>
    </w:p>
    <w:p w14:paraId="0508886D" w14:textId="77777777" w:rsidR="005C20EB" w:rsidRPr="00147AF3" w:rsidRDefault="005C20EB" w:rsidP="00633F20">
      <w:pPr>
        <w:jc w:val="center"/>
        <w:rPr>
          <w:rFonts w:ascii="Times New Roman" w:hAnsi="Times New Roman" w:cs="Times New Roman"/>
          <w:noProof/>
          <w:sz w:val="22"/>
          <w:szCs w:val="22"/>
          <w:lang w:val="pl-PL"/>
        </w:rPr>
      </w:pPr>
    </w:p>
    <w:p w14:paraId="33667C9D" w14:textId="77777777" w:rsidR="005C20EB" w:rsidRPr="0023471C" w:rsidRDefault="005C20EB" w:rsidP="005C20EB">
      <w:pPr>
        <w:jc w:val="center"/>
        <w:rPr>
          <w:rFonts w:ascii="Times New Roman" w:hAnsi="Times New Roman" w:cs="Times New Roman"/>
          <w:noProof/>
          <w:sz w:val="22"/>
          <w:szCs w:val="22"/>
        </w:rPr>
      </w:pPr>
      <w:r w:rsidRPr="0023471C">
        <w:rPr>
          <w:rFonts w:ascii="Times New Roman" w:hAnsi="Times New Roman" w:cs="Times New Roman"/>
          <w:b/>
          <w:noProof/>
          <w:sz w:val="22"/>
          <w:szCs w:val="22"/>
        </w:rPr>
        <w:t>ANEKS II</w:t>
      </w:r>
    </w:p>
    <w:p w14:paraId="7DC763A8" w14:textId="77777777" w:rsidR="005C20EB" w:rsidRPr="0023471C" w:rsidRDefault="005C20EB" w:rsidP="005C20EB">
      <w:pPr>
        <w:ind w:right="1416"/>
        <w:rPr>
          <w:rFonts w:ascii="Times New Roman" w:hAnsi="Times New Roman" w:cs="Times New Roman"/>
          <w:noProof/>
          <w:sz w:val="22"/>
          <w:szCs w:val="22"/>
        </w:rPr>
      </w:pPr>
    </w:p>
    <w:p w14:paraId="65470EF4" w14:textId="3614E0D0" w:rsidR="005C20EB" w:rsidRPr="0023471C" w:rsidRDefault="005C20EB" w:rsidP="005C20EB">
      <w:pPr>
        <w:numPr>
          <w:ilvl w:val="0"/>
          <w:numId w:val="109"/>
        </w:numPr>
        <w:tabs>
          <w:tab w:val="left" w:pos="567"/>
          <w:tab w:val="left" w:pos="1701"/>
        </w:tabs>
        <w:ind w:right="1418"/>
        <w:rPr>
          <w:rFonts w:ascii="Times New Roman" w:hAnsi="Times New Roman" w:cs="Times New Roman"/>
          <w:b/>
          <w:noProof/>
          <w:sz w:val="22"/>
          <w:szCs w:val="22"/>
          <w:lang w:val="pl-PL"/>
        </w:rPr>
      </w:pPr>
      <w:r w:rsidRPr="0023471C">
        <w:rPr>
          <w:rFonts w:ascii="Times New Roman" w:hAnsi="Times New Roman" w:cs="Times New Roman"/>
          <w:b/>
          <w:noProof/>
          <w:sz w:val="22"/>
          <w:szCs w:val="22"/>
          <w:lang w:val="pl-PL"/>
        </w:rPr>
        <w:t>WYTWÓRC</w:t>
      </w:r>
      <w:r w:rsidR="005E1C34">
        <w:rPr>
          <w:rFonts w:ascii="Times New Roman" w:hAnsi="Times New Roman" w:cs="Times New Roman"/>
          <w:b/>
          <w:noProof/>
          <w:sz w:val="22"/>
          <w:szCs w:val="22"/>
          <w:lang w:val="pl-PL"/>
        </w:rPr>
        <w:t>Y</w:t>
      </w:r>
      <w:r>
        <w:rPr>
          <w:rFonts w:ascii="Times New Roman" w:hAnsi="Times New Roman" w:cs="Times New Roman"/>
          <w:b/>
          <w:noProof/>
          <w:sz w:val="22"/>
          <w:szCs w:val="22"/>
          <w:lang w:val="pl-PL"/>
        </w:rPr>
        <w:t xml:space="preserve"> </w:t>
      </w:r>
      <w:r w:rsidRPr="0023471C">
        <w:rPr>
          <w:rFonts w:ascii="Times New Roman" w:hAnsi="Times New Roman" w:cs="Times New Roman"/>
          <w:b/>
          <w:noProof/>
          <w:sz w:val="22"/>
          <w:szCs w:val="22"/>
          <w:lang w:val="pl-PL"/>
        </w:rPr>
        <w:t>BIOLOGICZNEJ SUBSTANCJI CZYNNEJ ORAZ</w:t>
      </w:r>
      <w:r>
        <w:rPr>
          <w:rFonts w:ascii="Times New Roman" w:hAnsi="Times New Roman" w:cs="Times New Roman"/>
          <w:b/>
          <w:noProof/>
          <w:sz w:val="22"/>
          <w:szCs w:val="22"/>
          <w:lang w:val="pl-PL"/>
        </w:rPr>
        <w:t xml:space="preserve"> </w:t>
      </w:r>
      <w:r w:rsidRPr="0023471C">
        <w:rPr>
          <w:rFonts w:ascii="Times New Roman" w:hAnsi="Times New Roman" w:cs="Times New Roman"/>
          <w:b/>
          <w:noProof/>
          <w:sz w:val="22"/>
          <w:szCs w:val="22"/>
          <w:lang w:val="pl-PL"/>
        </w:rPr>
        <w:t>WYTWÓRCY ODPOWIEDZIALNI ZA ZWOLNIENIE SERII</w:t>
      </w:r>
    </w:p>
    <w:p w14:paraId="72158845" w14:textId="77777777" w:rsidR="005C20EB" w:rsidRPr="0023471C" w:rsidRDefault="005C20EB" w:rsidP="005C20EB">
      <w:pPr>
        <w:ind w:left="567" w:hanging="1701"/>
        <w:rPr>
          <w:rFonts w:ascii="Times New Roman" w:hAnsi="Times New Roman" w:cs="Times New Roman"/>
          <w:noProof/>
          <w:sz w:val="22"/>
          <w:szCs w:val="22"/>
          <w:lang w:val="pl-PL"/>
        </w:rPr>
      </w:pPr>
    </w:p>
    <w:p w14:paraId="3F19B2E8" w14:textId="77777777" w:rsidR="005C20EB" w:rsidRPr="0023471C" w:rsidRDefault="005C20EB" w:rsidP="005C20EB">
      <w:pPr>
        <w:numPr>
          <w:ilvl w:val="0"/>
          <w:numId w:val="109"/>
        </w:numPr>
        <w:tabs>
          <w:tab w:val="left" w:pos="567"/>
          <w:tab w:val="left" w:pos="1701"/>
        </w:tabs>
        <w:ind w:right="1418"/>
        <w:rPr>
          <w:rFonts w:ascii="Times New Roman" w:hAnsi="Times New Roman" w:cs="Times New Roman"/>
          <w:b/>
          <w:noProof/>
          <w:sz w:val="22"/>
          <w:szCs w:val="22"/>
          <w:lang w:val="pl-PL"/>
        </w:rPr>
      </w:pPr>
      <w:r w:rsidRPr="0023471C">
        <w:rPr>
          <w:rFonts w:ascii="Times New Roman" w:hAnsi="Times New Roman" w:cs="Times New Roman"/>
          <w:b/>
          <w:noProof/>
          <w:sz w:val="22"/>
          <w:szCs w:val="22"/>
          <w:lang w:val="pl-PL"/>
        </w:rPr>
        <w:t>WARUNKI LUB OGRANICZENIA DOTYCZĄCE ZAOPATRZENIA I STOSOWANIA</w:t>
      </w:r>
    </w:p>
    <w:p w14:paraId="57F1413A" w14:textId="77777777" w:rsidR="005C20EB" w:rsidRPr="0023471C" w:rsidRDefault="005C20EB" w:rsidP="005C20EB">
      <w:pPr>
        <w:ind w:left="567" w:hanging="567"/>
        <w:rPr>
          <w:rFonts w:ascii="Times New Roman" w:hAnsi="Times New Roman" w:cs="Times New Roman"/>
          <w:noProof/>
          <w:sz w:val="22"/>
          <w:szCs w:val="22"/>
          <w:lang w:val="pl-PL"/>
        </w:rPr>
      </w:pPr>
    </w:p>
    <w:p w14:paraId="5D602AD4" w14:textId="77777777" w:rsidR="005C20EB" w:rsidRPr="0023471C" w:rsidRDefault="005C20EB" w:rsidP="005C20EB">
      <w:pPr>
        <w:numPr>
          <w:ilvl w:val="0"/>
          <w:numId w:val="109"/>
        </w:numPr>
        <w:tabs>
          <w:tab w:val="left" w:pos="567"/>
          <w:tab w:val="left" w:pos="1701"/>
        </w:tabs>
        <w:ind w:right="1418"/>
        <w:rPr>
          <w:rFonts w:ascii="Times New Roman" w:hAnsi="Times New Roman" w:cs="Times New Roman"/>
          <w:b/>
          <w:noProof/>
          <w:sz w:val="22"/>
          <w:szCs w:val="22"/>
          <w:lang w:val="pl-PL"/>
        </w:rPr>
      </w:pPr>
      <w:r w:rsidRPr="0023471C">
        <w:rPr>
          <w:rFonts w:ascii="Times New Roman" w:hAnsi="Times New Roman" w:cs="Times New Roman"/>
          <w:b/>
          <w:noProof/>
          <w:sz w:val="22"/>
          <w:szCs w:val="22"/>
          <w:lang w:val="pl-PL"/>
        </w:rPr>
        <w:t>INNE WARUNKI I WYMAGANIA DOTYCZĄCE DOPUSZCZENIA DO OBROTU</w:t>
      </w:r>
    </w:p>
    <w:p w14:paraId="4D580246" w14:textId="77777777" w:rsidR="005C20EB" w:rsidRPr="0023471C" w:rsidRDefault="005C20EB" w:rsidP="005C20EB">
      <w:pPr>
        <w:ind w:right="1558"/>
        <w:rPr>
          <w:rFonts w:ascii="Times New Roman" w:hAnsi="Times New Roman" w:cs="Times New Roman"/>
          <w:b/>
          <w:sz w:val="22"/>
          <w:szCs w:val="22"/>
          <w:lang w:val="pl-PL"/>
        </w:rPr>
      </w:pPr>
    </w:p>
    <w:p w14:paraId="445C098D" w14:textId="77777777" w:rsidR="005C20EB" w:rsidRPr="0023471C" w:rsidRDefault="005C20EB" w:rsidP="005C20EB">
      <w:pPr>
        <w:numPr>
          <w:ilvl w:val="0"/>
          <w:numId w:val="109"/>
        </w:numPr>
        <w:tabs>
          <w:tab w:val="left" w:pos="567"/>
          <w:tab w:val="left" w:pos="1701"/>
        </w:tabs>
        <w:ind w:right="1418"/>
        <w:rPr>
          <w:rFonts w:ascii="Times New Roman" w:hAnsi="Times New Roman" w:cs="Times New Roman"/>
          <w:b/>
          <w:sz w:val="22"/>
          <w:szCs w:val="22"/>
          <w:lang w:val="pl-PL"/>
        </w:rPr>
      </w:pPr>
      <w:r w:rsidRPr="0023471C">
        <w:rPr>
          <w:rFonts w:ascii="Times New Roman" w:hAnsi="Times New Roman" w:cs="Times New Roman"/>
          <w:b/>
          <w:caps/>
          <w:sz w:val="22"/>
          <w:szCs w:val="22"/>
          <w:lang w:val="pl-PL"/>
        </w:rPr>
        <w:t>WARUNKI LUB OGRANICZENIA DOTYCZĄCE BEZPIECZNEGO I SKUTECZNEGO STOSOWANIA PRODUKTU LECZNICZEGO</w:t>
      </w:r>
    </w:p>
    <w:p w14:paraId="19E74310" w14:textId="77777777" w:rsidR="005C20EB" w:rsidRPr="0023471C" w:rsidRDefault="005C20EB" w:rsidP="005C20EB">
      <w:pPr>
        <w:ind w:right="1416"/>
        <w:rPr>
          <w:rFonts w:ascii="Times New Roman" w:hAnsi="Times New Roman" w:cs="Times New Roman"/>
          <w:b/>
          <w:sz w:val="22"/>
          <w:szCs w:val="22"/>
          <w:lang w:val="pl-PL"/>
        </w:rPr>
      </w:pPr>
    </w:p>
    <w:p w14:paraId="5804724F" w14:textId="77777777" w:rsidR="005C20EB" w:rsidRPr="0023471C" w:rsidRDefault="005C20EB" w:rsidP="005C20EB">
      <w:pPr>
        <w:tabs>
          <w:tab w:val="left" w:pos="1701"/>
        </w:tabs>
        <w:ind w:left="1701" w:right="1418" w:hanging="708"/>
        <w:rPr>
          <w:rFonts w:ascii="Times New Roman" w:hAnsi="Times New Roman" w:cs="Times New Roman"/>
          <w:b/>
          <w:sz w:val="22"/>
          <w:szCs w:val="22"/>
          <w:lang w:val="pl-PL"/>
        </w:rPr>
      </w:pPr>
    </w:p>
    <w:p w14:paraId="3DA23510" w14:textId="5A016DCB" w:rsidR="005C20EB" w:rsidRPr="0023471C" w:rsidRDefault="005C20EB" w:rsidP="00355340">
      <w:pPr>
        <w:pStyle w:val="TitleB"/>
      </w:pPr>
      <w:r w:rsidRPr="0023471C">
        <w:br w:type="page"/>
      </w:r>
      <w:r w:rsidRPr="0023471C">
        <w:lastRenderedPageBreak/>
        <w:t>WYTWÓRC</w:t>
      </w:r>
      <w:r w:rsidR="00552F96">
        <w:t>Y</w:t>
      </w:r>
      <w:r>
        <w:t xml:space="preserve"> </w:t>
      </w:r>
      <w:r w:rsidRPr="0023471C">
        <w:t>BIOLOGICZNEJ SUBSTANCJI CZYNNEJ ORAZ WYTWÓRCY ODPOWIEDZIALNI ZA ZWOLNIENIE SERII</w:t>
      </w:r>
    </w:p>
    <w:p w14:paraId="12DA8407" w14:textId="77777777" w:rsidR="005C20EB" w:rsidRPr="0023471C" w:rsidRDefault="005C20EB" w:rsidP="005C20EB">
      <w:pPr>
        <w:keepNext/>
        <w:ind w:right="1416"/>
        <w:rPr>
          <w:rFonts w:ascii="Times New Roman" w:hAnsi="Times New Roman" w:cs="Times New Roman"/>
          <w:noProof/>
          <w:sz w:val="22"/>
          <w:szCs w:val="22"/>
          <w:lang w:val="pl-PL"/>
        </w:rPr>
      </w:pPr>
    </w:p>
    <w:p w14:paraId="6407B285" w14:textId="03DDE39C" w:rsidR="005C20EB" w:rsidRPr="0023471C" w:rsidRDefault="005C20EB" w:rsidP="0023471C">
      <w:pPr>
        <w:outlineLvl w:val="0"/>
        <w:rPr>
          <w:rFonts w:ascii="Times New Roman" w:hAnsi="Times New Roman" w:cs="Times New Roman"/>
          <w:noProof/>
          <w:sz w:val="22"/>
          <w:szCs w:val="22"/>
          <w:lang w:val="pl-PL"/>
        </w:rPr>
      </w:pPr>
      <w:r w:rsidRPr="0023471C">
        <w:rPr>
          <w:rFonts w:ascii="Times New Roman" w:hAnsi="Times New Roman" w:cs="Times New Roman"/>
          <w:noProof/>
          <w:sz w:val="22"/>
          <w:szCs w:val="22"/>
          <w:u w:val="single"/>
          <w:lang w:val="pl-PL"/>
        </w:rPr>
        <w:t>Nazwa i adres wytwórc</w:t>
      </w:r>
      <w:r w:rsidR="00066BF9">
        <w:rPr>
          <w:rFonts w:ascii="Times New Roman" w:hAnsi="Times New Roman" w:cs="Times New Roman"/>
          <w:noProof/>
          <w:sz w:val="22"/>
          <w:szCs w:val="22"/>
          <w:u w:val="single"/>
          <w:lang w:val="pl-PL"/>
        </w:rPr>
        <w:t>ów</w:t>
      </w:r>
      <w:r w:rsidRPr="0023471C">
        <w:rPr>
          <w:rFonts w:ascii="Times New Roman" w:hAnsi="Times New Roman" w:cs="Times New Roman"/>
          <w:noProof/>
          <w:sz w:val="22"/>
          <w:szCs w:val="22"/>
          <w:u w:val="single"/>
          <w:lang w:val="pl-PL"/>
        </w:rPr>
        <w:t xml:space="preserve"> biologicznej substancji czynnej</w:t>
      </w:r>
    </w:p>
    <w:p w14:paraId="16587814" w14:textId="77777777" w:rsidR="00C8400C" w:rsidRPr="0023471C" w:rsidRDefault="00C8400C" w:rsidP="00C8400C">
      <w:pPr>
        <w:widowControl w:val="0"/>
        <w:autoSpaceDE w:val="0"/>
        <w:autoSpaceDN w:val="0"/>
        <w:adjustRightInd w:val="0"/>
        <w:rPr>
          <w:rFonts w:ascii="Times New Roman" w:hAnsi="Times New Roman" w:cs="Times New Roman"/>
          <w:color w:val="000000"/>
          <w:sz w:val="22"/>
          <w:szCs w:val="22"/>
        </w:rPr>
      </w:pPr>
      <w:r w:rsidRPr="0023471C">
        <w:rPr>
          <w:rFonts w:ascii="Times New Roman" w:hAnsi="Times New Roman" w:cs="Times New Roman"/>
          <w:color w:val="000000"/>
          <w:sz w:val="22"/>
          <w:szCs w:val="22"/>
        </w:rPr>
        <w:t>Amgen Inc</w:t>
      </w:r>
    </w:p>
    <w:p w14:paraId="5B034FFC" w14:textId="77777777" w:rsidR="00C8400C" w:rsidRPr="0023471C" w:rsidRDefault="00C8400C" w:rsidP="00C8400C">
      <w:pPr>
        <w:widowControl w:val="0"/>
        <w:autoSpaceDE w:val="0"/>
        <w:autoSpaceDN w:val="0"/>
        <w:adjustRightInd w:val="0"/>
        <w:rPr>
          <w:rFonts w:ascii="Times New Roman" w:hAnsi="Times New Roman" w:cs="Times New Roman"/>
          <w:color w:val="000000"/>
          <w:sz w:val="22"/>
          <w:szCs w:val="22"/>
        </w:rPr>
      </w:pPr>
      <w:r w:rsidRPr="0023471C">
        <w:rPr>
          <w:rFonts w:ascii="Times New Roman" w:hAnsi="Times New Roman" w:cs="Times New Roman"/>
          <w:color w:val="000000"/>
          <w:sz w:val="22"/>
          <w:szCs w:val="22"/>
        </w:rPr>
        <w:t>1 Amgen Center Drive</w:t>
      </w:r>
    </w:p>
    <w:p w14:paraId="292063A5" w14:textId="77777777" w:rsidR="00C8400C" w:rsidRPr="002231C7" w:rsidRDefault="00C8400C" w:rsidP="00C8400C">
      <w:pPr>
        <w:widowControl w:val="0"/>
        <w:autoSpaceDE w:val="0"/>
        <w:autoSpaceDN w:val="0"/>
        <w:adjustRightInd w:val="0"/>
        <w:rPr>
          <w:rFonts w:ascii="Times New Roman" w:hAnsi="Times New Roman" w:cs="Times New Roman"/>
          <w:color w:val="000000"/>
          <w:sz w:val="22"/>
          <w:szCs w:val="22"/>
          <w:lang w:val="en-US"/>
        </w:rPr>
      </w:pPr>
      <w:r w:rsidRPr="002231C7">
        <w:rPr>
          <w:rFonts w:ascii="Times New Roman" w:hAnsi="Times New Roman" w:cs="Times New Roman"/>
          <w:color w:val="000000"/>
          <w:sz w:val="22"/>
          <w:szCs w:val="22"/>
          <w:lang w:val="en-US"/>
        </w:rPr>
        <w:t xml:space="preserve">91320 </w:t>
      </w:r>
      <w:proofErr w:type="gramStart"/>
      <w:r w:rsidRPr="002231C7">
        <w:rPr>
          <w:rFonts w:ascii="Times New Roman" w:hAnsi="Times New Roman" w:cs="Times New Roman"/>
          <w:color w:val="000000"/>
          <w:sz w:val="22"/>
          <w:szCs w:val="22"/>
          <w:lang w:val="en-US"/>
        </w:rPr>
        <w:t>Thousand</w:t>
      </w:r>
      <w:proofErr w:type="gramEnd"/>
      <w:r w:rsidRPr="002231C7">
        <w:rPr>
          <w:rFonts w:ascii="Times New Roman" w:hAnsi="Times New Roman" w:cs="Times New Roman"/>
          <w:color w:val="000000"/>
          <w:sz w:val="22"/>
          <w:szCs w:val="22"/>
          <w:lang w:val="en-US"/>
        </w:rPr>
        <w:t xml:space="preserve"> Oaks</w:t>
      </w:r>
    </w:p>
    <w:p w14:paraId="5A9B7666" w14:textId="77777777" w:rsidR="009F2BDD" w:rsidRPr="002231C7" w:rsidRDefault="009F2BDD" w:rsidP="009F2BDD">
      <w:pPr>
        <w:widowControl w:val="0"/>
        <w:autoSpaceDE w:val="0"/>
        <w:autoSpaceDN w:val="0"/>
        <w:adjustRightInd w:val="0"/>
        <w:rPr>
          <w:rFonts w:ascii="Times New Roman" w:hAnsi="Times New Roman" w:cs="Times New Roman"/>
          <w:color w:val="000000"/>
          <w:sz w:val="22"/>
          <w:szCs w:val="22"/>
          <w:lang w:val="en-US"/>
        </w:rPr>
      </w:pPr>
      <w:r w:rsidRPr="002231C7">
        <w:rPr>
          <w:rFonts w:ascii="Times New Roman" w:hAnsi="Times New Roman" w:cs="Times New Roman"/>
          <w:color w:val="000000"/>
          <w:sz w:val="22"/>
          <w:szCs w:val="22"/>
          <w:lang w:val="en-US"/>
        </w:rPr>
        <w:t>Kalifornia</w:t>
      </w:r>
    </w:p>
    <w:p w14:paraId="191A0F82" w14:textId="77777777" w:rsidR="005C20EB" w:rsidRPr="002231C7" w:rsidRDefault="00C8400C" w:rsidP="00C8400C">
      <w:pPr>
        <w:rPr>
          <w:rFonts w:ascii="Times New Roman" w:hAnsi="Times New Roman" w:cs="Times New Roman"/>
          <w:sz w:val="22"/>
          <w:szCs w:val="22"/>
          <w:lang w:val="en-US"/>
        </w:rPr>
      </w:pPr>
      <w:r w:rsidRPr="002231C7">
        <w:rPr>
          <w:rFonts w:ascii="Times New Roman" w:hAnsi="Times New Roman" w:cs="Times New Roman"/>
          <w:sz w:val="22"/>
          <w:szCs w:val="22"/>
          <w:lang w:val="en-US"/>
        </w:rPr>
        <w:t xml:space="preserve">Stany </w:t>
      </w:r>
      <w:proofErr w:type="spellStart"/>
      <w:r w:rsidRPr="002231C7">
        <w:rPr>
          <w:rFonts w:ascii="Times New Roman" w:hAnsi="Times New Roman" w:cs="Times New Roman"/>
          <w:sz w:val="22"/>
          <w:szCs w:val="22"/>
          <w:lang w:val="en-US"/>
        </w:rPr>
        <w:t>Zjednoczone</w:t>
      </w:r>
      <w:proofErr w:type="spellEnd"/>
    </w:p>
    <w:p w14:paraId="17D1A9A6" w14:textId="77777777" w:rsidR="00C8400C" w:rsidRPr="002231C7" w:rsidRDefault="00C8400C" w:rsidP="00C8400C">
      <w:pPr>
        <w:rPr>
          <w:rFonts w:ascii="Times New Roman" w:hAnsi="Times New Roman" w:cs="Times New Roman"/>
          <w:noProof/>
          <w:sz w:val="22"/>
          <w:szCs w:val="22"/>
          <w:lang w:val="en-US"/>
        </w:rPr>
      </w:pPr>
    </w:p>
    <w:p w14:paraId="6165FA5A" w14:textId="77777777" w:rsidR="004E3929" w:rsidRPr="002231C7" w:rsidRDefault="004E3929" w:rsidP="004E3929">
      <w:pPr>
        <w:widowControl w:val="0"/>
        <w:autoSpaceDE w:val="0"/>
        <w:autoSpaceDN w:val="0"/>
        <w:adjustRightInd w:val="0"/>
        <w:rPr>
          <w:rFonts w:ascii="Times New Roman" w:hAnsi="Times New Roman" w:cs="Times New Roman"/>
          <w:color w:val="000000"/>
          <w:sz w:val="22"/>
          <w:szCs w:val="22"/>
          <w:lang w:val="en-US"/>
        </w:rPr>
      </w:pPr>
      <w:r w:rsidRPr="002231C7">
        <w:rPr>
          <w:rFonts w:ascii="Times New Roman" w:hAnsi="Times New Roman" w:cs="Times New Roman"/>
          <w:color w:val="000000"/>
          <w:sz w:val="22"/>
          <w:szCs w:val="22"/>
          <w:lang w:val="en-US"/>
        </w:rPr>
        <w:t>Immunex Rhode Island Corporation</w:t>
      </w:r>
    </w:p>
    <w:p w14:paraId="20423F9D" w14:textId="77777777" w:rsidR="004E3929" w:rsidRPr="002231C7" w:rsidRDefault="004E3929" w:rsidP="004E3929">
      <w:pPr>
        <w:widowControl w:val="0"/>
        <w:autoSpaceDE w:val="0"/>
        <w:autoSpaceDN w:val="0"/>
        <w:adjustRightInd w:val="0"/>
        <w:rPr>
          <w:rFonts w:ascii="Times New Roman" w:hAnsi="Times New Roman" w:cs="Times New Roman"/>
          <w:color w:val="000000"/>
          <w:sz w:val="22"/>
          <w:szCs w:val="22"/>
          <w:lang w:val="en-US"/>
        </w:rPr>
      </w:pPr>
      <w:r w:rsidRPr="002231C7">
        <w:rPr>
          <w:rFonts w:ascii="Times New Roman" w:hAnsi="Times New Roman" w:cs="Times New Roman"/>
          <w:color w:val="000000"/>
          <w:sz w:val="22"/>
          <w:szCs w:val="22"/>
          <w:lang w:val="en-US"/>
        </w:rPr>
        <w:t>40 Technology Way</w:t>
      </w:r>
    </w:p>
    <w:p w14:paraId="288F399C" w14:textId="77777777" w:rsidR="004E3929" w:rsidRPr="002231C7" w:rsidRDefault="004E3929" w:rsidP="004E3929">
      <w:pPr>
        <w:widowControl w:val="0"/>
        <w:autoSpaceDE w:val="0"/>
        <w:autoSpaceDN w:val="0"/>
        <w:adjustRightInd w:val="0"/>
        <w:rPr>
          <w:rFonts w:ascii="Times New Roman" w:hAnsi="Times New Roman" w:cs="Times New Roman"/>
          <w:color w:val="000000"/>
          <w:sz w:val="22"/>
          <w:szCs w:val="22"/>
          <w:lang w:val="en-US"/>
        </w:rPr>
      </w:pPr>
      <w:r w:rsidRPr="002231C7">
        <w:rPr>
          <w:rFonts w:ascii="Times New Roman" w:hAnsi="Times New Roman" w:cs="Times New Roman"/>
          <w:color w:val="000000"/>
          <w:sz w:val="22"/>
          <w:szCs w:val="22"/>
          <w:lang w:val="en-US"/>
        </w:rPr>
        <w:t>West Greenwich</w:t>
      </w:r>
    </w:p>
    <w:p w14:paraId="19A1EBC4" w14:textId="77777777" w:rsidR="004E3929" w:rsidRPr="002231C7" w:rsidRDefault="004E3929" w:rsidP="004E3929">
      <w:pPr>
        <w:widowControl w:val="0"/>
        <w:autoSpaceDE w:val="0"/>
        <w:autoSpaceDN w:val="0"/>
        <w:adjustRightInd w:val="0"/>
        <w:rPr>
          <w:rFonts w:ascii="Times New Roman" w:hAnsi="Times New Roman" w:cs="Times New Roman"/>
          <w:color w:val="000000"/>
          <w:sz w:val="22"/>
          <w:szCs w:val="22"/>
          <w:lang w:val="en-US"/>
        </w:rPr>
      </w:pPr>
      <w:r w:rsidRPr="002231C7">
        <w:rPr>
          <w:rFonts w:ascii="Times New Roman" w:hAnsi="Times New Roman" w:cs="Times New Roman"/>
          <w:color w:val="000000"/>
          <w:sz w:val="22"/>
          <w:szCs w:val="22"/>
          <w:lang w:val="en-US"/>
        </w:rPr>
        <w:t>Rhode Island, 02817</w:t>
      </w:r>
    </w:p>
    <w:p w14:paraId="73DE8CBA" w14:textId="77777777" w:rsidR="004E3929" w:rsidRPr="004E3929" w:rsidRDefault="004E3929" w:rsidP="004E3929">
      <w:pPr>
        <w:widowControl w:val="0"/>
        <w:autoSpaceDE w:val="0"/>
        <w:autoSpaceDN w:val="0"/>
        <w:adjustRightInd w:val="0"/>
        <w:rPr>
          <w:rFonts w:ascii="Times New Roman" w:hAnsi="Times New Roman" w:cs="Times New Roman"/>
          <w:color w:val="000000"/>
          <w:sz w:val="22"/>
          <w:szCs w:val="22"/>
          <w:lang w:val="pl-PL"/>
        </w:rPr>
      </w:pPr>
      <w:r w:rsidRPr="004E3929">
        <w:rPr>
          <w:rFonts w:ascii="Times New Roman" w:hAnsi="Times New Roman" w:cs="Times New Roman"/>
          <w:color w:val="000000"/>
          <w:sz w:val="22"/>
          <w:szCs w:val="22"/>
          <w:lang w:val="pl-PL"/>
        </w:rPr>
        <w:t>Stany Zjednoczone</w:t>
      </w:r>
    </w:p>
    <w:p w14:paraId="3BC9A332" w14:textId="77777777" w:rsidR="004E3929" w:rsidRPr="00147AF3" w:rsidRDefault="004E3929" w:rsidP="004E3929">
      <w:pPr>
        <w:rPr>
          <w:rFonts w:ascii="Times New Roman" w:hAnsi="Times New Roman" w:cs="Times New Roman"/>
          <w:noProof/>
          <w:sz w:val="22"/>
          <w:szCs w:val="22"/>
          <w:lang w:val="pl-PL"/>
        </w:rPr>
      </w:pPr>
    </w:p>
    <w:p w14:paraId="41869718" w14:textId="77777777" w:rsidR="005C20EB" w:rsidRPr="0023471C" w:rsidRDefault="005C20EB" w:rsidP="005C20EB">
      <w:pPr>
        <w:outlineLvl w:val="0"/>
        <w:rPr>
          <w:rFonts w:ascii="Times New Roman" w:hAnsi="Times New Roman" w:cs="Times New Roman"/>
          <w:noProof/>
          <w:sz w:val="22"/>
          <w:szCs w:val="22"/>
          <w:lang w:val="pl-PL"/>
        </w:rPr>
      </w:pPr>
      <w:r w:rsidRPr="0023471C">
        <w:rPr>
          <w:rFonts w:ascii="Times New Roman" w:hAnsi="Times New Roman" w:cs="Times New Roman"/>
          <w:noProof/>
          <w:sz w:val="22"/>
          <w:szCs w:val="22"/>
          <w:u w:val="single"/>
          <w:lang w:val="pl-PL"/>
        </w:rPr>
        <w:t>Nazwa i adres wytwórców odpowiedzialnych za zwolnienie serii</w:t>
      </w:r>
    </w:p>
    <w:p w14:paraId="635F5D11" w14:textId="77777777" w:rsidR="00C8400C" w:rsidRPr="0023471C" w:rsidRDefault="00C8400C" w:rsidP="00C8400C">
      <w:pPr>
        <w:widowControl w:val="0"/>
        <w:autoSpaceDE w:val="0"/>
        <w:autoSpaceDN w:val="0"/>
        <w:adjustRightInd w:val="0"/>
        <w:rPr>
          <w:rFonts w:ascii="Times New Roman" w:hAnsi="Times New Roman" w:cs="Times New Roman"/>
          <w:color w:val="000000"/>
          <w:sz w:val="22"/>
          <w:szCs w:val="22"/>
        </w:rPr>
      </w:pPr>
      <w:r w:rsidRPr="0023471C">
        <w:rPr>
          <w:rFonts w:ascii="Times New Roman" w:hAnsi="Times New Roman" w:cs="Times New Roman"/>
          <w:color w:val="000000"/>
          <w:sz w:val="22"/>
          <w:szCs w:val="22"/>
        </w:rPr>
        <w:t xml:space="preserve">Amgen Technology </w:t>
      </w:r>
      <w:r w:rsidR="00405231">
        <w:rPr>
          <w:rFonts w:ascii="Times New Roman" w:hAnsi="Times New Roman" w:cs="Times New Roman"/>
          <w:color w:val="000000"/>
          <w:sz w:val="22"/>
          <w:szCs w:val="22"/>
        </w:rPr>
        <w:t>(</w:t>
      </w:r>
      <w:r w:rsidRPr="0023471C">
        <w:rPr>
          <w:rFonts w:ascii="Times New Roman" w:hAnsi="Times New Roman" w:cs="Times New Roman"/>
          <w:color w:val="000000"/>
          <w:sz w:val="22"/>
          <w:szCs w:val="22"/>
        </w:rPr>
        <w:t>Ireland</w:t>
      </w:r>
      <w:r w:rsidR="00405231">
        <w:rPr>
          <w:rFonts w:ascii="Times New Roman" w:hAnsi="Times New Roman" w:cs="Times New Roman"/>
          <w:color w:val="000000"/>
          <w:sz w:val="22"/>
          <w:szCs w:val="22"/>
        </w:rPr>
        <w:t>)</w:t>
      </w:r>
      <w:r w:rsidR="00405231" w:rsidRPr="00405231">
        <w:rPr>
          <w:rFonts w:ascii="Times New Roman" w:hAnsi="Times New Roman" w:cs="Times New Roman"/>
          <w:color w:val="000000"/>
          <w:sz w:val="22"/>
          <w:szCs w:val="22"/>
        </w:rPr>
        <w:t xml:space="preserve"> </w:t>
      </w:r>
      <w:r w:rsidR="00405231" w:rsidRPr="005C5382">
        <w:rPr>
          <w:rFonts w:ascii="Times New Roman" w:hAnsi="Times New Roman" w:cs="Times New Roman"/>
          <w:color w:val="000000"/>
          <w:sz w:val="22"/>
          <w:szCs w:val="22"/>
          <w:lang w:val="nl-NL"/>
        </w:rPr>
        <w:t>UC,</w:t>
      </w:r>
    </w:p>
    <w:p w14:paraId="5C823DD9" w14:textId="77777777" w:rsidR="00C8400C" w:rsidRPr="0023471C" w:rsidRDefault="00C8400C" w:rsidP="00C8400C">
      <w:pPr>
        <w:widowControl w:val="0"/>
        <w:autoSpaceDE w:val="0"/>
        <w:autoSpaceDN w:val="0"/>
        <w:adjustRightInd w:val="0"/>
        <w:rPr>
          <w:rFonts w:ascii="Times New Roman" w:hAnsi="Times New Roman" w:cs="Times New Roman"/>
          <w:color w:val="000000"/>
          <w:sz w:val="22"/>
          <w:szCs w:val="22"/>
        </w:rPr>
      </w:pPr>
      <w:r w:rsidRPr="0023471C">
        <w:rPr>
          <w:rFonts w:ascii="Times New Roman" w:hAnsi="Times New Roman" w:cs="Times New Roman"/>
          <w:color w:val="000000"/>
          <w:sz w:val="22"/>
          <w:szCs w:val="22"/>
        </w:rPr>
        <w:t>Pottery Road</w:t>
      </w:r>
      <w:r w:rsidR="00405231">
        <w:rPr>
          <w:rFonts w:ascii="Times New Roman" w:hAnsi="Times New Roman" w:cs="Times New Roman"/>
          <w:color w:val="000000"/>
          <w:sz w:val="22"/>
          <w:szCs w:val="22"/>
        </w:rPr>
        <w:t>,</w:t>
      </w:r>
    </w:p>
    <w:p w14:paraId="0B8BA486" w14:textId="77777777" w:rsidR="00C8400C" w:rsidRPr="00BC56FD" w:rsidRDefault="00C8400C" w:rsidP="00C8400C">
      <w:pPr>
        <w:widowControl w:val="0"/>
        <w:autoSpaceDE w:val="0"/>
        <w:autoSpaceDN w:val="0"/>
        <w:adjustRightInd w:val="0"/>
        <w:rPr>
          <w:rFonts w:ascii="Times New Roman" w:hAnsi="Times New Roman" w:cs="Times New Roman"/>
          <w:color w:val="000000"/>
          <w:sz w:val="22"/>
          <w:szCs w:val="22"/>
          <w:rPrChange w:id="66" w:author="Author">
            <w:rPr>
              <w:rFonts w:ascii="Times New Roman" w:hAnsi="Times New Roman" w:cs="Times New Roman"/>
              <w:color w:val="000000"/>
              <w:sz w:val="22"/>
              <w:szCs w:val="22"/>
              <w:lang w:val="it-IT"/>
            </w:rPr>
          </w:rPrChange>
        </w:rPr>
      </w:pPr>
      <w:r w:rsidRPr="00BC56FD">
        <w:rPr>
          <w:rFonts w:ascii="Times New Roman" w:hAnsi="Times New Roman" w:cs="Times New Roman"/>
          <w:color w:val="000000"/>
          <w:sz w:val="22"/>
          <w:szCs w:val="22"/>
          <w:rPrChange w:id="67" w:author="Author">
            <w:rPr>
              <w:rFonts w:ascii="Times New Roman" w:hAnsi="Times New Roman" w:cs="Times New Roman"/>
              <w:color w:val="000000"/>
              <w:sz w:val="22"/>
              <w:szCs w:val="22"/>
              <w:lang w:val="it-IT"/>
            </w:rPr>
          </w:rPrChange>
        </w:rPr>
        <w:t>Dun Laoghaire</w:t>
      </w:r>
      <w:r w:rsidR="00405231" w:rsidRPr="00BC56FD">
        <w:rPr>
          <w:rFonts w:ascii="Times New Roman" w:hAnsi="Times New Roman" w:cs="Times New Roman"/>
          <w:color w:val="000000"/>
          <w:sz w:val="22"/>
          <w:szCs w:val="22"/>
          <w:rPrChange w:id="68" w:author="Author">
            <w:rPr>
              <w:rFonts w:ascii="Times New Roman" w:hAnsi="Times New Roman" w:cs="Times New Roman"/>
              <w:color w:val="000000"/>
              <w:sz w:val="22"/>
              <w:szCs w:val="22"/>
              <w:lang w:val="it-IT"/>
            </w:rPr>
          </w:rPrChange>
        </w:rPr>
        <w:t>,</w:t>
      </w:r>
    </w:p>
    <w:p w14:paraId="0733515F" w14:textId="77777777" w:rsidR="00C8400C" w:rsidRPr="00BC56FD" w:rsidRDefault="00C8400C" w:rsidP="00C8400C">
      <w:pPr>
        <w:widowControl w:val="0"/>
        <w:autoSpaceDE w:val="0"/>
        <w:autoSpaceDN w:val="0"/>
        <w:adjustRightInd w:val="0"/>
        <w:rPr>
          <w:rFonts w:ascii="Times New Roman" w:hAnsi="Times New Roman" w:cs="Times New Roman"/>
          <w:color w:val="000000"/>
          <w:sz w:val="22"/>
          <w:szCs w:val="22"/>
          <w:rPrChange w:id="69" w:author="Author">
            <w:rPr>
              <w:rFonts w:ascii="Times New Roman" w:hAnsi="Times New Roman" w:cs="Times New Roman"/>
              <w:color w:val="000000"/>
              <w:sz w:val="22"/>
              <w:szCs w:val="22"/>
              <w:lang w:val="it-IT"/>
            </w:rPr>
          </w:rPrChange>
        </w:rPr>
      </w:pPr>
      <w:r w:rsidRPr="00BC56FD">
        <w:rPr>
          <w:rFonts w:ascii="Times New Roman" w:hAnsi="Times New Roman" w:cs="Times New Roman"/>
          <w:color w:val="000000"/>
          <w:sz w:val="22"/>
          <w:szCs w:val="22"/>
          <w:rPrChange w:id="70" w:author="Author">
            <w:rPr>
              <w:rFonts w:ascii="Times New Roman" w:hAnsi="Times New Roman" w:cs="Times New Roman"/>
              <w:color w:val="000000"/>
              <w:sz w:val="22"/>
              <w:szCs w:val="22"/>
              <w:lang w:val="it-IT"/>
            </w:rPr>
          </w:rPrChange>
        </w:rPr>
        <w:t>Co</w:t>
      </w:r>
      <w:r w:rsidR="00405231" w:rsidRPr="00BC56FD">
        <w:rPr>
          <w:rFonts w:ascii="Times New Roman" w:hAnsi="Times New Roman" w:cs="Times New Roman"/>
          <w:color w:val="000000"/>
          <w:sz w:val="22"/>
          <w:szCs w:val="22"/>
          <w:rPrChange w:id="71" w:author="Author">
            <w:rPr>
              <w:rFonts w:ascii="Times New Roman" w:hAnsi="Times New Roman" w:cs="Times New Roman"/>
              <w:color w:val="000000"/>
              <w:sz w:val="22"/>
              <w:szCs w:val="22"/>
              <w:lang w:val="it-IT"/>
            </w:rPr>
          </w:rPrChange>
        </w:rPr>
        <w:t>.</w:t>
      </w:r>
      <w:r w:rsidRPr="00BC56FD">
        <w:rPr>
          <w:rFonts w:ascii="Times New Roman" w:hAnsi="Times New Roman" w:cs="Times New Roman"/>
          <w:color w:val="000000"/>
          <w:sz w:val="22"/>
          <w:szCs w:val="22"/>
          <w:rPrChange w:id="72" w:author="Author">
            <w:rPr>
              <w:rFonts w:ascii="Times New Roman" w:hAnsi="Times New Roman" w:cs="Times New Roman"/>
              <w:color w:val="000000"/>
              <w:sz w:val="22"/>
              <w:szCs w:val="22"/>
              <w:lang w:val="it-IT"/>
            </w:rPr>
          </w:rPrChange>
        </w:rPr>
        <w:t xml:space="preserve"> Dublin</w:t>
      </w:r>
      <w:r w:rsidR="00405231" w:rsidRPr="00BC56FD">
        <w:rPr>
          <w:rFonts w:ascii="Times New Roman" w:hAnsi="Times New Roman" w:cs="Times New Roman"/>
          <w:color w:val="000000"/>
          <w:sz w:val="22"/>
          <w:szCs w:val="22"/>
          <w:rPrChange w:id="73" w:author="Author">
            <w:rPr>
              <w:rFonts w:ascii="Times New Roman" w:hAnsi="Times New Roman" w:cs="Times New Roman"/>
              <w:color w:val="000000"/>
              <w:sz w:val="22"/>
              <w:szCs w:val="22"/>
              <w:lang w:val="it-IT"/>
            </w:rPr>
          </w:rPrChange>
        </w:rPr>
        <w:t>,</w:t>
      </w:r>
    </w:p>
    <w:p w14:paraId="56C54ED3" w14:textId="77777777" w:rsidR="00C8400C" w:rsidRPr="00BC56FD" w:rsidRDefault="00C8400C" w:rsidP="00C8400C">
      <w:pPr>
        <w:widowControl w:val="0"/>
        <w:autoSpaceDE w:val="0"/>
        <w:autoSpaceDN w:val="0"/>
        <w:adjustRightInd w:val="0"/>
        <w:rPr>
          <w:rFonts w:ascii="Times New Roman" w:hAnsi="Times New Roman" w:cs="Times New Roman"/>
          <w:color w:val="000000"/>
          <w:sz w:val="22"/>
          <w:szCs w:val="22"/>
          <w:rPrChange w:id="74" w:author="Author">
            <w:rPr>
              <w:rFonts w:ascii="Times New Roman" w:hAnsi="Times New Roman" w:cs="Times New Roman"/>
              <w:color w:val="000000"/>
              <w:sz w:val="22"/>
              <w:szCs w:val="22"/>
              <w:lang w:val="it-IT"/>
            </w:rPr>
          </w:rPrChange>
        </w:rPr>
      </w:pPr>
      <w:proofErr w:type="spellStart"/>
      <w:r w:rsidRPr="00BC56FD">
        <w:rPr>
          <w:rFonts w:ascii="Times New Roman" w:hAnsi="Times New Roman" w:cs="Times New Roman"/>
          <w:color w:val="000000"/>
          <w:sz w:val="22"/>
          <w:szCs w:val="22"/>
          <w:rPrChange w:id="75" w:author="Author">
            <w:rPr>
              <w:rFonts w:ascii="Times New Roman" w:hAnsi="Times New Roman" w:cs="Times New Roman"/>
              <w:color w:val="000000"/>
              <w:sz w:val="22"/>
              <w:szCs w:val="22"/>
              <w:lang w:val="it-IT"/>
            </w:rPr>
          </w:rPrChange>
        </w:rPr>
        <w:t>Irlandia</w:t>
      </w:r>
      <w:proofErr w:type="spellEnd"/>
    </w:p>
    <w:p w14:paraId="6A6DE006" w14:textId="77777777" w:rsidR="005C20EB" w:rsidRPr="00BC56FD" w:rsidRDefault="005C20EB" w:rsidP="005C20EB">
      <w:pPr>
        <w:rPr>
          <w:ins w:id="76" w:author="Author"/>
          <w:rFonts w:ascii="Times New Roman" w:hAnsi="Times New Roman" w:cs="Times New Roman"/>
          <w:noProof/>
          <w:sz w:val="22"/>
          <w:szCs w:val="22"/>
          <w:rPrChange w:id="77" w:author="Author">
            <w:rPr>
              <w:ins w:id="78" w:author="Author"/>
              <w:rFonts w:ascii="Times New Roman" w:hAnsi="Times New Roman" w:cs="Times New Roman"/>
              <w:noProof/>
              <w:sz w:val="22"/>
              <w:szCs w:val="22"/>
              <w:lang w:val="it-IT"/>
            </w:rPr>
          </w:rPrChange>
        </w:rPr>
      </w:pPr>
    </w:p>
    <w:p w14:paraId="07CD4E1B" w14:textId="77777777" w:rsidR="0090319A" w:rsidRPr="00BC56FD" w:rsidRDefault="0090319A" w:rsidP="0090319A">
      <w:pPr>
        <w:rPr>
          <w:ins w:id="79" w:author="Author"/>
          <w:rFonts w:ascii="Times New Roman" w:hAnsi="Times New Roman" w:cs="Times New Roman"/>
          <w:noProof/>
          <w:sz w:val="22"/>
          <w:szCs w:val="22"/>
          <w:rPrChange w:id="80" w:author="Author">
            <w:rPr>
              <w:ins w:id="81" w:author="Author"/>
              <w:rFonts w:ascii="Times New Roman" w:hAnsi="Times New Roman" w:cs="Times New Roman"/>
              <w:noProof/>
              <w:sz w:val="22"/>
              <w:szCs w:val="22"/>
              <w:lang w:val="it-IT"/>
            </w:rPr>
          </w:rPrChange>
        </w:rPr>
      </w:pPr>
      <w:ins w:id="82" w:author="Author">
        <w:r w:rsidRPr="00BC56FD">
          <w:rPr>
            <w:rFonts w:ascii="Times New Roman" w:hAnsi="Times New Roman" w:cs="Times New Roman"/>
            <w:noProof/>
            <w:sz w:val="22"/>
            <w:szCs w:val="22"/>
            <w:rPrChange w:id="83" w:author="Author">
              <w:rPr>
                <w:rFonts w:ascii="Times New Roman" w:hAnsi="Times New Roman" w:cs="Times New Roman"/>
                <w:noProof/>
                <w:sz w:val="22"/>
                <w:szCs w:val="22"/>
                <w:lang w:val="it-IT"/>
              </w:rPr>
            </w:rPrChange>
          </w:rPr>
          <w:t xml:space="preserve">Amgen Europe B.V. </w:t>
        </w:r>
      </w:ins>
    </w:p>
    <w:p w14:paraId="6A3A0B51" w14:textId="77777777" w:rsidR="0090319A" w:rsidRPr="008C2A94" w:rsidRDefault="0090319A" w:rsidP="0090319A">
      <w:pPr>
        <w:rPr>
          <w:ins w:id="84" w:author="Author"/>
          <w:rFonts w:ascii="Times New Roman" w:hAnsi="Times New Roman" w:cs="Times New Roman"/>
          <w:noProof/>
          <w:sz w:val="22"/>
          <w:szCs w:val="22"/>
          <w:lang w:val="nb-NO"/>
          <w:rPrChange w:id="85" w:author="Author">
            <w:rPr>
              <w:ins w:id="86" w:author="Author"/>
              <w:rFonts w:ascii="Times New Roman" w:hAnsi="Times New Roman" w:cs="Times New Roman"/>
              <w:noProof/>
              <w:sz w:val="22"/>
              <w:szCs w:val="22"/>
              <w:lang w:val="it-IT"/>
            </w:rPr>
          </w:rPrChange>
        </w:rPr>
      </w:pPr>
      <w:ins w:id="87" w:author="Author">
        <w:r w:rsidRPr="008C2A94">
          <w:rPr>
            <w:rFonts w:ascii="Times New Roman" w:hAnsi="Times New Roman" w:cs="Times New Roman"/>
            <w:noProof/>
            <w:sz w:val="22"/>
            <w:szCs w:val="22"/>
            <w:lang w:val="nb-NO"/>
            <w:rPrChange w:id="88" w:author="Author">
              <w:rPr>
                <w:rFonts w:ascii="Times New Roman" w:hAnsi="Times New Roman" w:cs="Times New Roman"/>
                <w:noProof/>
                <w:sz w:val="22"/>
                <w:szCs w:val="22"/>
                <w:lang w:val="it-IT"/>
              </w:rPr>
            </w:rPrChange>
          </w:rPr>
          <w:t xml:space="preserve">Minervum 7061 </w:t>
        </w:r>
      </w:ins>
    </w:p>
    <w:p w14:paraId="4FD11464" w14:textId="77777777" w:rsidR="0090319A" w:rsidRPr="008C2A94" w:rsidRDefault="0090319A" w:rsidP="0090319A">
      <w:pPr>
        <w:rPr>
          <w:ins w:id="89" w:author="Author"/>
          <w:rFonts w:ascii="Times New Roman" w:hAnsi="Times New Roman" w:cs="Times New Roman"/>
          <w:noProof/>
          <w:sz w:val="22"/>
          <w:szCs w:val="22"/>
          <w:lang w:val="nb-NO"/>
          <w:rPrChange w:id="90" w:author="Author">
            <w:rPr>
              <w:ins w:id="91" w:author="Author"/>
              <w:rFonts w:ascii="Times New Roman" w:hAnsi="Times New Roman" w:cs="Times New Roman"/>
              <w:noProof/>
              <w:sz w:val="22"/>
              <w:szCs w:val="22"/>
              <w:lang w:val="it-IT"/>
            </w:rPr>
          </w:rPrChange>
        </w:rPr>
      </w:pPr>
      <w:ins w:id="92" w:author="Author">
        <w:r w:rsidRPr="008C2A94">
          <w:rPr>
            <w:rFonts w:ascii="Times New Roman" w:hAnsi="Times New Roman" w:cs="Times New Roman"/>
            <w:noProof/>
            <w:sz w:val="22"/>
            <w:szCs w:val="22"/>
            <w:lang w:val="nb-NO"/>
            <w:rPrChange w:id="93" w:author="Author">
              <w:rPr>
                <w:rFonts w:ascii="Times New Roman" w:hAnsi="Times New Roman" w:cs="Times New Roman"/>
                <w:noProof/>
                <w:sz w:val="22"/>
                <w:szCs w:val="22"/>
                <w:lang w:val="it-IT"/>
              </w:rPr>
            </w:rPrChange>
          </w:rPr>
          <w:t xml:space="preserve">4817 ZK Breda </w:t>
        </w:r>
      </w:ins>
    </w:p>
    <w:p w14:paraId="3C5BD77E" w14:textId="230824BC" w:rsidR="0090319A" w:rsidRPr="008C2A94" w:rsidRDefault="0090319A" w:rsidP="0090319A">
      <w:pPr>
        <w:rPr>
          <w:ins w:id="94" w:author="Author"/>
          <w:rFonts w:ascii="Times New Roman" w:hAnsi="Times New Roman" w:cs="Times New Roman"/>
          <w:noProof/>
          <w:sz w:val="22"/>
          <w:szCs w:val="22"/>
          <w:lang w:val="nb-NO"/>
          <w:rPrChange w:id="95" w:author="Author">
            <w:rPr>
              <w:ins w:id="96" w:author="Author"/>
              <w:rFonts w:ascii="Times New Roman" w:hAnsi="Times New Roman" w:cs="Times New Roman"/>
              <w:noProof/>
              <w:sz w:val="22"/>
              <w:szCs w:val="22"/>
              <w:lang w:val="it-IT"/>
            </w:rPr>
          </w:rPrChange>
        </w:rPr>
      </w:pPr>
      <w:ins w:id="97" w:author="Author">
        <w:r w:rsidRPr="008C2A94">
          <w:rPr>
            <w:rFonts w:ascii="Times New Roman" w:hAnsi="Times New Roman" w:cs="Times New Roman"/>
            <w:noProof/>
            <w:sz w:val="22"/>
            <w:szCs w:val="22"/>
            <w:lang w:val="nb-NO"/>
            <w:rPrChange w:id="98" w:author="Author">
              <w:rPr>
                <w:rFonts w:ascii="Times New Roman" w:hAnsi="Times New Roman" w:cs="Times New Roman"/>
                <w:noProof/>
                <w:sz w:val="22"/>
                <w:szCs w:val="22"/>
                <w:lang w:val="it-IT"/>
              </w:rPr>
            </w:rPrChange>
          </w:rPr>
          <w:t>Holandia</w:t>
        </w:r>
      </w:ins>
    </w:p>
    <w:p w14:paraId="60FDF35C" w14:textId="77777777" w:rsidR="0090319A" w:rsidRPr="008C2A94" w:rsidRDefault="0090319A" w:rsidP="0090319A">
      <w:pPr>
        <w:rPr>
          <w:rFonts w:ascii="Times New Roman" w:hAnsi="Times New Roman" w:cs="Times New Roman"/>
          <w:noProof/>
          <w:sz w:val="22"/>
          <w:szCs w:val="22"/>
          <w:lang w:val="nb-NO"/>
          <w:rPrChange w:id="99" w:author="Author">
            <w:rPr>
              <w:rFonts w:ascii="Times New Roman" w:hAnsi="Times New Roman" w:cs="Times New Roman"/>
              <w:noProof/>
              <w:sz w:val="22"/>
              <w:szCs w:val="22"/>
              <w:lang w:val="it-IT"/>
            </w:rPr>
          </w:rPrChange>
        </w:rPr>
      </w:pPr>
    </w:p>
    <w:p w14:paraId="14382B30" w14:textId="77777777" w:rsidR="00E77ACE" w:rsidRPr="00E77ACE" w:rsidRDefault="00E77ACE" w:rsidP="00E77ACE">
      <w:pPr>
        <w:rPr>
          <w:rFonts w:ascii="Times New Roman" w:hAnsi="Times New Roman" w:cs="Times New Roman"/>
          <w:sz w:val="22"/>
          <w:lang w:val="nl-BE" w:eastAsia="ja-JP"/>
        </w:rPr>
      </w:pPr>
      <w:r w:rsidRPr="00E77ACE">
        <w:rPr>
          <w:rFonts w:ascii="Times New Roman" w:hAnsi="Times New Roman" w:cs="Times New Roman"/>
          <w:sz w:val="22"/>
          <w:lang w:val="nl-BE" w:eastAsia="ja-JP"/>
        </w:rPr>
        <w:t>Amgen NV</w:t>
      </w:r>
    </w:p>
    <w:p w14:paraId="49DD7E38" w14:textId="77777777" w:rsidR="005766E4" w:rsidRPr="001C3E73" w:rsidRDefault="005766E4" w:rsidP="005766E4">
      <w:pPr>
        <w:rPr>
          <w:rFonts w:ascii="Times New Roman" w:hAnsi="Times New Roman" w:cs="Times New Roman"/>
          <w:sz w:val="22"/>
          <w:lang w:val="nl-BE" w:eastAsia="ja-JP"/>
        </w:rPr>
      </w:pPr>
      <w:r w:rsidRPr="001C3E73">
        <w:rPr>
          <w:rFonts w:ascii="Times New Roman" w:hAnsi="Times New Roman" w:cs="Times New Roman"/>
          <w:sz w:val="22"/>
          <w:lang w:val="nl-BE" w:eastAsia="ja-JP"/>
        </w:rPr>
        <w:t>Telecomlaan 5-7</w:t>
      </w:r>
    </w:p>
    <w:p w14:paraId="51400382" w14:textId="77777777" w:rsidR="005766E4" w:rsidRPr="005766E4" w:rsidRDefault="005766E4" w:rsidP="005766E4">
      <w:pPr>
        <w:rPr>
          <w:rFonts w:ascii="Times New Roman" w:hAnsi="Times New Roman" w:cs="Times New Roman"/>
          <w:sz w:val="22"/>
          <w:lang w:val="nl-NL" w:eastAsia="ja-JP"/>
        </w:rPr>
      </w:pPr>
      <w:r w:rsidRPr="001C3E73">
        <w:rPr>
          <w:rFonts w:ascii="Times New Roman" w:hAnsi="Times New Roman" w:cs="Times New Roman"/>
          <w:sz w:val="22"/>
          <w:lang w:val="nl-BE" w:eastAsia="ja-JP"/>
        </w:rPr>
        <w:t>1831 Diegem</w:t>
      </w:r>
    </w:p>
    <w:p w14:paraId="1FD371EA" w14:textId="77777777" w:rsidR="00E77ACE" w:rsidRPr="00E77ACE" w:rsidRDefault="00E77ACE" w:rsidP="00E77ACE">
      <w:pPr>
        <w:rPr>
          <w:rFonts w:ascii="Times New Roman" w:hAnsi="Times New Roman" w:cs="Times New Roman"/>
          <w:sz w:val="22"/>
          <w:szCs w:val="22"/>
          <w:lang w:val="pl-PL"/>
        </w:rPr>
      </w:pPr>
      <w:r w:rsidRPr="001C3E73">
        <w:rPr>
          <w:rFonts w:ascii="Times New Roman" w:hAnsi="Times New Roman" w:cs="Times New Roman"/>
          <w:sz w:val="22"/>
          <w:lang w:val="nl-BE" w:eastAsia="ja-JP"/>
        </w:rPr>
        <w:t>Belgia</w:t>
      </w:r>
      <w:r w:rsidRPr="00E77ACE">
        <w:rPr>
          <w:rFonts w:ascii="Times New Roman" w:hAnsi="Times New Roman" w:cs="Times New Roman"/>
          <w:sz w:val="22"/>
          <w:szCs w:val="22"/>
          <w:lang w:val="pl-PL"/>
        </w:rPr>
        <w:t xml:space="preserve"> </w:t>
      </w:r>
    </w:p>
    <w:p w14:paraId="0DC5CFC3" w14:textId="77777777" w:rsidR="00E77ACE" w:rsidRPr="00E77ACE" w:rsidRDefault="00E77ACE" w:rsidP="005C20EB">
      <w:pPr>
        <w:rPr>
          <w:rFonts w:ascii="Times New Roman" w:hAnsi="Times New Roman" w:cs="Times New Roman"/>
          <w:noProof/>
          <w:sz w:val="22"/>
          <w:szCs w:val="22"/>
          <w:lang w:val="pl-PL"/>
        </w:rPr>
      </w:pPr>
    </w:p>
    <w:p w14:paraId="78C036B1" w14:textId="77777777" w:rsidR="005C20EB" w:rsidRPr="0023471C" w:rsidRDefault="005C20EB" w:rsidP="005C20EB">
      <w:pPr>
        <w:rPr>
          <w:rFonts w:ascii="Times New Roman" w:hAnsi="Times New Roman" w:cs="Times New Roman"/>
          <w:noProof/>
          <w:sz w:val="22"/>
          <w:szCs w:val="22"/>
          <w:lang w:val="pl-PL"/>
        </w:rPr>
      </w:pPr>
      <w:r w:rsidRPr="0023471C">
        <w:rPr>
          <w:rFonts w:ascii="Times New Roman" w:hAnsi="Times New Roman" w:cs="Times New Roman"/>
          <w:sz w:val="22"/>
          <w:szCs w:val="22"/>
          <w:lang w:val="pl-PL"/>
        </w:rPr>
        <w:t>Wydrukowana ulotka dla pacjenta musi zawierać nazwę i adres wytwórcy odpowiedzialnego za zwolnienie danej serii produktu leczniczego.</w:t>
      </w:r>
    </w:p>
    <w:p w14:paraId="00FF0FC1" w14:textId="77777777" w:rsidR="005C20EB" w:rsidRPr="0023471C" w:rsidRDefault="005C20EB" w:rsidP="005C20EB">
      <w:pPr>
        <w:rPr>
          <w:rFonts w:ascii="Times New Roman" w:hAnsi="Times New Roman" w:cs="Times New Roman"/>
          <w:noProof/>
          <w:sz w:val="22"/>
          <w:szCs w:val="22"/>
          <w:lang w:val="pl-PL"/>
        </w:rPr>
      </w:pPr>
    </w:p>
    <w:p w14:paraId="540BFE82" w14:textId="77777777" w:rsidR="005C20EB" w:rsidRPr="0023471C" w:rsidRDefault="005C20EB" w:rsidP="005C20EB">
      <w:pPr>
        <w:rPr>
          <w:rFonts w:ascii="Times New Roman" w:hAnsi="Times New Roman" w:cs="Times New Roman"/>
          <w:noProof/>
          <w:sz w:val="22"/>
          <w:szCs w:val="22"/>
          <w:lang w:val="pl-PL"/>
        </w:rPr>
      </w:pPr>
    </w:p>
    <w:p w14:paraId="6B2F9F2F" w14:textId="77777777" w:rsidR="005C20EB" w:rsidRPr="0023471C" w:rsidRDefault="005C20EB" w:rsidP="002D2178">
      <w:pPr>
        <w:pStyle w:val="TitleB"/>
      </w:pPr>
      <w:r w:rsidRPr="0023471C">
        <w:t xml:space="preserve">WARUNKI LUB OGRANICZENIA DOTYCZĄCE ZAOPATRZENIA I STOSOWANIA </w:t>
      </w:r>
    </w:p>
    <w:p w14:paraId="1CFAD134" w14:textId="77777777" w:rsidR="005C20EB" w:rsidRPr="0023471C" w:rsidRDefault="005C20EB" w:rsidP="005C20EB">
      <w:pPr>
        <w:keepNext/>
        <w:rPr>
          <w:rFonts w:ascii="Times New Roman" w:hAnsi="Times New Roman" w:cs="Times New Roman"/>
          <w:noProof/>
          <w:sz w:val="22"/>
          <w:szCs w:val="22"/>
          <w:lang w:val="pl-PL"/>
        </w:rPr>
      </w:pPr>
    </w:p>
    <w:p w14:paraId="5D386692" w14:textId="77777777" w:rsidR="005C20EB" w:rsidRPr="0023471C" w:rsidRDefault="005C20EB" w:rsidP="005C20EB">
      <w:pPr>
        <w:numPr>
          <w:ilvl w:val="12"/>
          <w:numId w:val="0"/>
        </w:numPr>
        <w:rPr>
          <w:rFonts w:ascii="Times New Roman" w:hAnsi="Times New Roman" w:cs="Times New Roman"/>
          <w:noProof/>
          <w:sz w:val="22"/>
          <w:szCs w:val="22"/>
          <w:lang w:val="pl-PL"/>
        </w:rPr>
      </w:pPr>
      <w:r w:rsidRPr="0023471C">
        <w:rPr>
          <w:rFonts w:ascii="Times New Roman" w:hAnsi="Times New Roman" w:cs="Times New Roman"/>
          <w:sz w:val="22"/>
          <w:szCs w:val="22"/>
          <w:lang w:val="pl-PL"/>
        </w:rPr>
        <w:t>Produkt leczniczy wydawany na receptę do zastrzeżonego stosowania (patrz aneks I: Charakterystyka Produktu Leczniczego, punkt 4.2).</w:t>
      </w:r>
    </w:p>
    <w:p w14:paraId="57C3CF19" w14:textId="77777777" w:rsidR="005C20EB" w:rsidRPr="0023471C" w:rsidRDefault="005C20EB" w:rsidP="005C20EB">
      <w:pPr>
        <w:numPr>
          <w:ilvl w:val="12"/>
          <w:numId w:val="0"/>
        </w:numPr>
        <w:rPr>
          <w:rFonts w:ascii="Times New Roman" w:hAnsi="Times New Roman" w:cs="Times New Roman"/>
          <w:noProof/>
          <w:sz w:val="22"/>
          <w:szCs w:val="22"/>
          <w:lang w:val="pl-PL"/>
        </w:rPr>
      </w:pPr>
    </w:p>
    <w:p w14:paraId="0DECC6AE" w14:textId="77777777" w:rsidR="005C20EB" w:rsidRPr="0023471C" w:rsidRDefault="005C20EB" w:rsidP="005C20EB">
      <w:pPr>
        <w:numPr>
          <w:ilvl w:val="12"/>
          <w:numId w:val="0"/>
        </w:numPr>
        <w:rPr>
          <w:rFonts w:ascii="Times New Roman" w:hAnsi="Times New Roman" w:cs="Times New Roman"/>
          <w:noProof/>
          <w:sz w:val="22"/>
          <w:szCs w:val="22"/>
          <w:lang w:val="pl-PL"/>
        </w:rPr>
      </w:pPr>
    </w:p>
    <w:p w14:paraId="4F8EB775" w14:textId="77777777" w:rsidR="005C20EB" w:rsidRPr="0023471C" w:rsidRDefault="005C20EB" w:rsidP="002D2178">
      <w:pPr>
        <w:pStyle w:val="TitleB"/>
        <w:rPr>
          <w:bCs/>
        </w:rPr>
      </w:pPr>
      <w:r w:rsidRPr="0023471C">
        <w:t>INNE WARUNKI I WYMAGANIA DOTYCZĄCE DOPUSZCZENIA DO OBROTU</w:t>
      </w:r>
    </w:p>
    <w:p w14:paraId="3120F0D3" w14:textId="77777777" w:rsidR="005C20EB" w:rsidRPr="0023471C" w:rsidRDefault="005C20EB" w:rsidP="005C20EB">
      <w:pPr>
        <w:keepNext/>
        <w:ind w:right="-1"/>
        <w:rPr>
          <w:rFonts w:ascii="Times New Roman" w:hAnsi="Times New Roman" w:cs="Times New Roman"/>
          <w:iCs/>
          <w:noProof/>
          <w:sz w:val="22"/>
          <w:szCs w:val="22"/>
          <w:u w:val="single"/>
          <w:lang w:val="pl-PL"/>
        </w:rPr>
      </w:pPr>
    </w:p>
    <w:p w14:paraId="57C3A904" w14:textId="7271897F" w:rsidR="005C20EB" w:rsidRPr="004474EE" w:rsidRDefault="005C20EB" w:rsidP="00A07323">
      <w:pPr>
        <w:keepNext/>
        <w:numPr>
          <w:ilvl w:val="0"/>
          <w:numId w:val="108"/>
        </w:numPr>
        <w:tabs>
          <w:tab w:val="left" w:pos="567"/>
        </w:tabs>
        <w:ind w:left="567" w:hanging="567"/>
        <w:rPr>
          <w:rFonts w:ascii="Times New Roman" w:hAnsi="Times New Roman" w:cs="Times New Roman"/>
          <w:b/>
          <w:sz w:val="22"/>
          <w:szCs w:val="22"/>
          <w:lang w:val="en-US"/>
        </w:rPr>
      </w:pPr>
      <w:r w:rsidRPr="001E2C6A">
        <w:rPr>
          <w:rFonts w:ascii="Times New Roman" w:hAnsi="Times New Roman" w:cs="Times New Roman"/>
          <w:b/>
          <w:sz w:val="22"/>
          <w:szCs w:val="22"/>
          <w:lang w:val="pl-PL"/>
        </w:rPr>
        <w:t>Okresow</w:t>
      </w:r>
      <w:r w:rsidR="00D501EF">
        <w:rPr>
          <w:rFonts w:ascii="Times New Roman" w:hAnsi="Times New Roman" w:cs="Times New Roman"/>
          <w:b/>
          <w:sz w:val="22"/>
          <w:szCs w:val="22"/>
          <w:lang w:val="pl-PL"/>
        </w:rPr>
        <w:t>e</w:t>
      </w:r>
      <w:r w:rsidRPr="001E2C6A">
        <w:rPr>
          <w:rFonts w:ascii="Times New Roman" w:hAnsi="Times New Roman" w:cs="Times New Roman"/>
          <w:b/>
          <w:sz w:val="22"/>
          <w:szCs w:val="22"/>
          <w:lang w:val="pl-PL"/>
        </w:rPr>
        <w:t xml:space="preserve"> raport</w:t>
      </w:r>
      <w:r w:rsidR="00D501EF">
        <w:rPr>
          <w:rFonts w:ascii="Times New Roman" w:hAnsi="Times New Roman" w:cs="Times New Roman"/>
          <w:b/>
          <w:sz w:val="22"/>
          <w:szCs w:val="22"/>
          <w:lang w:val="pl-PL"/>
        </w:rPr>
        <w:t>y</w:t>
      </w:r>
      <w:r w:rsidRPr="001E2C6A">
        <w:rPr>
          <w:rFonts w:ascii="Times New Roman" w:hAnsi="Times New Roman" w:cs="Times New Roman"/>
          <w:b/>
          <w:sz w:val="22"/>
          <w:szCs w:val="22"/>
          <w:lang w:val="pl-PL"/>
        </w:rPr>
        <w:t xml:space="preserve"> o bezpieczeństwie stosowania</w:t>
      </w:r>
      <w:r w:rsidR="00066BF9" w:rsidRPr="001E2C6A">
        <w:rPr>
          <w:rFonts w:ascii="Times New Roman" w:hAnsi="Times New Roman" w:cs="Times New Roman"/>
          <w:b/>
          <w:sz w:val="22"/>
          <w:szCs w:val="22"/>
          <w:lang w:val="pl-PL"/>
        </w:rPr>
        <w:t xml:space="preserve"> </w:t>
      </w:r>
      <w:r w:rsidR="00066BF9">
        <w:rPr>
          <w:rFonts w:ascii="Times New Roman" w:hAnsi="Times New Roman" w:cs="Times New Roman"/>
          <w:b/>
          <w:sz w:val="22"/>
          <w:szCs w:val="22"/>
          <w:lang w:val="pl-PL"/>
        </w:rPr>
        <w:t>(</w:t>
      </w:r>
      <w:r w:rsidR="00D501EF">
        <w:rPr>
          <w:rFonts w:ascii="Times New Roman" w:hAnsi="Times New Roman" w:cs="Times New Roman"/>
          <w:b/>
          <w:sz w:val="22"/>
          <w:szCs w:val="22"/>
          <w:lang w:val="pl-PL"/>
        </w:rPr>
        <w:t xml:space="preserve">ang. </w:t>
      </w:r>
      <w:r w:rsidR="00D501EF" w:rsidRPr="004474EE">
        <w:rPr>
          <w:rFonts w:ascii="Times New Roman" w:hAnsi="Times New Roman" w:cs="Times New Roman"/>
          <w:b/>
          <w:sz w:val="22"/>
          <w:szCs w:val="22"/>
          <w:lang w:val="en-US"/>
        </w:rPr>
        <w:t xml:space="preserve">Periodic Safety update reports, </w:t>
      </w:r>
      <w:r w:rsidR="00066BF9" w:rsidRPr="004474EE">
        <w:rPr>
          <w:rFonts w:ascii="Times New Roman" w:hAnsi="Times New Roman" w:cs="Times New Roman"/>
          <w:b/>
          <w:sz w:val="22"/>
          <w:szCs w:val="22"/>
          <w:lang w:val="en-US"/>
        </w:rPr>
        <w:t>PSUR</w:t>
      </w:r>
      <w:r w:rsidR="00D501EF" w:rsidRPr="004474EE">
        <w:rPr>
          <w:rFonts w:ascii="Times New Roman" w:hAnsi="Times New Roman" w:cs="Times New Roman"/>
          <w:b/>
          <w:sz w:val="22"/>
          <w:szCs w:val="22"/>
          <w:lang w:val="en-US"/>
        </w:rPr>
        <w:t>s</w:t>
      </w:r>
      <w:r w:rsidR="00066BF9" w:rsidRPr="004474EE">
        <w:rPr>
          <w:rFonts w:ascii="Times New Roman" w:hAnsi="Times New Roman" w:cs="Times New Roman"/>
          <w:b/>
          <w:sz w:val="22"/>
          <w:szCs w:val="22"/>
          <w:lang w:val="en-US"/>
        </w:rPr>
        <w:t>)</w:t>
      </w:r>
    </w:p>
    <w:p w14:paraId="0837DA8B" w14:textId="77777777" w:rsidR="005C20EB" w:rsidRPr="004474EE" w:rsidRDefault="005C20EB" w:rsidP="005C20EB">
      <w:pPr>
        <w:keepNext/>
        <w:tabs>
          <w:tab w:val="left" w:pos="0"/>
        </w:tabs>
        <w:ind w:right="567"/>
        <w:rPr>
          <w:rFonts w:ascii="Times New Roman" w:hAnsi="Times New Roman" w:cs="Times New Roman"/>
          <w:sz w:val="22"/>
          <w:szCs w:val="22"/>
          <w:lang w:val="en-US"/>
        </w:rPr>
      </w:pPr>
    </w:p>
    <w:p w14:paraId="61C7C309" w14:textId="33F0B09B" w:rsidR="005C20EB" w:rsidRPr="0023471C" w:rsidRDefault="005C20EB" w:rsidP="005C20EB">
      <w:pPr>
        <w:tabs>
          <w:tab w:val="left" w:pos="0"/>
        </w:tabs>
        <w:ind w:right="567"/>
        <w:rPr>
          <w:rFonts w:ascii="Times New Roman" w:hAnsi="Times New Roman" w:cs="Times New Roman"/>
          <w:iCs/>
          <w:sz w:val="22"/>
          <w:szCs w:val="22"/>
          <w:lang w:val="pl-PL"/>
        </w:rPr>
      </w:pPr>
      <w:r w:rsidRPr="0023471C">
        <w:rPr>
          <w:rFonts w:ascii="Times New Roman" w:hAnsi="Times New Roman" w:cs="Times New Roman"/>
          <w:sz w:val="22"/>
          <w:szCs w:val="22"/>
          <w:lang w:val="pl-PL"/>
        </w:rP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4792277B" w14:textId="77777777" w:rsidR="005C20EB" w:rsidRPr="0023471C" w:rsidRDefault="005C20EB" w:rsidP="005C20EB">
      <w:pPr>
        <w:ind w:right="-1"/>
        <w:rPr>
          <w:rFonts w:ascii="Times New Roman" w:hAnsi="Times New Roman" w:cs="Times New Roman"/>
          <w:iCs/>
          <w:noProof/>
          <w:sz w:val="22"/>
          <w:szCs w:val="22"/>
          <w:u w:val="single"/>
          <w:lang w:val="pl-PL"/>
        </w:rPr>
      </w:pPr>
    </w:p>
    <w:p w14:paraId="4D017326" w14:textId="77777777" w:rsidR="005C20EB" w:rsidRPr="0023471C" w:rsidRDefault="005C20EB" w:rsidP="005C20EB">
      <w:pPr>
        <w:ind w:right="-1"/>
        <w:rPr>
          <w:rFonts w:ascii="Times New Roman" w:hAnsi="Times New Roman" w:cs="Times New Roman"/>
          <w:sz w:val="22"/>
          <w:szCs w:val="22"/>
          <w:u w:val="single"/>
          <w:lang w:val="pl-PL"/>
        </w:rPr>
      </w:pPr>
    </w:p>
    <w:p w14:paraId="4BAB4DFF" w14:textId="77777777" w:rsidR="005C20EB" w:rsidRPr="0023471C" w:rsidRDefault="005C20EB" w:rsidP="002D2178">
      <w:pPr>
        <w:pStyle w:val="TitleB"/>
      </w:pPr>
      <w:r w:rsidRPr="0023471C">
        <w:lastRenderedPageBreak/>
        <w:t xml:space="preserve">WARUNKI </w:t>
      </w:r>
      <w:r w:rsidR="00147AF3">
        <w:t>LUB</w:t>
      </w:r>
      <w:r w:rsidRPr="0023471C">
        <w:t xml:space="preserve"> OGRANICZENIA DOTYCZĄCE BEZPIECZNEGO I SKUTECZNEGO STOSOWANIA PRODUKTU LECZNICZEGO</w:t>
      </w:r>
    </w:p>
    <w:p w14:paraId="05DC1DA3" w14:textId="77777777" w:rsidR="005C20EB" w:rsidRPr="0023471C" w:rsidRDefault="005C20EB" w:rsidP="005C20EB">
      <w:pPr>
        <w:keepNext/>
        <w:ind w:right="-1"/>
        <w:rPr>
          <w:rFonts w:ascii="Times New Roman" w:hAnsi="Times New Roman" w:cs="Times New Roman"/>
          <w:sz w:val="22"/>
          <w:szCs w:val="22"/>
          <w:u w:val="single"/>
          <w:lang w:val="pl-PL"/>
        </w:rPr>
      </w:pPr>
    </w:p>
    <w:p w14:paraId="68699C34" w14:textId="77777777" w:rsidR="005C20EB" w:rsidRPr="0023471C" w:rsidRDefault="005C20EB" w:rsidP="005C20EB">
      <w:pPr>
        <w:keepNext/>
        <w:numPr>
          <w:ilvl w:val="0"/>
          <w:numId w:val="108"/>
        </w:numPr>
        <w:tabs>
          <w:tab w:val="left" w:pos="567"/>
        </w:tabs>
        <w:ind w:right="-1" w:hanging="720"/>
        <w:rPr>
          <w:rFonts w:ascii="Times New Roman" w:hAnsi="Times New Roman" w:cs="Times New Roman"/>
          <w:b/>
          <w:sz w:val="22"/>
          <w:szCs w:val="22"/>
          <w:lang w:val="pl-PL"/>
        </w:rPr>
      </w:pPr>
      <w:r w:rsidRPr="0023471C">
        <w:rPr>
          <w:rFonts w:ascii="Times New Roman" w:hAnsi="Times New Roman" w:cs="Times New Roman"/>
          <w:b/>
          <w:sz w:val="22"/>
          <w:szCs w:val="22"/>
          <w:lang w:val="pl-PL"/>
        </w:rPr>
        <w:t>Plan zarządzania ryzykiem (ang. Risk Management Plan, RMP)</w:t>
      </w:r>
    </w:p>
    <w:p w14:paraId="369A5441" w14:textId="77777777" w:rsidR="005C20EB" w:rsidRPr="0023471C" w:rsidRDefault="005C20EB" w:rsidP="005C20EB">
      <w:pPr>
        <w:keepNext/>
        <w:ind w:left="720" w:right="-1"/>
        <w:rPr>
          <w:rFonts w:ascii="Times New Roman" w:hAnsi="Times New Roman" w:cs="Times New Roman"/>
          <w:b/>
          <w:sz w:val="22"/>
          <w:szCs w:val="22"/>
          <w:lang w:val="pl-PL"/>
        </w:rPr>
      </w:pPr>
    </w:p>
    <w:p w14:paraId="599F0187" w14:textId="77777777" w:rsidR="005C20EB" w:rsidRPr="0023471C" w:rsidRDefault="005C20EB" w:rsidP="005C20EB">
      <w:pPr>
        <w:tabs>
          <w:tab w:val="left" w:pos="0"/>
        </w:tabs>
        <w:ind w:right="567"/>
        <w:rPr>
          <w:rFonts w:ascii="Times New Roman" w:hAnsi="Times New Roman" w:cs="Times New Roman"/>
          <w:noProof/>
          <w:sz w:val="22"/>
          <w:szCs w:val="22"/>
          <w:lang w:val="pl-PL"/>
        </w:rPr>
      </w:pPr>
      <w:r w:rsidRPr="0023471C">
        <w:rPr>
          <w:rFonts w:ascii="Times New Roman" w:hAnsi="Times New Roman" w:cs="Times New Roman"/>
          <w:sz w:val="22"/>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40A6F8F" w14:textId="77777777" w:rsidR="005C20EB" w:rsidRPr="0023471C" w:rsidRDefault="005C20EB" w:rsidP="005C20EB">
      <w:pPr>
        <w:ind w:right="-1"/>
        <w:rPr>
          <w:rFonts w:ascii="Times New Roman" w:hAnsi="Times New Roman" w:cs="Times New Roman"/>
          <w:iCs/>
          <w:noProof/>
          <w:sz w:val="22"/>
          <w:szCs w:val="22"/>
          <w:lang w:val="pl-PL"/>
        </w:rPr>
      </w:pPr>
    </w:p>
    <w:p w14:paraId="5F66A0C8" w14:textId="77777777" w:rsidR="005C20EB" w:rsidRPr="0023471C" w:rsidRDefault="005C20EB" w:rsidP="00633F20">
      <w:pPr>
        <w:keepNext/>
        <w:rPr>
          <w:rFonts w:ascii="Times New Roman" w:hAnsi="Times New Roman" w:cs="Times New Roman"/>
          <w:iCs/>
          <w:noProof/>
          <w:sz w:val="22"/>
          <w:szCs w:val="22"/>
        </w:rPr>
      </w:pPr>
      <w:proofErr w:type="spellStart"/>
      <w:r w:rsidRPr="0023471C">
        <w:rPr>
          <w:rFonts w:ascii="Times New Roman" w:hAnsi="Times New Roman" w:cs="Times New Roman"/>
          <w:sz w:val="22"/>
          <w:szCs w:val="22"/>
        </w:rPr>
        <w:t>Uaktualniony</w:t>
      </w:r>
      <w:proofErr w:type="spellEnd"/>
      <w:r w:rsidRPr="0023471C">
        <w:rPr>
          <w:rFonts w:ascii="Times New Roman" w:hAnsi="Times New Roman" w:cs="Times New Roman"/>
          <w:sz w:val="22"/>
          <w:szCs w:val="22"/>
        </w:rPr>
        <w:t xml:space="preserve"> RMP </w:t>
      </w:r>
      <w:proofErr w:type="spellStart"/>
      <w:r w:rsidRPr="0023471C">
        <w:rPr>
          <w:rFonts w:ascii="Times New Roman" w:hAnsi="Times New Roman" w:cs="Times New Roman"/>
          <w:sz w:val="22"/>
          <w:szCs w:val="22"/>
        </w:rPr>
        <w:t>należy</w:t>
      </w:r>
      <w:proofErr w:type="spellEnd"/>
      <w:r w:rsidRPr="0023471C">
        <w:rPr>
          <w:rFonts w:ascii="Times New Roman" w:hAnsi="Times New Roman" w:cs="Times New Roman"/>
          <w:sz w:val="22"/>
          <w:szCs w:val="22"/>
        </w:rPr>
        <w:t xml:space="preserve"> </w:t>
      </w:r>
      <w:proofErr w:type="spellStart"/>
      <w:r w:rsidRPr="0023471C">
        <w:rPr>
          <w:rFonts w:ascii="Times New Roman" w:hAnsi="Times New Roman" w:cs="Times New Roman"/>
          <w:sz w:val="22"/>
          <w:szCs w:val="22"/>
        </w:rPr>
        <w:t>przedstawiać</w:t>
      </w:r>
      <w:proofErr w:type="spellEnd"/>
      <w:r w:rsidRPr="0023471C">
        <w:rPr>
          <w:rFonts w:ascii="Times New Roman" w:hAnsi="Times New Roman" w:cs="Times New Roman"/>
          <w:sz w:val="22"/>
          <w:szCs w:val="22"/>
        </w:rPr>
        <w:t>:</w:t>
      </w:r>
    </w:p>
    <w:p w14:paraId="7F32FEB4" w14:textId="77777777" w:rsidR="005C20EB" w:rsidRPr="0023471C" w:rsidRDefault="005C20EB" w:rsidP="000053FC">
      <w:pPr>
        <w:keepNext/>
        <w:numPr>
          <w:ilvl w:val="0"/>
          <w:numId w:val="107"/>
        </w:numPr>
        <w:tabs>
          <w:tab w:val="left" w:pos="567"/>
        </w:tabs>
        <w:ind w:left="567" w:hanging="567"/>
        <w:rPr>
          <w:rFonts w:ascii="Times New Roman" w:hAnsi="Times New Roman" w:cs="Times New Roman"/>
          <w:iCs/>
          <w:noProof/>
          <w:sz w:val="22"/>
          <w:szCs w:val="22"/>
          <w:lang w:val="pl-PL"/>
        </w:rPr>
      </w:pPr>
      <w:r w:rsidRPr="0023471C">
        <w:rPr>
          <w:rFonts w:ascii="Times New Roman" w:hAnsi="Times New Roman" w:cs="Times New Roman"/>
          <w:sz w:val="22"/>
          <w:szCs w:val="22"/>
          <w:lang w:val="pl-PL"/>
        </w:rPr>
        <w:t>na żądanie Europejskiej Agencji Leków;</w:t>
      </w:r>
    </w:p>
    <w:p w14:paraId="62624EBA" w14:textId="77777777" w:rsidR="005C20EB" w:rsidRDefault="005C20EB" w:rsidP="000053FC">
      <w:pPr>
        <w:numPr>
          <w:ilvl w:val="0"/>
          <w:numId w:val="107"/>
        </w:numPr>
        <w:tabs>
          <w:tab w:val="clear" w:pos="720"/>
        </w:tabs>
        <w:ind w:left="567" w:hanging="567"/>
        <w:rPr>
          <w:rFonts w:ascii="Times New Roman" w:hAnsi="Times New Roman" w:cs="Times New Roman"/>
          <w:sz w:val="22"/>
          <w:szCs w:val="22"/>
          <w:lang w:val="pl-PL"/>
        </w:rPr>
      </w:pPr>
      <w:r w:rsidRPr="0023471C">
        <w:rPr>
          <w:rFonts w:ascii="Times New Roman" w:hAnsi="Times New Roman" w:cs="Times New Roman"/>
          <w:sz w:val="22"/>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07321D7" w14:textId="77777777" w:rsidR="00071CFE" w:rsidRPr="005C20EB" w:rsidRDefault="005C20EB" w:rsidP="00F14E33">
      <w:pPr>
        <w:jc w:val="center"/>
        <w:rPr>
          <w:rFonts w:ascii="Times New Roman" w:eastAsia="Times New Roman" w:hAnsi="Times New Roman" w:cs="Times New Roman"/>
          <w:sz w:val="22"/>
          <w:szCs w:val="22"/>
          <w:lang w:val="lt-LT"/>
        </w:rPr>
      </w:pPr>
      <w:r>
        <w:rPr>
          <w:rFonts w:ascii="Times New Roman" w:hAnsi="Times New Roman" w:cs="Times New Roman"/>
          <w:sz w:val="22"/>
          <w:szCs w:val="22"/>
          <w:lang w:val="pl-PL"/>
        </w:rPr>
        <w:br w:type="page"/>
      </w:r>
    </w:p>
    <w:p w14:paraId="0BE62101" w14:textId="77777777" w:rsidR="00D24A07" w:rsidRPr="00E25D60" w:rsidRDefault="00D24A07" w:rsidP="00B60EA4">
      <w:pPr>
        <w:jc w:val="center"/>
        <w:rPr>
          <w:rFonts w:ascii="Times New Roman" w:eastAsia="Times New Roman" w:hAnsi="Times New Roman" w:cs="Times New Roman"/>
          <w:sz w:val="22"/>
          <w:szCs w:val="22"/>
          <w:lang w:val="lt-LT"/>
        </w:rPr>
      </w:pPr>
    </w:p>
    <w:p w14:paraId="168CEC6C" w14:textId="77777777" w:rsidR="00D24A07" w:rsidRPr="00B15CB7" w:rsidRDefault="00D24A07" w:rsidP="0063024F">
      <w:pPr>
        <w:jc w:val="center"/>
        <w:rPr>
          <w:rFonts w:ascii="Times New Roman" w:eastAsia="Times New Roman" w:hAnsi="Times New Roman" w:cs="Times New Roman"/>
          <w:sz w:val="22"/>
          <w:szCs w:val="22"/>
          <w:lang w:val="lt-LT"/>
        </w:rPr>
      </w:pPr>
    </w:p>
    <w:p w14:paraId="3756A288" w14:textId="77777777" w:rsidR="00D24A07" w:rsidRPr="001144EB" w:rsidRDefault="00D24A07" w:rsidP="00FA6426">
      <w:pPr>
        <w:jc w:val="center"/>
        <w:rPr>
          <w:rFonts w:ascii="Times New Roman" w:eastAsia="Times New Roman" w:hAnsi="Times New Roman" w:cs="Times New Roman"/>
          <w:sz w:val="22"/>
          <w:szCs w:val="22"/>
          <w:lang w:val="lt-LT"/>
        </w:rPr>
      </w:pPr>
    </w:p>
    <w:p w14:paraId="11A61732" w14:textId="77777777" w:rsidR="00D24A07" w:rsidRPr="001144EB" w:rsidRDefault="00D24A07" w:rsidP="00CA09D8">
      <w:pPr>
        <w:jc w:val="center"/>
        <w:rPr>
          <w:rFonts w:ascii="Times New Roman" w:eastAsia="Times New Roman" w:hAnsi="Times New Roman" w:cs="Times New Roman"/>
          <w:sz w:val="22"/>
          <w:szCs w:val="22"/>
          <w:lang w:val="lt-LT"/>
        </w:rPr>
      </w:pPr>
    </w:p>
    <w:p w14:paraId="2BD4A033" w14:textId="77777777" w:rsidR="00D24A07" w:rsidRPr="00960835" w:rsidRDefault="00D24A07" w:rsidP="00CA09D8">
      <w:pPr>
        <w:jc w:val="center"/>
        <w:rPr>
          <w:rFonts w:ascii="Times New Roman" w:eastAsia="Times New Roman" w:hAnsi="Times New Roman" w:cs="Times New Roman"/>
          <w:sz w:val="22"/>
          <w:szCs w:val="22"/>
          <w:lang w:val="lt-LT"/>
        </w:rPr>
      </w:pPr>
    </w:p>
    <w:p w14:paraId="17127F80" w14:textId="77777777" w:rsidR="00071CFE" w:rsidRPr="00960835" w:rsidRDefault="00071CFE" w:rsidP="00DA23F7">
      <w:pPr>
        <w:jc w:val="center"/>
        <w:rPr>
          <w:rFonts w:ascii="Times New Roman" w:eastAsia="Times New Roman" w:hAnsi="Times New Roman" w:cs="Times New Roman"/>
          <w:sz w:val="22"/>
          <w:szCs w:val="22"/>
          <w:lang w:val="lt-LT"/>
        </w:rPr>
      </w:pPr>
    </w:p>
    <w:p w14:paraId="3BB2031A" w14:textId="77777777" w:rsidR="00D24A07" w:rsidRPr="00960835" w:rsidRDefault="00D24A07" w:rsidP="00DA23F7">
      <w:pPr>
        <w:jc w:val="center"/>
        <w:rPr>
          <w:rFonts w:ascii="Times New Roman" w:eastAsia="Times New Roman" w:hAnsi="Times New Roman" w:cs="Times New Roman"/>
          <w:sz w:val="22"/>
          <w:szCs w:val="22"/>
          <w:lang w:val="lt-LT"/>
        </w:rPr>
      </w:pPr>
    </w:p>
    <w:p w14:paraId="372DDFBA" w14:textId="77777777" w:rsidR="00D24A07" w:rsidRPr="002320B4" w:rsidRDefault="00D24A07" w:rsidP="00DA23F7">
      <w:pPr>
        <w:jc w:val="center"/>
        <w:rPr>
          <w:rFonts w:ascii="Times New Roman" w:eastAsia="Times New Roman" w:hAnsi="Times New Roman" w:cs="Times New Roman"/>
          <w:sz w:val="22"/>
          <w:szCs w:val="22"/>
          <w:lang w:val="lt-LT"/>
        </w:rPr>
      </w:pPr>
    </w:p>
    <w:p w14:paraId="75ECAFE5" w14:textId="77777777" w:rsidR="00D24A07" w:rsidRPr="00C8400C" w:rsidRDefault="00D24A07" w:rsidP="002C5A26">
      <w:pPr>
        <w:jc w:val="center"/>
        <w:rPr>
          <w:rFonts w:ascii="Times New Roman" w:eastAsia="Times New Roman" w:hAnsi="Times New Roman" w:cs="Times New Roman"/>
          <w:sz w:val="22"/>
          <w:szCs w:val="22"/>
          <w:lang w:val="lt-LT"/>
        </w:rPr>
      </w:pPr>
    </w:p>
    <w:p w14:paraId="1424CF6B" w14:textId="77777777" w:rsidR="00D24A07" w:rsidRPr="0078410B" w:rsidRDefault="00D24A07" w:rsidP="00AB23EE">
      <w:pPr>
        <w:jc w:val="center"/>
        <w:rPr>
          <w:rFonts w:ascii="Times New Roman" w:eastAsia="Times New Roman" w:hAnsi="Times New Roman" w:cs="Times New Roman"/>
          <w:sz w:val="22"/>
          <w:szCs w:val="22"/>
          <w:lang w:val="lt-LT"/>
        </w:rPr>
      </w:pPr>
    </w:p>
    <w:p w14:paraId="6335ECA6" w14:textId="77777777" w:rsidR="00D24A07" w:rsidRPr="00B4242C" w:rsidRDefault="00D24A07" w:rsidP="00F14E33">
      <w:pPr>
        <w:jc w:val="center"/>
        <w:rPr>
          <w:rFonts w:ascii="Times New Roman" w:eastAsia="Times New Roman" w:hAnsi="Times New Roman" w:cs="Times New Roman"/>
          <w:sz w:val="22"/>
          <w:szCs w:val="22"/>
          <w:lang w:val="lt-LT"/>
        </w:rPr>
      </w:pPr>
    </w:p>
    <w:p w14:paraId="26C47FA9" w14:textId="77777777" w:rsidR="00D24A07" w:rsidRPr="00D872F7" w:rsidRDefault="00D24A07" w:rsidP="00F14E33">
      <w:pPr>
        <w:jc w:val="center"/>
        <w:rPr>
          <w:rFonts w:ascii="Times New Roman" w:eastAsia="Times New Roman" w:hAnsi="Times New Roman" w:cs="Times New Roman"/>
          <w:sz w:val="22"/>
          <w:szCs w:val="22"/>
          <w:lang w:val="lt-LT"/>
        </w:rPr>
      </w:pPr>
    </w:p>
    <w:p w14:paraId="5B624AB0" w14:textId="77777777" w:rsidR="00D24A07" w:rsidRPr="006C170B" w:rsidRDefault="00D24A07" w:rsidP="00F14E33">
      <w:pPr>
        <w:jc w:val="center"/>
        <w:rPr>
          <w:rFonts w:ascii="Times New Roman" w:eastAsia="Times New Roman" w:hAnsi="Times New Roman"/>
          <w:sz w:val="22"/>
          <w:lang w:val="lt-LT"/>
        </w:rPr>
      </w:pPr>
    </w:p>
    <w:p w14:paraId="64D82909" w14:textId="77777777" w:rsidR="00D24A07" w:rsidRPr="006C170B" w:rsidRDefault="00D24A07" w:rsidP="00F14E33">
      <w:pPr>
        <w:jc w:val="center"/>
        <w:rPr>
          <w:rFonts w:ascii="Times New Roman" w:eastAsia="Times New Roman" w:hAnsi="Times New Roman"/>
          <w:sz w:val="22"/>
          <w:lang w:val="lt-LT"/>
        </w:rPr>
      </w:pPr>
    </w:p>
    <w:p w14:paraId="53AB3C13" w14:textId="77777777" w:rsidR="00D24A07" w:rsidRPr="006C170B" w:rsidRDefault="00D24A07" w:rsidP="00F14E33">
      <w:pPr>
        <w:jc w:val="center"/>
        <w:rPr>
          <w:rFonts w:ascii="Times New Roman" w:eastAsia="Times New Roman" w:hAnsi="Times New Roman"/>
          <w:sz w:val="22"/>
          <w:lang w:val="lt-LT"/>
        </w:rPr>
      </w:pPr>
    </w:p>
    <w:p w14:paraId="6B2C7DC4" w14:textId="77777777" w:rsidR="00D24A07" w:rsidRPr="006C170B" w:rsidRDefault="00D24A07" w:rsidP="00F14E33">
      <w:pPr>
        <w:jc w:val="center"/>
        <w:rPr>
          <w:rFonts w:ascii="Times New Roman" w:eastAsia="Times New Roman" w:hAnsi="Times New Roman"/>
          <w:sz w:val="22"/>
          <w:lang w:val="lt-LT"/>
        </w:rPr>
      </w:pPr>
    </w:p>
    <w:p w14:paraId="24E1B261" w14:textId="77777777" w:rsidR="00D24A07" w:rsidRPr="006C170B" w:rsidRDefault="00D24A07" w:rsidP="00F14E33">
      <w:pPr>
        <w:jc w:val="center"/>
        <w:rPr>
          <w:rFonts w:ascii="Times New Roman" w:eastAsia="Times New Roman" w:hAnsi="Times New Roman"/>
          <w:sz w:val="22"/>
          <w:lang w:val="lt-LT"/>
        </w:rPr>
      </w:pPr>
    </w:p>
    <w:p w14:paraId="0184F58E" w14:textId="77777777" w:rsidR="00D24A07" w:rsidRPr="006C170B" w:rsidRDefault="00D24A07" w:rsidP="00F14E33">
      <w:pPr>
        <w:jc w:val="center"/>
        <w:rPr>
          <w:rFonts w:ascii="Times New Roman" w:eastAsia="Times New Roman" w:hAnsi="Times New Roman"/>
          <w:sz w:val="22"/>
          <w:lang w:val="lt-LT"/>
        </w:rPr>
      </w:pPr>
    </w:p>
    <w:p w14:paraId="64CCF28B" w14:textId="77777777" w:rsidR="00D24A07" w:rsidRPr="006C170B" w:rsidRDefault="00D24A07" w:rsidP="00F14E33">
      <w:pPr>
        <w:jc w:val="center"/>
        <w:rPr>
          <w:rFonts w:ascii="Times New Roman" w:eastAsia="Times New Roman" w:hAnsi="Times New Roman"/>
          <w:sz w:val="22"/>
          <w:lang w:val="lt-LT"/>
        </w:rPr>
      </w:pPr>
    </w:p>
    <w:p w14:paraId="2581B3E9" w14:textId="77777777" w:rsidR="00D24A07" w:rsidRPr="006C170B" w:rsidRDefault="00D24A07" w:rsidP="00F14E33">
      <w:pPr>
        <w:jc w:val="center"/>
        <w:rPr>
          <w:rFonts w:ascii="Times New Roman" w:eastAsia="Times New Roman" w:hAnsi="Times New Roman"/>
          <w:sz w:val="22"/>
          <w:lang w:val="lt-LT"/>
        </w:rPr>
      </w:pPr>
    </w:p>
    <w:p w14:paraId="7BDFC8C8" w14:textId="77777777" w:rsidR="00071CFE" w:rsidRPr="006C170B" w:rsidRDefault="00071CFE" w:rsidP="00F14E33">
      <w:pPr>
        <w:jc w:val="center"/>
        <w:rPr>
          <w:rFonts w:ascii="Times New Roman" w:eastAsia="Times New Roman" w:hAnsi="Times New Roman"/>
          <w:sz w:val="22"/>
          <w:lang w:val="lt-LT"/>
        </w:rPr>
      </w:pPr>
    </w:p>
    <w:p w14:paraId="5326AA60" w14:textId="77777777" w:rsidR="00071CFE" w:rsidRPr="006C170B" w:rsidRDefault="00071CFE" w:rsidP="00F14E33">
      <w:pPr>
        <w:jc w:val="center"/>
        <w:rPr>
          <w:rFonts w:ascii="Times New Roman" w:eastAsia="Times New Roman" w:hAnsi="Times New Roman"/>
          <w:sz w:val="22"/>
          <w:lang w:val="lt-LT"/>
        </w:rPr>
      </w:pPr>
    </w:p>
    <w:p w14:paraId="0D62F953" w14:textId="77777777" w:rsidR="00071CFE" w:rsidRPr="00741122" w:rsidRDefault="00071CFE" w:rsidP="00B60EA4">
      <w:pPr>
        <w:jc w:val="center"/>
        <w:rPr>
          <w:rFonts w:ascii="Times New Roman" w:eastAsia="Times New Roman" w:hAnsi="Times New Roman"/>
          <w:b/>
          <w:sz w:val="22"/>
          <w:lang w:val="lt-LT"/>
        </w:rPr>
      </w:pPr>
      <w:r w:rsidRPr="00741122">
        <w:rPr>
          <w:rFonts w:ascii="Times New Roman" w:eastAsia="Times New Roman" w:hAnsi="Times New Roman"/>
          <w:b/>
          <w:sz w:val="22"/>
          <w:lang w:val="lt-LT"/>
        </w:rPr>
        <w:t>ANEKS III</w:t>
      </w:r>
    </w:p>
    <w:p w14:paraId="29038D77" w14:textId="77777777" w:rsidR="00071CFE" w:rsidRPr="00E5130D" w:rsidRDefault="00071CFE" w:rsidP="00B60EA4">
      <w:pPr>
        <w:jc w:val="center"/>
        <w:rPr>
          <w:rFonts w:ascii="Times New Roman" w:eastAsia="Times New Roman" w:hAnsi="Times New Roman"/>
          <w:sz w:val="22"/>
          <w:lang w:val="lt-LT"/>
        </w:rPr>
      </w:pPr>
    </w:p>
    <w:p w14:paraId="0856DD6F" w14:textId="77777777" w:rsidR="00071CFE" w:rsidRPr="00E5130D" w:rsidRDefault="00071CFE" w:rsidP="00B60EA4">
      <w:pPr>
        <w:jc w:val="center"/>
        <w:rPr>
          <w:rFonts w:ascii="Times New Roman" w:eastAsia="Times New Roman" w:hAnsi="Times New Roman"/>
          <w:b/>
          <w:sz w:val="22"/>
          <w:lang w:val="lt-LT"/>
        </w:rPr>
      </w:pPr>
      <w:r w:rsidRPr="00E5130D">
        <w:rPr>
          <w:rFonts w:ascii="Times New Roman" w:eastAsia="Times New Roman" w:hAnsi="Times New Roman"/>
          <w:b/>
          <w:sz w:val="22"/>
          <w:lang w:val="lt-LT"/>
        </w:rPr>
        <w:t>OZNAKOWANIE OPAKOWAŃ I ULOTKA DLA PACJENTA</w:t>
      </w:r>
    </w:p>
    <w:p w14:paraId="07799E94" w14:textId="77777777" w:rsidR="00071CFE" w:rsidRPr="00E5130D" w:rsidRDefault="00071CFE" w:rsidP="00BB0D8D">
      <w:pPr>
        <w:spacing w:line="200" w:lineRule="exact"/>
        <w:jc w:val="center"/>
        <w:rPr>
          <w:rFonts w:ascii="Times New Roman" w:eastAsia="Times New Roman" w:hAnsi="Times New Roman"/>
          <w:sz w:val="22"/>
          <w:lang w:val="lt-LT"/>
        </w:rPr>
      </w:pPr>
    </w:p>
    <w:p w14:paraId="5FC55088" w14:textId="77777777" w:rsidR="00071CFE" w:rsidRPr="00D51535" w:rsidRDefault="00D24A07" w:rsidP="00D51535">
      <w:pPr>
        <w:jc w:val="center"/>
        <w:rPr>
          <w:rFonts w:ascii="Times New Roman" w:eastAsia="Times New Roman" w:hAnsi="Times New Roman"/>
          <w:sz w:val="22"/>
          <w:szCs w:val="22"/>
          <w:lang w:val="lt-LT"/>
        </w:rPr>
      </w:pPr>
      <w:r w:rsidRPr="00741122">
        <w:rPr>
          <w:rFonts w:ascii="Times New Roman" w:eastAsia="Times New Roman" w:hAnsi="Times New Roman"/>
          <w:lang w:val="lt-LT"/>
        </w:rPr>
        <w:br w:type="page"/>
      </w:r>
    </w:p>
    <w:p w14:paraId="2FAF5729" w14:textId="77777777" w:rsidR="00071CFE" w:rsidRPr="00D51535" w:rsidRDefault="00071CFE" w:rsidP="00D51535">
      <w:pPr>
        <w:jc w:val="center"/>
        <w:rPr>
          <w:rFonts w:ascii="Times New Roman" w:eastAsia="Times New Roman" w:hAnsi="Times New Roman"/>
          <w:sz w:val="22"/>
          <w:szCs w:val="22"/>
          <w:lang w:val="lt-LT"/>
        </w:rPr>
      </w:pPr>
    </w:p>
    <w:p w14:paraId="74AF8CFE" w14:textId="77777777" w:rsidR="00D24A07" w:rsidRPr="00D51535" w:rsidRDefault="00D24A07" w:rsidP="00D51535">
      <w:pPr>
        <w:jc w:val="center"/>
        <w:rPr>
          <w:rFonts w:ascii="Times New Roman" w:eastAsia="Times New Roman" w:hAnsi="Times New Roman"/>
          <w:sz w:val="22"/>
          <w:szCs w:val="22"/>
          <w:lang w:val="lt-LT"/>
        </w:rPr>
      </w:pPr>
    </w:p>
    <w:p w14:paraId="0DC0E8F5" w14:textId="77777777" w:rsidR="00D24A07" w:rsidRPr="00D51535" w:rsidRDefault="00D24A07" w:rsidP="00D51535">
      <w:pPr>
        <w:jc w:val="center"/>
        <w:rPr>
          <w:rFonts w:ascii="Times New Roman" w:eastAsia="Times New Roman" w:hAnsi="Times New Roman"/>
          <w:sz w:val="22"/>
          <w:szCs w:val="22"/>
          <w:lang w:val="lt-LT"/>
        </w:rPr>
      </w:pPr>
    </w:p>
    <w:p w14:paraId="3CB5BC12" w14:textId="77777777" w:rsidR="00D24A07" w:rsidRPr="00D51535" w:rsidRDefault="00D24A07" w:rsidP="00D51535">
      <w:pPr>
        <w:jc w:val="center"/>
        <w:rPr>
          <w:rFonts w:ascii="Times New Roman" w:eastAsia="Times New Roman" w:hAnsi="Times New Roman"/>
          <w:sz w:val="22"/>
          <w:szCs w:val="22"/>
          <w:lang w:val="lt-LT"/>
        </w:rPr>
      </w:pPr>
    </w:p>
    <w:p w14:paraId="22FCD9CE" w14:textId="77777777" w:rsidR="00D24A07" w:rsidRPr="00D51535" w:rsidRDefault="00D24A07" w:rsidP="00D51535">
      <w:pPr>
        <w:jc w:val="center"/>
        <w:rPr>
          <w:rFonts w:ascii="Times New Roman" w:eastAsia="Times New Roman" w:hAnsi="Times New Roman"/>
          <w:sz w:val="22"/>
          <w:szCs w:val="22"/>
          <w:lang w:val="lt-LT"/>
        </w:rPr>
      </w:pPr>
    </w:p>
    <w:p w14:paraId="593C7074" w14:textId="77777777" w:rsidR="00D24A07" w:rsidRPr="00D51535" w:rsidRDefault="00D24A07" w:rsidP="00D51535">
      <w:pPr>
        <w:jc w:val="center"/>
        <w:rPr>
          <w:rFonts w:ascii="Times New Roman" w:eastAsia="Times New Roman" w:hAnsi="Times New Roman"/>
          <w:sz w:val="22"/>
          <w:szCs w:val="22"/>
          <w:lang w:val="lt-LT"/>
        </w:rPr>
      </w:pPr>
    </w:p>
    <w:p w14:paraId="7EB2E9F4" w14:textId="77777777" w:rsidR="00D24A07" w:rsidRPr="00D51535" w:rsidRDefault="00D24A07" w:rsidP="00D51535">
      <w:pPr>
        <w:jc w:val="center"/>
        <w:rPr>
          <w:rFonts w:ascii="Times New Roman" w:eastAsia="Times New Roman" w:hAnsi="Times New Roman"/>
          <w:sz w:val="22"/>
          <w:szCs w:val="22"/>
          <w:lang w:val="lt-LT"/>
        </w:rPr>
      </w:pPr>
    </w:p>
    <w:p w14:paraId="30C63159" w14:textId="77777777" w:rsidR="00D24A07" w:rsidRPr="00D51535" w:rsidRDefault="00D24A07" w:rsidP="00D51535">
      <w:pPr>
        <w:jc w:val="center"/>
        <w:rPr>
          <w:rFonts w:ascii="Times New Roman" w:eastAsia="Times New Roman" w:hAnsi="Times New Roman"/>
          <w:sz w:val="22"/>
          <w:szCs w:val="22"/>
          <w:lang w:val="lt-LT"/>
        </w:rPr>
      </w:pPr>
    </w:p>
    <w:p w14:paraId="3E5FF8FA" w14:textId="77777777" w:rsidR="00D24A07" w:rsidRPr="00D51535" w:rsidRDefault="00D24A07" w:rsidP="00D51535">
      <w:pPr>
        <w:jc w:val="center"/>
        <w:rPr>
          <w:rFonts w:ascii="Times New Roman" w:eastAsia="Times New Roman" w:hAnsi="Times New Roman"/>
          <w:sz w:val="22"/>
          <w:szCs w:val="22"/>
          <w:lang w:val="lt-LT"/>
        </w:rPr>
      </w:pPr>
    </w:p>
    <w:p w14:paraId="02DF59E7" w14:textId="77777777" w:rsidR="00071CFE" w:rsidRPr="00D51535" w:rsidRDefault="00071CFE" w:rsidP="00D51535">
      <w:pPr>
        <w:jc w:val="center"/>
        <w:rPr>
          <w:rFonts w:ascii="Times New Roman" w:eastAsia="Times New Roman" w:hAnsi="Times New Roman"/>
          <w:sz w:val="22"/>
          <w:szCs w:val="22"/>
          <w:lang w:val="lt-LT"/>
        </w:rPr>
      </w:pPr>
    </w:p>
    <w:p w14:paraId="4D88A68B" w14:textId="77777777" w:rsidR="00071CFE" w:rsidRPr="00D51535" w:rsidRDefault="00071CFE" w:rsidP="00D51535">
      <w:pPr>
        <w:jc w:val="center"/>
        <w:rPr>
          <w:rFonts w:ascii="Times New Roman" w:eastAsia="Times New Roman" w:hAnsi="Times New Roman"/>
          <w:sz w:val="22"/>
          <w:szCs w:val="22"/>
          <w:lang w:val="lt-LT"/>
        </w:rPr>
      </w:pPr>
    </w:p>
    <w:p w14:paraId="0E6A021C" w14:textId="77777777" w:rsidR="00071CFE" w:rsidRPr="00D51535" w:rsidRDefault="00071CFE" w:rsidP="00D51535">
      <w:pPr>
        <w:jc w:val="center"/>
        <w:rPr>
          <w:rFonts w:ascii="Times New Roman" w:eastAsia="Times New Roman" w:hAnsi="Times New Roman"/>
          <w:sz w:val="22"/>
          <w:szCs w:val="22"/>
          <w:lang w:val="lt-LT"/>
        </w:rPr>
      </w:pPr>
    </w:p>
    <w:p w14:paraId="13DFADF6" w14:textId="77777777" w:rsidR="00071CFE" w:rsidRPr="00D51535" w:rsidRDefault="00071CFE" w:rsidP="00D51535">
      <w:pPr>
        <w:jc w:val="center"/>
        <w:rPr>
          <w:rFonts w:ascii="Times New Roman" w:eastAsia="Times New Roman" w:hAnsi="Times New Roman"/>
          <w:sz w:val="22"/>
          <w:szCs w:val="22"/>
          <w:lang w:val="lt-LT"/>
        </w:rPr>
      </w:pPr>
    </w:p>
    <w:p w14:paraId="07217C47" w14:textId="77777777" w:rsidR="00071CFE" w:rsidRPr="00D51535" w:rsidRDefault="00071CFE" w:rsidP="00D51535">
      <w:pPr>
        <w:jc w:val="center"/>
        <w:rPr>
          <w:rFonts w:ascii="Times New Roman" w:eastAsia="Times New Roman" w:hAnsi="Times New Roman"/>
          <w:sz w:val="22"/>
          <w:szCs w:val="22"/>
          <w:lang w:val="lt-LT"/>
        </w:rPr>
      </w:pPr>
    </w:p>
    <w:p w14:paraId="2AA97554" w14:textId="77777777" w:rsidR="00071CFE" w:rsidRPr="00D51535" w:rsidRDefault="00071CFE" w:rsidP="00D51535">
      <w:pPr>
        <w:jc w:val="center"/>
        <w:rPr>
          <w:rFonts w:ascii="Times New Roman" w:eastAsia="Times New Roman" w:hAnsi="Times New Roman"/>
          <w:sz w:val="22"/>
          <w:szCs w:val="22"/>
          <w:lang w:val="lt-LT"/>
        </w:rPr>
      </w:pPr>
    </w:p>
    <w:p w14:paraId="4206E092" w14:textId="77777777" w:rsidR="00D24A07" w:rsidRPr="00D51535" w:rsidRDefault="00D24A07" w:rsidP="00D51535">
      <w:pPr>
        <w:jc w:val="center"/>
        <w:rPr>
          <w:rFonts w:ascii="Times New Roman" w:eastAsia="Times New Roman" w:hAnsi="Times New Roman"/>
          <w:sz w:val="22"/>
          <w:szCs w:val="22"/>
          <w:lang w:val="lt-LT"/>
        </w:rPr>
      </w:pPr>
    </w:p>
    <w:p w14:paraId="1CE21EB4" w14:textId="77777777" w:rsidR="00D24A07" w:rsidRPr="00D51535" w:rsidRDefault="00D24A07" w:rsidP="00D51535">
      <w:pPr>
        <w:jc w:val="center"/>
        <w:rPr>
          <w:rFonts w:ascii="Times New Roman" w:eastAsia="Times New Roman" w:hAnsi="Times New Roman"/>
          <w:sz w:val="22"/>
          <w:szCs w:val="22"/>
          <w:lang w:val="lt-LT"/>
        </w:rPr>
      </w:pPr>
    </w:p>
    <w:p w14:paraId="29C094D1" w14:textId="77777777" w:rsidR="00D24A07" w:rsidRPr="00D51535" w:rsidRDefault="00D24A07" w:rsidP="00D51535">
      <w:pPr>
        <w:jc w:val="center"/>
        <w:rPr>
          <w:rFonts w:ascii="Times New Roman" w:eastAsia="Times New Roman" w:hAnsi="Times New Roman"/>
          <w:sz w:val="22"/>
          <w:szCs w:val="22"/>
          <w:lang w:val="lt-LT"/>
        </w:rPr>
      </w:pPr>
    </w:p>
    <w:p w14:paraId="5C19DCF5" w14:textId="77777777" w:rsidR="00D24A07" w:rsidRPr="00D51535" w:rsidRDefault="00D24A07" w:rsidP="00D51535">
      <w:pPr>
        <w:jc w:val="center"/>
        <w:rPr>
          <w:rFonts w:ascii="Times New Roman" w:eastAsia="Times New Roman" w:hAnsi="Times New Roman"/>
          <w:sz w:val="22"/>
          <w:szCs w:val="22"/>
          <w:lang w:val="lt-LT"/>
        </w:rPr>
      </w:pPr>
    </w:p>
    <w:p w14:paraId="673E8455" w14:textId="77777777" w:rsidR="00D24A07" w:rsidRPr="00D51535" w:rsidRDefault="00D24A07" w:rsidP="00D51535">
      <w:pPr>
        <w:jc w:val="center"/>
        <w:rPr>
          <w:rFonts w:ascii="Times New Roman" w:eastAsia="Times New Roman" w:hAnsi="Times New Roman"/>
          <w:sz w:val="22"/>
          <w:szCs w:val="22"/>
          <w:lang w:val="lt-LT"/>
        </w:rPr>
      </w:pPr>
    </w:p>
    <w:p w14:paraId="6467AF35" w14:textId="77777777" w:rsidR="00D24A07" w:rsidRPr="00D51535" w:rsidRDefault="00D24A07" w:rsidP="00D51535">
      <w:pPr>
        <w:jc w:val="center"/>
        <w:rPr>
          <w:rFonts w:ascii="Times New Roman" w:eastAsia="Times New Roman" w:hAnsi="Times New Roman"/>
          <w:sz w:val="22"/>
          <w:szCs w:val="22"/>
          <w:lang w:val="lt-LT"/>
        </w:rPr>
      </w:pPr>
    </w:p>
    <w:p w14:paraId="78B96788" w14:textId="77777777" w:rsidR="00071CFE" w:rsidRPr="00D51535" w:rsidRDefault="00071CFE" w:rsidP="00D51535">
      <w:pPr>
        <w:jc w:val="center"/>
        <w:rPr>
          <w:rFonts w:ascii="Times New Roman" w:eastAsia="Times New Roman" w:hAnsi="Times New Roman"/>
          <w:sz w:val="22"/>
          <w:szCs w:val="22"/>
          <w:lang w:val="lt-LT"/>
        </w:rPr>
      </w:pPr>
      <w:bookmarkStart w:id="100" w:name="page64"/>
      <w:bookmarkEnd w:id="100"/>
    </w:p>
    <w:p w14:paraId="7BC5C018" w14:textId="77777777" w:rsidR="00071CFE" w:rsidRPr="00D51535" w:rsidRDefault="00071CFE" w:rsidP="00D51535">
      <w:pPr>
        <w:pStyle w:val="TitleA"/>
        <w:spacing w:line="240" w:lineRule="auto"/>
      </w:pPr>
      <w:r w:rsidRPr="00D51535">
        <w:t>A. OZNAKOWANIE OPAKOWAŃ</w:t>
      </w:r>
    </w:p>
    <w:p w14:paraId="6C6743F0" w14:textId="77777777" w:rsidR="00071CFE" w:rsidRPr="00D51535" w:rsidRDefault="00071CFE" w:rsidP="00D51535">
      <w:pPr>
        <w:jc w:val="center"/>
        <w:rPr>
          <w:rFonts w:ascii="Times New Roman" w:eastAsia="Times New Roman" w:hAnsi="Times New Roman"/>
          <w:sz w:val="22"/>
          <w:szCs w:val="22"/>
          <w:lang w:val="lt-LT"/>
        </w:rPr>
      </w:pPr>
    </w:p>
    <w:p w14:paraId="50A64BB1" w14:textId="77777777" w:rsidR="00745C44" w:rsidRPr="003E4435" w:rsidRDefault="00D24A07" w:rsidP="003E4435">
      <w:pPr>
        <w:rPr>
          <w:rFonts w:ascii="Times New Roman" w:eastAsia="Times New Roman" w:hAnsi="Times New Roman"/>
          <w:sz w:val="22"/>
          <w:lang w:val="lt-LT"/>
        </w:rPr>
      </w:pPr>
      <w:r w:rsidRPr="00741122">
        <w:rPr>
          <w:rFonts w:ascii="Times New Roman" w:eastAsia="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45C44" w:rsidRPr="008C2A94" w14:paraId="54D29142" w14:textId="77777777" w:rsidTr="00F12C6A">
        <w:tc>
          <w:tcPr>
            <w:tcW w:w="9568" w:type="dxa"/>
          </w:tcPr>
          <w:p w14:paraId="16B2A8BC" w14:textId="77777777" w:rsidR="00745C44" w:rsidRPr="00261A5A" w:rsidRDefault="00D03544" w:rsidP="003E4435">
            <w:pPr>
              <w:pStyle w:val="Default"/>
              <w:rPr>
                <w:rFonts w:eastAsia="Times New Roman"/>
                <w:b/>
                <w:sz w:val="22"/>
                <w:szCs w:val="22"/>
                <w:lang w:val="pl-PL"/>
              </w:rPr>
            </w:pPr>
            <w:r w:rsidRPr="00261A5A">
              <w:rPr>
                <w:rFonts w:eastAsia="Times New Roman"/>
                <w:b/>
                <w:sz w:val="22"/>
                <w:szCs w:val="22"/>
                <w:lang w:val="pl-PL"/>
              </w:rPr>
              <w:t>INFORMACJE ZAMIESZCZANE NA OPAKOWANIACH ZEWNĘTRZNYCH</w:t>
            </w:r>
          </w:p>
          <w:p w14:paraId="5EFFE932" w14:textId="77777777" w:rsidR="00D03544" w:rsidRPr="00261A5A" w:rsidRDefault="00D03544" w:rsidP="003E4435">
            <w:pPr>
              <w:pStyle w:val="Default"/>
              <w:rPr>
                <w:rFonts w:eastAsia="Times New Roman"/>
                <w:b/>
                <w:sz w:val="22"/>
                <w:szCs w:val="22"/>
                <w:lang w:val="pl-PL"/>
              </w:rPr>
            </w:pPr>
          </w:p>
          <w:p w14:paraId="1AA20626" w14:textId="77777777" w:rsidR="00D03544" w:rsidRPr="00F12C6A" w:rsidRDefault="00D03544" w:rsidP="003E4435">
            <w:pPr>
              <w:pStyle w:val="Default"/>
              <w:rPr>
                <w:sz w:val="22"/>
                <w:szCs w:val="22"/>
                <w:lang w:val="lt-LT"/>
              </w:rPr>
            </w:pPr>
            <w:r w:rsidRPr="00261A5A">
              <w:rPr>
                <w:rFonts w:eastAsia="Times New Roman"/>
                <w:b/>
                <w:sz w:val="22"/>
                <w:szCs w:val="22"/>
                <w:lang w:val="pl-PL"/>
              </w:rPr>
              <w:t>KARTONIK</w:t>
            </w:r>
          </w:p>
        </w:tc>
      </w:tr>
    </w:tbl>
    <w:p w14:paraId="2D1B6652" w14:textId="77777777" w:rsidR="00745C44" w:rsidRPr="00741122" w:rsidRDefault="00745C44" w:rsidP="003E4435">
      <w:pPr>
        <w:rPr>
          <w:rFonts w:ascii="Times New Roman" w:eastAsia="Times New Roman" w:hAnsi="Times New Roman"/>
          <w:sz w:val="22"/>
          <w:szCs w:val="22"/>
          <w:lang w:val="lt-LT"/>
        </w:rPr>
      </w:pPr>
    </w:p>
    <w:p w14:paraId="0F312D5C" w14:textId="77777777" w:rsidR="00745C44" w:rsidRPr="00741122" w:rsidRDefault="00745C44"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45C44" w:rsidRPr="00F12C6A" w14:paraId="3389CD84" w14:textId="77777777" w:rsidTr="00F12C6A">
        <w:trPr>
          <w:trHeight w:val="272"/>
        </w:trPr>
        <w:tc>
          <w:tcPr>
            <w:tcW w:w="9568" w:type="dxa"/>
            <w:vAlign w:val="center"/>
          </w:tcPr>
          <w:p w14:paraId="6CA5E687" w14:textId="77777777" w:rsidR="00745C44" w:rsidRPr="00F12C6A" w:rsidRDefault="00D03544" w:rsidP="003E4435">
            <w:pPr>
              <w:numPr>
                <w:ilvl w:val="0"/>
                <w:numId w:val="63"/>
              </w:numPr>
              <w:tabs>
                <w:tab w:val="left" w:pos="562"/>
              </w:tabs>
              <w:ind w:left="567" w:hanging="567"/>
              <w:rPr>
                <w:rFonts w:ascii="Times New Roman" w:eastAsia="Times New Roman" w:hAnsi="Times New Roman" w:cs="Times New Roman"/>
                <w:b/>
                <w:sz w:val="22"/>
                <w:szCs w:val="22"/>
              </w:rPr>
            </w:pPr>
            <w:r w:rsidRPr="00F12C6A">
              <w:rPr>
                <w:rFonts w:ascii="Times New Roman" w:eastAsia="Times New Roman" w:hAnsi="Times New Roman" w:cs="Times New Roman"/>
                <w:b/>
                <w:sz w:val="22"/>
                <w:szCs w:val="22"/>
              </w:rPr>
              <w:t>NAZWA PRODUKTU LECZNICZEGO</w:t>
            </w:r>
          </w:p>
        </w:tc>
      </w:tr>
    </w:tbl>
    <w:p w14:paraId="489E2030" w14:textId="77777777" w:rsidR="00745C44" w:rsidRPr="00741122" w:rsidRDefault="00745C44" w:rsidP="003E4435">
      <w:pPr>
        <w:rPr>
          <w:rFonts w:ascii="Times New Roman" w:eastAsia="Times New Roman" w:hAnsi="Times New Roman"/>
          <w:sz w:val="22"/>
          <w:szCs w:val="22"/>
          <w:lang w:val="lt-LT"/>
        </w:rPr>
      </w:pPr>
    </w:p>
    <w:p w14:paraId="7545A61B" w14:textId="77777777" w:rsidR="000C26A8" w:rsidRPr="00741122" w:rsidRDefault="00261A5A"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MVASI</w:t>
      </w:r>
      <w:r w:rsidR="000C26A8" w:rsidRPr="00741122">
        <w:rPr>
          <w:rFonts w:ascii="Times New Roman" w:eastAsia="Times New Roman" w:hAnsi="Times New Roman"/>
          <w:sz w:val="22"/>
          <w:szCs w:val="22"/>
          <w:lang w:val="lt-LT"/>
        </w:rPr>
        <w:t xml:space="preserve"> 25 mg/ml koncentrat do sporządzania roztworu do infuzji</w:t>
      </w:r>
    </w:p>
    <w:p w14:paraId="0C023D64" w14:textId="77777777" w:rsidR="00745C44" w:rsidRPr="00741122" w:rsidRDefault="00021B73"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b</w:t>
      </w:r>
      <w:r w:rsidR="000C26A8" w:rsidRPr="00741122">
        <w:rPr>
          <w:rFonts w:ascii="Times New Roman" w:eastAsia="Times New Roman" w:hAnsi="Times New Roman"/>
          <w:sz w:val="22"/>
          <w:szCs w:val="22"/>
          <w:lang w:val="lt-LT"/>
        </w:rPr>
        <w:t>ewacyzumab</w:t>
      </w:r>
    </w:p>
    <w:p w14:paraId="4CF9E83D" w14:textId="77777777" w:rsidR="00745C44" w:rsidRPr="00741122" w:rsidRDefault="00745C44" w:rsidP="003E4435">
      <w:pPr>
        <w:rPr>
          <w:rFonts w:ascii="Times New Roman" w:eastAsia="Times New Roman" w:hAnsi="Times New Roman"/>
          <w:sz w:val="22"/>
          <w:szCs w:val="22"/>
          <w:lang w:val="lt-LT"/>
        </w:rPr>
      </w:pPr>
    </w:p>
    <w:p w14:paraId="2A4F4DDE" w14:textId="77777777" w:rsidR="000C26A8" w:rsidRPr="00741122" w:rsidRDefault="000C26A8"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0C26A8" w:rsidRPr="00F12C6A" w14:paraId="09A1F166" w14:textId="77777777" w:rsidTr="00F12C6A">
        <w:trPr>
          <w:trHeight w:val="261"/>
        </w:trPr>
        <w:tc>
          <w:tcPr>
            <w:tcW w:w="9568" w:type="dxa"/>
            <w:vAlign w:val="center"/>
          </w:tcPr>
          <w:p w14:paraId="3F6B1218" w14:textId="77777777" w:rsidR="000C26A8" w:rsidRPr="00F12C6A" w:rsidRDefault="0047588A" w:rsidP="003E4435">
            <w:pPr>
              <w:numPr>
                <w:ilvl w:val="0"/>
                <w:numId w:val="63"/>
              </w:numPr>
              <w:tabs>
                <w:tab w:val="left" w:pos="562"/>
              </w:tabs>
              <w:ind w:left="567" w:hanging="567"/>
              <w:rPr>
                <w:rFonts w:ascii="Times New Roman" w:eastAsia="Times New Roman" w:hAnsi="Times New Roman" w:cs="Times New Roman"/>
                <w:sz w:val="22"/>
                <w:szCs w:val="22"/>
              </w:rPr>
            </w:pPr>
            <w:r w:rsidRPr="00F12C6A">
              <w:rPr>
                <w:rFonts w:ascii="Times New Roman" w:eastAsia="Times New Roman" w:hAnsi="Times New Roman" w:cs="Times New Roman"/>
                <w:b/>
                <w:bCs/>
                <w:sz w:val="22"/>
                <w:szCs w:val="22"/>
              </w:rPr>
              <w:t>ZAWARTOŚĆ SUBSTANCJI CZYNNEJ(YCH)</w:t>
            </w:r>
          </w:p>
        </w:tc>
      </w:tr>
    </w:tbl>
    <w:p w14:paraId="24B67EE5" w14:textId="77777777" w:rsidR="000C26A8" w:rsidRPr="00741122" w:rsidRDefault="000C26A8" w:rsidP="003E4435">
      <w:pPr>
        <w:rPr>
          <w:rFonts w:ascii="Times New Roman" w:eastAsia="Times New Roman" w:hAnsi="Times New Roman"/>
          <w:sz w:val="22"/>
          <w:szCs w:val="22"/>
          <w:lang w:val="lt-LT"/>
        </w:rPr>
      </w:pPr>
    </w:p>
    <w:p w14:paraId="082ECA72" w14:textId="1CB841C2" w:rsidR="000C26A8" w:rsidRDefault="000D4F87"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Każda fiolka zawiera 100 </w:t>
      </w:r>
      <w:r w:rsidR="00AD2633" w:rsidRPr="00741122">
        <w:rPr>
          <w:rFonts w:ascii="Times New Roman" w:eastAsia="Times New Roman" w:hAnsi="Times New Roman"/>
          <w:sz w:val="22"/>
          <w:szCs w:val="22"/>
          <w:lang w:val="lt-LT"/>
        </w:rPr>
        <w:t>mg bewacyzumabu</w:t>
      </w:r>
      <w:r w:rsidR="000E3770">
        <w:rPr>
          <w:rFonts w:ascii="Times New Roman" w:eastAsia="Times New Roman" w:hAnsi="Times New Roman"/>
          <w:sz w:val="22"/>
          <w:szCs w:val="22"/>
          <w:lang w:val="lt-LT"/>
        </w:rPr>
        <w:t xml:space="preserve"> w 4 ml koncentratu</w:t>
      </w:r>
      <w:r w:rsidR="00AD2633" w:rsidRPr="00741122">
        <w:rPr>
          <w:rFonts w:ascii="Times New Roman" w:eastAsia="Times New Roman" w:hAnsi="Times New Roman"/>
          <w:sz w:val="22"/>
          <w:szCs w:val="22"/>
          <w:lang w:val="lt-LT"/>
        </w:rPr>
        <w:t>.</w:t>
      </w:r>
    </w:p>
    <w:p w14:paraId="0619342F" w14:textId="77777777" w:rsidR="000E3770" w:rsidRPr="00741122" w:rsidRDefault="000E3770" w:rsidP="003E4435">
      <w:pPr>
        <w:rPr>
          <w:rFonts w:ascii="Times New Roman" w:eastAsia="Times New Roman" w:hAnsi="Times New Roman"/>
          <w:sz w:val="22"/>
          <w:szCs w:val="22"/>
          <w:lang w:val="lt-LT"/>
        </w:rPr>
      </w:pPr>
    </w:p>
    <w:p w14:paraId="0FF3AE78" w14:textId="77777777" w:rsidR="000C26A8" w:rsidRDefault="008A2F57"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100 mg/4 ml</w:t>
      </w:r>
    </w:p>
    <w:p w14:paraId="1278D856" w14:textId="77777777" w:rsidR="008A2F57" w:rsidRPr="00741122" w:rsidRDefault="008A2F57" w:rsidP="003E4435">
      <w:pPr>
        <w:rPr>
          <w:rFonts w:ascii="Times New Roman" w:eastAsia="Times New Roman" w:hAnsi="Times New Roman"/>
          <w:sz w:val="22"/>
          <w:szCs w:val="22"/>
          <w:lang w:val="lt-LT"/>
        </w:rPr>
      </w:pPr>
    </w:p>
    <w:p w14:paraId="41100B32" w14:textId="77777777" w:rsidR="000C26A8" w:rsidRPr="00741122" w:rsidRDefault="000C26A8"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AD2633" w:rsidRPr="00F12C6A" w14:paraId="1AA8827C" w14:textId="77777777" w:rsidTr="00F12C6A">
        <w:trPr>
          <w:trHeight w:val="319"/>
        </w:trPr>
        <w:tc>
          <w:tcPr>
            <w:tcW w:w="9568" w:type="dxa"/>
            <w:vAlign w:val="center"/>
          </w:tcPr>
          <w:p w14:paraId="1F8A6099" w14:textId="77777777" w:rsidR="00AD2633" w:rsidRPr="00F12C6A" w:rsidRDefault="00A8357D" w:rsidP="003E4435">
            <w:pPr>
              <w:numPr>
                <w:ilvl w:val="0"/>
                <w:numId w:val="63"/>
              </w:numPr>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WYKAZ SUBSTANCJI POMOCNICZYCH</w:t>
            </w:r>
          </w:p>
        </w:tc>
      </w:tr>
    </w:tbl>
    <w:p w14:paraId="4DA28BAA" w14:textId="77777777" w:rsidR="00AD2633" w:rsidRPr="00741122" w:rsidRDefault="00AD2633" w:rsidP="003E4435">
      <w:pPr>
        <w:rPr>
          <w:rFonts w:ascii="Times New Roman" w:eastAsia="Times New Roman" w:hAnsi="Times New Roman"/>
          <w:sz w:val="22"/>
          <w:szCs w:val="22"/>
          <w:lang w:val="lt-LT"/>
        </w:rPr>
      </w:pPr>
    </w:p>
    <w:p w14:paraId="6FD4D092" w14:textId="77777777" w:rsidR="00EC4E1B" w:rsidRPr="00261A5A" w:rsidRDefault="00EC4E1B" w:rsidP="003E4435">
      <w:pPr>
        <w:rPr>
          <w:rFonts w:ascii="Times New Roman" w:eastAsia="Times New Roman" w:hAnsi="Times New Roman"/>
          <w:sz w:val="22"/>
          <w:szCs w:val="22"/>
          <w:lang w:val="pl-PL"/>
        </w:rPr>
      </w:pPr>
      <w:r w:rsidRPr="00261A5A">
        <w:rPr>
          <w:rFonts w:ascii="Times New Roman" w:eastAsia="Times New Roman" w:hAnsi="Times New Roman"/>
          <w:sz w:val="22"/>
          <w:szCs w:val="22"/>
          <w:lang w:val="pl-PL"/>
        </w:rPr>
        <w:t>Trehalozy dwuwodzian, sodu fosforan, polisorbat 20, woda do wstrzykiwań.</w:t>
      </w:r>
    </w:p>
    <w:p w14:paraId="52526CBF" w14:textId="77777777" w:rsidR="00EC4E1B" w:rsidRDefault="00EC4E1B" w:rsidP="003E4435">
      <w:pPr>
        <w:rPr>
          <w:rFonts w:ascii="Times New Roman" w:eastAsia="Times New Roman" w:hAnsi="Times New Roman"/>
          <w:sz w:val="22"/>
          <w:szCs w:val="22"/>
          <w:lang w:val="lt-LT"/>
        </w:rPr>
      </w:pPr>
    </w:p>
    <w:p w14:paraId="3F22B108" w14:textId="77777777" w:rsidR="00EC4E1B" w:rsidRPr="00741122" w:rsidRDefault="00EC4E1B"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390045" w:rsidRPr="008C2A94" w14:paraId="40BF7F89" w14:textId="77777777" w:rsidTr="00F12C6A">
        <w:trPr>
          <w:trHeight w:val="287"/>
        </w:trPr>
        <w:tc>
          <w:tcPr>
            <w:tcW w:w="9568" w:type="dxa"/>
            <w:vAlign w:val="center"/>
          </w:tcPr>
          <w:p w14:paraId="30EE4AFC" w14:textId="77777777" w:rsidR="00390045" w:rsidRPr="00F12C6A" w:rsidRDefault="00273C24" w:rsidP="003E4435">
            <w:pPr>
              <w:numPr>
                <w:ilvl w:val="0"/>
                <w:numId w:val="63"/>
              </w:numPr>
              <w:ind w:left="567" w:hanging="567"/>
              <w:rPr>
                <w:rFonts w:ascii="Times New Roman" w:hAnsi="Times New Roman" w:cs="Times New Roman"/>
                <w:b/>
                <w:sz w:val="22"/>
                <w:szCs w:val="22"/>
                <w:lang w:val="lt-LT"/>
              </w:rPr>
            </w:pPr>
            <w:r w:rsidRPr="00F12C6A">
              <w:rPr>
                <w:rFonts w:ascii="Times New Roman" w:hAnsi="Times New Roman" w:cs="Times New Roman"/>
                <w:b/>
                <w:sz w:val="22"/>
                <w:szCs w:val="22"/>
                <w:lang w:val="lt-LT"/>
              </w:rPr>
              <w:t>POSTAĆ FARMACEUTYCZNA I ZAWARTOŚĆ OPAKOWANIA</w:t>
            </w:r>
          </w:p>
        </w:tc>
      </w:tr>
    </w:tbl>
    <w:p w14:paraId="0D8C8A62" w14:textId="77777777" w:rsidR="0030674B" w:rsidRDefault="0030674B" w:rsidP="003E4435">
      <w:pPr>
        <w:rPr>
          <w:rFonts w:ascii="Times New Roman" w:eastAsia="Times New Roman" w:hAnsi="Times New Roman"/>
          <w:sz w:val="22"/>
          <w:szCs w:val="22"/>
          <w:lang w:val="lt-LT"/>
        </w:rPr>
      </w:pPr>
    </w:p>
    <w:p w14:paraId="63A57C62" w14:textId="77777777" w:rsidR="00EC4E1B" w:rsidRPr="00261A5A" w:rsidRDefault="00EC4E1B" w:rsidP="003E4435">
      <w:pPr>
        <w:rPr>
          <w:rFonts w:ascii="Times New Roman" w:eastAsia="Times New Roman" w:hAnsi="Times New Roman"/>
          <w:sz w:val="22"/>
          <w:szCs w:val="22"/>
          <w:lang w:val="pl-PL"/>
        </w:rPr>
      </w:pPr>
      <w:r>
        <w:rPr>
          <w:rFonts w:ascii="Times New Roman" w:eastAsia="Times New Roman" w:hAnsi="Times New Roman"/>
          <w:sz w:val="22"/>
          <w:szCs w:val="22"/>
          <w:highlight w:val="lightGray"/>
          <w:lang w:val="pl-PL"/>
        </w:rPr>
        <w:t>Koncentrat do sporządzania roztworu do infuzji</w:t>
      </w:r>
    </w:p>
    <w:p w14:paraId="5EA1B0F0" w14:textId="77777777" w:rsidR="00EC4E1B" w:rsidRPr="00261A5A" w:rsidRDefault="00EC4E1B" w:rsidP="003E4435">
      <w:pPr>
        <w:rPr>
          <w:rFonts w:ascii="Times New Roman" w:eastAsia="Times New Roman" w:hAnsi="Times New Roman"/>
          <w:sz w:val="22"/>
          <w:szCs w:val="22"/>
          <w:lang w:val="pl-PL"/>
        </w:rPr>
      </w:pPr>
      <w:r w:rsidRPr="00261A5A">
        <w:rPr>
          <w:rFonts w:ascii="Times New Roman" w:eastAsia="Times New Roman" w:hAnsi="Times New Roman"/>
          <w:sz w:val="22"/>
          <w:szCs w:val="22"/>
          <w:lang w:val="pl-PL"/>
        </w:rPr>
        <w:t xml:space="preserve">1 fiolka </w:t>
      </w:r>
    </w:p>
    <w:p w14:paraId="7C0DD242" w14:textId="77777777" w:rsidR="00EC4E1B" w:rsidRPr="00261A5A" w:rsidRDefault="00EC4E1B" w:rsidP="003E4435">
      <w:pPr>
        <w:rPr>
          <w:rFonts w:ascii="Times New Roman" w:eastAsia="Times New Roman" w:hAnsi="Times New Roman"/>
          <w:sz w:val="22"/>
          <w:szCs w:val="22"/>
          <w:lang w:val="pl-PL"/>
        </w:rPr>
      </w:pPr>
    </w:p>
    <w:p w14:paraId="39481D78" w14:textId="77777777" w:rsidR="0030674B" w:rsidRPr="00741122" w:rsidRDefault="0030674B"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20926" w:rsidRPr="008C2A94" w14:paraId="6494875F" w14:textId="77777777" w:rsidTr="00F12C6A">
        <w:trPr>
          <w:trHeight w:val="283"/>
        </w:trPr>
        <w:tc>
          <w:tcPr>
            <w:tcW w:w="9568" w:type="dxa"/>
            <w:vAlign w:val="center"/>
          </w:tcPr>
          <w:p w14:paraId="1E9F693A" w14:textId="77777777" w:rsidR="00220926" w:rsidRPr="00F12C6A" w:rsidRDefault="00A5417E" w:rsidP="003E4435">
            <w:pPr>
              <w:numPr>
                <w:ilvl w:val="0"/>
                <w:numId w:val="63"/>
              </w:numPr>
              <w:ind w:left="567" w:hanging="567"/>
              <w:rPr>
                <w:rFonts w:ascii="Times New Roman" w:hAnsi="Times New Roman" w:cs="Times New Roman"/>
                <w:sz w:val="22"/>
                <w:szCs w:val="22"/>
                <w:lang w:val="lt-LT"/>
              </w:rPr>
            </w:pPr>
            <w:r w:rsidRPr="00F12C6A">
              <w:rPr>
                <w:rFonts w:ascii="Times New Roman" w:hAnsi="Times New Roman" w:cs="Times New Roman"/>
                <w:b/>
                <w:sz w:val="22"/>
                <w:szCs w:val="22"/>
                <w:lang w:val="lt-LT"/>
              </w:rPr>
              <w:t>SPOSÓB</w:t>
            </w:r>
            <w:r w:rsidRPr="00F12C6A">
              <w:rPr>
                <w:rFonts w:ascii="Times New Roman" w:hAnsi="Times New Roman" w:cs="Times New Roman"/>
                <w:b/>
                <w:bCs/>
                <w:sz w:val="22"/>
                <w:szCs w:val="22"/>
                <w:lang w:val="lt-LT"/>
              </w:rPr>
              <w:t xml:space="preserve"> I DROGA(I) PODANIA</w:t>
            </w:r>
          </w:p>
        </w:tc>
      </w:tr>
    </w:tbl>
    <w:p w14:paraId="311A3548" w14:textId="77777777" w:rsidR="0030674B" w:rsidRPr="00741122" w:rsidRDefault="0030674B" w:rsidP="003E4435">
      <w:pPr>
        <w:rPr>
          <w:rFonts w:ascii="Times New Roman" w:eastAsia="Times New Roman" w:hAnsi="Times New Roman"/>
          <w:sz w:val="22"/>
          <w:szCs w:val="22"/>
          <w:lang w:val="lt-LT"/>
        </w:rPr>
      </w:pPr>
    </w:p>
    <w:p w14:paraId="557AE8F7" w14:textId="735B3C2D" w:rsidR="00270216" w:rsidRPr="00741122" w:rsidRDefault="00270216"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Do podawania dożylnego po rozcieńczeniu</w:t>
      </w:r>
      <w:r w:rsidR="009C7CC3">
        <w:rPr>
          <w:rFonts w:ascii="Times New Roman" w:eastAsia="Times New Roman" w:hAnsi="Times New Roman"/>
          <w:sz w:val="22"/>
          <w:szCs w:val="22"/>
          <w:lang w:val="lt-LT"/>
        </w:rPr>
        <w:t>.</w:t>
      </w:r>
    </w:p>
    <w:p w14:paraId="67483574" w14:textId="77777777" w:rsidR="00220926" w:rsidRPr="00741122" w:rsidRDefault="00270216"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Należy zapoznać się z treścią ulotki przed zastosowaniem leku</w:t>
      </w:r>
      <w:r w:rsidR="00511CFF">
        <w:rPr>
          <w:rFonts w:ascii="Times New Roman" w:eastAsia="Times New Roman" w:hAnsi="Times New Roman"/>
          <w:sz w:val="22"/>
          <w:szCs w:val="22"/>
          <w:lang w:val="lt-LT"/>
        </w:rPr>
        <w:t>.</w:t>
      </w:r>
    </w:p>
    <w:p w14:paraId="5837884B" w14:textId="77777777" w:rsidR="00220926" w:rsidRPr="00741122" w:rsidRDefault="00220926" w:rsidP="003E4435">
      <w:pPr>
        <w:rPr>
          <w:rFonts w:ascii="Times New Roman" w:eastAsia="Times New Roman" w:hAnsi="Times New Roman"/>
          <w:sz w:val="22"/>
          <w:szCs w:val="22"/>
          <w:lang w:val="lt-LT"/>
        </w:rPr>
      </w:pPr>
    </w:p>
    <w:p w14:paraId="65748753" w14:textId="77777777" w:rsidR="00220926" w:rsidRPr="00741122" w:rsidRDefault="00220926"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3D355C" w:rsidRPr="008C2A94" w14:paraId="21CB131F" w14:textId="77777777" w:rsidTr="00F12C6A">
        <w:trPr>
          <w:trHeight w:val="542"/>
        </w:trPr>
        <w:tc>
          <w:tcPr>
            <w:tcW w:w="9568" w:type="dxa"/>
            <w:vAlign w:val="center"/>
          </w:tcPr>
          <w:p w14:paraId="42787270" w14:textId="77777777" w:rsidR="003D355C" w:rsidRPr="00261A5A" w:rsidRDefault="00290064" w:rsidP="0023471C">
            <w:pPr>
              <w:numPr>
                <w:ilvl w:val="0"/>
                <w:numId w:val="63"/>
              </w:numPr>
              <w:tabs>
                <w:tab w:val="left" w:pos="567"/>
              </w:tabs>
              <w:ind w:left="567" w:hanging="567"/>
              <w:rPr>
                <w:rFonts w:ascii="Times New Roman" w:eastAsia="Times New Roman" w:hAnsi="Times New Roman" w:cs="Times New Roman"/>
                <w:b/>
                <w:sz w:val="22"/>
                <w:szCs w:val="22"/>
                <w:lang w:val="pl-PL"/>
              </w:rPr>
            </w:pPr>
            <w:r w:rsidRPr="00261A5A">
              <w:rPr>
                <w:rFonts w:ascii="Times New Roman" w:eastAsia="Times New Roman" w:hAnsi="Times New Roman" w:cs="Times New Roman"/>
                <w:b/>
                <w:sz w:val="22"/>
                <w:szCs w:val="22"/>
                <w:lang w:val="pl-PL"/>
              </w:rPr>
              <w:t>OSTRZEŻENIE DOTYCZĄCE PRZECHOWYWANIA PRODUKTU LECZNICZEGO W MIEJSCU NIEWIDOCZNYM I NIEDOSTĘPNYM DLA DZIECI</w:t>
            </w:r>
          </w:p>
        </w:tc>
      </w:tr>
    </w:tbl>
    <w:p w14:paraId="06A95D57" w14:textId="77777777" w:rsidR="003D355C" w:rsidRPr="00741122" w:rsidRDefault="003D355C" w:rsidP="003E4435">
      <w:pPr>
        <w:rPr>
          <w:rFonts w:ascii="Times New Roman" w:eastAsia="Times New Roman" w:hAnsi="Times New Roman"/>
          <w:sz w:val="22"/>
          <w:szCs w:val="22"/>
          <w:lang w:val="lt-LT"/>
        </w:rPr>
      </w:pPr>
    </w:p>
    <w:p w14:paraId="2A6E7440" w14:textId="77777777" w:rsidR="003D355C" w:rsidRPr="00741122" w:rsidRDefault="00651560"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Lek przechowywać w miejscu niewidocznym i niedostępnym dla dzieci</w:t>
      </w:r>
      <w:r w:rsidR="00511CFF">
        <w:rPr>
          <w:rFonts w:ascii="Times New Roman" w:eastAsia="Times New Roman" w:hAnsi="Times New Roman"/>
          <w:sz w:val="22"/>
          <w:szCs w:val="22"/>
          <w:lang w:val="lt-LT"/>
        </w:rPr>
        <w:t>.</w:t>
      </w:r>
    </w:p>
    <w:p w14:paraId="6A6E8414" w14:textId="77777777" w:rsidR="00651560" w:rsidRPr="00741122" w:rsidRDefault="00651560" w:rsidP="003E4435">
      <w:pPr>
        <w:rPr>
          <w:rFonts w:ascii="Times New Roman" w:eastAsia="Times New Roman" w:hAnsi="Times New Roman"/>
          <w:sz w:val="22"/>
          <w:szCs w:val="22"/>
          <w:lang w:val="lt-LT"/>
        </w:rPr>
      </w:pPr>
    </w:p>
    <w:p w14:paraId="2CCDE263" w14:textId="77777777" w:rsidR="00651560" w:rsidRPr="00741122" w:rsidRDefault="00651560"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651560" w:rsidRPr="008C2A94" w14:paraId="5819FF05" w14:textId="77777777" w:rsidTr="00F12C6A">
        <w:trPr>
          <w:trHeight w:val="253"/>
        </w:trPr>
        <w:tc>
          <w:tcPr>
            <w:tcW w:w="9568" w:type="dxa"/>
            <w:vAlign w:val="center"/>
          </w:tcPr>
          <w:p w14:paraId="7172B1C0" w14:textId="77777777" w:rsidR="00651560" w:rsidRPr="00F12C6A" w:rsidRDefault="004F21E6" w:rsidP="0023471C">
            <w:pPr>
              <w:numPr>
                <w:ilvl w:val="0"/>
                <w:numId w:val="63"/>
              </w:numPr>
              <w:tabs>
                <w:tab w:val="left" w:pos="567"/>
              </w:tabs>
              <w:ind w:left="567" w:hanging="567"/>
              <w:rPr>
                <w:rFonts w:ascii="Times New Roman" w:eastAsia="Times New Roman" w:hAnsi="Times New Roman" w:cs="Times New Roman"/>
                <w:b/>
                <w:sz w:val="22"/>
                <w:szCs w:val="22"/>
                <w:lang w:val="lt-LT"/>
              </w:rPr>
            </w:pPr>
            <w:r w:rsidRPr="00261A5A">
              <w:rPr>
                <w:rFonts w:ascii="Times New Roman" w:eastAsia="Times New Roman" w:hAnsi="Times New Roman" w:cs="Times New Roman"/>
                <w:b/>
                <w:sz w:val="22"/>
                <w:szCs w:val="22"/>
                <w:lang w:val="pl-PL"/>
              </w:rPr>
              <w:t>INNE</w:t>
            </w:r>
            <w:r w:rsidRPr="00F12C6A">
              <w:rPr>
                <w:rFonts w:ascii="Times New Roman" w:eastAsia="Times New Roman" w:hAnsi="Times New Roman" w:cs="Times New Roman"/>
                <w:b/>
                <w:sz w:val="22"/>
                <w:szCs w:val="22"/>
                <w:lang w:val="lt-LT"/>
              </w:rPr>
              <w:t xml:space="preserve"> OSTRZEŻENIA SPECJALNE, JEŚLI KONIECZNE</w:t>
            </w:r>
          </w:p>
        </w:tc>
      </w:tr>
    </w:tbl>
    <w:p w14:paraId="78594EC9" w14:textId="77777777" w:rsidR="00651560" w:rsidRPr="00741122" w:rsidRDefault="00651560" w:rsidP="003E4435">
      <w:pPr>
        <w:rPr>
          <w:rFonts w:ascii="Times New Roman" w:eastAsia="Times New Roman" w:hAnsi="Times New Roman"/>
          <w:sz w:val="22"/>
          <w:szCs w:val="22"/>
          <w:lang w:val="lt-LT"/>
        </w:rPr>
      </w:pPr>
    </w:p>
    <w:p w14:paraId="15306B69" w14:textId="77777777" w:rsidR="00651560" w:rsidRPr="00741122" w:rsidRDefault="00651560"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1975F0" w:rsidRPr="00F12C6A" w14:paraId="63EA7BF3" w14:textId="77777777" w:rsidTr="00F12C6A">
        <w:trPr>
          <w:trHeight w:val="311"/>
        </w:trPr>
        <w:tc>
          <w:tcPr>
            <w:tcW w:w="9568" w:type="dxa"/>
            <w:vAlign w:val="center"/>
          </w:tcPr>
          <w:p w14:paraId="7D954E51" w14:textId="77777777" w:rsidR="001975F0" w:rsidRPr="00F12C6A" w:rsidRDefault="004F21E6" w:rsidP="0023471C">
            <w:pPr>
              <w:numPr>
                <w:ilvl w:val="0"/>
                <w:numId w:val="63"/>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TERMIN WAŻNOŚCI</w:t>
            </w:r>
          </w:p>
        </w:tc>
      </w:tr>
    </w:tbl>
    <w:p w14:paraId="35A2034D" w14:textId="77777777" w:rsidR="00651560" w:rsidRPr="00741122" w:rsidRDefault="00651560" w:rsidP="003E4435">
      <w:pPr>
        <w:rPr>
          <w:rFonts w:ascii="Times New Roman" w:eastAsia="Times New Roman" w:hAnsi="Times New Roman"/>
          <w:sz w:val="22"/>
          <w:szCs w:val="22"/>
          <w:lang w:val="lt-LT"/>
        </w:rPr>
      </w:pPr>
    </w:p>
    <w:p w14:paraId="23657BA3" w14:textId="77777777" w:rsidR="00651560" w:rsidRPr="00741122" w:rsidRDefault="000826B3"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Termin ważności (EXP)</w:t>
      </w:r>
    </w:p>
    <w:p w14:paraId="0744EDD1" w14:textId="77777777" w:rsidR="00651560" w:rsidRPr="00741122" w:rsidRDefault="00651560" w:rsidP="003E4435">
      <w:pPr>
        <w:rPr>
          <w:rFonts w:ascii="Times New Roman" w:eastAsia="Times New Roman" w:hAnsi="Times New Roman"/>
          <w:sz w:val="22"/>
          <w:szCs w:val="22"/>
          <w:lang w:val="lt-LT"/>
        </w:rPr>
      </w:pPr>
    </w:p>
    <w:p w14:paraId="7A6416FB" w14:textId="77777777" w:rsidR="00651560" w:rsidRPr="00741122" w:rsidRDefault="00651560"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0826B3" w:rsidRPr="00F12C6A" w14:paraId="658083A4" w14:textId="77777777" w:rsidTr="00F12C6A">
        <w:trPr>
          <w:trHeight w:val="313"/>
        </w:trPr>
        <w:tc>
          <w:tcPr>
            <w:tcW w:w="9568" w:type="dxa"/>
            <w:vAlign w:val="center"/>
          </w:tcPr>
          <w:p w14:paraId="6CD293E4" w14:textId="77777777" w:rsidR="000826B3" w:rsidRPr="00F12C6A" w:rsidRDefault="000826B3" w:rsidP="0023471C">
            <w:pPr>
              <w:keepNext/>
              <w:numPr>
                <w:ilvl w:val="0"/>
                <w:numId w:val="63"/>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lastRenderedPageBreak/>
              <w:t>WARUNKI PRZECHOWYWANIA</w:t>
            </w:r>
          </w:p>
        </w:tc>
      </w:tr>
    </w:tbl>
    <w:p w14:paraId="0E47277D" w14:textId="77777777" w:rsidR="000826B3" w:rsidRPr="00741122" w:rsidRDefault="000826B3" w:rsidP="003E4435">
      <w:pPr>
        <w:keepNext/>
        <w:rPr>
          <w:rFonts w:ascii="Times New Roman" w:eastAsia="Times New Roman" w:hAnsi="Times New Roman"/>
          <w:sz w:val="22"/>
          <w:szCs w:val="22"/>
          <w:lang w:val="lt-LT"/>
        </w:rPr>
      </w:pPr>
    </w:p>
    <w:p w14:paraId="5AC29204" w14:textId="77777777" w:rsidR="00CC78F4" w:rsidRPr="00741122" w:rsidRDefault="00CC78F4" w:rsidP="00C73993">
      <w:pPr>
        <w:keepNext/>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Przechowywać w lodówce</w:t>
      </w:r>
      <w:r w:rsidR="00021B73">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w:t>
      </w:r>
    </w:p>
    <w:p w14:paraId="756898B7" w14:textId="77777777" w:rsidR="00CC78F4" w:rsidRPr="00741122" w:rsidRDefault="00CC78F4"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Nie zamrażać</w:t>
      </w:r>
      <w:r w:rsidR="00021B73">
        <w:rPr>
          <w:rFonts w:ascii="Times New Roman" w:eastAsia="Times New Roman" w:hAnsi="Times New Roman"/>
          <w:sz w:val="22"/>
          <w:szCs w:val="22"/>
          <w:lang w:val="lt-LT"/>
        </w:rPr>
        <w:t>.</w:t>
      </w:r>
    </w:p>
    <w:p w14:paraId="48B78896" w14:textId="77777777" w:rsidR="000826B3" w:rsidRPr="00741122" w:rsidRDefault="008A2F57"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P</w:t>
      </w:r>
      <w:r w:rsidR="00CC78F4" w:rsidRPr="00741122">
        <w:rPr>
          <w:rFonts w:ascii="Times New Roman" w:eastAsia="Times New Roman" w:hAnsi="Times New Roman"/>
          <w:sz w:val="22"/>
          <w:szCs w:val="22"/>
          <w:lang w:val="lt-LT"/>
        </w:rPr>
        <w:t xml:space="preserve">rzechowywać w </w:t>
      </w:r>
      <w:r>
        <w:rPr>
          <w:rFonts w:ascii="Times New Roman" w:eastAsia="Times New Roman" w:hAnsi="Times New Roman"/>
          <w:sz w:val="22"/>
          <w:szCs w:val="22"/>
          <w:lang w:val="lt-LT"/>
        </w:rPr>
        <w:t xml:space="preserve">oryginalnym </w:t>
      </w:r>
      <w:r w:rsidR="00CC78F4" w:rsidRPr="00741122">
        <w:rPr>
          <w:rFonts w:ascii="Times New Roman" w:eastAsia="Times New Roman" w:hAnsi="Times New Roman"/>
          <w:sz w:val="22"/>
          <w:szCs w:val="22"/>
          <w:lang w:val="lt-LT"/>
        </w:rPr>
        <w:t xml:space="preserve">opakowaniu </w:t>
      </w:r>
      <w:r>
        <w:rPr>
          <w:rFonts w:ascii="Times New Roman" w:eastAsia="Times New Roman" w:hAnsi="Times New Roman"/>
          <w:sz w:val="22"/>
          <w:szCs w:val="22"/>
          <w:lang w:val="lt-LT"/>
        </w:rPr>
        <w:t>w celu ochrony przed światłem.</w:t>
      </w:r>
    </w:p>
    <w:p w14:paraId="43FFAFBE" w14:textId="77777777" w:rsidR="000826B3" w:rsidRPr="00741122" w:rsidRDefault="000826B3" w:rsidP="003E4435">
      <w:pPr>
        <w:rPr>
          <w:rFonts w:ascii="Times New Roman" w:eastAsia="Times New Roman" w:hAnsi="Times New Roman"/>
          <w:sz w:val="22"/>
          <w:szCs w:val="22"/>
          <w:lang w:val="lt-LT"/>
        </w:rPr>
      </w:pPr>
    </w:p>
    <w:p w14:paraId="4305F047" w14:textId="77777777" w:rsidR="00CC78F4" w:rsidRPr="00741122" w:rsidRDefault="00CC78F4"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C78F4" w:rsidRPr="008C2A94" w14:paraId="0148AF33" w14:textId="77777777" w:rsidTr="00F12C6A">
        <w:trPr>
          <w:trHeight w:val="720"/>
        </w:trPr>
        <w:tc>
          <w:tcPr>
            <w:tcW w:w="9568" w:type="dxa"/>
            <w:vAlign w:val="center"/>
          </w:tcPr>
          <w:p w14:paraId="55DFAEFB" w14:textId="77777777" w:rsidR="00CC78F4" w:rsidRPr="00F12C6A" w:rsidRDefault="00D6468C" w:rsidP="0023471C">
            <w:pPr>
              <w:numPr>
                <w:ilvl w:val="0"/>
                <w:numId w:val="63"/>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SPECJALNE ŚRODKI OSTROŻNOŚCI DOTYCZĄCE USUWANIA NIEZUŻYTEGO PRODUKTU LECZNICZEGO LUB POCHODZĄCYCH Z NIEGO ODPADÓW, JEŚLI WŁAŚCIWE</w:t>
            </w:r>
          </w:p>
        </w:tc>
      </w:tr>
    </w:tbl>
    <w:p w14:paraId="5C75ED1A" w14:textId="77777777" w:rsidR="00CC78F4" w:rsidRPr="00741122" w:rsidRDefault="00CC78F4" w:rsidP="003E4435">
      <w:pPr>
        <w:rPr>
          <w:rFonts w:ascii="Times New Roman" w:eastAsia="Times New Roman" w:hAnsi="Times New Roman"/>
          <w:sz w:val="22"/>
          <w:szCs w:val="22"/>
          <w:lang w:val="lt-LT"/>
        </w:rPr>
      </w:pPr>
    </w:p>
    <w:p w14:paraId="3315D36B" w14:textId="77777777" w:rsidR="00CC78F4" w:rsidRPr="00741122" w:rsidRDefault="00CC78F4"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8A412A" w:rsidRPr="008C2A94" w14:paraId="5FF72C82" w14:textId="77777777" w:rsidTr="00F12C6A">
        <w:trPr>
          <w:trHeight w:val="283"/>
        </w:trPr>
        <w:tc>
          <w:tcPr>
            <w:tcW w:w="9568" w:type="dxa"/>
            <w:vAlign w:val="center"/>
          </w:tcPr>
          <w:p w14:paraId="675C6E0F" w14:textId="77777777" w:rsidR="008A412A" w:rsidRPr="00F12C6A" w:rsidRDefault="008A412A" w:rsidP="0023471C">
            <w:pPr>
              <w:numPr>
                <w:ilvl w:val="0"/>
                <w:numId w:val="63"/>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NAZWA I ADRES PODMIOTU ODPOWIEDZIALNEGO</w:t>
            </w:r>
          </w:p>
        </w:tc>
      </w:tr>
    </w:tbl>
    <w:p w14:paraId="2873691F" w14:textId="77777777" w:rsidR="008A412A" w:rsidRPr="00741122" w:rsidRDefault="008A412A" w:rsidP="003E4435">
      <w:pPr>
        <w:rPr>
          <w:rFonts w:ascii="Times New Roman" w:eastAsia="Times New Roman" w:hAnsi="Times New Roman"/>
          <w:sz w:val="22"/>
          <w:szCs w:val="22"/>
          <w:lang w:val="lt-LT"/>
        </w:rPr>
      </w:pPr>
    </w:p>
    <w:p w14:paraId="6E948155" w14:textId="77777777" w:rsidR="00405231" w:rsidRPr="005C5382" w:rsidRDefault="00405231" w:rsidP="00405231">
      <w:pPr>
        <w:keepNext/>
        <w:ind w:right="-1"/>
        <w:rPr>
          <w:rFonts w:ascii="Times New Roman" w:hAnsi="Times New Roman" w:cs="Times New Roman"/>
          <w:sz w:val="22"/>
          <w:szCs w:val="22"/>
        </w:rPr>
      </w:pPr>
      <w:r w:rsidRPr="005C5382">
        <w:rPr>
          <w:rFonts w:ascii="Times New Roman" w:hAnsi="Times New Roman" w:cs="Times New Roman"/>
          <w:sz w:val="22"/>
          <w:szCs w:val="22"/>
        </w:rPr>
        <w:t>Amgen Technology (Ireland) UC,</w:t>
      </w:r>
    </w:p>
    <w:p w14:paraId="52328720" w14:textId="77777777" w:rsidR="00405231" w:rsidRPr="005C5382" w:rsidRDefault="00405231" w:rsidP="00405231">
      <w:pPr>
        <w:keepNext/>
        <w:ind w:right="-1"/>
        <w:rPr>
          <w:rFonts w:ascii="Times New Roman" w:hAnsi="Times New Roman" w:cs="Times New Roman"/>
          <w:sz w:val="22"/>
          <w:szCs w:val="22"/>
        </w:rPr>
      </w:pPr>
      <w:r w:rsidRPr="005C5382">
        <w:rPr>
          <w:rFonts w:ascii="Times New Roman" w:hAnsi="Times New Roman" w:cs="Times New Roman"/>
          <w:sz w:val="22"/>
          <w:szCs w:val="22"/>
        </w:rPr>
        <w:t>Pottery Road,</w:t>
      </w:r>
    </w:p>
    <w:p w14:paraId="7776AA2B" w14:textId="77777777" w:rsidR="00405231" w:rsidRPr="005C5382" w:rsidRDefault="00405231" w:rsidP="00405231">
      <w:pPr>
        <w:keepNext/>
        <w:ind w:right="-1"/>
        <w:rPr>
          <w:rFonts w:ascii="Times New Roman" w:hAnsi="Times New Roman" w:cs="Times New Roman"/>
          <w:sz w:val="22"/>
          <w:szCs w:val="22"/>
        </w:rPr>
      </w:pPr>
      <w:r w:rsidRPr="005C5382">
        <w:rPr>
          <w:rFonts w:ascii="Times New Roman" w:hAnsi="Times New Roman" w:cs="Times New Roman"/>
          <w:sz w:val="22"/>
          <w:szCs w:val="22"/>
        </w:rPr>
        <w:t>Dun Laoghaire,</w:t>
      </w:r>
    </w:p>
    <w:p w14:paraId="1E6B21C5" w14:textId="77777777" w:rsidR="008A2F57" w:rsidRPr="00F37F05" w:rsidRDefault="00405231" w:rsidP="008A2F57">
      <w:pPr>
        <w:keepNext/>
        <w:ind w:right="-1"/>
        <w:rPr>
          <w:rFonts w:ascii="Times New Roman" w:hAnsi="Times New Roman" w:cs="Times New Roman"/>
          <w:sz w:val="22"/>
          <w:szCs w:val="22"/>
        </w:rPr>
      </w:pPr>
      <w:r w:rsidRPr="005C5382">
        <w:rPr>
          <w:rFonts w:ascii="Times New Roman" w:hAnsi="Times New Roman" w:cs="Times New Roman"/>
          <w:sz w:val="22"/>
          <w:szCs w:val="22"/>
        </w:rPr>
        <w:t>Co. Dublin,</w:t>
      </w:r>
    </w:p>
    <w:p w14:paraId="0EFB36A5" w14:textId="77777777" w:rsidR="00405231" w:rsidRPr="00E77ACE" w:rsidRDefault="00405231" w:rsidP="00405231">
      <w:pPr>
        <w:widowControl w:val="0"/>
        <w:autoSpaceDE w:val="0"/>
        <w:autoSpaceDN w:val="0"/>
        <w:adjustRightInd w:val="0"/>
        <w:rPr>
          <w:rFonts w:ascii="Times New Roman" w:hAnsi="Times New Roman" w:cs="Times New Roman"/>
          <w:color w:val="000000"/>
          <w:sz w:val="22"/>
          <w:szCs w:val="22"/>
          <w:lang w:val="pl-PL"/>
        </w:rPr>
      </w:pPr>
      <w:r w:rsidRPr="00E77ACE">
        <w:rPr>
          <w:rFonts w:ascii="Times New Roman" w:hAnsi="Times New Roman" w:cs="Times New Roman"/>
          <w:color w:val="000000"/>
          <w:sz w:val="22"/>
          <w:szCs w:val="22"/>
          <w:lang w:val="pl-PL"/>
        </w:rPr>
        <w:t>Irlandia</w:t>
      </w:r>
    </w:p>
    <w:p w14:paraId="566C14A2" w14:textId="77777777" w:rsidR="008A412A" w:rsidRPr="00741122" w:rsidRDefault="008A412A" w:rsidP="003E4435">
      <w:pPr>
        <w:rPr>
          <w:rFonts w:ascii="Times New Roman" w:eastAsia="Times New Roman" w:hAnsi="Times New Roman"/>
          <w:sz w:val="22"/>
          <w:szCs w:val="22"/>
          <w:lang w:val="lt-LT"/>
        </w:rPr>
      </w:pPr>
    </w:p>
    <w:p w14:paraId="0B6069A4" w14:textId="77777777" w:rsidR="00EF39C2" w:rsidRPr="00741122" w:rsidRDefault="00EF39C2"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EF39C2" w:rsidRPr="00C70451" w14:paraId="721095A1" w14:textId="77777777" w:rsidTr="00F12C6A">
        <w:trPr>
          <w:trHeight w:val="287"/>
        </w:trPr>
        <w:tc>
          <w:tcPr>
            <w:tcW w:w="9568" w:type="dxa"/>
            <w:vAlign w:val="center"/>
          </w:tcPr>
          <w:p w14:paraId="0CC16371" w14:textId="77777777" w:rsidR="00EF39C2" w:rsidRPr="00261A5A" w:rsidRDefault="00446E96" w:rsidP="003E4435">
            <w:pPr>
              <w:numPr>
                <w:ilvl w:val="0"/>
                <w:numId w:val="63"/>
              </w:numPr>
              <w:tabs>
                <w:tab w:val="left" w:pos="562"/>
              </w:tabs>
              <w:ind w:left="567" w:right="146" w:hanging="567"/>
              <w:rPr>
                <w:rFonts w:ascii="Times New Roman" w:eastAsia="Times New Roman" w:hAnsi="Times New Roman" w:cs="Times New Roman"/>
                <w:b/>
                <w:sz w:val="22"/>
                <w:szCs w:val="22"/>
                <w:lang w:val="pl-PL"/>
              </w:rPr>
            </w:pPr>
            <w:r w:rsidRPr="00261A5A">
              <w:rPr>
                <w:rFonts w:ascii="Times New Roman" w:eastAsia="Times New Roman" w:hAnsi="Times New Roman" w:cs="Times New Roman"/>
                <w:b/>
                <w:sz w:val="22"/>
                <w:szCs w:val="22"/>
                <w:lang w:val="pl-PL"/>
              </w:rPr>
              <w:t>NUMER(Y) POZWOLENIA(Ń) NA DOPUSZCZENIE DO OBROTU</w:t>
            </w:r>
          </w:p>
        </w:tc>
      </w:tr>
    </w:tbl>
    <w:p w14:paraId="01492872" w14:textId="77777777" w:rsidR="00EF39C2" w:rsidRPr="00741122" w:rsidRDefault="00EF39C2" w:rsidP="003E4435">
      <w:pPr>
        <w:rPr>
          <w:rFonts w:ascii="Times New Roman" w:eastAsia="Times New Roman" w:hAnsi="Times New Roman"/>
          <w:sz w:val="22"/>
          <w:szCs w:val="22"/>
          <w:lang w:val="lt-LT"/>
        </w:rPr>
      </w:pPr>
    </w:p>
    <w:p w14:paraId="6EA140B4" w14:textId="77777777" w:rsidR="00EF39C2" w:rsidRPr="00741122" w:rsidRDefault="007A2E83"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EU/</w:t>
      </w:r>
      <w:r w:rsidR="0078410B">
        <w:rPr>
          <w:rFonts w:ascii="Times New Roman" w:eastAsia="Times New Roman" w:hAnsi="Times New Roman"/>
          <w:sz w:val="22"/>
          <w:szCs w:val="22"/>
          <w:lang w:val="lt-LT"/>
        </w:rPr>
        <w:t>1/17/1246/001</w:t>
      </w:r>
    </w:p>
    <w:p w14:paraId="3B3C2870" w14:textId="77777777" w:rsidR="007A2E83" w:rsidRPr="00741122" w:rsidRDefault="007A2E83" w:rsidP="003E4435">
      <w:pPr>
        <w:rPr>
          <w:rFonts w:ascii="Times New Roman" w:eastAsia="Times New Roman" w:hAnsi="Times New Roman"/>
          <w:sz w:val="22"/>
          <w:szCs w:val="22"/>
          <w:lang w:val="lt-LT"/>
        </w:rPr>
      </w:pPr>
    </w:p>
    <w:p w14:paraId="0DE8170C" w14:textId="77777777" w:rsidR="007A2E83" w:rsidRPr="00741122" w:rsidRDefault="007A2E83"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A2E83" w:rsidRPr="00F12C6A" w14:paraId="06B9104D" w14:textId="77777777" w:rsidTr="00F12C6A">
        <w:trPr>
          <w:trHeight w:val="249"/>
        </w:trPr>
        <w:tc>
          <w:tcPr>
            <w:tcW w:w="9568" w:type="dxa"/>
          </w:tcPr>
          <w:p w14:paraId="1BC8F058" w14:textId="77777777" w:rsidR="007A2E83" w:rsidRPr="00F12C6A" w:rsidRDefault="007A2E83" w:rsidP="0023471C">
            <w:pPr>
              <w:numPr>
                <w:ilvl w:val="0"/>
                <w:numId w:val="63"/>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NUMER SERII</w:t>
            </w:r>
          </w:p>
        </w:tc>
      </w:tr>
    </w:tbl>
    <w:p w14:paraId="04B31386" w14:textId="77777777" w:rsidR="007A2E83" w:rsidRPr="00741122" w:rsidRDefault="007A2E83" w:rsidP="003E4435">
      <w:pPr>
        <w:rPr>
          <w:rFonts w:ascii="Times New Roman" w:eastAsia="Times New Roman" w:hAnsi="Times New Roman"/>
          <w:sz w:val="22"/>
          <w:szCs w:val="22"/>
          <w:lang w:val="lt-LT"/>
        </w:rPr>
      </w:pPr>
    </w:p>
    <w:p w14:paraId="65009BF9" w14:textId="77777777" w:rsidR="007A2E83" w:rsidRPr="00741122" w:rsidRDefault="003B424F"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Nr serii (Lot)</w:t>
      </w:r>
    </w:p>
    <w:p w14:paraId="636C844F" w14:textId="77777777" w:rsidR="003B424F" w:rsidRPr="00741122" w:rsidRDefault="003B424F" w:rsidP="003E4435">
      <w:pPr>
        <w:rPr>
          <w:rFonts w:ascii="Times New Roman" w:eastAsia="Times New Roman" w:hAnsi="Times New Roman"/>
          <w:sz w:val="22"/>
          <w:szCs w:val="22"/>
          <w:lang w:val="lt-LT"/>
        </w:rPr>
      </w:pPr>
    </w:p>
    <w:p w14:paraId="551CB745" w14:textId="77777777" w:rsidR="003B424F" w:rsidRPr="00741122" w:rsidRDefault="003B424F"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3B424F" w:rsidRPr="00F12C6A" w14:paraId="748507E3" w14:textId="77777777" w:rsidTr="00F12C6A">
        <w:trPr>
          <w:trHeight w:val="335"/>
        </w:trPr>
        <w:tc>
          <w:tcPr>
            <w:tcW w:w="9568" w:type="dxa"/>
            <w:vAlign w:val="center"/>
          </w:tcPr>
          <w:p w14:paraId="49AFB379" w14:textId="77777777" w:rsidR="003B424F" w:rsidRPr="00F12C6A" w:rsidRDefault="00CA50EC" w:rsidP="0023471C">
            <w:pPr>
              <w:numPr>
                <w:ilvl w:val="0"/>
                <w:numId w:val="63"/>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OGÓLNA KATEGORIA DOSTĘPNOŚCI</w:t>
            </w:r>
          </w:p>
        </w:tc>
      </w:tr>
    </w:tbl>
    <w:p w14:paraId="2E8C94FD" w14:textId="77777777" w:rsidR="003B424F" w:rsidRPr="00741122" w:rsidRDefault="003B424F" w:rsidP="003E4435">
      <w:pPr>
        <w:rPr>
          <w:rFonts w:ascii="Times New Roman" w:eastAsia="Times New Roman" w:hAnsi="Times New Roman"/>
          <w:sz w:val="22"/>
          <w:szCs w:val="22"/>
          <w:lang w:val="lt-LT"/>
        </w:rPr>
      </w:pPr>
    </w:p>
    <w:p w14:paraId="623C7BC2" w14:textId="77777777" w:rsidR="0026219A" w:rsidRPr="00741122" w:rsidRDefault="0026219A"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6219A" w:rsidRPr="00F12C6A" w14:paraId="43D1B41E" w14:textId="77777777" w:rsidTr="00F12C6A">
        <w:tc>
          <w:tcPr>
            <w:tcW w:w="9568" w:type="dxa"/>
          </w:tcPr>
          <w:p w14:paraId="4564B71D" w14:textId="77777777" w:rsidR="0026219A" w:rsidRPr="00F12C6A" w:rsidRDefault="000D400E" w:rsidP="0023471C">
            <w:pPr>
              <w:numPr>
                <w:ilvl w:val="0"/>
                <w:numId w:val="63"/>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INSTRUKCJA UŻYCIA</w:t>
            </w:r>
          </w:p>
        </w:tc>
      </w:tr>
    </w:tbl>
    <w:p w14:paraId="5EF7C1E8" w14:textId="77777777" w:rsidR="0026219A" w:rsidRPr="00741122" w:rsidRDefault="0026219A" w:rsidP="003E4435">
      <w:pPr>
        <w:rPr>
          <w:rFonts w:ascii="Times New Roman" w:eastAsia="Times New Roman" w:hAnsi="Times New Roman"/>
          <w:sz w:val="22"/>
          <w:szCs w:val="22"/>
          <w:lang w:val="lt-LT"/>
        </w:rPr>
      </w:pPr>
    </w:p>
    <w:p w14:paraId="61D6C768" w14:textId="77777777" w:rsidR="0026219A" w:rsidRPr="00741122" w:rsidRDefault="0026219A"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6219A" w:rsidRPr="00F12C6A" w14:paraId="0BD03149" w14:textId="77777777" w:rsidTr="00F12C6A">
        <w:trPr>
          <w:trHeight w:val="247"/>
        </w:trPr>
        <w:tc>
          <w:tcPr>
            <w:tcW w:w="9568" w:type="dxa"/>
            <w:vAlign w:val="center"/>
          </w:tcPr>
          <w:p w14:paraId="07ACD0BA" w14:textId="77777777" w:rsidR="0026219A" w:rsidRPr="00F12C6A" w:rsidRDefault="0026219A" w:rsidP="0023471C">
            <w:pPr>
              <w:numPr>
                <w:ilvl w:val="0"/>
                <w:numId w:val="63"/>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INFORMACJA PODANA SYSTEMEM BRAILLE’A</w:t>
            </w:r>
          </w:p>
        </w:tc>
      </w:tr>
    </w:tbl>
    <w:p w14:paraId="4CFF7C75" w14:textId="77777777" w:rsidR="0026219A" w:rsidRPr="00741122" w:rsidRDefault="0026219A" w:rsidP="003E4435">
      <w:pPr>
        <w:rPr>
          <w:rFonts w:ascii="Times New Roman" w:eastAsia="Times New Roman" w:hAnsi="Times New Roman"/>
          <w:sz w:val="22"/>
          <w:szCs w:val="22"/>
          <w:lang w:val="lt-LT"/>
        </w:rPr>
      </w:pPr>
    </w:p>
    <w:p w14:paraId="00568487" w14:textId="77777777" w:rsidR="0026219A" w:rsidRPr="00741122" w:rsidRDefault="00056865" w:rsidP="003E4435">
      <w:pPr>
        <w:rPr>
          <w:rFonts w:ascii="Times New Roman" w:eastAsia="Times New Roman" w:hAnsi="Times New Roman"/>
          <w:sz w:val="22"/>
          <w:szCs w:val="22"/>
          <w:lang w:val="lt-LT"/>
        </w:rPr>
      </w:pPr>
      <w:r>
        <w:rPr>
          <w:rFonts w:ascii="Times New Roman" w:eastAsia="Times New Roman" w:hAnsi="Times New Roman"/>
          <w:sz w:val="22"/>
          <w:szCs w:val="22"/>
          <w:highlight w:val="lightGray"/>
          <w:lang w:val="lt-LT"/>
        </w:rPr>
        <w:t>Zaakceptowano uzasadnienie braku informacji systemem Braille’a</w:t>
      </w:r>
      <w:r w:rsidR="00511CFF">
        <w:rPr>
          <w:rFonts w:ascii="Times New Roman" w:eastAsia="Times New Roman" w:hAnsi="Times New Roman"/>
          <w:sz w:val="22"/>
          <w:szCs w:val="22"/>
          <w:highlight w:val="lightGray"/>
          <w:lang w:val="lt-LT"/>
        </w:rPr>
        <w:t>.</w:t>
      </w:r>
    </w:p>
    <w:p w14:paraId="1226D15D" w14:textId="77777777" w:rsidR="0026219A" w:rsidRPr="00741122" w:rsidRDefault="0026219A" w:rsidP="003E4435">
      <w:pPr>
        <w:rPr>
          <w:rFonts w:ascii="Times New Roman" w:eastAsia="Times New Roman" w:hAnsi="Times New Roman"/>
          <w:sz w:val="22"/>
          <w:szCs w:val="22"/>
          <w:lang w:val="lt-LT"/>
        </w:rPr>
      </w:pPr>
    </w:p>
    <w:p w14:paraId="763A979A" w14:textId="77777777" w:rsidR="0026219A" w:rsidRPr="00741122" w:rsidRDefault="0026219A"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056865" w:rsidRPr="00F12C6A" w14:paraId="106A0110" w14:textId="77777777" w:rsidTr="00F12C6A">
        <w:trPr>
          <w:trHeight w:val="319"/>
        </w:trPr>
        <w:tc>
          <w:tcPr>
            <w:tcW w:w="9568" w:type="dxa"/>
            <w:vAlign w:val="center"/>
          </w:tcPr>
          <w:p w14:paraId="40D6EDB5" w14:textId="77777777" w:rsidR="00056865" w:rsidRPr="00F12C6A" w:rsidRDefault="00056865" w:rsidP="0023471C">
            <w:pPr>
              <w:numPr>
                <w:ilvl w:val="0"/>
                <w:numId w:val="63"/>
              </w:numPr>
              <w:tabs>
                <w:tab w:val="left" w:pos="562"/>
              </w:tabs>
              <w:ind w:left="567" w:hanging="567"/>
              <w:rPr>
                <w:rFonts w:ascii="Times New Roman" w:eastAsia="Times New Roman" w:hAnsi="Times New Roman" w:cs="Times New Roman"/>
                <w:sz w:val="22"/>
                <w:szCs w:val="22"/>
                <w:lang w:val="lt-LT"/>
              </w:rPr>
            </w:pPr>
            <w:r w:rsidRPr="00F12C6A">
              <w:rPr>
                <w:rFonts w:ascii="Times New Roman" w:eastAsia="Times New Roman" w:hAnsi="Times New Roman" w:cs="Times New Roman"/>
                <w:b/>
                <w:bCs/>
                <w:sz w:val="22"/>
                <w:szCs w:val="22"/>
                <w:lang w:val="lt-LT"/>
              </w:rPr>
              <w:t>NIEPOWTARZALNY IDENTYFIKATOR – KOD 2D</w:t>
            </w:r>
          </w:p>
        </w:tc>
      </w:tr>
    </w:tbl>
    <w:p w14:paraId="4DB78127" w14:textId="77777777" w:rsidR="00056865" w:rsidRPr="00741122" w:rsidRDefault="00056865" w:rsidP="003E4435">
      <w:pPr>
        <w:rPr>
          <w:rFonts w:ascii="Times New Roman" w:eastAsia="Times New Roman" w:hAnsi="Times New Roman"/>
          <w:sz w:val="22"/>
          <w:szCs w:val="22"/>
          <w:lang w:val="lt-LT"/>
        </w:rPr>
      </w:pPr>
    </w:p>
    <w:p w14:paraId="13E293CE" w14:textId="77777777" w:rsidR="00056865" w:rsidRPr="00741122" w:rsidRDefault="002E19CE" w:rsidP="003E4435">
      <w:pPr>
        <w:rPr>
          <w:rFonts w:ascii="Times New Roman" w:eastAsia="Times New Roman" w:hAnsi="Times New Roman"/>
          <w:sz w:val="22"/>
          <w:szCs w:val="22"/>
          <w:lang w:val="lt-LT"/>
        </w:rPr>
      </w:pPr>
      <w:r>
        <w:rPr>
          <w:rFonts w:ascii="Times New Roman" w:eastAsia="Times New Roman" w:hAnsi="Times New Roman"/>
          <w:sz w:val="22"/>
          <w:szCs w:val="22"/>
          <w:highlight w:val="lightGray"/>
          <w:lang w:val="lt-LT"/>
        </w:rPr>
        <w:t>Obejmuje kod 2D będący nośnikiem niepowtarzalnego identyfikatora.</w:t>
      </w:r>
    </w:p>
    <w:p w14:paraId="764D091E" w14:textId="77777777" w:rsidR="002E19CE" w:rsidRPr="00741122" w:rsidRDefault="002E19CE" w:rsidP="003E4435">
      <w:pPr>
        <w:rPr>
          <w:rFonts w:ascii="Times New Roman" w:eastAsia="Times New Roman" w:hAnsi="Times New Roman"/>
          <w:sz w:val="22"/>
          <w:szCs w:val="22"/>
          <w:lang w:val="lt-LT"/>
        </w:rPr>
      </w:pPr>
    </w:p>
    <w:p w14:paraId="0463C873" w14:textId="77777777" w:rsidR="002E19CE" w:rsidRPr="00741122" w:rsidRDefault="002E19CE"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E19CE" w:rsidRPr="008C2A94" w14:paraId="3D4D94D1" w14:textId="77777777" w:rsidTr="00F12C6A">
        <w:trPr>
          <w:trHeight w:val="307"/>
        </w:trPr>
        <w:tc>
          <w:tcPr>
            <w:tcW w:w="9568" w:type="dxa"/>
            <w:vAlign w:val="center"/>
          </w:tcPr>
          <w:p w14:paraId="030DA3B2" w14:textId="77777777" w:rsidR="002E19CE" w:rsidRPr="00F12C6A" w:rsidRDefault="002E19CE" w:rsidP="0023471C">
            <w:pPr>
              <w:keepNext/>
              <w:numPr>
                <w:ilvl w:val="0"/>
                <w:numId w:val="63"/>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NIEPOWTARZALNY IDENTYFIKATOR – DANE CZYTELNE DLA CZŁOWIEKA</w:t>
            </w:r>
          </w:p>
        </w:tc>
      </w:tr>
    </w:tbl>
    <w:p w14:paraId="6452F5C2" w14:textId="77777777" w:rsidR="002E19CE" w:rsidRPr="00741122" w:rsidRDefault="002E19CE" w:rsidP="003E4435">
      <w:pPr>
        <w:keepNext/>
        <w:rPr>
          <w:rFonts w:ascii="Times New Roman" w:eastAsia="Times New Roman" w:hAnsi="Times New Roman"/>
          <w:sz w:val="22"/>
          <w:szCs w:val="22"/>
          <w:lang w:val="lt-LT"/>
        </w:rPr>
      </w:pPr>
    </w:p>
    <w:p w14:paraId="5DAB1088" w14:textId="1B09166C" w:rsidR="002E19CE" w:rsidRPr="00741122" w:rsidRDefault="00F41918"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PC</w:t>
      </w:r>
    </w:p>
    <w:p w14:paraId="06A61151" w14:textId="46ADE462" w:rsidR="00F41918" w:rsidRPr="00741122" w:rsidRDefault="00F41918"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SN</w:t>
      </w:r>
    </w:p>
    <w:p w14:paraId="2BF31716" w14:textId="181F5174" w:rsidR="00F41918" w:rsidRPr="00741122" w:rsidRDefault="00F41918"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NN</w:t>
      </w:r>
    </w:p>
    <w:p w14:paraId="27C9657C" w14:textId="77777777" w:rsidR="002E19CE" w:rsidRPr="00741122" w:rsidRDefault="002E19CE" w:rsidP="003E4435">
      <w:pPr>
        <w:rPr>
          <w:rFonts w:ascii="Times New Roman" w:eastAsia="Times New Roman" w:hAnsi="Times New Roman"/>
          <w:sz w:val="22"/>
          <w:szCs w:val="22"/>
          <w:lang w:val="lt-LT"/>
        </w:rPr>
      </w:pPr>
    </w:p>
    <w:p w14:paraId="74470C40" w14:textId="77777777" w:rsidR="00CB37E3" w:rsidRPr="003E4435" w:rsidRDefault="00745C44" w:rsidP="003E4435">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B37E3" w:rsidRPr="003E4435" w14:paraId="5017B929" w14:textId="77777777" w:rsidTr="00436C94">
        <w:trPr>
          <w:trHeight w:val="781"/>
        </w:trPr>
        <w:tc>
          <w:tcPr>
            <w:tcW w:w="9568" w:type="dxa"/>
            <w:vAlign w:val="center"/>
          </w:tcPr>
          <w:p w14:paraId="64ADFB05" w14:textId="77777777" w:rsidR="00CB37E3" w:rsidRPr="003E4435" w:rsidRDefault="00CB37E3" w:rsidP="004E4332">
            <w:pPr>
              <w:rPr>
                <w:rFonts w:ascii="Times New Roman" w:eastAsia="Times New Roman" w:hAnsi="Times New Roman" w:cs="Times New Roman"/>
                <w:b/>
                <w:sz w:val="22"/>
                <w:szCs w:val="22"/>
                <w:lang w:val="lt-LT"/>
              </w:rPr>
            </w:pPr>
            <w:r w:rsidRPr="003E4435">
              <w:rPr>
                <w:rFonts w:ascii="Times New Roman" w:eastAsia="Times New Roman" w:hAnsi="Times New Roman" w:cs="Times New Roman"/>
                <w:b/>
                <w:sz w:val="22"/>
                <w:szCs w:val="22"/>
                <w:lang w:val="lt-LT"/>
              </w:rPr>
              <w:t xml:space="preserve">MINIMUM INFORMACJI ZAMIESZCZANYCH NA MAŁYCH OPAKOWANIACH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908"/>
            </w:tblGrid>
            <w:tr w:rsidR="00523C36" w:rsidRPr="003E4435" w14:paraId="38791DE9" w14:textId="77777777" w:rsidTr="00523C36">
              <w:trPr>
                <w:trHeight w:val="147"/>
              </w:trPr>
              <w:tc>
                <w:tcPr>
                  <w:tcW w:w="0" w:type="auto"/>
                  <w:vAlign w:val="center"/>
                </w:tcPr>
                <w:p w14:paraId="0183CDC1" w14:textId="77777777" w:rsidR="00523C36" w:rsidRPr="003E4435" w:rsidRDefault="00523C36" w:rsidP="004E4332">
                  <w:pPr>
                    <w:rPr>
                      <w:rFonts w:ascii="Times New Roman" w:eastAsia="Times New Roman" w:hAnsi="Times New Roman" w:cs="Times New Roman"/>
                      <w:b/>
                      <w:sz w:val="22"/>
                      <w:szCs w:val="22"/>
                      <w:lang w:val="en-US"/>
                    </w:rPr>
                  </w:pPr>
                  <w:r w:rsidRPr="003E4435">
                    <w:rPr>
                      <w:rFonts w:ascii="Times New Roman" w:eastAsia="Times New Roman" w:hAnsi="Times New Roman" w:cs="Times New Roman"/>
                      <w:b/>
                      <w:sz w:val="22"/>
                      <w:szCs w:val="22"/>
                      <w:lang w:val="en-US"/>
                    </w:rPr>
                    <w:t xml:space="preserve">BEZPOŚREDNICH </w:t>
                  </w:r>
                </w:p>
              </w:tc>
            </w:tr>
          </w:tbl>
          <w:p w14:paraId="197D4159" w14:textId="77777777" w:rsidR="00CB37E3" w:rsidRPr="003E4435" w:rsidRDefault="00CB37E3" w:rsidP="004E4332">
            <w:pPr>
              <w:rPr>
                <w:rFonts w:ascii="Times New Roman" w:eastAsia="Times New Roman" w:hAnsi="Times New Roman" w:cs="Times New Roman"/>
                <w:b/>
                <w:sz w:val="22"/>
                <w:szCs w:val="22"/>
                <w:lang w:val="lt-LT"/>
              </w:rPr>
            </w:pPr>
          </w:p>
          <w:p w14:paraId="7540C021" w14:textId="77777777" w:rsidR="00CB37E3" w:rsidRPr="003E4435" w:rsidRDefault="00CB37E3" w:rsidP="004E4332">
            <w:pPr>
              <w:rPr>
                <w:rFonts w:ascii="Times New Roman" w:eastAsia="Times New Roman" w:hAnsi="Times New Roman" w:cs="Times New Roman"/>
                <w:b/>
                <w:sz w:val="22"/>
                <w:szCs w:val="22"/>
                <w:lang w:val="lt-LT"/>
              </w:rPr>
            </w:pPr>
            <w:r w:rsidRPr="003E4435">
              <w:rPr>
                <w:rFonts w:ascii="Times New Roman" w:eastAsia="Times New Roman" w:hAnsi="Times New Roman" w:cs="Times New Roman"/>
                <w:b/>
                <w:sz w:val="22"/>
                <w:szCs w:val="22"/>
                <w:lang w:val="lt-LT"/>
              </w:rPr>
              <w:t>FIOLKA</w:t>
            </w:r>
          </w:p>
        </w:tc>
      </w:tr>
    </w:tbl>
    <w:p w14:paraId="39272772" w14:textId="77777777" w:rsidR="00CB37E3" w:rsidRPr="003E4435" w:rsidRDefault="00CB37E3" w:rsidP="004E4332">
      <w:pPr>
        <w:rPr>
          <w:rFonts w:ascii="Times New Roman" w:eastAsia="Times New Roman" w:hAnsi="Times New Roman"/>
          <w:sz w:val="22"/>
          <w:szCs w:val="22"/>
          <w:lang w:val="lt-LT"/>
        </w:rPr>
      </w:pPr>
    </w:p>
    <w:p w14:paraId="2E211A2E" w14:textId="77777777" w:rsidR="00CB37E3" w:rsidRPr="003E4435" w:rsidRDefault="00CB37E3" w:rsidP="004E4332">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B37E3" w:rsidRPr="008C2A94" w14:paraId="6B6CBD04" w14:textId="77777777" w:rsidTr="00F12C6A">
        <w:trPr>
          <w:trHeight w:val="347"/>
        </w:trPr>
        <w:tc>
          <w:tcPr>
            <w:tcW w:w="9568" w:type="dxa"/>
            <w:vAlign w:val="center"/>
          </w:tcPr>
          <w:p w14:paraId="46F6216A" w14:textId="77777777" w:rsidR="00CB37E3" w:rsidRPr="003E4435" w:rsidRDefault="00CB37E3" w:rsidP="004E4332">
            <w:pPr>
              <w:numPr>
                <w:ilvl w:val="0"/>
                <w:numId w:val="64"/>
              </w:numPr>
              <w:ind w:left="567" w:hanging="567"/>
              <w:rPr>
                <w:rFonts w:ascii="Times New Roman" w:eastAsia="Times New Roman" w:hAnsi="Times New Roman" w:cs="Times New Roman"/>
                <w:b/>
                <w:sz w:val="22"/>
                <w:szCs w:val="22"/>
                <w:lang w:val="lt-LT"/>
              </w:rPr>
            </w:pPr>
            <w:r w:rsidRPr="003E4435">
              <w:rPr>
                <w:rFonts w:ascii="Times New Roman" w:eastAsia="Times New Roman" w:hAnsi="Times New Roman" w:cs="Times New Roman"/>
                <w:b/>
                <w:sz w:val="22"/>
                <w:szCs w:val="22"/>
                <w:lang w:val="lt-LT"/>
              </w:rPr>
              <w:t>NAZWA PRODUKTU LECZNICZEGO I DROGA(I) PODANIA</w:t>
            </w:r>
          </w:p>
        </w:tc>
      </w:tr>
    </w:tbl>
    <w:p w14:paraId="459C36AB" w14:textId="77777777" w:rsidR="00CB37E3" w:rsidRPr="003E4435" w:rsidRDefault="00CB37E3" w:rsidP="004E4332">
      <w:pPr>
        <w:rPr>
          <w:rFonts w:ascii="Times New Roman" w:eastAsia="Times New Roman" w:hAnsi="Times New Roman"/>
          <w:sz w:val="22"/>
          <w:szCs w:val="22"/>
          <w:lang w:val="lt-LT"/>
        </w:rPr>
      </w:pPr>
    </w:p>
    <w:p w14:paraId="14EA0D79" w14:textId="77777777" w:rsidR="00CB37E3" w:rsidRPr="003E4435" w:rsidRDefault="00261A5A" w:rsidP="004E4332">
      <w:pPr>
        <w:rPr>
          <w:rFonts w:ascii="Times New Roman" w:eastAsia="Times New Roman" w:hAnsi="Times New Roman"/>
          <w:sz w:val="22"/>
          <w:szCs w:val="22"/>
          <w:lang w:val="lt-LT"/>
        </w:rPr>
      </w:pPr>
      <w:r>
        <w:rPr>
          <w:rFonts w:ascii="Times New Roman" w:eastAsia="Times New Roman" w:hAnsi="Times New Roman"/>
          <w:sz w:val="22"/>
          <w:szCs w:val="22"/>
          <w:lang w:val="lt-LT"/>
        </w:rPr>
        <w:t>MVASI</w:t>
      </w:r>
      <w:r w:rsidR="00A1009F" w:rsidRPr="003E4435">
        <w:rPr>
          <w:rFonts w:ascii="Times New Roman" w:eastAsia="Times New Roman" w:hAnsi="Times New Roman"/>
          <w:sz w:val="22"/>
          <w:szCs w:val="22"/>
          <w:lang w:val="lt-LT"/>
        </w:rPr>
        <w:t xml:space="preserve"> 25 </w:t>
      </w:r>
      <w:r w:rsidR="00CB37E3" w:rsidRPr="003E4435">
        <w:rPr>
          <w:rFonts w:ascii="Times New Roman" w:eastAsia="Times New Roman" w:hAnsi="Times New Roman"/>
          <w:sz w:val="22"/>
          <w:szCs w:val="22"/>
          <w:lang w:val="lt-LT"/>
        </w:rPr>
        <w:t xml:space="preserve">mg/ml koncentrat </w:t>
      </w:r>
      <w:r w:rsidR="00F217E9">
        <w:rPr>
          <w:rFonts w:ascii="Times New Roman" w:eastAsia="Times New Roman" w:hAnsi="Times New Roman"/>
          <w:sz w:val="22"/>
          <w:szCs w:val="22"/>
          <w:lang w:val="lt-LT"/>
        </w:rPr>
        <w:t xml:space="preserve">jałowy </w:t>
      </w:r>
    </w:p>
    <w:p w14:paraId="72139C24" w14:textId="77777777" w:rsidR="00CB37E3" w:rsidRPr="003E4435" w:rsidRDefault="00021B73" w:rsidP="004E4332">
      <w:pPr>
        <w:rPr>
          <w:rFonts w:ascii="Times New Roman" w:eastAsia="Times New Roman" w:hAnsi="Times New Roman"/>
          <w:sz w:val="22"/>
          <w:szCs w:val="22"/>
          <w:lang w:val="lt-LT"/>
        </w:rPr>
      </w:pPr>
      <w:r>
        <w:rPr>
          <w:rFonts w:ascii="Times New Roman" w:eastAsia="Times New Roman" w:hAnsi="Times New Roman"/>
          <w:sz w:val="22"/>
          <w:szCs w:val="22"/>
          <w:lang w:val="lt-LT"/>
        </w:rPr>
        <w:t>b</w:t>
      </w:r>
      <w:r w:rsidR="00CB37E3" w:rsidRPr="003E4435">
        <w:rPr>
          <w:rFonts w:ascii="Times New Roman" w:eastAsia="Times New Roman" w:hAnsi="Times New Roman"/>
          <w:sz w:val="22"/>
          <w:szCs w:val="22"/>
          <w:lang w:val="lt-LT"/>
        </w:rPr>
        <w:t>ewacyzumab</w:t>
      </w:r>
    </w:p>
    <w:p w14:paraId="755A1254" w14:textId="77777777" w:rsidR="00CB37E3" w:rsidRPr="003E4435" w:rsidRDefault="00CB37E3" w:rsidP="004E4332">
      <w:pPr>
        <w:rPr>
          <w:rFonts w:ascii="Times New Roman" w:eastAsia="Times New Roman" w:hAnsi="Times New Roman"/>
          <w:sz w:val="22"/>
          <w:szCs w:val="22"/>
          <w:lang w:val="lt-LT"/>
        </w:rPr>
      </w:pPr>
      <w:r w:rsidRPr="00E77ACE">
        <w:rPr>
          <w:rFonts w:ascii="Times New Roman" w:eastAsia="Times New Roman" w:hAnsi="Times New Roman"/>
          <w:i/>
          <w:sz w:val="22"/>
          <w:szCs w:val="22"/>
          <w:lang w:val="lt-LT"/>
        </w:rPr>
        <w:t>iv</w:t>
      </w:r>
      <w:r w:rsidRPr="003E4435">
        <w:rPr>
          <w:rFonts w:ascii="Times New Roman" w:eastAsia="Times New Roman" w:hAnsi="Times New Roman"/>
          <w:sz w:val="22"/>
          <w:szCs w:val="22"/>
          <w:lang w:val="lt-LT"/>
        </w:rPr>
        <w:t>.</w:t>
      </w:r>
    </w:p>
    <w:p w14:paraId="1B7E0718" w14:textId="77777777" w:rsidR="00CB37E3" w:rsidRPr="003E4435" w:rsidRDefault="00CB37E3" w:rsidP="004E4332">
      <w:pPr>
        <w:rPr>
          <w:rFonts w:ascii="Times New Roman" w:eastAsia="Times New Roman" w:hAnsi="Times New Roman"/>
          <w:sz w:val="22"/>
          <w:szCs w:val="22"/>
          <w:lang w:val="lt-LT"/>
        </w:rPr>
      </w:pPr>
    </w:p>
    <w:p w14:paraId="4CE2F0D2" w14:textId="77777777" w:rsidR="00CB37E3" w:rsidRPr="003E4435" w:rsidRDefault="00CB37E3" w:rsidP="004E4332">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B37E3" w:rsidRPr="003E4435" w14:paraId="072EE3BE" w14:textId="77777777" w:rsidTr="00E5081B">
        <w:trPr>
          <w:trHeight w:val="282"/>
        </w:trPr>
        <w:tc>
          <w:tcPr>
            <w:tcW w:w="9568" w:type="dxa"/>
            <w:vAlign w:val="center"/>
          </w:tcPr>
          <w:p w14:paraId="393D7E9B" w14:textId="77777777" w:rsidR="00CB37E3" w:rsidRPr="003E4435" w:rsidRDefault="009A63C4" w:rsidP="004E4332">
            <w:pPr>
              <w:numPr>
                <w:ilvl w:val="0"/>
                <w:numId w:val="64"/>
              </w:numPr>
              <w:ind w:left="567" w:hanging="567"/>
              <w:rPr>
                <w:rFonts w:ascii="Times New Roman" w:hAnsi="Times New Roman" w:cs="Times New Roman"/>
                <w:b/>
                <w:sz w:val="22"/>
                <w:szCs w:val="22"/>
              </w:rPr>
            </w:pPr>
            <w:r w:rsidRPr="003E4435">
              <w:rPr>
                <w:rFonts w:ascii="Times New Roman" w:hAnsi="Times New Roman" w:cs="Times New Roman"/>
                <w:b/>
                <w:sz w:val="22"/>
                <w:szCs w:val="22"/>
              </w:rPr>
              <w:t>SPOSÓB PODAWANIA</w:t>
            </w:r>
          </w:p>
        </w:tc>
      </w:tr>
    </w:tbl>
    <w:p w14:paraId="2CE3A4ED" w14:textId="77777777" w:rsidR="00CB37E3" w:rsidRPr="003E4435" w:rsidRDefault="00CB37E3" w:rsidP="004E4332">
      <w:pPr>
        <w:rPr>
          <w:rFonts w:ascii="Times New Roman" w:eastAsia="Times New Roman" w:hAnsi="Times New Roman"/>
          <w:sz w:val="22"/>
          <w:szCs w:val="22"/>
          <w:lang w:val="lt-LT"/>
        </w:rPr>
      </w:pPr>
    </w:p>
    <w:p w14:paraId="343AD4B7" w14:textId="77777777" w:rsidR="001F32B7" w:rsidRPr="003E4435" w:rsidRDefault="001F32B7" w:rsidP="004E4332">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B37E3" w:rsidRPr="003E4435" w14:paraId="0F8560F5" w14:textId="77777777" w:rsidTr="00E5081B">
        <w:trPr>
          <w:trHeight w:val="312"/>
        </w:trPr>
        <w:tc>
          <w:tcPr>
            <w:tcW w:w="9568" w:type="dxa"/>
            <w:vAlign w:val="center"/>
          </w:tcPr>
          <w:p w14:paraId="4FFF484C" w14:textId="77777777" w:rsidR="00CB37E3" w:rsidRPr="003E4435" w:rsidRDefault="00E5081B" w:rsidP="004E4332">
            <w:pPr>
              <w:numPr>
                <w:ilvl w:val="0"/>
                <w:numId w:val="64"/>
              </w:numPr>
              <w:ind w:left="567" w:hanging="567"/>
              <w:rPr>
                <w:rFonts w:ascii="Times New Roman" w:hAnsi="Times New Roman" w:cs="Times New Roman"/>
                <w:b/>
                <w:sz w:val="22"/>
                <w:szCs w:val="22"/>
              </w:rPr>
            </w:pPr>
            <w:r w:rsidRPr="003E4435">
              <w:rPr>
                <w:rFonts w:ascii="Times New Roman" w:hAnsi="Times New Roman" w:cs="Times New Roman"/>
                <w:b/>
                <w:sz w:val="22"/>
                <w:szCs w:val="22"/>
              </w:rPr>
              <w:t xml:space="preserve">TERMIN WAŻNOŚCI </w:t>
            </w:r>
          </w:p>
        </w:tc>
      </w:tr>
    </w:tbl>
    <w:p w14:paraId="0AE54636" w14:textId="77777777" w:rsidR="00CB37E3" w:rsidRPr="003E4435" w:rsidRDefault="00CB37E3" w:rsidP="004E4332">
      <w:pPr>
        <w:rPr>
          <w:rFonts w:ascii="Times New Roman" w:eastAsia="Times New Roman" w:hAnsi="Times New Roman"/>
          <w:sz w:val="22"/>
          <w:szCs w:val="22"/>
          <w:lang w:val="lt-LT"/>
        </w:rPr>
      </w:pPr>
    </w:p>
    <w:p w14:paraId="18C349BB" w14:textId="77777777" w:rsidR="00594A25" w:rsidRPr="003E4435" w:rsidRDefault="00594A25" w:rsidP="004E4332">
      <w:pPr>
        <w:rPr>
          <w:rFonts w:ascii="Times New Roman" w:eastAsia="Times New Roman" w:hAnsi="Times New Roman"/>
          <w:sz w:val="22"/>
          <w:szCs w:val="22"/>
          <w:lang w:val="lt-LT"/>
        </w:rPr>
      </w:pPr>
      <w:r w:rsidRPr="003E4435">
        <w:rPr>
          <w:rFonts w:ascii="Times New Roman" w:eastAsia="Times New Roman" w:hAnsi="Times New Roman"/>
          <w:sz w:val="22"/>
          <w:szCs w:val="22"/>
          <w:lang w:val="lt-LT"/>
        </w:rPr>
        <w:t>EXP</w:t>
      </w:r>
    </w:p>
    <w:p w14:paraId="16F042AF" w14:textId="77777777" w:rsidR="00594A25" w:rsidRPr="003E4435" w:rsidRDefault="00594A25" w:rsidP="004E4332">
      <w:pPr>
        <w:rPr>
          <w:rFonts w:ascii="Times New Roman" w:eastAsia="Times New Roman" w:hAnsi="Times New Roman"/>
          <w:sz w:val="22"/>
          <w:szCs w:val="22"/>
          <w:lang w:val="lt-LT"/>
        </w:rPr>
      </w:pPr>
    </w:p>
    <w:p w14:paraId="1A3AEC73" w14:textId="77777777" w:rsidR="00594A25" w:rsidRPr="003E4435" w:rsidRDefault="00594A25" w:rsidP="004E4332">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B37E3" w:rsidRPr="003E4435" w14:paraId="12295736" w14:textId="77777777" w:rsidTr="00DF2DF6">
        <w:trPr>
          <w:trHeight w:val="261"/>
        </w:trPr>
        <w:tc>
          <w:tcPr>
            <w:tcW w:w="9568" w:type="dxa"/>
            <w:vAlign w:val="center"/>
          </w:tcPr>
          <w:p w14:paraId="618DA615" w14:textId="77777777" w:rsidR="00CB37E3" w:rsidRPr="003E4435" w:rsidRDefault="00BE3FD8" w:rsidP="004E4332">
            <w:pPr>
              <w:numPr>
                <w:ilvl w:val="0"/>
                <w:numId w:val="64"/>
              </w:numPr>
              <w:ind w:left="567" w:hanging="567"/>
              <w:rPr>
                <w:rFonts w:ascii="Times New Roman" w:eastAsia="Times New Roman" w:hAnsi="Times New Roman" w:cs="Times New Roman"/>
                <w:b/>
                <w:sz w:val="22"/>
                <w:szCs w:val="22"/>
                <w:lang w:val="lt-LT"/>
              </w:rPr>
            </w:pPr>
            <w:r w:rsidRPr="003E4435">
              <w:rPr>
                <w:rFonts w:ascii="Times New Roman" w:eastAsia="Times New Roman" w:hAnsi="Times New Roman" w:cs="Times New Roman"/>
                <w:b/>
                <w:bCs/>
                <w:sz w:val="22"/>
                <w:szCs w:val="22"/>
                <w:lang w:val="lt-LT"/>
              </w:rPr>
              <w:t>NUMER SERII</w:t>
            </w:r>
          </w:p>
        </w:tc>
      </w:tr>
    </w:tbl>
    <w:p w14:paraId="57037574" w14:textId="77777777" w:rsidR="00CB37E3" w:rsidRPr="003E4435" w:rsidRDefault="00CB37E3" w:rsidP="004E4332">
      <w:pPr>
        <w:rPr>
          <w:rFonts w:ascii="Times New Roman" w:eastAsia="Times New Roman" w:hAnsi="Times New Roman"/>
          <w:sz w:val="22"/>
          <w:szCs w:val="22"/>
          <w:lang w:val="lt-LT"/>
        </w:rPr>
      </w:pPr>
    </w:p>
    <w:p w14:paraId="3ABDBDE1" w14:textId="77777777" w:rsidR="00CB37E3" w:rsidRPr="003E4435" w:rsidRDefault="00BE3FD8" w:rsidP="004E4332">
      <w:pPr>
        <w:rPr>
          <w:rFonts w:ascii="Times New Roman" w:eastAsia="Times New Roman" w:hAnsi="Times New Roman"/>
          <w:sz w:val="22"/>
          <w:szCs w:val="22"/>
          <w:lang w:val="lt-LT"/>
        </w:rPr>
      </w:pPr>
      <w:r w:rsidRPr="003E4435">
        <w:rPr>
          <w:rFonts w:ascii="Times New Roman" w:eastAsia="Times New Roman" w:hAnsi="Times New Roman"/>
          <w:sz w:val="22"/>
          <w:szCs w:val="22"/>
          <w:lang w:val="lt-LT"/>
        </w:rPr>
        <w:t>Lot</w:t>
      </w:r>
    </w:p>
    <w:p w14:paraId="1C2A394E" w14:textId="77777777" w:rsidR="00BE3FD8" w:rsidRPr="003E4435" w:rsidRDefault="00BE3FD8" w:rsidP="004E4332">
      <w:pPr>
        <w:rPr>
          <w:rFonts w:ascii="Times New Roman" w:eastAsia="Times New Roman" w:hAnsi="Times New Roman"/>
          <w:sz w:val="22"/>
          <w:szCs w:val="22"/>
          <w:lang w:val="lt-LT"/>
        </w:rPr>
      </w:pPr>
    </w:p>
    <w:p w14:paraId="1AE533A3" w14:textId="77777777" w:rsidR="00CB37E3" w:rsidRPr="003E4435" w:rsidRDefault="00CB37E3" w:rsidP="004E4332">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B37E3" w:rsidRPr="008C2A94" w14:paraId="60AEAD0B" w14:textId="77777777" w:rsidTr="005571CC">
        <w:trPr>
          <w:trHeight w:val="319"/>
        </w:trPr>
        <w:tc>
          <w:tcPr>
            <w:tcW w:w="9568" w:type="dxa"/>
            <w:vAlign w:val="center"/>
          </w:tcPr>
          <w:p w14:paraId="65FAC6EF" w14:textId="77777777" w:rsidR="00CB37E3" w:rsidRPr="003E4435" w:rsidRDefault="005571CC" w:rsidP="004E4332">
            <w:pPr>
              <w:numPr>
                <w:ilvl w:val="0"/>
                <w:numId w:val="64"/>
              </w:numPr>
              <w:ind w:left="567" w:hanging="567"/>
              <w:rPr>
                <w:rFonts w:ascii="Times New Roman" w:eastAsia="Times New Roman" w:hAnsi="Times New Roman" w:cs="Times New Roman"/>
                <w:sz w:val="22"/>
                <w:szCs w:val="22"/>
                <w:lang w:val="lt-LT"/>
              </w:rPr>
            </w:pPr>
            <w:r w:rsidRPr="00261A5A">
              <w:rPr>
                <w:rFonts w:ascii="Times New Roman" w:hAnsi="Times New Roman" w:cs="Times New Roman"/>
                <w:b/>
                <w:sz w:val="22"/>
                <w:szCs w:val="22"/>
                <w:lang w:val="pl-PL"/>
              </w:rPr>
              <w:t>ZAWARTOŚĆ OPAKOWANIA Z PODANIEM MASY, OBJĘTOŚCI LUB LICZBY JEDNOSTEK</w:t>
            </w:r>
          </w:p>
        </w:tc>
      </w:tr>
    </w:tbl>
    <w:p w14:paraId="28316041" w14:textId="77777777" w:rsidR="00CB37E3" w:rsidRPr="003E4435" w:rsidRDefault="00CB37E3" w:rsidP="004E4332">
      <w:pPr>
        <w:rPr>
          <w:rFonts w:ascii="Times New Roman" w:eastAsia="Times New Roman" w:hAnsi="Times New Roman"/>
          <w:sz w:val="22"/>
          <w:szCs w:val="22"/>
          <w:lang w:val="lt-LT"/>
        </w:rPr>
      </w:pPr>
    </w:p>
    <w:p w14:paraId="09466E9D" w14:textId="77777777" w:rsidR="00900553" w:rsidRPr="003E4435" w:rsidRDefault="00900553" w:rsidP="004E4332">
      <w:pPr>
        <w:rPr>
          <w:rFonts w:ascii="Times New Roman" w:eastAsia="Times New Roman" w:hAnsi="Times New Roman"/>
          <w:sz w:val="22"/>
          <w:szCs w:val="22"/>
          <w:lang w:val="lt-LT"/>
        </w:rPr>
      </w:pPr>
      <w:r w:rsidRPr="003E4435">
        <w:rPr>
          <w:rFonts w:ascii="Times New Roman" w:eastAsia="Times New Roman" w:hAnsi="Times New Roman"/>
          <w:sz w:val="22"/>
          <w:szCs w:val="22"/>
          <w:lang w:val="lt-LT"/>
        </w:rPr>
        <w:t>100 mg/4 ml</w:t>
      </w:r>
    </w:p>
    <w:p w14:paraId="6E0E3E12" w14:textId="77777777" w:rsidR="00CB37E3" w:rsidRPr="003E4435" w:rsidRDefault="00CB37E3" w:rsidP="004E4332">
      <w:pPr>
        <w:rPr>
          <w:rFonts w:ascii="Times New Roman" w:eastAsia="Times New Roman" w:hAnsi="Times New Roman"/>
          <w:sz w:val="22"/>
          <w:szCs w:val="22"/>
          <w:lang w:val="lt-LT"/>
        </w:rPr>
      </w:pPr>
    </w:p>
    <w:p w14:paraId="33702BDB" w14:textId="77777777" w:rsidR="00900553" w:rsidRPr="003E4435" w:rsidRDefault="00900553" w:rsidP="004E4332">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B37E3" w:rsidRPr="003E4435" w14:paraId="074B1ABC" w14:textId="77777777" w:rsidTr="00F12C6A">
        <w:tc>
          <w:tcPr>
            <w:tcW w:w="9568" w:type="dxa"/>
          </w:tcPr>
          <w:p w14:paraId="714F3903" w14:textId="77777777" w:rsidR="00CB37E3" w:rsidRPr="003E4435" w:rsidRDefault="00900553" w:rsidP="004E4332">
            <w:pPr>
              <w:numPr>
                <w:ilvl w:val="0"/>
                <w:numId w:val="64"/>
              </w:numPr>
              <w:ind w:left="567" w:hanging="567"/>
              <w:rPr>
                <w:rFonts w:ascii="Times New Roman" w:eastAsia="Times New Roman" w:hAnsi="Times New Roman" w:cs="Times New Roman"/>
                <w:b/>
                <w:sz w:val="22"/>
                <w:szCs w:val="22"/>
                <w:lang w:val="lt-LT"/>
              </w:rPr>
            </w:pPr>
            <w:r w:rsidRPr="003E4435">
              <w:rPr>
                <w:rFonts w:ascii="Times New Roman" w:eastAsia="Times New Roman" w:hAnsi="Times New Roman" w:cs="Times New Roman"/>
                <w:b/>
                <w:bCs/>
                <w:sz w:val="22"/>
                <w:szCs w:val="22"/>
                <w:lang w:val="lt-LT"/>
              </w:rPr>
              <w:t>INNE</w:t>
            </w:r>
          </w:p>
        </w:tc>
      </w:tr>
    </w:tbl>
    <w:p w14:paraId="674D4E79" w14:textId="77777777" w:rsidR="00CB37E3" w:rsidRPr="003E4435" w:rsidRDefault="00CB37E3" w:rsidP="004E4332">
      <w:pPr>
        <w:rPr>
          <w:rFonts w:ascii="Times New Roman" w:eastAsia="Times New Roman" w:hAnsi="Times New Roman"/>
          <w:sz w:val="22"/>
          <w:szCs w:val="22"/>
          <w:lang w:val="lt-LT"/>
        </w:rPr>
      </w:pPr>
    </w:p>
    <w:p w14:paraId="1BC8704B" w14:textId="77777777" w:rsidR="0078410B" w:rsidRPr="003E4435" w:rsidRDefault="0078410B" w:rsidP="0078410B">
      <w:pPr>
        <w:rPr>
          <w:rFonts w:ascii="Times New Roman" w:eastAsia="Times New Roman" w:hAnsi="Times New Roman"/>
          <w:sz w:val="22"/>
          <w:lang w:val="lt-LT"/>
        </w:rPr>
      </w:pPr>
      <w:r>
        <w:rPr>
          <w:rFonts w:ascii="Times New Roman" w:eastAsia="Times New Roman" w:hAnsi="Times New Roman"/>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30FE916D" w14:textId="77777777" w:rsidTr="00435909">
        <w:tc>
          <w:tcPr>
            <w:tcW w:w="9568" w:type="dxa"/>
          </w:tcPr>
          <w:p w14:paraId="7388BC25" w14:textId="77777777" w:rsidR="0078410B" w:rsidRPr="00261A5A" w:rsidRDefault="0078410B" w:rsidP="00435909">
            <w:pPr>
              <w:pStyle w:val="Default"/>
              <w:rPr>
                <w:rFonts w:eastAsia="Times New Roman"/>
                <w:b/>
                <w:sz w:val="22"/>
                <w:szCs w:val="22"/>
                <w:lang w:val="pl-PL"/>
              </w:rPr>
            </w:pPr>
            <w:r w:rsidRPr="00261A5A">
              <w:rPr>
                <w:rFonts w:eastAsia="Times New Roman"/>
                <w:b/>
                <w:sz w:val="22"/>
                <w:szCs w:val="22"/>
                <w:lang w:val="pl-PL"/>
              </w:rPr>
              <w:t>INFORMACJE ZAMIESZCZANE NA OPAKOWANIACH ZEWNĘTRZNYCH</w:t>
            </w:r>
          </w:p>
          <w:p w14:paraId="5FA6BB8B" w14:textId="77777777" w:rsidR="0078410B" w:rsidRPr="00261A5A" w:rsidRDefault="0078410B" w:rsidP="00435909">
            <w:pPr>
              <w:pStyle w:val="Default"/>
              <w:rPr>
                <w:rFonts w:eastAsia="Times New Roman"/>
                <w:b/>
                <w:sz w:val="22"/>
                <w:szCs w:val="22"/>
                <w:lang w:val="pl-PL"/>
              </w:rPr>
            </w:pPr>
          </w:p>
          <w:p w14:paraId="1A75B71D" w14:textId="77777777" w:rsidR="0078410B" w:rsidRPr="00F12C6A" w:rsidRDefault="0078410B" w:rsidP="00435909">
            <w:pPr>
              <w:pStyle w:val="Default"/>
              <w:rPr>
                <w:sz w:val="22"/>
                <w:szCs w:val="22"/>
                <w:lang w:val="lt-LT"/>
              </w:rPr>
            </w:pPr>
            <w:r w:rsidRPr="00261A5A">
              <w:rPr>
                <w:rFonts w:eastAsia="Times New Roman"/>
                <w:b/>
                <w:sz w:val="22"/>
                <w:szCs w:val="22"/>
                <w:lang w:val="pl-PL"/>
              </w:rPr>
              <w:t>KARTONIK</w:t>
            </w:r>
          </w:p>
        </w:tc>
      </w:tr>
    </w:tbl>
    <w:p w14:paraId="311DDDC9" w14:textId="77777777" w:rsidR="0078410B" w:rsidRPr="00741122" w:rsidRDefault="0078410B" w:rsidP="0078410B">
      <w:pPr>
        <w:rPr>
          <w:rFonts w:ascii="Times New Roman" w:eastAsia="Times New Roman" w:hAnsi="Times New Roman"/>
          <w:sz w:val="22"/>
          <w:szCs w:val="22"/>
          <w:lang w:val="lt-LT"/>
        </w:rPr>
      </w:pPr>
    </w:p>
    <w:p w14:paraId="61D24408"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4BA7AD70" w14:textId="77777777" w:rsidTr="00435909">
        <w:trPr>
          <w:trHeight w:val="272"/>
        </w:trPr>
        <w:tc>
          <w:tcPr>
            <w:tcW w:w="9568" w:type="dxa"/>
            <w:vAlign w:val="center"/>
          </w:tcPr>
          <w:p w14:paraId="5A88C2D8" w14:textId="77777777" w:rsidR="0078410B" w:rsidRPr="00F12C6A" w:rsidRDefault="0078410B" w:rsidP="0023471C">
            <w:pPr>
              <w:numPr>
                <w:ilvl w:val="0"/>
                <w:numId w:val="111"/>
              </w:numPr>
              <w:tabs>
                <w:tab w:val="left" w:pos="562"/>
              </w:tabs>
              <w:rPr>
                <w:rFonts w:ascii="Times New Roman" w:eastAsia="Times New Roman" w:hAnsi="Times New Roman" w:cs="Times New Roman"/>
                <w:b/>
                <w:sz w:val="22"/>
                <w:szCs w:val="22"/>
              </w:rPr>
            </w:pPr>
            <w:r w:rsidRPr="00F12C6A">
              <w:rPr>
                <w:rFonts w:ascii="Times New Roman" w:eastAsia="Times New Roman" w:hAnsi="Times New Roman" w:cs="Times New Roman"/>
                <w:b/>
                <w:sz w:val="22"/>
                <w:szCs w:val="22"/>
              </w:rPr>
              <w:t>NAZWA PRODUKTU LECZNICZEGO</w:t>
            </w:r>
          </w:p>
        </w:tc>
      </w:tr>
    </w:tbl>
    <w:p w14:paraId="7AB57AC6" w14:textId="77777777" w:rsidR="0078410B" w:rsidRPr="00741122" w:rsidRDefault="0078410B" w:rsidP="0078410B">
      <w:pPr>
        <w:rPr>
          <w:rFonts w:ascii="Times New Roman" w:eastAsia="Times New Roman" w:hAnsi="Times New Roman"/>
          <w:sz w:val="22"/>
          <w:szCs w:val="22"/>
          <w:lang w:val="lt-LT"/>
        </w:rPr>
      </w:pPr>
    </w:p>
    <w:p w14:paraId="1F33FD03" w14:textId="77777777" w:rsidR="0078410B" w:rsidRPr="00741122" w:rsidRDefault="0078410B" w:rsidP="0078410B">
      <w:pPr>
        <w:rPr>
          <w:rFonts w:ascii="Times New Roman" w:eastAsia="Times New Roman" w:hAnsi="Times New Roman"/>
          <w:sz w:val="22"/>
          <w:szCs w:val="22"/>
          <w:lang w:val="lt-LT"/>
        </w:rPr>
      </w:pPr>
      <w:r>
        <w:rPr>
          <w:rFonts w:ascii="Times New Roman" w:eastAsia="Times New Roman" w:hAnsi="Times New Roman"/>
          <w:sz w:val="22"/>
          <w:szCs w:val="22"/>
          <w:lang w:val="lt-LT"/>
        </w:rPr>
        <w:t>MVASI</w:t>
      </w:r>
      <w:r w:rsidRPr="00741122">
        <w:rPr>
          <w:rFonts w:ascii="Times New Roman" w:eastAsia="Times New Roman" w:hAnsi="Times New Roman"/>
          <w:sz w:val="22"/>
          <w:szCs w:val="22"/>
          <w:lang w:val="lt-LT"/>
        </w:rPr>
        <w:t xml:space="preserve"> 25 mg/ml koncentrat do sporządzania roztworu do infuzji</w:t>
      </w:r>
    </w:p>
    <w:p w14:paraId="287E11F7" w14:textId="77777777" w:rsidR="0078410B" w:rsidRPr="00741122" w:rsidRDefault="0078410B" w:rsidP="0078410B">
      <w:pPr>
        <w:rPr>
          <w:rFonts w:ascii="Times New Roman" w:eastAsia="Times New Roman" w:hAnsi="Times New Roman"/>
          <w:sz w:val="22"/>
          <w:szCs w:val="22"/>
          <w:lang w:val="lt-LT"/>
        </w:rPr>
      </w:pPr>
      <w:r>
        <w:rPr>
          <w:rFonts w:ascii="Times New Roman" w:eastAsia="Times New Roman" w:hAnsi="Times New Roman"/>
          <w:sz w:val="22"/>
          <w:szCs w:val="22"/>
          <w:lang w:val="lt-LT"/>
        </w:rPr>
        <w:t>b</w:t>
      </w:r>
      <w:r w:rsidRPr="00741122">
        <w:rPr>
          <w:rFonts w:ascii="Times New Roman" w:eastAsia="Times New Roman" w:hAnsi="Times New Roman"/>
          <w:sz w:val="22"/>
          <w:szCs w:val="22"/>
          <w:lang w:val="lt-LT"/>
        </w:rPr>
        <w:t>ewacyzumab</w:t>
      </w:r>
    </w:p>
    <w:p w14:paraId="0783FB37" w14:textId="77777777" w:rsidR="0078410B" w:rsidRPr="00741122" w:rsidRDefault="0078410B" w:rsidP="0078410B">
      <w:pPr>
        <w:rPr>
          <w:rFonts w:ascii="Times New Roman" w:eastAsia="Times New Roman" w:hAnsi="Times New Roman"/>
          <w:sz w:val="22"/>
          <w:szCs w:val="22"/>
          <w:lang w:val="lt-LT"/>
        </w:rPr>
      </w:pPr>
    </w:p>
    <w:p w14:paraId="6D490F38"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0E3D46E3" w14:textId="77777777" w:rsidTr="00435909">
        <w:trPr>
          <w:trHeight w:val="261"/>
        </w:trPr>
        <w:tc>
          <w:tcPr>
            <w:tcW w:w="9568" w:type="dxa"/>
            <w:vAlign w:val="center"/>
          </w:tcPr>
          <w:p w14:paraId="26D9D7EC" w14:textId="77777777" w:rsidR="0078410B" w:rsidRPr="00F12C6A" w:rsidRDefault="0078410B" w:rsidP="0023471C">
            <w:pPr>
              <w:numPr>
                <w:ilvl w:val="0"/>
                <w:numId w:val="111"/>
              </w:numPr>
              <w:tabs>
                <w:tab w:val="left" w:pos="562"/>
              </w:tabs>
              <w:ind w:left="567" w:hanging="567"/>
              <w:rPr>
                <w:rFonts w:ascii="Times New Roman" w:eastAsia="Times New Roman" w:hAnsi="Times New Roman" w:cs="Times New Roman"/>
                <w:sz w:val="22"/>
                <w:szCs w:val="22"/>
              </w:rPr>
            </w:pPr>
            <w:r w:rsidRPr="00F12C6A">
              <w:rPr>
                <w:rFonts w:ascii="Times New Roman" w:eastAsia="Times New Roman" w:hAnsi="Times New Roman" w:cs="Times New Roman"/>
                <w:b/>
                <w:bCs/>
                <w:sz w:val="22"/>
                <w:szCs w:val="22"/>
              </w:rPr>
              <w:t>ZAWARTOŚĆ SUBSTANCJI CZYNNEJ(YCH)</w:t>
            </w:r>
          </w:p>
        </w:tc>
      </w:tr>
    </w:tbl>
    <w:p w14:paraId="5FD5373F" w14:textId="77777777" w:rsidR="0078410B" w:rsidRPr="00741122" w:rsidRDefault="0078410B" w:rsidP="0078410B">
      <w:pPr>
        <w:rPr>
          <w:rFonts w:ascii="Times New Roman" w:eastAsia="Times New Roman" w:hAnsi="Times New Roman"/>
          <w:sz w:val="22"/>
          <w:szCs w:val="22"/>
          <w:lang w:val="lt-LT"/>
        </w:rPr>
      </w:pPr>
    </w:p>
    <w:p w14:paraId="11B5625A" w14:textId="63BF6F3D" w:rsidR="0078410B" w:rsidRPr="00B4242C" w:rsidRDefault="0078410B" w:rsidP="0078410B">
      <w:pPr>
        <w:rPr>
          <w:rFonts w:ascii="Times New Roman" w:eastAsia="Times New Roman" w:hAnsi="Times New Roman"/>
          <w:sz w:val="22"/>
          <w:szCs w:val="22"/>
          <w:lang w:val="lt-LT"/>
        </w:rPr>
      </w:pPr>
      <w:r w:rsidRPr="0023471C">
        <w:rPr>
          <w:rFonts w:ascii="Times New Roman" w:eastAsia="Times New Roman" w:hAnsi="Times New Roman"/>
          <w:sz w:val="22"/>
          <w:szCs w:val="22"/>
          <w:lang w:val="lt-LT"/>
        </w:rPr>
        <w:t>Każda fiolka zawiera 400 mg bewacyzumabu w 16 ml koncentratu.</w:t>
      </w:r>
    </w:p>
    <w:p w14:paraId="768AD0D6" w14:textId="77777777" w:rsidR="0078410B" w:rsidRPr="00D872F7" w:rsidRDefault="0078410B" w:rsidP="0078410B">
      <w:pPr>
        <w:rPr>
          <w:rFonts w:ascii="Times New Roman" w:eastAsia="Times New Roman" w:hAnsi="Times New Roman"/>
          <w:sz w:val="22"/>
          <w:szCs w:val="22"/>
          <w:lang w:val="lt-LT"/>
        </w:rPr>
      </w:pPr>
    </w:p>
    <w:p w14:paraId="467AA025" w14:textId="77777777" w:rsidR="0078410B" w:rsidRPr="00741122" w:rsidRDefault="0078410B" w:rsidP="0078410B">
      <w:pPr>
        <w:rPr>
          <w:rFonts w:ascii="Times New Roman" w:eastAsia="Times New Roman" w:hAnsi="Times New Roman"/>
          <w:sz w:val="22"/>
          <w:szCs w:val="22"/>
          <w:lang w:val="lt-LT"/>
        </w:rPr>
      </w:pPr>
      <w:r w:rsidRPr="0023471C">
        <w:rPr>
          <w:rFonts w:ascii="Times New Roman" w:eastAsia="Times New Roman" w:hAnsi="Times New Roman"/>
          <w:sz w:val="22"/>
          <w:szCs w:val="22"/>
          <w:lang w:val="lt-LT"/>
        </w:rPr>
        <w:t>400 mg/16 ml</w:t>
      </w:r>
    </w:p>
    <w:p w14:paraId="695E95C3" w14:textId="77777777" w:rsidR="0078410B" w:rsidRPr="00741122" w:rsidRDefault="0078410B" w:rsidP="0078410B">
      <w:pPr>
        <w:rPr>
          <w:rFonts w:ascii="Times New Roman" w:eastAsia="Times New Roman" w:hAnsi="Times New Roman"/>
          <w:sz w:val="22"/>
          <w:szCs w:val="22"/>
          <w:lang w:val="lt-LT"/>
        </w:rPr>
      </w:pPr>
    </w:p>
    <w:p w14:paraId="6CA45060"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4D1302B1" w14:textId="77777777" w:rsidTr="00435909">
        <w:trPr>
          <w:trHeight w:val="319"/>
        </w:trPr>
        <w:tc>
          <w:tcPr>
            <w:tcW w:w="9568" w:type="dxa"/>
            <w:vAlign w:val="center"/>
          </w:tcPr>
          <w:p w14:paraId="76AC5A59" w14:textId="77777777" w:rsidR="0078410B" w:rsidRPr="00F12C6A" w:rsidRDefault="0078410B" w:rsidP="0023471C">
            <w:pPr>
              <w:numPr>
                <w:ilvl w:val="0"/>
                <w:numId w:val="111"/>
              </w:numPr>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WYKAZ SUBSTANCJI POMOCNICZYCH</w:t>
            </w:r>
          </w:p>
        </w:tc>
      </w:tr>
    </w:tbl>
    <w:p w14:paraId="6D5B0B9A" w14:textId="77777777" w:rsidR="0078410B" w:rsidRPr="00741122" w:rsidRDefault="0078410B" w:rsidP="0078410B">
      <w:pPr>
        <w:rPr>
          <w:rFonts w:ascii="Times New Roman" w:eastAsia="Times New Roman" w:hAnsi="Times New Roman"/>
          <w:sz w:val="22"/>
          <w:szCs w:val="22"/>
          <w:lang w:val="lt-LT"/>
        </w:rPr>
      </w:pPr>
    </w:p>
    <w:p w14:paraId="58D901D7" w14:textId="77777777" w:rsidR="0078410B" w:rsidRPr="00261A5A" w:rsidRDefault="0078410B" w:rsidP="0078410B">
      <w:pPr>
        <w:rPr>
          <w:rFonts w:ascii="Times New Roman" w:eastAsia="Times New Roman" w:hAnsi="Times New Roman"/>
          <w:sz w:val="22"/>
          <w:szCs w:val="22"/>
          <w:lang w:val="pl-PL"/>
        </w:rPr>
      </w:pPr>
      <w:r w:rsidRPr="00261A5A">
        <w:rPr>
          <w:rFonts w:ascii="Times New Roman" w:eastAsia="Times New Roman" w:hAnsi="Times New Roman"/>
          <w:sz w:val="22"/>
          <w:szCs w:val="22"/>
          <w:lang w:val="pl-PL"/>
        </w:rPr>
        <w:t>Trehalozy dwuwodzian, sodu fosforan, polisorbat 20, woda do wstrzykiwań.</w:t>
      </w:r>
    </w:p>
    <w:p w14:paraId="1828685B" w14:textId="77777777" w:rsidR="0078410B" w:rsidRDefault="0078410B" w:rsidP="0078410B">
      <w:pPr>
        <w:rPr>
          <w:rFonts w:ascii="Times New Roman" w:eastAsia="Times New Roman" w:hAnsi="Times New Roman"/>
          <w:sz w:val="22"/>
          <w:szCs w:val="22"/>
          <w:lang w:val="lt-LT"/>
        </w:rPr>
      </w:pPr>
    </w:p>
    <w:p w14:paraId="613816F7"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8C2A94" w14:paraId="0CDEE47D" w14:textId="77777777" w:rsidTr="00435909">
        <w:trPr>
          <w:trHeight w:val="287"/>
        </w:trPr>
        <w:tc>
          <w:tcPr>
            <w:tcW w:w="9568" w:type="dxa"/>
            <w:vAlign w:val="center"/>
          </w:tcPr>
          <w:p w14:paraId="3FD5EC81" w14:textId="77777777" w:rsidR="0078410B" w:rsidRPr="00F12C6A" w:rsidRDefault="0078410B" w:rsidP="0023471C">
            <w:pPr>
              <w:numPr>
                <w:ilvl w:val="0"/>
                <w:numId w:val="111"/>
              </w:numPr>
              <w:ind w:left="567" w:hanging="567"/>
              <w:rPr>
                <w:rFonts w:ascii="Times New Roman" w:hAnsi="Times New Roman" w:cs="Times New Roman"/>
                <w:b/>
                <w:sz w:val="22"/>
                <w:szCs w:val="22"/>
                <w:lang w:val="lt-LT"/>
              </w:rPr>
            </w:pPr>
            <w:r w:rsidRPr="00F12C6A">
              <w:rPr>
                <w:rFonts w:ascii="Times New Roman" w:hAnsi="Times New Roman" w:cs="Times New Roman"/>
                <w:b/>
                <w:sz w:val="22"/>
                <w:szCs w:val="22"/>
                <w:lang w:val="lt-LT"/>
              </w:rPr>
              <w:t>POSTAĆ FARMACEUTYCZNA I ZAWARTOŚĆ OPAKOWANIA</w:t>
            </w:r>
          </w:p>
        </w:tc>
      </w:tr>
    </w:tbl>
    <w:p w14:paraId="5DF037CC" w14:textId="77777777" w:rsidR="0078410B" w:rsidRDefault="0078410B" w:rsidP="0078410B">
      <w:pPr>
        <w:rPr>
          <w:rFonts w:ascii="Times New Roman" w:eastAsia="Times New Roman" w:hAnsi="Times New Roman"/>
          <w:sz w:val="22"/>
          <w:szCs w:val="22"/>
          <w:lang w:val="lt-LT"/>
        </w:rPr>
      </w:pPr>
    </w:p>
    <w:p w14:paraId="63996346" w14:textId="77777777" w:rsidR="0078410B" w:rsidRPr="00261A5A" w:rsidRDefault="0078410B" w:rsidP="0078410B">
      <w:pPr>
        <w:rPr>
          <w:rFonts w:ascii="Times New Roman" w:eastAsia="Times New Roman" w:hAnsi="Times New Roman"/>
          <w:sz w:val="22"/>
          <w:szCs w:val="22"/>
          <w:lang w:val="pl-PL"/>
        </w:rPr>
      </w:pPr>
      <w:r>
        <w:rPr>
          <w:rFonts w:ascii="Times New Roman" w:eastAsia="Times New Roman" w:hAnsi="Times New Roman"/>
          <w:sz w:val="22"/>
          <w:szCs w:val="22"/>
          <w:highlight w:val="lightGray"/>
          <w:lang w:val="pl-PL"/>
        </w:rPr>
        <w:t>Koncentrat do sporządzania roztworu do infuzji</w:t>
      </w:r>
    </w:p>
    <w:p w14:paraId="0E82704A" w14:textId="77777777" w:rsidR="0078410B" w:rsidRPr="00261A5A" w:rsidRDefault="0078410B" w:rsidP="0078410B">
      <w:pPr>
        <w:rPr>
          <w:rFonts w:ascii="Times New Roman" w:eastAsia="Times New Roman" w:hAnsi="Times New Roman"/>
          <w:sz w:val="22"/>
          <w:szCs w:val="22"/>
          <w:lang w:val="pl-PL"/>
        </w:rPr>
      </w:pPr>
      <w:r w:rsidRPr="00261A5A">
        <w:rPr>
          <w:rFonts w:ascii="Times New Roman" w:eastAsia="Times New Roman" w:hAnsi="Times New Roman"/>
          <w:sz w:val="22"/>
          <w:szCs w:val="22"/>
          <w:lang w:val="pl-PL"/>
        </w:rPr>
        <w:t xml:space="preserve">1 fiolka </w:t>
      </w:r>
    </w:p>
    <w:p w14:paraId="3D1A8406" w14:textId="77777777" w:rsidR="0078410B" w:rsidRPr="00261A5A" w:rsidRDefault="0078410B" w:rsidP="0078410B">
      <w:pPr>
        <w:rPr>
          <w:rFonts w:ascii="Times New Roman" w:eastAsia="Times New Roman" w:hAnsi="Times New Roman"/>
          <w:sz w:val="22"/>
          <w:szCs w:val="22"/>
          <w:lang w:val="pl-PL"/>
        </w:rPr>
      </w:pPr>
    </w:p>
    <w:p w14:paraId="3D47BC69"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8C2A94" w14:paraId="0A91E98F" w14:textId="77777777" w:rsidTr="00435909">
        <w:trPr>
          <w:trHeight w:val="283"/>
        </w:trPr>
        <w:tc>
          <w:tcPr>
            <w:tcW w:w="9568" w:type="dxa"/>
            <w:vAlign w:val="center"/>
          </w:tcPr>
          <w:p w14:paraId="0413E702" w14:textId="77777777" w:rsidR="0078410B" w:rsidRPr="00F12C6A" w:rsidRDefault="0078410B" w:rsidP="0023471C">
            <w:pPr>
              <w:numPr>
                <w:ilvl w:val="0"/>
                <w:numId w:val="111"/>
              </w:numPr>
              <w:ind w:left="567" w:hanging="567"/>
              <w:rPr>
                <w:rFonts w:ascii="Times New Roman" w:hAnsi="Times New Roman" w:cs="Times New Roman"/>
                <w:sz w:val="22"/>
                <w:szCs w:val="22"/>
                <w:lang w:val="lt-LT"/>
              </w:rPr>
            </w:pPr>
            <w:r w:rsidRPr="00F12C6A">
              <w:rPr>
                <w:rFonts w:ascii="Times New Roman" w:hAnsi="Times New Roman" w:cs="Times New Roman"/>
                <w:b/>
                <w:sz w:val="22"/>
                <w:szCs w:val="22"/>
                <w:lang w:val="lt-LT"/>
              </w:rPr>
              <w:t>SPOSÓB</w:t>
            </w:r>
            <w:r w:rsidRPr="00F12C6A">
              <w:rPr>
                <w:rFonts w:ascii="Times New Roman" w:hAnsi="Times New Roman" w:cs="Times New Roman"/>
                <w:b/>
                <w:bCs/>
                <w:sz w:val="22"/>
                <w:szCs w:val="22"/>
                <w:lang w:val="lt-LT"/>
              </w:rPr>
              <w:t xml:space="preserve"> I DROGA(I) PODANIA</w:t>
            </w:r>
          </w:p>
        </w:tc>
      </w:tr>
    </w:tbl>
    <w:p w14:paraId="1AB9BE69" w14:textId="77777777" w:rsidR="0078410B" w:rsidRPr="00741122" w:rsidRDefault="0078410B" w:rsidP="0078410B">
      <w:pPr>
        <w:rPr>
          <w:rFonts w:ascii="Times New Roman" w:eastAsia="Times New Roman" w:hAnsi="Times New Roman"/>
          <w:sz w:val="22"/>
          <w:szCs w:val="22"/>
          <w:lang w:val="lt-LT"/>
        </w:rPr>
      </w:pPr>
    </w:p>
    <w:p w14:paraId="62CA831B" w14:textId="0E208B9A"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Do podawania dożylnego po rozcieńczeniu</w:t>
      </w:r>
      <w:r w:rsidR="009C7CC3">
        <w:rPr>
          <w:rFonts w:ascii="Times New Roman" w:eastAsia="Times New Roman" w:hAnsi="Times New Roman"/>
          <w:sz w:val="22"/>
          <w:szCs w:val="22"/>
          <w:lang w:val="lt-LT"/>
        </w:rPr>
        <w:t>.</w:t>
      </w:r>
    </w:p>
    <w:p w14:paraId="0E148F29" w14:textId="77777777"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Należy zapoznać się z treścią ulotki przed zastosowaniem leku</w:t>
      </w:r>
      <w:r>
        <w:rPr>
          <w:rFonts w:ascii="Times New Roman" w:eastAsia="Times New Roman" w:hAnsi="Times New Roman"/>
          <w:sz w:val="22"/>
          <w:szCs w:val="22"/>
          <w:lang w:val="lt-LT"/>
        </w:rPr>
        <w:t>.</w:t>
      </w:r>
    </w:p>
    <w:p w14:paraId="45C4BE08" w14:textId="77777777" w:rsidR="0078410B" w:rsidRPr="00741122" w:rsidRDefault="0078410B" w:rsidP="0078410B">
      <w:pPr>
        <w:rPr>
          <w:rFonts w:ascii="Times New Roman" w:eastAsia="Times New Roman" w:hAnsi="Times New Roman"/>
          <w:sz w:val="22"/>
          <w:szCs w:val="22"/>
          <w:lang w:val="lt-LT"/>
        </w:rPr>
      </w:pPr>
    </w:p>
    <w:p w14:paraId="27BB2435"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8C2A94" w14:paraId="3A24A85D" w14:textId="77777777" w:rsidTr="00435909">
        <w:trPr>
          <w:trHeight w:val="542"/>
        </w:trPr>
        <w:tc>
          <w:tcPr>
            <w:tcW w:w="9568" w:type="dxa"/>
            <w:vAlign w:val="center"/>
          </w:tcPr>
          <w:p w14:paraId="5168BCED" w14:textId="77777777" w:rsidR="0078410B" w:rsidRPr="00261A5A" w:rsidRDefault="0078410B" w:rsidP="0023471C">
            <w:pPr>
              <w:numPr>
                <w:ilvl w:val="0"/>
                <w:numId w:val="111"/>
              </w:numPr>
              <w:tabs>
                <w:tab w:val="left" w:pos="567"/>
              </w:tabs>
              <w:ind w:left="567" w:hanging="567"/>
              <w:rPr>
                <w:rFonts w:ascii="Times New Roman" w:eastAsia="Times New Roman" w:hAnsi="Times New Roman" w:cs="Times New Roman"/>
                <w:b/>
                <w:sz w:val="22"/>
                <w:szCs w:val="22"/>
                <w:lang w:val="pl-PL"/>
              </w:rPr>
            </w:pPr>
            <w:r w:rsidRPr="00261A5A">
              <w:rPr>
                <w:rFonts w:ascii="Times New Roman" w:eastAsia="Times New Roman" w:hAnsi="Times New Roman" w:cs="Times New Roman"/>
                <w:b/>
                <w:sz w:val="22"/>
                <w:szCs w:val="22"/>
                <w:lang w:val="pl-PL"/>
              </w:rPr>
              <w:t>OSTRZEŻENIE DOTYCZĄCE PRZECHOWYWANIA PRODUKTU LECZNICZEGO W MIEJSCU NIEWIDOCZNYM I NIEDOSTĘPNYM DLA DZIECI</w:t>
            </w:r>
          </w:p>
        </w:tc>
      </w:tr>
    </w:tbl>
    <w:p w14:paraId="2B5BD094" w14:textId="77777777" w:rsidR="0078410B" w:rsidRPr="00741122" w:rsidRDefault="0078410B" w:rsidP="0078410B">
      <w:pPr>
        <w:rPr>
          <w:rFonts w:ascii="Times New Roman" w:eastAsia="Times New Roman" w:hAnsi="Times New Roman"/>
          <w:sz w:val="22"/>
          <w:szCs w:val="22"/>
          <w:lang w:val="lt-LT"/>
        </w:rPr>
      </w:pPr>
    </w:p>
    <w:p w14:paraId="7C5D7A9B" w14:textId="77777777"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Lek przechowywać w miejscu niewidocznym i niedostępnym dla dzieci</w:t>
      </w:r>
      <w:r>
        <w:rPr>
          <w:rFonts w:ascii="Times New Roman" w:eastAsia="Times New Roman" w:hAnsi="Times New Roman"/>
          <w:sz w:val="22"/>
          <w:szCs w:val="22"/>
          <w:lang w:val="lt-LT"/>
        </w:rPr>
        <w:t>.</w:t>
      </w:r>
    </w:p>
    <w:p w14:paraId="29357908" w14:textId="77777777" w:rsidR="0078410B" w:rsidRPr="00741122" w:rsidRDefault="0078410B" w:rsidP="0078410B">
      <w:pPr>
        <w:rPr>
          <w:rFonts w:ascii="Times New Roman" w:eastAsia="Times New Roman" w:hAnsi="Times New Roman"/>
          <w:sz w:val="22"/>
          <w:szCs w:val="22"/>
          <w:lang w:val="lt-LT"/>
        </w:rPr>
      </w:pPr>
    </w:p>
    <w:p w14:paraId="0370F0F7"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8C2A94" w14:paraId="02BD4756" w14:textId="77777777" w:rsidTr="00435909">
        <w:trPr>
          <w:trHeight w:val="253"/>
        </w:trPr>
        <w:tc>
          <w:tcPr>
            <w:tcW w:w="9568" w:type="dxa"/>
            <w:vAlign w:val="center"/>
          </w:tcPr>
          <w:p w14:paraId="1ED8EB08" w14:textId="77777777" w:rsidR="0078410B" w:rsidRPr="00F12C6A" w:rsidRDefault="0078410B" w:rsidP="0023471C">
            <w:pPr>
              <w:numPr>
                <w:ilvl w:val="0"/>
                <w:numId w:val="111"/>
              </w:numPr>
              <w:tabs>
                <w:tab w:val="left" w:pos="567"/>
              </w:tabs>
              <w:ind w:left="567" w:hanging="567"/>
              <w:rPr>
                <w:rFonts w:ascii="Times New Roman" w:eastAsia="Times New Roman" w:hAnsi="Times New Roman" w:cs="Times New Roman"/>
                <w:b/>
                <w:sz w:val="22"/>
                <w:szCs w:val="22"/>
                <w:lang w:val="lt-LT"/>
              </w:rPr>
            </w:pPr>
            <w:r w:rsidRPr="00261A5A">
              <w:rPr>
                <w:rFonts w:ascii="Times New Roman" w:eastAsia="Times New Roman" w:hAnsi="Times New Roman" w:cs="Times New Roman"/>
                <w:b/>
                <w:sz w:val="22"/>
                <w:szCs w:val="22"/>
                <w:lang w:val="pl-PL"/>
              </w:rPr>
              <w:t>INNE</w:t>
            </w:r>
            <w:r w:rsidRPr="00F12C6A">
              <w:rPr>
                <w:rFonts w:ascii="Times New Roman" w:eastAsia="Times New Roman" w:hAnsi="Times New Roman" w:cs="Times New Roman"/>
                <w:b/>
                <w:sz w:val="22"/>
                <w:szCs w:val="22"/>
                <w:lang w:val="lt-LT"/>
              </w:rPr>
              <w:t xml:space="preserve"> OSTRZEŻENIA SPECJALNE, JEŚLI KONIECZNE</w:t>
            </w:r>
          </w:p>
        </w:tc>
      </w:tr>
    </w:tbl>
    <w:p w14:paraId="32664EE9" w14:textId="77777777" w:rsidR="0078410B" w:rsidRPr="00741122" w:rsidRDefault="0078410B" w:rsidP="0078410B">
      <w:pPr>
        <w:rPr>
          <w:rFonts w:ascii="Times New Roman" w:eastAsia="Times New Roman" w:hAnsi="Times New Roman"/>
          <w:sz w:val="22"/>
          <w:szCs w:val="22"/>
          <w:lang w:val="lt-LT"/>
        </w:rPr>
      </w:pPr>
    </w:p>
    <w:p w14:paraId="19EE21FB"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40CCB999" w14:textId="77777777" w:rsidTr="00435909">
        <w:trPr>
          <w:trHeight w:val="311"/>
        </w:trPr>
        <w:tc>
          <w:tcPr>
            <w:tcW w:w="9568" w:type="dxa"/>
            <w:vAlign w:val="center"/>
          </w:tcPr>
          <w:p w14:paraId="5F9A62CA" w14:textId="77777777" w:rsidR="0078410B" w:rsidRPr="00F12C6A" w:rsidRDefault="0078410B" w:rsidP="0023471C">
            <w:pPr>
              <w:numPr>
                <w:ilvl w:val="0"/>
                <w:numId w:val="111"/>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TERMIN WAŻNOŚCI</w:t>
            </w:r>
          </w:p>
        </w:tc>
      </w:tr>
    </w:tbl>
    <w:p w14:paraId="08F8F0BC" w14:textId="77777777" w:rsidR="0078410B" w:rsidRPr="00741122" w:rsidRDefault="0078410B" w:rsidP="0078410B">
      <w:pPr>
        <w:rPr>
          <w:rFonts w:ascii="Times New Roman" w:eastAsia="Times New Roman" w:hAnsi="Times New Roman"/>
          <w:sz w:val="22"/>
          <w:szCs w:val="22"/>
          <w:lang w:val="lt-LT"/>
        </w:rPr>
      </w:pPr>
    </w:p>
    <w:p w14:paraId="51382115" w14:textId="77777777"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Termin ważności (EXP)</w:t>
      </w:r>
    </w:p>
    <w:p w14:paraId="7159F2B9" w14:textId="77777777" w:rsidR="0078410B" w:rsidRPr="00741122" w:rsidRDefault="0078410B" w:rsidP="0078410B">
      <w:pPr>
        <w:rPr>
          <w:rFonts w:ascii="Times New Roman" w:eastAsia="Times New Roman" w:hAnsi="Times New Roman"/>
          <w:sz w:val="22"/>
          <w:szCs w:val="22"/>
          <w:lang w:val="lt-LT"/>
        </w:rPr>
      </w:pPr>
    </w:p>
    <w:p w14:paraId="22C1AA14"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64542F95" w14:textId="77777777" w:rsidTr="00435909">
        <w:trPr>
          <w:trHeight w:val="313"/>
        </w:trPr>
        <w:tc>
          <w:tcPr>
            <w:tcW w:w="9568" w:type="dxa"/>
            <w:vAlign w:val="center"/>
          </w:tcPr>
          <w:p w14:paraId="7AA6994E" w14:textId="77777777" w:rsidR="0078410B" w:rsidRPr="00F12C6A" w:rsidRDefault="0078410B" w:rsidP="0023471C">
            <w:pPr>
              <w:keepNext/>
              <w:numPr>
                <w:ilvl w:val="0"/>
                <w:numId w:val="111"/>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lastRenderedPageBreak/>
              <w:t>WARUNKI PRZECHOWYWANIA</w:t>
            </w:r>
          </w:p>
        </w:tc>
      </w:tr>
    </w:tbl>
    <w:p w14:paraId="0CB256DA" w14:textId="77777777" w:rsidR="0078410B" w:rsidRPr="00741122" w:rsidRDefault="0078410B" w:rsidP="0078410B">
      <w:pPr>
        <w:keepNext/>
        <w:rPr>
          <w:rFonts w:ascii="Times New Roman" w:eastAsia="Times New Roman" w:hAnsi="Times New Roman"/>
          <w:sz w:val="22"/>
          <w:szCs w:val="22"/>
          <w:lang w:val="lt-LT"/>
        </w:rPr>
      </w:pPr>
    </w:p>
    <w:p w14:paraId="30BA9601" w14:textId="77777777" w:rsidR="0078410B" w:rsidRPr="00741122" w:rsidRDefault="0078410B" w:rsidP="00C73993">
      <w:pPr>
        <w:keepNext/>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Przechowywać w lodówce</w:t>
      </w:r>
      <w:r>
        <w:rPr>
          <w:rFonts w:ascii="Times New Roman" w:eastAsia="Times New Roman" w:hAnsi="Times New Roman"/>
          <w:sz w:val="22"/>
          <w:szCs w:val="22"/>
          <w:lang w:val="lt-LT"/>
        </w:rPr>
        <w:t>.</w:t>
      </w:r>
      <w:r w:rsidRPr="00741122">
        <w:rPr>
          <w:rFonts w:ascii="Times New Roman" w:eastAsia="Times New Roman" w:hAnsi="Times New Roman"/>
          <w:sz w:val="22"/>
          <w:szCs w:val="22"/>
          <w:lang w:val="lt-LT"/>
        </w:rPr>
        <w:t xml:space="preserve"> </w:t>
      </w:r>
    </w:p>
    <w:p w14:paraId="01196FAC" w14:textId="77777777"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Nie zamrażać</w:t>
      </w:r>
      <w:r>
        <w:rPr>
          <w:rFonts w:ascii="Times New Roman" w:eastAsia="Times New Roman" w:hAnsi="Times New Roman"/>
          <w:sz w:val="22"/>
          <w:szCs w:val="22"/>
          <w:lang w:val="lt-LT"/>
        </w:rPr>
        <w:t>.</w:t>
      </w:r>
    </w:p>
    <w:p w14:paraId="47DDBBA7" w14:textId="77777777" w:rsidR="0078410B" w:rsidRPr="00741122" w:rsidRDefault="0078410B" w:rsidP="0078410B">
      <w:pPr>
        <w:rPr>
          <w:rFonts w:ascii="Times New Roman" w:eastAsia="Times New Roman" w:hAnsi="Times New Roman"/>
          <w:sz w:val="22"/>
          <w:szCs w:val="22"/>
          <w:lang w:val="lt-LT"/>
        </w:rPr>
      </w:pPr>
      <w:r>
        <w:rPr>
          <w:rFonts w:ascii="Times New Roman" w:eastAsia="Times New Roman" w:hAnsi="Times New Roman"/>
          <w:sz w:val="22"/>
          <w:szCs w:val="22"/>
          <w:lang w:val="lt-LT"/>
        </w:rPr>
        <w:t>P</w:t>
      </w:r>
      <w:r w:rsidRPr="00741122">
        <w:rPr>
          <w:rFonts w:ascii="Times New Roman" w:eastAsia="Times New Roman" w:hAnsi="Times New Roman"/>
          <w:sz w:val="22"/>
          <w:szCs w:val="22"/>
          <w:lang w:val="lt-LT"/>
        </w:rPr>
        <w:t xml:space="preserve">rzechowywać w </w:t>
      </w:r>
      <w:r>
        <w:rPr>
          <w:rFonts w:ascii="Times New Roman" w:eastAsia="Times New Roman" w:hAnsi="Times New Roman"/>
          <w:sz w:val="22"/>
          <w:szCs w:val="22"/>
          <w:lang w:val="lt-LT"/>
        </w:rPr>
        <w:t xml:space="preserve">oryginalnym </w:t>
      </w:r>
      <w:r w:rsidRPr="00741122">
        <w:rPr>
          <w:rFonts w:ascii="Times New Roman" w:eastAsia="Times New Roman" w:hAnsi="Times New Roman"/>
          <w:sz w:val="22"/>
          <w:szCs w:val="22"/>
          <w:lang w:val="lt-LT"/>
        </w:rPr>
        <w:t xml:space="preserve">opakowaniu </w:t>
      </w:r>
      <w:r>
        <w:rPr>
          <w:rFonts w:ascii="Times New Roman" w:eastAsia="Times New Roman" w:hAnsi="Times New Roman"/>
          <w:sz w:val="22"/>
          <w:szCs w:val="22"/>
          <w:lang w:val="lt-LT"/>
        </w:rPr>
        <w:t>w celu ochrony przed światłem.</w:t>
      </w:r>
    </w:p>
    <w:p w14:paraId="2074C8EB" w14:textId="77777777" w:rsidR="0078410B" w:rsidRPr="00741122" w:rsidRDefault="0078410B" w:rsidP="0078410B">
      <w:pPr>
        <w:rPr>
          <w:rFonts w:ascii="Times New Roman" w:eastAsia="Times New Roman" w:hAnsi="Times New Roman"/>
          <w:sz w:val="22"/>
          <w:szCs w:val="22"/>
          <w:lang w:val="lt-LT"/>
        </w:rPr>
      </w:pPr>
    </w:p>
    <w:p w14:paraId="3B4C96BE"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8C2A94" w14:paraId="20929092" w14:textId="77777777" w:rsidTr="00435909">
        <w:trPr>
          <w:trHeight w:val="720"/>
        </w:trPr>
        <w:tc>
          <w:tcPr>
            <w:tcW w:w="9568" w:type="dxa"/>
            <w:vAlign w:val="center"/>
          </w:tcPr>
          <w:p w14:paraId="043FD9C8" w14:textId="77777777" w:rsidR="0078410B" w:rsidRPr="00F12C6A" w:rsidRDefault="0078410B" w:rsidP="0023471C">
            <w:pPr>
              <w:numPr>
                <w:ilvl w:val="0"/>
                <w:numId w:val="111"/>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SPECJALNE ŚRODKI OSTROŻNOŚCI DOTYCZĄCE USUWANIA NIEZUŻYTEGO PRODUKTU LECZNICZEGO LUB POCHODZĄCYCH Z NIEGO ODPADÓW, JEŚLI WŁAŚCIWE</w:t>
            </w:r>
          </w:p>
        </w:tc>
      </w:tr>
    </w:tbl>
    <w:p w14:paraId="31C0EC62" w14:textId="77777777" w:rsidR="0078410B" w:rsidRPr="00741122" w:rsidRDefault="0078410B" w:rsidP="0078410B">
      <w:pPr>
        <w:rPr>
          <w:rFonts w:ascii="Times New Roman" w:eastAsia="Times New Roman" w:hAnsi="Times New Roman"/>
          <w:sz w:val="22"/>
          <w:szCs w:val="22"/>
          <w:lang w:val="lt-LT"/>
        </w:rPr>
      </w:pPr>
    </w:p>
    <w:p w14:paraId="5139400C"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8C2A94" w14:paraId="6491B778" w14:textId="77777777" w:rsidTr="00435909">
        <w:trPr>
          <w:trHeight w:val="283"/>
        </w:trPr>
        <w:tc>
          <w:tcPr>
            <w:tcW w:w="9568" w:type="dxa"/>
            <w:vAlign w:val="center"/>
          </w:tcPr>
          <w:p w14:paraId="1C5ADB09" w14:textId="77777777" w:rsidR="0078410B" w:rsidRPr="00F12C6A" w:rsidRDefault="0078410B" w:rsidP="0023471C">
            <w:pPr>
              <w:numPr>
                <w:ilvl w:val="0"/>
                <w:numId w:val="111"/>
              </w:numPr>
              <w:tabs>
                <w:tab w:val="left" w:pos="567"/>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NAZWA I ADRES PODMIOTU ODPOWIEDZIALNEGO</w:t>
            </w:r>
          </w:p>
        </w:tc>
      </w:tr>
    </w:tbl>
    <w:p w14:paraId="45385035" w14:textId="77777777" w:rsidR="0078410B" w:rsidRPr="00741122" w:rsidRDefault="0078410B" w:rsidP="0078410B">
      <w:pPr>
        <w:rPr>
          <w:rFonts w:ascii="Times New Roman" w:eastAsia="Times New Roman" w:hAnsi="Times New Roman"/>
          <w:sz w:val="22"/>
          <w:szCs w:val="22"/>
          <w:lang w:val="lt-LT"/>
        </w:rPr>
      </w:pPr>
    </w:p>
    <w:p w14:paraId="1C69E463" w14:textId="77777777" w:rsidR="00405231" w:rsidRPr="005C22E7" w:rsidRDefault="00405231" w:rsidP="00405231">
      <w:pPr>
        <w:keepNext/>
        <w:ind w:right="-1"/>
        <w:rPr>
          <w:rFonts w:ascii="Times New Roman" w:hAnsi="Times New Roman" w:cs="Times New Roman"/>
          <w:sz w:val="22"/>
          <w:szCs w:val="22"/>
        </w:rPr>
      </w:pPr>
      <w:r w:rsidRPr="005C22E7">
        <w:rPr>
          <w:rFonts w:ascii="Times New Roman" w:hAnsi="Times New Roman" w:cs="Times New Roman"/>
          <w:sz w:val="22"/>
          <w:szCs w:val="22"/>
        </w:rPr>
        <w:t>Amgen Technology (Ireland) UC,</w:t>
      </w:r>
    </w:p>
    <w:p w14:paraId="256B695B" w14:textId="77777777" w:rsidR="00405231" w:rsidRPr="005C22E7" w:rsidRDefault="00405231" w:rsidP="00405231">
      <w:pPr>
        <w:keepNext/>
        <w:ind w:right="-1"/>
        <w:rPr>
          <w:rFonts w:ascii="Times New Roman" w:hAnsi="Times New Roman" w:cs="Times New Roman"/>
          <w:sz w:val="22"/>
          <w:szCs w:val="22"/>
        </w:rPr>
      </w:pPr>
      <w:r w:rsidRPr="005C22E7">
        <w:rPr>
          <w:rFonts w:ascii="Times New Roman" w:hAnsi="Times New Roman" w:cs="Times New Roman"/>
          <w:sz w:val="22"/>
          <w:szCs w:val="22"/>
        </w:rPr>
        <w:t>Pottery Road,</w:t>
      </w:r>
    </w:p>
    <w:p w14:paraId="24B59529" w14:textId="77777777" w:rsidR="00405231" w:rsidRPr="00EF7708" w:rsidRDefault="00405231" w:rsidP="00405231">
      <w:pPr>
        <w:keepNext/>
        <w:ind w:right="-1"/>
        <w:rPr>
          <w:rFonts w:ascii="Times New Roman" w:hAnsi="Times New Roman" w:cs="Times New Roman"/>
          <w:sz w:val="22"/>
          <w:szCs w:val="22"/>
          <w:lang w:val="it-IT"/>
        </w:rPr>
      </w:pPr>
      <w:r w:rsidRPr="00EF7708">
        <w:rPr>
          <w:rFonts w:ascii="Times New Roman" w:hAnsi="Times New Roman" w:cs="Times New Roman"/>
          <w:sz w:val="22"/>
          <w:szCs w:val="22"/>
          <w:lang w:val="it-IT"/>
        </w:rPr>
        <w:t>Dun Laoghaire,</w:t>
      </w:r>
    </w:p>
    <w:p w14:paraId="65281C36" w14:textId="77777777" w:rsidR="00405231" w:rsidRPr="00EF7708" w:rsidRDefault="00405231" w:rsidP="00405231">
      <w:pPr>
        <w:keepNext/>
        <w:ind w:right="-1"/>
        <w:rPr>
          <w:rFonts w:ascii="Times New Roman" w:hAnsi="Times New Roman" w:cs="Times New Roman"/>
          <w:sz w:val="22"/>
          <w:szCs w:val="22"/>
          <w:lang w:val="it-IT"/>
        </w:rPr>
      </w:pPr>
      <w:r w:rsidRPr="00EF7708">
        <w:rPr>
          <w:rFonts w:ascii="Times New Roman" w:hAnsi="Times New Roman" w:cs="Times New Roman"/>
          <w:sz w:val="22"/>
          <w:szCs w:val="22"/>
          <w:lang w:val="it-IT"/>
        </w:rPr>
        <w:t>Co. Dublin,</w:t>
      </w:r>
    </w:p>
    <w:p w14:paraId="4ECF270C" w14:textId="77777777" w:rsidR="0078410B" w:rsidRPr="005C5382" w:rsidRDefault="00405231" w:rsidP="005C5382">
      <w:pPr>
        <w:rPr>
          <w:rFonts w:ascii="Times New Roman" w:hAnsi="Times New Roman" w:cs="Times New Roman"/>
          <w:sz w:val="22"/>
          <w:szCs w:val="22"/>
          <w:lang w:val="pl-PL" w:eastAsia="en-US"/>
        </w:rPr>
      </w:pPr>
      <w:r w:rsidRPr="00E77ACE">
        <w:rPr>
          <w:rFonts w:ascii="Times New Roman" w:hAnsi="Times New Roman" w:cs="Times New Roman"/>
          <w:color w:val="000000"/>
          <w:sz w:val="22"/>
          <w:szCs w:val="22"/>
          <w:lang w:val="pl-PL"/>
        </w:rPr>
        <w:t>Irlandia</w:t>
      </w:r>
    </w:p>
    <w:p w14:paraId="7C19D29E" w14:textId="77777777" w:rsidR="0078410B" w:rsidRPr="00741122" w:rsidRDefault="0078410B" w:rsidP="0078410B">
      <w:pPr>
        <w:rPr>
          <w:rFonts w:ascii="Times New Roman" w:eastAsia="Times New Roman" w:hAnsi="Times New Roman"/>
          <w:sz w:val="22"/>
          <w:szCs w:val="22"/>
          <w:lang w:val="lt-LT"/>
        </w:rPr>
      </w:pPr>
    </w:p>
    <w:p w14:paraId="05B200BF"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C70451" w14:paraId="7DD3FD51" w14:textId="77777777" w:rsidTr="00435909">
        <w:trPr>
          <w:trHeight w:val="287"/>
        </w:trPr>
        <w:tc>
          <w:tcPr>
            <w:tcW w:w="9568" w:type="dxa"/>
            <w:vAlign w:val="center"/>
          </w:tcPr>
          <w:p w14:paraId="18D350EB" w14:textId="77777777" w:rsidR="0078410B" w:rsidRPr="00261A5A" w:rsidRDefault="0078410B" w:rsidP="0023471C">
            <w:pPr>
              <w:numPr>
                <w:ilvl w:val="0"/>
                <w:numId w:val="111"/>
              </w:numPr>
              <w:tabs>
                <w:tab w:val="left" w:pos="562"/>
              </w:tabs>
              <w:ind w:left="567" w:right="146" w:hanging="567"/>
              <w:rPr>
                <w:rFonts w:ascii="Times New Roman" w:eastAsia="Times New Roman" w:hAnsi="Times New Roman" w:cs="Times New Roman"/>
                <w:b/>
                <w:sz w:val="22"/>
                <w:szCs w:val="22"/>
                <w:lang w:val="pl-PL"/>
              </w:rPr>
            </w:pPr>
            <w:r w:rsidRPr="00261A5A">
              <w:rPr>
                <w:rFonts w:ascii="Times New Roman" w:eastAsia="Times New Roman" w:hAnsi="Times New Roman" w:cs="Times New Roman"/>
                <w:b/>
                <w:sz w:val="22"/>
                <w:szCs w:val="22"/>
                <w:lang w:val="pl-PL"/>
              </w:rPr>
              <w:t>NUMER(Y) POZWOLENIA(Ń) NA DOPUSZCZENIE DO OBROTU</w:t>
            </w:r>
          </w:p>
        </w:tc>
      </w:tr>
    </w:tbl>
    <w:p w14:paraId="48AA043C" w14:textId="77777777" w:rsidR="0078410B" w:rsidRPr="00741122" w:rsidRDefault="0078410B" w:rsidP="0078410B">
      <w:pPr>
        <w:rPr>
          <w:rFonts w:ascii="Times New Roman" w:eastAsia="Times New Roman" w:hAnsi="Times New Roman"/>
          <w:sz w:val="22"/>
          <w:szCs w:val="22"/>
          <w:lang w:val="lt-LT"/>
        </w:rPr>
      </w:pPr>
    </w:p>
    <w:p w14:paraId="3D715CB8" w14:textId="77777777"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EU/</w:t>
      </w:r>
      <w:r>
        <w:rPr>
          <w:rFonts w:ascii="Times New Roman" w:eastAsia="Times New Roman" w:hAnsi="Times New Roman"/>
          <w:sz w:val="22"/>
          <w:szCs w:val="22"/>
          <w:lang w:val="lt-LT"/>
        </w:rPr>
        <w:t>1/17/1246/002</w:t>
      </w:r>
    </w:p>
    <w:p w14:paraId="40FEE067" w14:textId="77777777" w:rsidR="0078410B" w:rsidRPr="00741122" w:rsidRDefault="0078410B" w:rsidP="0078410B">
      <w:pPr>
        <w:rPr>
          <w:rFonts w:ascii="Times New Roman" w:eastAsia="Times New Roman" w:hAnsi="Times New Roman"/>
          <w:sz w:val="22"/>
          <w:szCs w:val="22"/>
          <w:lang w:val="lt-LT"/>
        </w:rPr>
      </w:pPr>
    </w:p>
    <w:p w14:paraId="0CF395EE"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546173E7" w14:textId="77777777" w:rsidTr="00435909">
        <w:trPr>
          <w:trHeight w:val="249"/>
        </w:trPr>
        <w:tc>
          <w:tcPr>
            <w:tcW w:w="9568" w:type="dxa"/>
          </w:tcPr>
          <w:p w14:paraId="77CB7C03" w14:textId="77777777" w:rsidR="0078410B" w:rsidRPr="00F12C6A" w:rsidRDefault="0078410B" w:rsidP="0023471C">
            <w:pPr>
              <w:numPr>
                <w:ilvl w:val="0"/>
                <w:numId w:val="111"/>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NUMER SERII</w:t>
            </w:r>
          </w:p>
        </w:tc>
      </w:tr>
    </w:tbl>
    <w:p w14:paraId="39A845A7" w14:textId="77777777" w:rsidR="0078410B" w:rsidRPr="00741122" w:rsidRDefault="0078410B" w:rsidP="0078410B">
      <w:pPr>
        <w:rPr>
          <w:rFonts w:ascii="Times New Roman" w:eastAsia="Times New Roman" w:hAnsi="Times New Roman"/>
          <w:sz w:val="22"/>
          <w:szCs w:val="22"/>
          <w:lang w:val="lt-LT"/>
        </w:rPr>
      </w:pPr>
    </w:p>
    <w:p w14:paraId="0784DE41" w14:textId="77777777"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Nr serii (Lot)</w:t>
      </w:r>
    </w:p>
    <w:p w14:paraId="0F4F1B23" w14:textId="77777777" w:rsidR="0078410B" w:rsidRPr="00741122" w:rsidRDefault="0078410B" w:rsidP="0078410B">
      <w:pPr>
        <w:rPr>
          <w:rFonts w:ascii="Times New Roman" w:eastAsia="Times New Roman" w:hAnsi="Times New Roman"/>
          <w:sz w:val="22"/>
          <w:szCs w:val="22"/>
          <w:lang w:val="lt-LT"/>
        </w:rPr>
      </w:pPr>
    </w:p>
    <w:p w14:paraId="68D0D80B"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3AD09200" w14:textId="77777777" w:rsidTr="00435909">
        <w:trPr>
          <w:trHeight w:val="335"/>
        </w:trPr>
        <w:tc>
          <w:tcPr>
            <w:tcW w:w="9568" w:type="dxa"/>
            <w:vAlign w:val="center"/>
          </w:tcPr>
          <w:p w14:paraId="2EFCFF08" w14:textId="77777777" w:rsidR="0078410B" w:rsidRPr="00F12C6A" w:rsidRDefault="0078410B" w:rsidP="0023471C">
            <w:pPr>
              <w:numPr>
                <w:ilvl w:val="0"/>
                <w:numId w:val="111"/>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OGÓLNA KATEGORIA DOSTĘPNOŚCI</w:t>
            </w:r>
          </w:p>
        </w:tc>
      </w:tr>
    </w:tbl>
    <w:p w14:paraId="6E7DD766" w14:textId="77777777" w:rsidR="0078410B" w:rsidRPr="00741122" w:rsidRDefault="0078410B" w:rsidP="0078410B">
      <w:pPr>
        <w:rPr>
          <w:rFonts w:ascii="Times New Roman" w:eastAsia="Times New Roman" w:hAnsi="Times New Roman"/>
          <w:sz w:val="22"/>
          <w:szCs w:val="22"/>
          <w:lang w:val="lt-LT"/>
        </w:rPr>
      </w:pPr>
    </w:p>
    <w:p w14:paraId="6CBD563E"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135BA538" w14:textId="77777777" w:rsidTr="00435909">
        <w:tc>
          <w:tcPr>
            <w:tcW w:w="9568" w:type="dxa"/>
          </w:tcPr>
          <w:p w14:paraId="36A281D5" w14:textId="77777777" w:rsidR="0078410B" w:rsidRPr="00F12C6A" w:rsidRDefault="0078410B" w:rsidP="0023471C">
            <w:pPr>
              <w:numPr>
                <w:ilvl w:val="0"/>
                <w:numId w:val="111"/>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INSTRUKCJA UŻYCIA</w:t>
            </w:r>
          </w:p>
        </w:tc>
      </w:tr>
    </w:tbl>
    <w:p w14:paraId="3DDE0AD8" w14:textId="77777777" w:rsidR="0078410B" w:rsidRPr="00741122" w:rsidRDefault="0078410B" w:rsidP="0078410B">
      <w:pPr>
        <w:rPr>
          <w:rFonts w:ascii="Times New Roman" w:eastAsia="Times New Roman" w:hAnsi="Times New Roman"/>
          <w:sz w:val="22"/>
          <w:szCs w:val="22"/>
          <w:lang w:val="lt-LT"/>
        </w:rPr>
      </w:pPr>
    </w:p>
    <w:p w14:paraId="0A52CE79"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7889ED2C" w14:textId="77777777" w:rsidTr="00435909">
        <w:trPr>
          <w:trHeight w:val="247"/>
        </w:trPr>
        <w:tc>
          <w:tcPr>
            <w:tcW w:w="9568" w:type="dxa"/>
            <w:vAlign w:val="center"/>
          </w:tcPr>
          <w:p w14:paraId="25C7AECE" w14:textId="77777777" w:rsidR="0078410B" w:rsidRPr="00F12C6A" w:rsidRDefault="0078410B" w:rsidP="0023471C">
            <w:pPr>
              <w:numPr>
                <w:ilvl w:val="0"/>
                <w:numId w:val="111"/>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INFORMACJA PODANA SYSTEMEM BRAILLE’A</w:t>
            </w:r>
          </w:p>
        </w:tc>
      </w:tr>
    </w:tbl>
    <w:p w14:paraId="5E5CB71B" w14:textId="77777777" w:rsidR="0078410B" w:rsidRPr="00741122" w:rsidRDefault="0078410B" w:rsidP="0078410B">
      <w:pPr>
        <w:rPr>
          <w:rFonts w:ascii="Times New Roman" w:eastAsia="Times New Roman" w:hAnsi="Times New Roman"/>
          <w:sz w:val="22"/>
          <w:szCs w:val="22"/>
          <w:lang w:val="lt-LT"/>
        </w:rPr>
      </w:pPr>
    </w:p>
    <w:p w14:paraId="25E9660B" w14:textId="77777777" w:rsidR="0078410B" w:rsidRPr="00741122" w:rsidRDefault="0078410B" w:rsidP="0078410B">
      <w:pPr>
        <w:rPr>
          <w:rFonts w:ascii="Times New Roman" w:eastAsia="Times New Roman" w:hAnsi="Times New Roman"/>
          <w:sz w:val="22"/>
          <w:szCs w:val="22"/>
          <w:lang w:val="lt-LT"/>
        </w:rPr>
      </w:pPr>
      <w:r>
        <w:rPr>
          <w:rFonts w:ascii="Times New Roman" w:eastAsia="Times New Roman" w:hAnsi="Times New Roman"/>
          <w:sz w:val="22"/>
          <w:szCs w:val="22"/>
          <w:highlight w:val="lightGray"/>
          <w:lang w:val="lt-LT"/>
        </w:rPr>
        <w:t>Zaakceptowano uzasadnienie braku informacji systemem Braille’a.</w:t>
      </w:r>
    </w:p>
    <w:p w14:paraId="05FC88AB" w14:textId="77777777" w:rsidR="0078410B" w:rsidRPr="00741122" w:rsidRDefault="0078410B" w:rsidP="0078410B">
      <w:pPr>
        <w:rPr>
          <w:rFonts w:ascii="Times New Roman" w:eastAsia="Times New Roman" w:hAnsi="Times New Roman"/>
          <w:sz w:val="22"/>
          <w:szCs w:val="22"/>
          <w:lang w:val="lt-LT"/>
        </w:rPr>
      </w:pPr>
    </w:p>
    <w:p w14:paraId="4413C556"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F12C6A" w14:paraId="4EBB92CA" w14:textId="77777777" w:rsidTr="00435909">
        <w:trPr>
          <w:trHeight w:val="319"/>
        </w:trPr>
        <w:tc>
          <w:tcPr>
            <w:tcW w:w="9568" w:type="dxa"/>
            <w:vAlign w:val="center"/>
          </w:tcPr>
          <w:p w14:paraId="45865D71" w14:textId="77777777" w:rsidR="0078410B" w:rsidRPr="00F12C6A" w:rsidRDefault="0078410B" w:rsidP="0023471C">
            <w:pPr>
              <w:numPr>
                <w:ilvl w:val="0"/>
                <w:numId w:val="111"/>
              </w:numPr>
              <w:tabs>
                <w:tab w:val="left" w:pos="562"/>
              </w:tabs>
              <w:ind w:left="567" w:hanging="567"/>
              <w:rPr>
                <w:rFonts w:ascii="Times New Roman" w:eastAsia="Times New Roman" w:hAnsi="Times New Roman" w:cs="Times New Roman"/>
                <w:sz w:val="22"/>
                <w:szCs w:val="22"/>
                <w:lang w:val="lt-LT"/>
              </w:rPr>
            </w:pPr>
            <w:r w:rsidRPr="00F12C6A">
              <w:rPr>
                <w:rFonts w:ascii="Times New Roman" w:eastAsia="Times New Roman" w:hAnsi="Times New Roman" w:cs="Times New Roman"/>
                <w:b/>
                <w:bCs/>
                <w:sz w:val="22"/>
                <w:szCs w:val="22"/>
                <w:lang w:val="lt-LT"/>
              </w:rPr>
              <w:t>NIEPOWTARZALNY IDENTYFIKATOR – KOD 2D</w:t>
            </w:r>
          </w:p>
        </w:tc>
      </w:tr>
    </w:tbl>
    <w:p w14:paraId="0CFB27F4" w14:textId="77777777" w:rsidR="0078410B" w:rsidRPr="00741122" w:rsidRDefault="0078410B" w:rsidP="0078410B">
      <w:pPr>
        <w:rPr>
          <w:rFonts w:ascii="Times New Roman" w:eastAsia="Times New Roman" w:hAnsi="Times New Roman"/>
          <w:sz w:val="22"/>
          <w:szCs w:val="22"/>
          <w:lang w:val="lt-LT"/>
        </w:rPr>
      </w:pPr>
    </w:p>
    <w:p w14:paraId="1A386394" w14:textId="77777777" w:rsidR="0078410B" w:rsidRPr="00741122" w:rsidRDefault="0078410B" w:rsidP="0078410B">
      <w:pPr>
        <w:rPr>
          <w:rFonts w:ascii="Times New Roman" w:eastAsia="Times New Roman" w:hAnsi="Times New Roman"/>
          <w:sz w:val="22"/>
          <w:szCs w:val="22"/>
          <w:lang w:val="lt-LT"/>
        </w:rPr>
      </w:pPr>
      <w:r>
        <w:rPr>
          <w:rFonts w:ascii="Times New Roman" w:eastAsia="Times New Roman" w:hAnsi="Times New Roman"/>
          <w:sz w:val="22"/>
          <w:szCs w:val="22"/>
          <w:highlight w:val="lightGray"/>
          <w:lang w:val="lt-LT"/>
        </w:rPr>
        <w:t>Obejmuje kod 2D będący nośnikiem niepowtarzalnego identyfikatora.</w:t>
      </w:r>
    </w:p>
    <w:p w14:paraId="0050F77E" w14:textId="77777777" w:rsidR="0078410B" w:rsidRPr="00741122" w:rsidRDefault="0078410B" w:rsidP="0078410B">
      <w:pPr>
        <w:rPr>
          <w:rFonts w:ascii="Times New Roman" w:eastAsia="Times New Roman" w:hAnsi="Times New Roman"/>
          <w:sz w:val="22"/>
          <w:szCs w:val="22"/>
          <w:lang w:val="lt-LT"/>
        </w:rPr>
      </w:pPr>
    </w:p>
    <w:p w14:paraId="3D333E44" w14:textId="77777777" w:rsidR="0078410B" w:rsidRPr="00741122" w:rsidRDefault="0078410B" w:rsidP="0078410B">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78410B" w:rsidRPr="008C2A94" w14:paraId="031A97C1" w14:textId="77777777" w:rsidTr="00435909">
        <w:trPr>
          <w:trHeight w:val="307"/>
        </w:trPr>
        <w:tc>
          <w:tcPr>
            <w:tcW w:w="9568" w:type="dxa"/>
            <w:vAlign w:val="center"/>
          </w:tcPr>
          <w:p w14:paraId="71E897F5" w14:textId="77777777" w:rsidR="0078410B" w:rsidRPr="00F12C6A" w:rsidRDefault="0078410B" w:rsidP="0023471C">
            <w:pPr>
              <w:keepNext/>
              <w:numPr>
                <w:ilvl w:val="0"/>
                <w:numId w:val="111"/>
              </w:numPr>
              <w:tabs>
                <w:tab w:val="left" w:pos="562"/>
              </w:tabs>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NIEPOWTARZALNY IDENTYFIKATOR – DANE CZYTELNE DLA CZŁOWIEKA</w:t>
            </w:r>
          </w:p>
        </w:tc>
      </w:tr>
    </w:tbl>
    <w:p w14:paraId="2E3C836F" w14:textId="77777777" w:rsidR="0078410B" w:rsidRPr="00741122" w:rsidRDefault="0078410B" w:rsidP="0078410B">
      <w:pPr>
        <w:keepNext/>
        <w:rPr>
          <w:rFonts w:ascii="Times New Roman" w:eastAsia="Times New Roman" w:hAnsi="Times New Roman"/>
          <w:sz w:val="22"/>
          <w:szCs w:val="22"/>
          <w:lang w:val="lt-LT"/>
        </w:rPr>
      </w:pPr>
    </w:p>
    <w:p w14:paraId="628AF544" w14:textId="04849E6B"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PC</w:t>
      </w:r>
    </w:p>
    <w:p w14:paraId="07F02E8A" w14:textId="6EBE2916"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SN</w:t>
      </w:r>
    </w:p>
    <w:p w14:paraId="243608C6" w14:textId="103B365E" w:rsidR="0078410B" w:rsidRPr="00741122" w:rsidRDefault="0078410B" w:rsidP="0078410B">
      <w:pPr>
        <w:rPr>
          <w:rFonts w:ascii="Times New Roman" w:eastAsia="Times New Roman" w:hAnsi="Times New Roman"/>
          <w:sz w:val="22"/>
          <w:szCs w:val="22"/>
          <w:lang w:val="lt-LT"/>
        </w:rPr>
      </w:pPr>
      <w:r w:rsidRPr="00741122">
        <w:rPr>
          <w:rFonts w:ascii="Times New Roman" w:eastAsia="Times New Roman" w:hAnsi="Times New Roman"/>
          <w:sz w:val="22"/>
          <w:szCs w:val="22"/>
          <w:lang w:val="lt-LT"/>
        </w:rPr>
        <w:t>NN</w:t>
      </w:r>
    </w:p>
    <w:p w14:paraId="47FB66F3" w14:textId="77777777" w:rsidR="00CB37E3" w:rsidRPr="003E4435" w:rsidRDefault="00CB37E3" w:rsidP="004E4332">
      <w:pPr>
        <w:rPr>
          <w:rFonts w:ascii="Times New Roman" w:eastAsia="Times New Roman" w:hAnsi="Times New Roman"/>
          <w:sz w:val="22"/>
          <w:szCs w:val="22"/>
          <w:lang w:val="lt-LT"/>
        </w:rPr>
      </w:pPr>
    </w:p>
    <w:p w14:paraId="12A95C03" w14:textId="77777777" w:rsidR="000D704E" w:rsidRPr="00741122" w:rsidRDefault="00CB37E3" w:rsidP="006E2FCA">
      <w:pPr>
        <w:rPr>
          <w:rFonts w:ascii="Times New Roman" w:eastAsia="Times New Roman" w:hAnsi="Times New Roman"/>
          <w:sz w:val="22"/>
          <w:szCs w:val="22"/>
          <w:lang w:val="lt-LT"/>
        </w:rPr>
      </w:pPr>
      <w:r w:rsidRPr="003E4435">
        <w:rPr>
          <w:rFonts w:ascii="Times New Roman" w:eastAsia="Times New Roman" w:hAnsi="Times New Roman"/>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0D704E" w:rsidRPr="00F12C6A" w14:paraId="195D8191" w14:textId="77777777" w:rsidTr="00F12C6A">
        <w:tc>
          <w:tcPr>
            <w:tcW w:w="956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352"/>
            </w:tblGrid>
            <w:tr w:rsidR="000D704E" w:rsidRPr="00741122" w14:paraId="0A4977E7" w14:textId="77777777" w:rsidTr="00166265">
              <w:trPr>
                <w:trHeight w:val="919"/>
              </w:trPr>
              <w:tc>
                <w:tcPr>
                  <w:tcW w:w="0" w:type="auto"/>
                  <w:vAlign w:val="center"/>
                </w:tcPr>
                <w:p w14:paraId="063B8981" w14:textId="77777777" w:rsidR="000D704E" w:rsidRPr="00741122" w:rsidRDefault="000D704E" w:rsidP="003E4435">
                  <w:pPr>
                    <w:rPr>
                      <w:rFonts w:ascii="Times New Roman" w:eastAsia="Times New Roman" w:hAnsi="Times New Roman" w:cs="Times New Roman"/>
                      <w:sz w:val="22"/>
                      <w:szCs w:val="22"/>
                      <w:lang w:val="lt-LT"/>
                    </w:rPr>
                  </w:pPr>
                  <w:r w:rsidRPr="00741122">
                    <w:rPr>
                      <w:rFonts w:ascii="Times New Roman" w:eastAsia="Times New Roman" w:hAnsi="Times New Roman" w:cs="Times New Roman"/>
                      <w:b/>
                      <w:bCs/>
                      <w:sz w:val="22"/>
                      <w:szCs w:val="22"/>
                      <w:lang w:val="lt-LT"/>
                    </w:rPr>
                    <w:t>MINIMUM INFORMACJI ZAMIESZCZANYCH NA MAŁYCH OPAKOWANIACH BEZPOŚREDNICH</w:t>
                  </w:r>
                </w:p>
                <w:p w14:paraId="3516C5FF" w14:textId="77777777" w:rsidR="000D704E" w:rsidRPr="00741122" w:rsidRDefault="000D704E" w:rsidP="003E4435">
                  <w:pPr>
                    <w:rPr>
                      <w:rFonts w:ascii="Times New Roman" w:eastAsia="Times New Roman" w:hAnsi="Times New Roman" w:cs="Times New Roman"/>
                      <w:b/>
                      <w:bCs/>
                      <w:sz w:val="22"/>
                      <w:szCs w:val="22"/>
                      <w:lang w:val="lt-LT"/>
                    </w:rPr>
                  </w:pPr>
                </w:p>
                <w:p w14:paraId="45B6A0F4" w14:textId="77777777" w:rsidR="000D704E" w:rsidRPr="00741122" w:rsidRDefault="000D704E" w:rsidP="003E4435">
                  <w:pPr>
                    <w:rPr>
                      <w:rFonts w:ascii="Times New Roman" w:eastAsia="Times New Roman" w:hAnsi="Times New Roman" w:cs="Times New Roman"/>
                      <w:sz w:val="22"/>
                      <w:szCs w:val="22"/>
                      <w:lang w:val="lt-LT"/>
                    </w:rPr>
                  </w:pPr>
                  <w:r w:rsidRPr="00741122">
                    <w:rPr>
                      <w:rFonts w:ascii="Times New Roman" w:eastAsia="Times New Roman" w:hAnsi="Times New Roman" w:cs="Times New Roman"/>
                      <w:b/>
                      <w:bCs/>
                      <w:sz w:val="22"/>
                      <w:szCs w:val="22"/>
                      <w:lang w:val="lt-LT"/>
                    </w:rPr>
                    <w:t>FIOLKA</w:t>
                  </w:r>
                </w:p>
              </w:tc>
            </w:tr>
          </w:tbl>
          <w:p w14:paraId="3F89826E" w14:textId="77777777" w:rsidR="000D704E" w:rsidRPr="00F12C6A" w:rsidRDefault="000D704E" w:rsidP="003E4435">
            <w:pPr>
              <w:rPr>
                <w:rFonts w:ascii="Times New Roman" w:eastAsia="Times New Roman" w:hAnsi="Times New Roman" w:cs="Times New Roman"/>
                <w:sz w:val="22"/>
                <w:szCs w:val="22"/>
                <w:lang w:val="lt-LT"/>
              </w:rPr>
            </w:pPr>
          </w:p>
        </w:tc>
      </w:tr>
    </w:tbl>
    <w:p w14:paraId="334055B8" w14:textId="77777777" w:rsidR="00BC4358" w:rsidRPr="00741122" w:rsidRDefault="00BC4358" w:rsidP="003E4435">
      <w:pPr>
        <w:rPr>
          <w:rFonts w:ascii="Times New Roman" w:eastAsia="Times New Roman" w:hAnsi="Times New Roman"/>
          <w:sz w:val="22"/>
          <w:szCs w:val="22"/>
          <w:lang w:val="lt-LT"/>
        </w:rPr>
      </w:pPr>
    </w:p>
    <w:p w14:paraId="4625369B" w14:textId="77777777" w:rsidR="00BC4358" w:rsidRPr="00741122" w:rsidRDefault="00BC4358"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BC4358" w:rsidRPr="008C2A94" w14:paraId="275257F4" w14:textId="77777777" w:rsidTr="008C149F">
        <w:trPr>
          <w:trHeight w:val="283"/>
        </w:trPr>
        <w:tc>
          <w:tcPr>
            <w:tcW w:w="9568" w:type="dxa"/>
            <w:vAlign w:val="center"/>
          </w:tcPr>
          <w:p w14:paraId="1CACAC15" w14:textId="77777777" w:rsidR="00BC4358" w:rsidRPr="008C149F" w:rsidRDefault="008C149F" w:rsidP="0023471C">
            <w:pPr>
              <w:numPr>
                <w:ilvl w:val="0"/>
                <w:numId w:val="66"/>
              </w:numPr>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bCs/>
                <w:sz w:val="22"/>
                <w:szCs w:val="22"/>
                <w:lang w:val="lt-LT"/>
              </w:rPr>
              <w:t>NAZWA PRODUKTU LECZNICZEGO I DROGA(I) PODANIA</w:t>
            </w:r>
          </w:p>
        </w:tc>
      </w:tr>
    </w:tbl>
    <w:p w14:paraId="1D04F992" w14:textId="77777777" w:rsidR="00BC4358" w:rsidRPr="00741122" w:rsidRDefault="00BC4358" w:rsidP="003E4435">
      <w:pPr>
        <w:rPr>
          <w:rFonts w:ascii="Times New Roman" w:eastAsia="Times New Roman" w:hAnsi="Times New Roman"/>
          <w:sz w:val="22"/>
          <w:szCs w:val="22"/>
          <w:lang w:val="lt-LT"/>
        </w:rPr>
      </w:pPr>
    </w:p>
    <w:p w14:paraId="62E705EB" w14:textId="77777777" w:rsidR="00260ABE" w:rsidRPr="00741122" w:rsidRDefault="00261A5A"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MVASI</w:t>
      </w:r>
      <w:r w:rsidR="00260ABE" w:rsidRPr="00741122">
        <w:rPr>
          <w:rFonts w:ascii="Times New Roman" w:eastAsia="Times New Roman" w:hAnsi="Times New Roman"/>
          <w:sz w:val="22"/>
          <w:szCs w:val="22"/>
          <w:lang w:val="lt-LT"/>
        </w:rPr>
        <w:t xml:space="preserve"> 25 mg/ml koncentrat</w:t>
      </w:r>
      <w:r w:rsidR="00F217E9">
        <w:rPr>
          <w:rFonts w:ascii="Times New Roman" w:eastAsia="Times New Roman" w:hAnsi="Times New Roman"/>
          <w:sz w:val="22"/>
          <w:szCs w:val="22"/>
          <w:lang w:val="lt-LT"/>
        </w:rPr>
        <w:t xml:space="preserve"> jałowy</w:t>
      </w:r>
      <w:r w:rsidR="00260ABE" w:rsidRPr="00741122">
        <w:rPr>
          <w:rFonts w:ascii="Times New Roman" w:eastAsia="Times New Roman" w:hAnsi="Times New Roman"/>
          <w:sz w:val="22"/>
          <w:szCs w:val="22"/>
          <w:lang w:val="lt-LT"/>
        </w:rPr>
        <w:t xml:space="preserve"> </w:t>
      </w:r>
    </w:p>
    <w:p w14:paraId="53DAE4D5" w14:textId="77777777" w:rsidR="00260ABE" w:rsidRPr="00741122" w:rsidRDefault="00021B73"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b</w:t>
      </w:r>
      <w:r w:rsidR="00260ABE" w:rsidRPr="00741122">
        <w:rPr>
          <w:rFonts w:ascii="Times New Roman" w:eastAsia="Times New Roman" w:hAnsi="Times New Roman"/>
          <w:sz w:val="22"/>
          <w:szCs w:val="22"/>
          <w:lang w:val="lt-LT"/>
        </w:rPr>
        <w:t>ewacyzumab</w:t>
      </w:r>
    </w:p>
    <w:p w14:paraId="0F899EC4" w14:textId="77777777" w:rsidR="00BC4358" w:rsidRPr="00741122" w:rsidRDefault="00260ABE" w:rsidP="003E4435">
      <w:pPr>
        <w:rPr>
          <w:rFonts w:ascii="Times New Roman" w:eastAsia="Times New Roman" w:hAnsi="Times New Roman"/>
          <w:sz w:val="22"/>
          <w:szCs w:val="22"/>
          <w:lang w:val="lt-LT"/>
        </w:rPr>
      </w:pPr>
      <w:r>
        <w:rPr>
          <w:rFonts w:ascii="Times New Roman" w:eastAsia="Times New Roman" w:hAnsi="Times New Roman"/>
          <w:i/>
          <w:sz w:val="22"/>
          <w:szCs w:val="22"/>
          <w:highlight w:val="lightGray"/>
          <w:lang w:val="lt-LT"/>
        </w:rPr>
        <w:t>iv</w:t>
      </w:r>
      <w:r>
        <w:rPr>
          <w:rFonts w:ascii="Times New Roman" w:eastAsia="Times New Roman" w:hAnsi="Times New Roman"/>
          <w:sz w:val="22"/>
          <w:szCs w:val="22"/>
          <w:highlight w:val="lightGray"/>
          <w:lang w:val="lt-LT"/>
        </w:rPr>
        <w:t>.</w:t>
      </w:r>
    </w:p>
    <w:p w14:paraId="2D9C8172" w14:textId="77777777" w:rsidR="00BC4358" w:rsidRPr="00741122" w:rsidRDefault="00BC4358" w:rsidP="003E4435">
      <w:pPr>
        <w:rPr>
          <w:rFonts w:ascii="Times New Roman" w:eastAsia="Times New Roman" w:hAnsi="Times New Roman"/>
          <w:sz w:val="22"/>
          <w:szCs w:val="22"/>
          <w:lang w:val="lt-LT"/>
        </w:rPr>
      </w:pPr>
    </w:p>
    <w:p w14:paraId="681ECDC0" w14:textId="77777777" w:rsidR="00260ABE" w:rsidRPr="00741122" w:rsidRDefault="00260ABE"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60ABE" w:rsidRPr="00F12C6A" w14:paraId="19CE2EBA" w14:textId="77777777" w:rsidTr="0013185E">
        <w:trPr>
          <w:trHeight w:val="283"/>
        </w:trPr>
        <w:tc>
          <w:tcPr>
            <w:tcW w:w="9568" w:type="dxa"/>
            <w:vAlign w:val="center"/>
          </w:tcPr>
          <w:p w14:paraId="00C828B4" w14:textId="77777777" w:rsidR="00260ABE" w:rsidRPr="00F12C6A" w:rsidRDefault="00EE4193" w:rsidP="0023471C">
            <w:pPr>
              <w:numPr>
                <w:ilvl w:val="0"/>
                <w:numId w:val="66"/>
              </w:numPr>
              <w:ind w:left="567" w:hanging="567"/>
              <w:rPr>
                <w:rFonts w:ascii="Times New Roman" w:hAnsi="Times New Roman" w:cs="Times New Roman"/>
                <w:b/>
                <w:sz w:val="22"/>
                <w:szCs w:val="22"/>
                <w:lang w:val="lt-LT"/>
              </w:rPr>
            </w:pPr>
            <w:r w:rsidRPr="00F12C6A">
              <w:rPr>
                <w:rFonts w:ascii="Times New Roman" w:hAnsi="Times New Roman" w:cs="Times New Roman"/>
                <w:b/>
                <w:sz w:val="22"/>
                <w:szCs w:val="22"/>
                <w:lang w:val="lt-LT"/>
              </w:rPr>
              <w:t>SPOSÓB PODAWANIA</w:t>
            </w:r>
          </w:p>
        </w:tc>
      </w:tr>
    </w:tbl>
    <w:p w14:paraId="15E344EE" w14:textId="77777777" w:rsidR="00661B25" w:rsidRDefault="00661B25" w:rsidP="003E4435">
      <w:pPr>
        <w:rPr>
          <w:rFonts w:ascii="Times New Roman" w:eastAsia="Times New Roman" w:hAnsi="Times New Roman"/>
          <w:sz w:val="22"/>
          <w:szCs w:val="22"/>
          <w:lang w:val="lt-LT"/>
        </w:rPr>
      </w:pPr>
    </w:p>
    <w:p w14:paraId="4AD815A5" w14:textId="11985329" w:rsidR="00C3503B" w:rsidRDefault="00C3503B" w:rsidP="003E4435">
      <w:pPr>
        <w:rPr>
          <w:rFonts w:ascii="Times New Roman" w:eastAsia="Times New Roman" w:hAnsi="Times New Roman"/>
          <w:sz w:val="22"/>
          <w:szCs w:val="22"/>
          <w:lang w:val="lt-LT"/>
        </w:rPr>
      </w:pPr>
      <w:r w:rsidRPr="00C3503B">
        <w:rPr>
          <w:rFonts w:ascii="Times New Roman" w:eastAsia="Times New Roman" w:hAnsi="Times New Roman"/>
          <w:sz w:val="22"/>
          <w:szCs w:val="22"/>
          <w:lang w:val="lt-LT"/>
        </w:rPr>
        <w:t>Do podawania dożylnego po rozcieńczeniu</w:t>
      </w:r>
      <w:r w:rsidR="009C7CC3">
        <w:rPr>
          <w:rFonts w:ascii="Times New Roman" w:eastAsia="Times New Roman" w:hAnsi="Times New Roman"/>
          <w:sz w:val="22"/>
          <w:szCs w:val="22"/>
          <w:lang w:val="lt-LT"/>
        </w:rPr>
        <w:t>.</w:t>
      </w:r>
    </w:p>
    <w:p w14:paraId="5EC33F75" w14:textId="77777777" w:rsidR="00C3503B" w:rsidRDefault="00C3503B" w:rsidP="003E4435">
      <w:pPr>
        <w:rPr>
          <w:rFonts w:ascii="Times New Roman" w:eastAsia="Times New Roman" w:hAnsi="Times New Roman"/>
          <w:sz w:val="22"/>
          <w:szCs w:val="22"/>
          <w:lang w:val="lt-LT"/>
        </w:rPr>
      </w:pPr>
    </w:p>
    <w:p w14:paraId="03664BDE" w14:textId="77777777" w:rsidR="00C3503B" w:rsidRDefault="00C3503B"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C3503B" w:rsidRPr="00F12C6A" w14:paraId="70E8F374" w14:textId="77777777" w:rsidTr="00F12C6A">
        <w:tc>
          <w:tcPr>
            <w:tcW w:w="9568" w:type="dxa"/>
          </w:tcPr>
          <w:p w14:paraId="06792765" w14:textId="77777777" w:rsidR="00C3503B" w:rsidRPr="00F12C6A" w:rsidRDefault="00C3503B" w:rsidP="0023471C">
            <w:pPr>
              <w:numPr>
                <w:ilvl w:val="0"/>
                <w:numId w:val="66"/>
              </w:numPr>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TERMIN WAŻNOŚCI</w:t>
            </w:r>
          </w:p>
        </w:tc>
      </w:tr>
    </w:tbl>
    <w:p w14:paraId="33D097F6" w14:textId="77777777" w:rsidR="00C3503B" w:rsidRDefault="00C3503B" w:rsidP="003E4435">
      <w:pPr>
        <w:rPr>
          <w:rFonts w:ascii="Times New Roman" w:eastAsia="Times New Roman" w:hAnsi="Times New Roman"/>
          <w:sz w:val="22"/>
          <w:szCs w:val="22"/>
          <w:lang w:val="lt-LT"/>
        </w:rPr>
      </w:pPr>
    </w:p>
    <w:p w14:paraId="646284B8" w14:textId="77777777" w:rsidR="00C3503B" w:rsidRDefault="00240AC8"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EXP</w:t>
      </w:r>
    </w:p>
    <w:p w14:paraId="328A6435" w14:textId="77777777" w:rsidR="00C3503B" w:rsidRPr="00741122" w:rsidRDefault="00C3503B" w:rsidP="003E4435">
      <w:pPr>
        <w:rPr>
          <w:rFonts w:ascii="Times New Roman" w:eastAsia="Times New Roman" w:hAnsi="Times New Roman"/>
          <w:sz w:val="22"/>
          <w:szCs w:val="22"/>
          <w:lang w:val="lt-LT"/>
        </w:rPr>
      </w:pPr>
    </w:p>
    <w:p w14:paraId="0233052C" w14:textId="77777777" w:rsidR="00240AC8" w:rsidRDefault="00240AC8"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40AC8" w:rsidRPr="00F12C6A" w14:paraId="6DA9908C" w14:textId="77777777" w:rsidTr="00F12C6A">
        <w:tc>
          <w:tcPr>
            <w:tcW w:w="9568" w:type="dxa"/>
          </w:tcPr>
          <w:p w14:paraId="7A5A1A22" w14:textId="77777777" w:rsidR="00240AC8" w:rsidRPr="00F12C6A" w:rsidRDefault="00240AC8" w:rsidP="0023471C">
            <w:pPr>
              <w:numPr>
                <w:ilvl w:val="0"/>
                <w:numId w:val="66"/>
              </w:numPr>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NUMER SERII</w:t>
            </w:r>
          </w:p>
        </w:tc>
      </w:tr>
    </w:tbl>
    <w:p w14:paraId="1D1B47EB" w14:textId="77777777" w:rsidR="00240AC8" w:rsidRDefault="00240AC8" w:rsidP="003E4435">
      <w:pPr>
        <w:rPr>
          <w:rFonts w:ascii="Times New Roman" w:eastAsia="Times New Roman" w:hAnsi="Times New Roman"/>
          <w:sz w:val="22"/>
          <w:szCs w:val="22"/>
          <w:lang w:val="lt-LT"/>
        </w:rPr>
      </w:pPr>
    </w:p>
    <w:p w14:paraId="3AA2BBFE" w14:textId="77777777" w:rsidR="00240AC8" w:rsidRDefault="00240AC8"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Lot</w:t>
      </w:r>
    </w:p>
    <w:p w14:paraId="1012CCE7" w14:textId="77777777" w:rsidR="00240AC8" w:rsidRDefault="00240AC8" w:rsidP="003E4435">
      <w:pPr>
        <w:rPr>
          <w:rFonts w:ascii="Times New Roman" w:eastAsia="Times New Roman" w:hAnsi="Times New Roman"/>
          <w:sz w:val="22"/>
          <w:szCs w:val="22"/>
          <w:lang w:val="lt-LT"/>
        </w:rPr>
      </w:pPr>
    </w:p>
    <w:p w14:paraId="3C4B744A" w14:textId="77777777" w:rsidR="00240AC8" w:rsidRDefault="00240AC8"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40AC8" w:rsidRPr="008C2A94" w14:paraId="157A101E" w14:textId="77777777" w:rsidTr="00F12C6A">
        <w:trPr>
          <w:trHeight w:val="464"/>
        </w:trPr>
        <w:tc>
          <w:tcPr>
            <w:tcW w:w="9568" w:type="dxa"/>
            <w:vAlign w:val="center"/>
          </w:tcPr>
          <w:p w14:paraId="35B90177" w14:textId="77777777" w:rsidR="00240AC8" w:rsidRPr="00F12C6A" w:rsidRDefault="00240AC8" w:rsidP="0023471C">
            <w:pPr>
              <w:numPr>
                <w:ilvl w:val="0"/>
                <w:numId w:val="66"/>
              </w:numPr>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ZAWARTOŚĆ OPAKOWANIA Z PODANIEM MASY, OBJĘTOŚCI LUB LICZBY JEDNOSTEK</w:t>
            </w:r>
          </w:p>
        </w:tc>
      </w:tr>
    </w:tbl>
    <w:p w14:paraId="06C9193B" w14:textId="77777777" w:rsidR="00240AC8" w:rsidRDefault="00240AC8" w:rsidP="003E4435">
      <w:pPr>
        <w:rPr>
          <w:rFonts w:ascii="Times New Roman" w:eastAsia="Times New Roman" w:hAnsi="Times New Roman"/>
          <w:sz w:val="22"/>
          <w:szCs w:val="22"/>
          <w:lang w:val="lt-LT"/>
        </w:rPr>
      </w:pPr>
    </w:p>
    <w:p w14:paraId="6BD9A71A" w14:textId="77777777" w:rsidR="00240AC8" w:rsidRDefault="0013185E" w:rsidP="003E4435">
      <w:pPr>
        <w:rPr>
          <w:rFonts w:ascii="Times New Roman" w:eastAsia="Times New Roman" w:hAnsi="Times New Roman"/>
          <w:sz w:val="22"/>
          <w:szCs w:val="22"/>
          <w:lang w:val="lt-LT"/>
        </w:rPr>
      </w:pPr>
      <w:r>
        <w:rPr>
          <w:rFonts w:ascii="Times New Roman" w:eastAsia="Times New Roman" w:hAnsi="Times New Roman"/>
          <w:sz w:val="22"/>
          <w:szCs w:val="22"/>
          <w:lang w:val="lt-LT"/>
        </w:rPr>
        <w:t>4</w:t>
      </w:r>
      <w:r w:rsidR="00240AC8" w:rsidRPr="00240AC8">
        <w:rPr>
          <w:rFonts w:ascii="Times New Roman" w:eastAsia="Times New Roman" w:hAnsi="Times New Roman"/>
          <w:sz w:val="22"/>
          <w:szCs w:val="22"/>
          <w:lang w:val="lt-LT"/>
        </w:rPr>
        <w:t>00</w:t>
      </w:r>
      <w:r w:rsidR="00240AC8">
        <w:rPr>
          <w:rFonts w:ascii="Times New Roman" w:eastAsia="Times New Roman" w:hAnsi="Times New Roman"/>
          <w:sz w:val="22"/>
          <w:szCs w:val="22"/>
          <w:lang w:val="lt-LT"/>
        </w:rPr>
        <w:t> </w:t>
      </w:r>
      <w:r w:rsidR="004048EE">
        <w:rPr>
          <w:rFonts w:ascii="Times New Roman" w:eastAsia="Times New Roman" w:hAnsi="Times New Roman"/>
          <w:sz w:val="22"/>
          <w:szCs w:val="22"/>
          <w:lang w:val="lt-LT"/>
        </w:rPr>
        <w:t>mg/16</w:t>
      </w:r>
      <w:r w:rsidR="00240AC8">
        <w:rPr>
          <w:rFonts w:ascii="Times New Roman" w:eastAsia="Times New Roman" w:hAnsi="Times New Roman"/>
          <w:sz w:val="22"/>
          <w:szCs w:val="22"/>
          <w:lang w:val="lt-LT"/>
        </w:rPr>
        <w:t> </w:t>
      </w:r>
      <w:r w:rsidR="00240AC8" w:rsidRPr="00240AC8">
        <w:rPr>
          <w:rFonts w:ascii="Times New Roman" w:eastAsia="Times New Roman" w:hAnsi="Times New Roman"/>
          <w:sz w:val="22"/>
          <w:szCs w:val="22"/>
          <w:lang w:val="lt-LT"/>
        </w:rPr>
        <w:t>ml</w:t>
      </w:r>
    </w:p>
    <w:p w14:paraId="17EC72E7" w14:textId="77777777" w:rsidR="00240AC8" w:rsidRDefault="00240AC8" w:rsidP="003E4435">
      <w:pPr>
        <w:rPr>
          <w:rFonts w:ascii="Times New Roman" w:eastAsia="Times New Roman" w:hAnsi="Times New Roman"/>
          <w:sz w:val="22"/>
          <w:szCs w:val="22"/>
          <w:lang w:val="lt-LT"/>
        </w:rPr>
      </w:pPr>
    </w:p>
    <w:p w14:paraId="6500D578" w14:textId="77777777" w:rsidR="00240AC8" w:rsidRDefault="00240AC8" w:rsidP="003E4435">
      <w:pPr>
        <w:rPr>
          <w:rFonts w:ascii="Times New Roman" w:eastAsia="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240AC8" w:rsidRPr="00F12C6A" w14:paraId="5ED43220" w14:textId="77777777" w:rsidTr="00F12C6A">
        <w:tc>
          <w:tcPr>
            <w:tcW w:w="9568" w:type="dxa"/>
          </w:tcPr>
          <w:p w14:paraId="6C0A365B" w14:textId="77777777" w:rsidR="00240AC8" w:rsidRPr="00F12C6A" w:rsidRDefault="006C5E54" w:rsidP="0023471C">
            <w:pPr>
              <w:numPr>
                <w:ilvl w:val="0"/>
                <w:numId w:val="66"/>
              </w:numPr>
              <w:ind w:left="567" w:hanging="567"/>
              <w:rPr>
                <w:rFonts w:ascii="Times New Roman" w:eastAsia="Times New Roman" w:hAnsi="Times New Roman" w:cs="Times New Roman"/>
                <w:b/>
                <w:sz w:val="22"/>
                <w:szCs w:val="22"/>
                <w:lang w:val="lt-LT"/>
              </w:rPr>
            </w:pPr>
            <w:r w:rsidRPr="00F12C6A">
              <w:rPr>
                <w:rFonts w:ascii="Times New Roman" w:eastAsia="Times New Roman" w:hAnsi="Times New Roman" w:cs="Times New Roman"/>
                <w:b/>
                <w:sz w:val="22"/>
                <w:szCs w:val="22"/>
                <w:lang w:val="lt-LT"/>
              </w:rPr>
              <w:t>INNE</w:t>
            </w:r>
          </w:p>
        </w:tc>
      </w:tr>
    </w:tbl>
    <w:p w14:paraId="0D93D337" w14:textId="77777777" w:rsidR="00240AC8" w:rsidRDefault="00240AC8" w:rsidP="003E4435">
      <w:pPr>
        <w:rPr>
          <w:rFonts w:ascii="Times New Roman" w:eastAsia="Times New Roman" w:hAnsi="Times New Roman"/>
          <w:sz w:val="22"/>
          <w:szCs w:val="22"/>
          <w:lang w:val="lt-LT"/>
        </w:rPr>
      </w:pPr>
    </w:p>
    <w:p w14:paraId="7B1A936F" w14:textId="77777777" w:rsidR="006952A7" w:rsidRPr="00741122" w:rsidRDefault="000D704E" w:rsidP="003E4435">
      <w:pPr>
        <w:jc w:val="center"/>
        <w:rPr>
          <w:rFonts w:ascii="Times New Roman" w:eastAsia="Times New Roman" w:hAnsi="Times New Roman"/>
          <w:b/>
          <w:sz w:val="22"/>
          <w:lang w:val="lt-LT"/>
        </w:rPr>
      </w:pPr>
      <w:r w:rsidRPr="00741122">
        <w:rPr>
          <w:rFonts w:ascii="Times New Roman" w:eastAsia="Times New Roman" w:hAnsi="Times New Roman"/>
          <w:sz w:val="22"/>
          <w:szCs w:val="22"/>
          <w:lang w:val="lt-LT"/>
        </w:rPr>
        <w:br w:type="page"/>
      </w:r>
    </w:p>
    <w:p w14:paraId="4596FAD7" w14:textId="77777777" w:rsidR="006952A7" w:rsidRPr="00741122" w:rsidRDefault="006952A7" w:rsidP="003E4435">
      <w:pPr>
        <w:ind w:right="-13"/>
        <w:jc w:val="center"/>
        <w:rPr>
          <w:rFonts w:ascii="Times New Roman" w:eastAsia="Times New Roman" w:hAnsi="Times New Roman"/>
          <w:b/>
          <w:sz w:val="22"/>
          <w:lang w:val="lt-LT"/>
        </w:rPr>
      </w:pPr>
    </w:p>
    <w:p w14:paraId="4C21EB23" w14:textId="77777777" w:rsidR="006952A7" w:rsidRPr="00741122" w:rsidRDefault="006952A7" w:rsidP="003E4435">
      <w:pPr>
        <w:ind w:right="-13"/>
        <w:jc w:val="center"/>
        <w:rPr>
          <w:rFonts w:ascii="Times New Roman" w:eastAsia="Times New Roman" w:hAnsi="Times New Roman"/>
          <w:b/>
          <w:sz w:val="22"/>
          <w:lang w:val="lt-LT"/>
        </w:rPr>
      </w:pPr>
    </w:p>
    <w:p w14:paraId="4C46802C" w14:textId="77777777" w:rsidR="006952A7" w:rsidRPr="00741122" w:rsidRDefault="006952A7" w:rsidP="003E4435">
      <w:pPr>
        <w:ind w:right="-13"/>
        <w:jc w:val="center"/>
        <w:rPr>
          <w:rFonts w:ascii="Times New Roman" w:eastAsia="Times New Roman" w:hAnsi="Times New Roman"/>
          <w:b/>
          <w:sz w:val="22"/>
          <w:lang w:val="lt-LT"/>
        </w:rPr>
      </w:pPr>
    </w:p>
    <w:p w14:paraId="47AFE563" w14:textId="77777777" w:rsidR="006952A7" w:rsidRPr="00741122" w:rsidRDefault="006952A7" w:rsidP="003E4435">
      <w:pPr>
        <w:ind w:right="-13"/>
        <w:jc w:val="center"/>
        <w:rPr>
          <w:rFonts w:ascii="Times New Roman" w:eastAsia="Times New Roman" w:hAnsi="Times New Roman"/>
          <w:b/>
          <w:sz w:val="22"/>
          <w:lang w:val="lt-LT"/>
        </w:rPr>
      </w:pPr>
    </w:p>
    <w:p w14:paraId="41FFD2CB" w14:textId="77777777" w:rsidR="006952A7" w:rsidRPr="00741122" w:rsidRDefault="006952A7" w:rsidP="003E4435">
      <w:pPr>
        <w:ind w:right="-13"/>
        <w:jc w:val="center"/>
        <w:rPr>
          <w:rFonts w:ascii="Times New Roman" w:eastAsia="Times New Roman" w:hAnsi="Times New Roman"/>
          <w:b/>
          <w:sz w:val="22"/>
          <w:lang w:val="lt-LT"/>
        </w:rPr>
      </w:pPr>
    </w:p>
    <w:p w14:paraId="0E4688B2" w14:textId="77777777" w:rsidR="006952A7" w:rsidRPr="00741122" w:rsidRDefault="006952A7" w:rsidP="003E4435">
      <w:pPr>
        <w:ind w:right="-13"/>
        <w:jc w:val="center"/>
        <w:rPr>
          <w:rFonts w:ascii="Times New Roman" w:eastAsia="Times New Roman" w:hAnsi="Times New Roman"/>
          <w:b/>
          <w:sz w:val="22"/>
          <w:lang w:val="lt-LT"/>
        </w:rPr>
      </w:pPr>
    </w:p>
    <w:p w14:paraId="42F6CB10" w14:textId="77777777" w:rsidR="006952A7" w:rsidRPr="00741122" w:rsidRDefault="006952A7" w:rsidP="003E4435">
      <w:pPr>
        <w:ind w:right="-13"/>
        <w:jc w:val="center"/>
        <w:rPr>
          <w:rFonts w:ascii="Times New Roman" w:eastAsia="Times New Roman" w:hAnsi="Times New Roman"/>
          <w:b/>
          <w:sz w:val="22"/>
          <w:lang w:val="lt-LT"/>
        </w:rPr>
      </w:pPr>
    </w:p>
    <w:p w14:paraId="10D8F9B6" w14:textId="77777777" w:rsidR="006952A7" w:rsidRPr="00741122" w:rsidRDefault="006952A7" w:rsidP="003E4435">
      <w:pPr>
        <w:ind w:right="-13"/>
        <w:jc w:val="center"/>
        <w:rPr>
          <w:rFonts w:ascii="Times New Roman" w:eastAsia="Times New Roman" w:hAnsi="Times New Roman"/>
          <w:b/>
          <w:sz w:val="22"/>
          <w:lang w:val="lt-LT"/>
        </w:rPr>
      </w:pPr>
    </w:p>
    <w:p w14:paraId="6EF066DF" w14:textId="77777777" w:rsidR="006952A7" w:rsidRPr="00741122" w:rsidRDefault="006952A7" w:rsidP="003E4435">
      <w:pPr>
        <w:ind w:right="-13"/>
        <w:jc w:val="center"/>
        <w:rPr>
          <w:rFonts w:ascii="Times New Roman" w:eastAsia="Times New Roman" w:hAnsi="Times New Roman"/>
          <w:b/>
          <w:sz w:val="22"/>
          <w:lang w:val="lt-LT"/>
        </w:rPr>
      </w:pPr>
    </w:p>
    <w:p w14:paraId="17A77C37" w14:textId="77777777" w:rsidR="006952A7" w:rsidRPr="00741122" w:rsidRDefault="006952A7" w:rsidP="003E4435">
      <w:pPr>
        <w:ind w:right="-13"/>
        <w:jc w:val="center"/>
        <w:rPr>
          <w:rFonts w:ascii="Times New Roman" w:eastAsia="Times New Roman" w:hAnsi="Times New Roman"/>
          <w:b/>
          <w:sz w:val="22"/>
          <w:lang w:val="lt-LT"/>
        </w:rPr>
      </w:pPr>
    </w:p>
    <w:p w14:paraId="0F54FF8F" w14:textId="77777777" w:rsidR="006952A7" w:rsidRPr="00741122" w:rsidRDefault="006952A7" w:rsidP="003E4435">
      <w:pPr>
        <w:ind w:right="-13"/>
        <w:jc w:val="center"/>
        <w:rPr>
          <w:rFonts w:ascii="Times New Roman" w:eastAsia="Times New Roman" w:hAnsi="Times New Roman"/>
          <w:b/>
          <w:sz w:val="22"/>
          <w:lang w:val="lt-LT"/>
        </w:rPr>
      </w:pPr>
    </w:p>
    <w:p w14:paraId="4ADCBF8E" w14:textId="77777777" w:rsidR="006952A7" w:rsidRPr="00741122" w:rsidRDefault="006952A7" w:rsidP="003E4435">
      <w:pPr>
        <w:ind w:right="-13"/>
        <w:jc w:val="center"/>
        <w:rPr>
          <w:rFonts w:ascii="Times New Roman" w:eastAsia="Times New Roman" w:hAnsi="Times New Roman"/>
          <w:b/>
          <w:sz w:val="22"/>
          <w:lang w:val="lt-LT"/>
        </w:rPr>
      </w:pPr>
    </w:p>
    <w:p w14:paraId="11AD83AE" w14:textId="77777777" w:rsidR="006952A7" w:rsidRPr="00741122" w:rsidRDefault="006952A7" w:rsidP="003E4435">
      <w:pPr>
        <w:ind w:right="-13"/>
        <w:jc w:val="center"/>
        <w:rPr>
          <w:rFonts w:ascii="Times New Roman" w:eastAsia="Times New Roman" w:hAnsi="Times New Roman"/>
          <w:b/>
          <w:sz w:val="22"/>
          <w:lang w:val="lt-LT"/>
        </w:rPr>
      </w:pPr>
    </w:p>
    <w:p w14:paraId="48A15C90" w14:textId="77777777" w:rsidR="006952A7" w:rsidRPr="00741122" w:rsidRDefault="006952A7" w:rsidP="003E4435">
      <w:pPr>
        <w:ind w:right="-13"/>
        <w:jc w:val="center"/>
        <w:rPr>
          <w:rFonts w:ascii="Times New Roman" w:eastAsia="Times New Roman" w:hAnsi="Times New Roman"/>
          <w:b/>
          <w:sz w:val="22"/>
          <w:lang w:val="lt-LT"/>
        </w:rPr>
      </w:pPr>
    </w:p>
    <w:p w14:paraId="7168DC8C" w14:textId="77777777" w:rsidR="006952A7" w:rsidRPr="00741122" w:rsidRDefault="006952A7" w:rsidP="003E4435">
      <w:pPr>
        <w:ind w:right="-13"/>
        <w:jc w:val="center"/>
        <w:rPr>
          <w:rFonts w:ascii="Times New Roman" w:eastAsia="Times New Roman" w:hAnsi="Times New Roman"/>
          <w:b/>
          <w:sz w:val="22"/>
          <w:lang w:val="lt-LT"/>
        </w:rPr>
      </w:pPr>
    </w:p>
    <w:p w14:paraId="5EE1D7B3" w14:textId="77777777" w:rsidR="006952A7" w:rsidRPr="00741122" w:rsidRDefault="006952A7" w:rsidP="003E4435">
      <w:pPr>
        <w:ind w:right="-13"/>
        <w:jc w:val="center"/>
        <w:rPr>
          <w:rFonts w:ascii="Times New Roman" w:eastAsia="Times New Roman" w:hAnsi="Times New Roman"/>
          <w:b/>
          <w:sz w:val="22"/>
          <w:lang w:val="lt-LT"/>
        </w:rPr>
      </w:pPr>
    </w:p>
    <w:p w14:paraId="191CDD26" w14:textId="77777777" w:rsidR="006952A7" w:rsidRPr="00741122" w:rsidRDefault="006952A7" w:rsidP="003E4435">
      <w:pPr>
        <w:ind w:right="-13"/>
        <w:jc w:val="center"/>
        <w:rPr>
          <w:rFonts w:ascii="Times New Roman" w:eastAsia="Times New Roman" w:hAnsi="Times New Roman"/>
          <w:b/>
          <w:sz w:val="22"/>
          <w:lang w:val="lt-LT"/>
        </w:rPr>
      </w:pPr>
    </w:p>
    <w:p w14:paraId="035CBC99" w14:textId="77777777" w:rsidR="006952A7" w:rsidRPr="00741122" w:rsidRDefault="006952A7" w:rsidP="003E4435">
      <w:pPr>
        <w:ind w:right="-13"/>
        <w:jc w:val="center"/>
        <w:rPr>
          <w:rFonts w:ascii="Times New Roman" w:eastAsia="Times New Roman" w:hAnsi="Times New Roman"/>
          <w:b/>
          <w:sz w:val="22"/>
          <w:lang w:val="lt-LT"/>
        </w:rPr>
      </w:pPr>
    </w:p>
    <w:p w14:paraId="17BBD921" w14:textId="77777777" w:rsidR="006952A7" w:rsidRPr="00741122" w:rsidRDefault="006952A7" w:rsidP="003E4435">
      <w:pPr>
        <w:ind w:right="-13"/>
        <w:jc w:val="center"/>
        <w:rPr>
          <w:rFonts w:ascii="Times New Roman" w:eastAsia="Times New Roman" w:hAnsi="Times New Roman"/>
          <w:b/>
          <w:sz w:val="22"/>
          <w:lang w:val="lt-LT"/>
        </w:rPr>
      </w:pPr>
    </w:p>
    <w:p w14:paraId="1C858C86" w14:textId="77777777" w:rsidR="006952A7" w:rsidRPr="00741122" w:rsidRDefault="006952A7" w:rsidP="003E4435">
      <w:pPr>
        <w:ind w:right="-13"/>
        <w:jc w:val="center"/>
        <w:rPr>
          <w:rFonts w:ascii="Times New Roman" w:eastAsia="Times New Roman" w:hAnsi="Times New Roman"/>
          <w:b/>
          <w:sz w:val="22"/>
          <w:lang w:val="lt-LT"/>
        </w:rPr>
      </w:pPr>
    </w:p>
    <w:p w14:paraId="4A6CB9BC" w14:textId="77777777" w:rsidR="006952A7" w:rsidRDefault="006952A7" w:rsidP="003E4435">
      <w:pPr>
        <w:pStyle w:val="TitleA"/>
        <w:spacing w:line="240" w:lineRule="auto"/>
      </w:pPr>
    </w:p>
    <w:p w14:paraId="481E3EF5" w14:textId="77777777" w:rsidR="00AF0BCE" w:rsidRPr="00741122" w:rsidRDefault="00AF0BCE" w:rsidP="003E4435">
      <w:pPr>
        <w:pStyle w:val="TitleA"/>
        <w:spacing w:line="240" w:lineRule="auto"/>
      </w:pPr>
    </w:p>
    <w:p w14:paraId="4B6218CA" w14:textId="77777777" w:rsidR="00071CFE" w:rsidRPr="00741122" w:rsidRDefault="00071CFE" w:rsidP="003E4435">
      <w:pPr>
        <w:pStyle w:val="TitleA"/>
        <w:spacing w:line="240" w:lineRule="auto"/>
      </w:pPr>
      <w:r w:rsidRPr="00741122">
        <w:t xml:space="preserve">B. ULOTKA DLA </w:t>
      </w:r>
      <w:r w:rsidRPr="00741122">
        <w:rPr>
          <w:rFonts w:cs="Times New Roman"/>
        </w:rPr>
        <w:t>PACJENTA</w:t>
      </w:r>
    </w:p>
    <w:p w14:paraId="0D5DEAC8" w14:textId="77777777" w:rsidR="00071CFE" w:rsidRPr="00741122" w:rsidRDefault="006952A7" w:rsidP="0063024F">
      <w:pPr>
        <w:jc w:val="center"/>
        <w:rPr>
          <w:rFonts w:ascii="Times New Roman" w:eastAsia="Times New Roman" w:hAnsi="Times New Roman" w:cs="Times New Roman"/>
          <w:b/>
          <w:sz w:val="22"/>
          <w:szCs w:val="22"/>
          <w:lang w:val="lt-LT"/>
        </w:rPr>
      </w:pPr>
      <w:r w:rsidRPr="00741122">
        <w:rPr>
          <w:rFonts w:ascii="Times New Roman" w:eastAsia="Times New Roman" w:hAnsi="Times New Roman"/>
          <w:lang w:val="lt-LT"/>
        </w:rPr>
        <w:br w:type="page"/>
      </w:r>
      <w:bookmarkStart w:id="101" w:name="page72"/>
      <w:bookmarkEnd w:id="101"/>
      <w:r w:rsidR="00071CFE" w:rsidRPr="00741122">
        <w:rPr>
          <w:rFonts w:ascii="Times New Roman" w:eastAsia="Times New Roman" w:hAnsi="Times New Roman" w:cs="Times New Roman"/>
          <w:b/>
          <w:sz w:val="22"/>
          <w:szCs w:val="22"/>
          <w:lang w:val="lt-LT"/>
        </w:rPr>
        <w:lastRenderedPageBreak/>
        <w:t>Ulotka dołączona do opakowania: informacja dla użytkownika</w:t>
      </w:r>
    </w:p>
    <w:p w14:paraId="6704B59F" w14:textId="77777777" w:rsidR="00071CFE" w:rsidRPr="00741122" w:rsidRDefault="00071CFE" w:rsidP="0063024F">
      <w:pPr>
        <w:jc w:val="center"/>
        <w:rPr>
          <w:rFonts w:ascii="Times New Roman" w:eastAsia="Times New Roman" w:hAnsi="Times New Roman" w:cs="Times New Roman"/>
          <w:sz w:val="22"/>
          <w:szCs w:val="22"/>
          <w:lang w:val="lt-LT"/>
        </w:rPr>
      </w:pPr>
    </w:p>
    <w:p w14:paraId="3AB89317" w14:textId="77777777" w:rsidR="00071CFE" w:rsidRPr="00741122" w:rsidRDefault="00261A5A" w:rsidP="0063024F">
      <w:pPr>
        <w:jc w:val="center"/>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MVASI</w:t>
      </w:r>
      <w:r w:rsidR="00854CCC" w:rsidRPr="00741122">
        <w:rPr>
          <w:rFonts w:ascii="Times New Roman" w:eastAsia="Times New Roman" w:hAnsi="Times New Roman" w:cs="Times New Roman"/>
          <w:b/>
          <w:sz w:val="22"/>
          <w:szCs w:val="22"/>
          <w:lang w:val="lt-LT"/>
        </w:rPr>
        <w:t xml:space="preserve"> 25 </w:t>
      </w:r>
      <w:r w:rsidR="00071CFE" w:rsidRPr="00741122">
        <w:rPr>
          <w:rFonts w:ascii="Times New Roman" w:eastAsia="Times New Roman" w:hAnsi="Times New Roman" w:cs="Times New Roman"/>
          <w:b/>
          <w:sz w:val="22"/>
          <w:szCs w:val="22"/>
          <w:lang w:val="lt-LT"/>
        </w:rPr>
        <w:t>mg/ml koncentrat do sporządzania roztworu do infuzji</w:t>
      </w:r>
    </w:p>
    <w:p w14:paraId="55EFBCA2" w14:textId="4AA173E9" w:rsidR="00071CFE" w:rsidRPr="00741122" w:rsidRDefault="00CB0B55" w:rsidP="0063024F">
      <w:pPr>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b</w:t>
      </w:r>
      <w:r w:rsidR="00071CFE" w:rsidRPr="00741122">
        <w:rPr>
          <w:rFonts w:ascii="Times New Roman" w:eastAsia="Times New Roman" w:hAnsi="Times New Roman" w:cs="Times New Roman"/>
          <w:sz w:val="22"/>
          <w:szCs w:val="22"/>
          <w:lang w:val="lt-LT"/>
        </w:rPr>
        <w:t>ewacyzumab</w:t>
      </w:r>
    </w:p>
    <w:p w14:paraId="6924868A" w14:textId="77777777" w:rsidR="002D3AE0" w:rsidRPr="0023471C" w:rsidRDefault="002D3AE0" w:rsidP="002D3AE0">
      <w:pPr>
        <w:rPr>
          <w:rFonts w:ascii="Times New Roman" w:hAnsi="Times New Roman" w:cs="Times New Roman"/>
          <w:sz w:val="22"/>
          <w:lang w:val="pl-PL" w:eastAsia="ja-JP"/>
        </w:rPr>
      </w:pPr>
    </w:p>
    <w:p w14:paraId="2C88B903" w14:textId="77777777" w:rsidR="00071CFE" w:rsidRPr="00741122" w:rsidRDefault="00071CFE" w:rsidP="001B794B">
      <w:pPr>
        <w:rPr>
          <w:rFonts w:ascii="Times New Roman" w:eastAsia="Times New Roman" w:hAnsi="Times New Roman" w:cs="Times New Roman"/>
          <w:b/>
          <w:sz w:val="22"/>
          <w:szCs w:val="22"/>
          <w:lang w:val="lt-LT"/>
        </w:rPr>
      </w:pPr>
      <w:r w:rsidRPr="00D87730">
        <w:rPr>
          <w:rFonts w:ascii="Times New Roman" w:eastAsia="Times New Roman" w:hAnsi="Times New Roman" w:cs="Times New Roman"/>
          <w:b/>
          <w:sz w:val="22"/>
          <w:szCs w:val="22"/>
          <w:lang w:val="lt-LT"/>
        </w:rPr>
        <w:t>Należy</w:t>
      </w:r>
      <w:r w:rsidRPr="00741122">
        <w:rPr>
          <w:rFonts w:ascii="Times New Roman" w:eastAsia="Times New Roman" w:hAnsi="Times New Roman" w:cs="Times New Roman"/>
          <w:b/>
          <w:sz w:val="22"/>
          <w:szCs w:val="22"/>
          <w:lang w:val="lt-LT"/>
        </w:rPr>
        <w:t xml:space="preserve"> uważnie zapoznać się z treścią ulotki przed zastosowaniem leku, ponieważ zawiera ona informacje ważne dla pacjenta.</w:t>
      </w:r>
    </w:p>
    <w:p w14:paraId="142E8095" w14:textId="77777777" w:rsidR="00071CFE" w:rsidRPr="00741122" w:rsidRDefault="00071CFE" w:rsidP="00C968E9">
      <w:pPr>
        <w:numPr>
          <w:ilvl w:val="0"/>
          <w:numId w:val="93"/>
        </w:numPr>
        <w:tabs>
          <w:tab w:val="left" w:pos="561"/>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Należy zachować tę ulotkę, aby w razie potrzeby móc ją ponownie przeczytać.</w:t>
      </w:r>
    </w:p>
    <w:p w14:paraId="57079B76" w14:textId="77777777" w:rsidR="00071CFE" w:rsidRPr="00741122" w:rsidRDefault="00071CFE" w:rsidP="00C968E9">
      <w:pPr>
        <w:numPr>
          <w:ilvl w:val="0"/>
          <w:numId w:val="93"/>
        </w:numPr>
        <w:tabs>
          <w:tab w:val="left" w:pos="561"/>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Należy zwrócić się do lekarza, farmaceuty lub pielęgniarki, w razie jakichkolwiek wątpliwości.</w:t>
      </w:r>
    </w:p>
    <w:p w14:paraId="59E3D4B5" w14:textId="77777777" w:rsidR="00071CFE" w:rsidRPr="00741122" w:rsidRDefault="00071CFE" w:rsidP="00C968E9">
      <w:pPr>
        <w:numPr>
          <w:ilvl w:val="0"/>
          <w:numId w:val="93"/>
        </w:numPr>
        <w:tabs>
          <w:tab w:val="left" w:pos="561"/>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Jeśli wystąpią jakiekolwiek objawy niepożądane, w tym wszelkie możliwe objawy niepożądane niewymienione w ulotce, należy powiedzieć o tym lekarzowi, farmaceucie lub pielęgniarce. Patrz punkt 4.</w:t>
      </w:r>
    </w:p>
    <w:p w14:paraId="1464119A" w14:textId="77777777" w:rsidR="00071CFE" w:rsidRPr="00741122" w:rsidRDefault="00071CFE" w:rsidP="001B794B">
      <w:pPr>
        <w:rPr>
          <w:rFonts w:ascii="Times New Roman" w:eastAsia="Times New Roman" w:hAnsi="Times New Roman" w:cs="Times New Roman"/>
          <w:sz w:val="22"/>
          <w:szCs w:val="22"/>
          <w:lang w:val="lt-LT"/>
        </w:rPr>
      </w:pPr>
    </w:p>
    <w:p w14:paraId="5E03FF5C" w14:textId="77777777" w:rsidR="00071CFE" w:rsidRPr="00741122" w:rsidRDefault="00854CCC" w:rsidP="001B794B">
      <w:pPr>
        <w:ind w:left="1"/>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Spis treści ulotki</w:t>
      </w:r>
      <w:r w:rsidR="00F303B2" w:rsidRPr="00741122">
        <w:rPr>
          <w:rFonts w:ascii="Times New Roman" w:eastAsia="Times New Roman" w:hAnsi="Times New Roman" w:cs="Times New Roman"/>
          <w:b/>
          <w:sz w:val="22"/>
          <w:szCs w:val="22"/>
          <w:lang w:val="lt-LT"/>
        </w:rPr>
        <w:t>:</w:t>
      </w:r>
    </w:p>
    <w:p w14:paraId="5A685206" w14:textId="77777777" w:rsidR="00071CFE" w:rsidRPr="00741122" w:rsidRDefault="00071CFE" w:rsidP="001B794B">
      <w:pPr>
        <w:rPr>
          <w:rFonts w:ascii="Times New Roman" w:eastAsia="Times New Roman" w:hAnsi="Times New Roman" w:cs="Times New Roman"/>
          <w:sz w:val="22"/>
          <w:szCs w:val="22"/>
          <w:lang w:val="lt-LT"/>
        </w:rPr>
      </w:pPr>
    </w:p>
    <w:p w14:paraId="6F1F95B4" w14:textId="77777777" w:rsidR="00071CFE" w:rsidRPr="00741122" w:rsidRDefault="00071CFE" w:rsidP="0023471C">
      <w:pPr>
        <w:numPr>
          <w:ilvl w:val="0"/>
          <w:numId w:val="41"/>
        </w:numPr>
        <w:tabs>
          <w:tab w:val="left" w:pos="561"/>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Co to jest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i w jakim celu się go stosuje</w:t>
      </w:r>
    </w:p>
    <w:p w14:paraId="29BF1F51" w14:textId="77777777" w:rsidR="00071CFE" w:rsidRPr="00741122" w:rsidRDefault="00071CFE" w:rsidP="0023471C">
      <w:pPr>
        <w:numPr>
          <w:ilvl w:val="0"/>
          <w:numId w:val="41"/>
        </w:numPr>
        <w:tabs>
          <w:tab w:val="left" w:pos="561"/>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Informacje ważne przed zastosowaniem leku </w:t>
      </w:r>
      <w:r w:rsidR="00261A5A">
        <w:rPr>
          <w:rFonts w:ascii="Times New Roman" w:eastAsia="Times New Roman" w:hAnsi="Times New Roman" w:cs="Times New Roman"/>
          <w:sz w:val="22"/>
          <w:szCs w:val="22"/>
          <w:lang w:val="lt-LT"/>
        </w:rPr>
        <w:t>MVASI</w:t>
      </w:r>
    </w:p>
    <w:p w14:paraId="242122E5" w14:textId="77777777" w:rsidR="00071CFE" w:rsidRPr="00741122" w:rsidRDefault="00071CFE" w:rsidP="0023471C">
      <w:pPr>
        <w:numPr>
          <w:ilvl w:val="0"/>
          <w:numId w:val="41"/>
        </w:numPr>
        <w:tabs>
          <w:tab w:val="left" w:pos="561"/>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Jak stosować </w:t>
      </w:r>
      <w:r w:rsidR="00261A5A">
        <w:rPr>
          <w:rFonts w:ascii="Times New Roman" w:eastAsia="Times New Roman" w:hAnsi="Times New Roman" w:cs="Times New Roman"/>
          <w:sz w:val="22"/>
          <w:szCs w:val="22"/>
          <w:lang w:val="lt-LT"/>
        </w:rPr>
        <w:t>MVASI</w:t>
      </w:r>
    </w:p>
    <w:p w14:paraId="26447513" w14:textId="77777777" w:rsidR="00071CFE" w:rsidRPr="00741122" w:rsidRDefault="00071CFE" w:rsidP="0023471C">
      <w:pPr>
        <w:numPr>
          <w:ilvl w:val="0"/>
          <w:numId w:val="41"/>
        </w:numPr>
        <w:tabs>
          <w:tab w:val="left" w:pos="561"/>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Możliwe działania niepożądane</w:t>
      </w:r>
    </w:p>
    <w:p w14:paraId="2B4C1120" w14:textId="77777777" w:rsidR="00071CFE" w:rsidRPr="00741122" w:rsidRDefault="00071CFE" w:rsidP="0023471C">
      <w:pPr>
        <w:numPr>
          <w:ilvl w:val="0"/>
          <w:numId w:val="41"/>
        </w:numPr>
        <w:tabs>
          <w:tab w:val="left" w:pos="561"/>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Jak przechowywać </w:t>
      </w:r>
      <w:r w:rsidR="00261A5A">
        <w:rPr>
          <w:rFonts w:ascii="Times New Roman" w:eastAsia="Times New Roman" w:hAnsi="Times New Roman" w:cs="Times New Roman"/>
          <w:sz w:val="22"/>
          <w:szCs w:val="22"/>
          <w:lang w:val="lt-LT"/>
        </w:rPr>
        <w:t>MVASI</w:t>
      </w:r>
    </w:p>
    <w:p w14:paraId="2039CD72" w14:textId="77777777" w:rsidR="00071CFE" w:rsidRPr="00741122" w:rsidRDefault="00071CFE" w:rsidP="0023471C">
      <w:pPr>
        <w:numPr>
          <w:ilvl w:val="0"/>
          <w:numId w:val="41"/>
        </w:numPr>
        <w:tabs>
          <w:tab w:val="left" w:pos="561"/>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Zawartość opakowania i inne informacje</w:t>
      </w:r>
    </w:p>
    <w:p w14:paraId="648B5991" w14:textId="77777777" w:rsidR="00071CFE" w:rsidRPr="00741122" w:rsidRDefault="00071CFE" w:rsidP="001B794B">
      <w:pPr>
        <w:rPr>
          <w:rFonts w:ascii="Times New Roman" w:eastAsia="Times New Roman" w:hAnsi="Times New Roman" w:cs="Times New Roman"/>
          <w:sz w:val="22"/>
          <w:szCs w:val="22"/>
          <w:lang w:val="lt-LT"/>
        </w:rPr>
      </w:pPr>
    </w:p>
    <w:p w14:paraId="50F7F0A2" w14:textId="77777777" w:rsidR="00071CFE" w:rsidRPr="00741122" w:rsidRDefault="00071CFE" w:rsidP="001B794B">
      <w:pPr>
        <w:rPr>
          <w:rFonts w:ascii="Times New Roman" w:eastAsia="Times New Roman" w:hAnsi="Times New Roman" w:cs="Times New Roman"/>
          <w:sz w:val="22"/>
          <w:szCs w:val="22"/>
          <w:lang w:val="lt-LT"/>
        </w:rPr>
      </w:pPr>
    </w:p>
    <w:p w14:paraId="52D75257" w14:textId="77777777" w:rsidR="00071CFE" w:rsidRPr="00741122" w:rsidRDefault="00071CFE" w:rsidP="0023471C">
      <w:pPr>
        <w:numPr>
          <w:ilvl w:val="0"/>
          <w:numId w:val="42"/>
        </w:numPr>
        <w:tabs>
          <w:tab w:val="left" w:pos="561"/>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Co to jest </w:t>
      </w:r>
      <w:r w:rsidR="00261A5A">
        <w:rPr>
          <w:rFonts w:ascii="Times New Roman" w:eastAsia="Times New Roman" w:hAnsi="Times New Roman" w:cs="Times New Roman"/>
          <w:b/>
          <w:sz w:val="22"/>
          <w:szCs w:val="22"/>
          <w:lang w:val="lt-LT"/>
        </w:rPr>
        <w:t>MVASI</w:t>
      </w:r>
      <w:r w:rsidRPr="00741122">
        <w:rPr>
          <w:rFonts w:ascii="Times New Roman" w:eastAsia="Times New Roman" w:hAnsi="Times New Roman" w:cs="Times New Roman"/>
          <w:b/>
          <w:sz w:val="22"/>
          <w:szCs w:val="22"/>
          <w:lang w:val="lt-LT"/>
        </w:rPr>
        <w:t xml:space="preserve"> i w jakim celu się go stosuje</w:t>
      </w:r>
    </w:p>
    <w:p w14:paraId="297EA521" w14:textId="77777777" w:rsidR="00071CFE" w:rsidRPr="00741122" w:rsidRDefault="00071CFE" w:rsidP="001B794B">
      <w:pPr>
        <w:rPr>
          <w:rFonts w:ascii="Times New Roman" w:eastAsia="Times New Roman" w:hAnsi="Times New Roman" w:cs="Times New Roman"/>
          <w:sz w:val="22"/>
          <w:szCs w:val="22"/>
          <w:lang w:val="lt-LT"/>
        </w:rPr>
      </w:pPr>
    </w:p>
    <w:p w14:paraId="7A91AE70"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Lek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zawiera jako substancję czynną bewacyzumab, która jest humanizowanym przeciwciałem monoklonalnym (rodzaj białka, które jest w normalnych warunkach produkowane przez układ immunologiczny w celu obrony przed zakażeniami i rakiem). Bewacyzumab łączy się wybiórczo z białkiem nazywanym ludzkim czynnikiem wzrostu śródbłonka naczyń (VEGF), które jest obecne w wyściółce naczyń krwionośnych i limfatycznych w organizmie. Białko VEGF powoduje wzrost naczyń krwionośnych w obrębie guza, co umożliwia zaopatrzenie go w tlen i substancje odżywcze. Połączenie bewacyzumabu z VEGF powoduje zatrzymanie wzrostu guza nowotworowego poprzez zahamowanie powstawania naczyń krwionośnych, które zaopatrują guz w tlen i substancje odżywcze.</w:t>
      </w:r>
    </w:p>
    <w:p w14:paraId="41DDFB85" w14:textId="77777777" w:rsidR="00071CFE" w:rsidRPr="00741122" w:rsidRDefault="00071CFE" w:rsidP="001B794B">
      <w:pPr>
        <w:rPr>
          <w:rFonts w:ascii="Times New Roman" w:eastAsia="Times New Roman" w:hAnsi="Times New Roman" w:cs="Times New Roman"/>
          <w:sz w:val="22"/>
          <w:szCs w:val="22"/>
          <w:lang w:val="lt-LT"/>
        </w:rPr>
      </w:pPr>
    </w:p>
    <w:p w14:paraId="7C06E877" w14:textId="77777777" w:rsidR="00071CFE" w:rsidRPr="00741122" w:rsidRDefault="00261A5A"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lekiem, stosowanym w leczeniu dorosłych chorych na zaawansowanego raka okrężnicy lub odbytnicy. Jest on stosowany w skojarzeniu z chemioterapią zawierającą fluoropirymidynę.</w:t>
      </w:r>
    </w:p>
    <w:p w14:paraId="3011248D" w14:textId="77777777" w:rsidR="00071CFE" w:rsidRPr="00741122" w:rsidRDefault="00071CFE" w:rsidP="001B794B">
      <w:pPr>
        <w:rPr>
          <w:rFonts w:ascii="Times New Roman" w:eastAsia="Times New Roman" w:hAnsi="Times New Roman" w:cs="Times New Roman"/>
          <w:sz w:val="22"/>
          <w:szCs w:val="22"/>
          <w:lang w:val="lt-LT"/>
        </w:rPr>
      </w:pPr>
    </w:p>
    <w:p w14:paraId="1CB410DD" w14:textId="6DD34658" w:rsidR="00071CFE" w:rsidRPr="00741122" w:rsidRDefault="00261A5A"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stosuje się również w leczeniu dorosłych chorych na rozsianego raka piersi. Podczas leczenia chorych na raka piersi lek podaje się jednocześnie z </w:t>
      </w:r>
      <w:r w:rsidR="00672176" w:rsidRPr="00741122">
        <w:rPr>
          <w:rFonts w:ascii="Times New Roman" w:eastAsia="Times New Roman" w:hAnsi="Times New Roman" w:cs="Times New Roman"/>
          <w:sz w:val="22"/>
          <w:szCs w:val="22"/>
          <w:lang w:val="lt-LT"/>
        </w:rPr>
        <w:t>lek</w:t>
      </w:r>
      <w:r w:rsidR="00672176">
        <w:rPr>
          <w:rFonts w:ascii="Times New Roman" w:eastAsia="Times New Roman" w:hAnsi="Times New Roman" w:cs="Times New Roman"/>
          <w:sz w:val="22"/>
          <w:szCs w:val="22"/>
          <w:lang w:val="lt-LT"/>
        </w:rPr>
        <w:t>ami</w:t>
      </w:r>
      <w:r w:rsidR="00672176"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chemioterapeutycznym</w:t>
      </w:r>
      <w:r w:rsidR="00672176">
        <w:rPr>
          <w:rFonts w:ascii="Times New Roman" w:eastAsia="Times New Roman" w:hAnsi="Times New Roman" w:cs="Times New Roman"/>
          <w:sz w:val="22"/>
          <w:szCs w:val="22"/>
          <w:lang w:val="lt-LT"/>
        </w:rPr>
        <w:t>i</w:t>
      </w:r>
      <w:r w:rsidR="00071CFE" w:rsidRPr="00741122">
        <w:rPr>
          <w:rFonts w:ascii="Times New Roman" w:eastAsia="Times New Roman" w:hAnsi="Times New Roman" w:cs="Times New Roman"/>
          <w:sz w:val="22"/>
          <w:szCs w:val="22"/>
          <w:lang w:val="lt-LT"/>
        </w:rPr>
        <w:t xml:space="preserve"> nazywanym</w:t>
      </w:r>
      <w:r w:rsidR="00672176">
        <w:rPr>
          <w:rFonts w:ascii="Times New Roman" w:eastAsia="Times New Roman" w:hAnsi="Times New Roman" w:cs="Times New Roman"/>
          <w:sz w:val="22"/>
          <w:szCs w:val="22"/>
          <w:lang w:val="lt-LT"/>
        </w:rPr>
        <w:t>i</w:t>
      </w:r>
      <w:r w:rsidR="00071CFE" w:rsidRPr="00741122">
        <w:rPr>
          <w:rFonts w:ascii="Times New Roman" w:eastAsia="Times New Roman" w:hAnsi="Times New Roman" w:cs="Times New Roman"/>
          <w:sz w:val="22"/>
          <w:szCs w:val="22"/>
          <w:lang w:val="lt-LT"/>
        </w:rPr>
        <w:t xml:space="preserve"> paklitaksel</w:t>
      </w:r>
      <w:r w:rsidR="00875900">
        <w:rPr>
          <w:rFonts w:ascii="Times New Roman" w:eastAsia="Times New Roman" w:hAnsi="Times New Roman" w:cs="Times New Roman"/>
          <w:sz w:val="22"/>
          <w:szCs w:val="22"/>
          <w:lang w:val="lt-LT"/>
        </w:rPr>
        <w:t xml:space="preserve"> lub kapecytabina</w:t>
      </w:r>
      <w:r w:rsidR="00071CFE" w:rsidRPr="00741122">
        <w:rPr>
          <w:rFonts w:ascii="Times New Roman" w:eastAsia="Times New Roman" w:hAnsi="Times New Roman" w:cs="Times New Roman"/>
          <w:sz w:val="22"/>
          <w:szCs w:val="22"/>
          <w:lang w:val="lt-LT"/>
        </w:rPr>
        <w:t>.</w:t>
      </w:r>
    </w:p>
    <w:p w14:paraId="42F7A761" w14:textId="77777777" w:rsidR="00071CFE" w:rsidRPr="00741122" w:rsidRDefault="00071CFE" w:rsidP="001B794B">
      <w:pPr>
        <w:rPr>
          <w:rFonts w:ascii="Times New Roman" w:eastAsia="Times New Roman" w:hAnsi="Times New Roman" w:cs="Times New Roman"/>
          <w:sz w:val="22"/>
          <w:szCs w:val="22"/>
          <w:lang w:val="lt-LT"/>
        </w:rPr>
      </w:pPr>
    </w:p>
    <w:p w14:paraId="31DD1DD0" w14:textId="591A1764" w:rsidR="00071CFE" w:rsidRDefault="00261A5A"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stosuje się również w leczeniu dorosłych chorych na zaawansowanego</w:t>
      </w:r>
      <w:r w:rsidR="00722F71">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niedrobnokomórkowego raka płuca. Lek </w:t>
      </w:r>
      <w:r w:rsidR="00722F71">
        <w:rPr>
          <w:rFonts w:ascii="Times New Roman" w:eastAsia="Times New Roman" w:hAnsi="Times New Roman" w:cs="Times New Roman"/>
          <w:sz w:val="22"/>
          <w:szCs w:val="22"/>
          <w:lang w:val="lt-LT"/>
        </w:rPr>
        <w:t>jest</w:t>
      </w:r>
      <w:r w:rsidR="00071CFE" w:rsidRPr="00741122">
        <w:rPr>
          <w:rFonts w:ascii="Times New Roman" w:eastAsia="Times New Roman" w:hAnsi="Times New Roman" w:cs="Times New Roman"/>
          <w:sz w:val="22"/>
          <w:szCs w:val="22"/>
          <w:lang w:val="lt-LT"/>
        </w:rPr>
        <w:t xml:space="preserve"> podawany łącznie ze schematem chemioterapii obejmującym stosowanie platyny.</w:t>
      </w:r>
    </w:p>
    <w:p w14:paraId="59002A7F" w14:textId="77777777" w:rsidR="00875900" w:rsidRPr="004751D6" w:rsidRDefault="00875900" w:rsidP="001B794B">
      <w:pPr>
        <w:rPr>
          <w:rFonts w:ascii="Times New Roman" w:eastAsia="Times New Roman" w:hAnsi="Times New Roman" w:cs="Times New Roman"/>
          <w:sz w:val="22"/>
          <w:szCs w:val="22"/>
          <w:lang w:val="lt-LT"/>
        </w:rPr>
      </w:pPr>
    </w:p>
    <w:p w14:paraId="3599FF58" w14:textId="779C556A" w:rsidR="00875900" w:rsidRPr="004751D6" w:rsidRDefault="00875900" w:rsidP="001B794B">
      <w:pPr>
        <w:rPr>
          <w:rFonts w:ascii="Times New Roman" w:eastAsia="Times New Roman" w:hAnsi="Times New Roman" w:cs="Times New Roman"/>
          <w:sz w:val="22"/>
          <w:szCs w:val="22"/>
          <w:lang w:val="lt-LT"/>
        </w:rPr>
      </w:pPr>
      <w:r w:rsidRPr="004751D6">
        <w:rPr>
          <w:rFonts w:ascii="Times New Roman" w:eastAsia="Times New Roman" w:hAnsi="Times New Roman" w:cs="Times New Roman"/>
          <w:sz w:val="22"/>
          <w:szCs w:val="22"/>
          <w:lang w:val="lt-LT"/>
        </w:rPr>
        <w:t xml:space="preserve">MVASI </w:t>
      </w:r>
      <w:r w:rsidR="00D10A10" w:rsidRPr="001E2C6A">
        <w:rPr>
          <w:rFonts w:ascii="Times New Roman" w:hAnsi="Times New Roman" w:cs="Times New Roman"/>
          <w:sz w:val="22"/>
          <w:szCs w:val="22"/>
          <w:lang w:val="pl-PL"/>
        </w:rPr>
        <w:t>stosuje się również w leczeniu dorosłych chorych na zaawansowanego niedrobnokomórkowego raka płuca, jeśli komórki nowotworu wykazują określone mutacje białka nazywanego receptorem naskórkowego czynnika wzrostu (EGFR). Lek jest podawany w skojarzeniu z erlotynibem.</w:t>
      </w:r>
    </w:p>
    <w:p w14:paraId="0ACD8BC8" w14:textId="77777777" w:rsidR="00071CFE" w:rsidRPr="00741122" w:rsidRDefault="00071CFE" w:rsidP="001B794B">
      <w:pPr>
        <w:rPr>
          <w:rFonts w:ascii="Times New Roman" w:eastAsia="Times New Roman" w:hAnsi="Times New Roman" w:cs="Times New Roman"/>
          <w:sz w:val="22"/>
          <w:szCs w:val="22"/>
          <w:lang w:val="lt-LT"/>
        </w:rPr>
      </w:pPr>
    </w:p>
    <w:p w14:paraId="0A783B9F" w14:textId="77777777" w:rsidR="00071CFE" w:rsidRPr="00741122" w:rsidRDefault="00261A5A"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stosuje się również w leczeniu dorosłych chorych na zaawansowanego raka nerki. Podczas leczenia pacjentów z zaawansowanym rakiem nerki lek podaje się jednocześnie z lekiem o nazwie interferon.</w:t>
      </w:r>
    </w:p>
    <w:p w14:paraId="4193EC92" w14:textId="77777777" w:rsidR="00071CFE" w:rsidRPr="00741122" w:rsidRDefault="00071CFE" w:rsidP="001B794B">
      <w:pPr>
        <w:rPr>
          <w:rFonts w:ascii="Times New Roman" w:eastAsia="Times New Roman" w:hAnsi="Times New Roman" w:cs="Times New Roman"/>
          <w:sz w:val="22"/>
          <w:szCs w:val="22"/>
          <w:lang w:val="lt-LT"/>
        </w:rPr>
      </w:pPr>
    </w:p>
    <w:p w14:paraId="62E78483" w14:textId="77777777" w:rsidR="00071CFE" w:rsidRPr="00741122" w:rsidRDefault="00261A5A" w:rsidP="001B794B">
      <w:pPr>
        <w:rPr>
          <w:rFonts w:ascii="Times New Roman" w:eastAsia="Times New Roman" w:hAnsi="Times New Roman" w:cs="Times New Roman"/>
          <w:sz w:val="22"/>
          <w:szCs w:val="22"/>
          <w:lang w:val="lt-LT"/>
        </w:rPr>
      </w:pPr>
      <w:bookmarkStart w:id="102" w:name="page73"/>
      <w:bookmarkEnd w:id="102"/>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również stosowany w leczeniu dorosłych chorych na zaawansowanego raka jajnika, raka jajowodu lub pierwotnego raka otrzewnej. U pacjentek z rakiem jajnika, rakiem jajowodu lub pierwotnym rakiem otrzewnej lek jest podawany w skojarzeniu z karboplatyną i paklitakselem.</w:t>
      </w:r>
    </w:p>
    <w:p w14:paraId="66D38FDF" w14:textId="77777777" w:rsidR="00071CFE" w:rsidRPr="00741122" w:rsidRDefault="00071CFE" w:rsidP="001B794B">
      <w:pPr>
        <w:rPr>
          <w:rFonts w:ascii="Times New Roman" w:eastAsia="Times New Roman" w:hAnsi="Times New Roman" w:cs="Times New Roman"/>
          <w:sz w:val="22"/>
          <w:szCs w:val="22"/>
          <w:lang w:val="lt-LT"/>
        </w:rPr>
      </w:pPr>
    </w:p>
    <w:p w14:paraId="5D4348A2" w14:textId="77777777"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dorosłych chorych na zaawansowanego raka jajnika, raka jajowodu lub pierwotnego raka otrzewnej, u których doszło do nawrotu choroby co najmniej po 6 miesiącach od czasu, kiedy po raz ostatni otrzymali chemioterapię zawierającą pochodną platyny,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t>
      </w:r>
      <w:r w:rsidR="00722F71">
        <w:rPr>
          <w:rFonts w:ascii="Times New Roman" w:eastAsia="Times New Roman" w:hAnsi="Times New Roman" w:cs="Times New Roman"/>
          <w:sz w:val="22"/>
          <w:szCs w:val="22"/>
          <w:lang w:val="lt-LT"/>
        </w:rPr>
        <w:t>jest</w:t>
      </w:r>
      <w:r w:rsidRPr="00741122">
        <w:rPr>
          <w:rFonts w:ascii="Times New Roman" w:eastAsia="Times New Roman" w:hAnsi="Times New Roman" w:cs="Times New Roman"/>
          <w:sz w:val="22"/>
          <w:szCs w:val="22"/>
          <w:lang w:val="lt-LT"/>
        </w:rPr>
        <w:t xml:space="preserve"> podawany jednocześnie z karboplatyną lub gemcytabiną lub z karboplatyną i paklitakselem.</w:t>
      </w:r>
    </w:p>
    <w:p w14:paraId="79465AE5" w14:textId="77777777" w:rsidR="00071CFE" w:rsidRPr="00741122" w:rsidRDefault="00071CFE" w:rsidP="001B794B">
      <w:pPr>
        <w:rPr>
          <w:rFonts w:ascii="Times New Roman" w:eastAsia="Times New Roman" w:hAnsi="Times New Roman" w:cs="Times New Roman"/>
          <w:sz w:val="22"/>
          <w:szCs w:val="22"/>
          <w:lang w:val="lt-LT"/>
        </w:rPr>
      </w:pPr>
    </w:p>
    <w:p w14:paraId="1B1A008D" w14:textId="4C7A0548" w:rsidR="00071CFE" w:rsidRPr="00741122" w:rsidRDefault="00071CFE" w:rsidP="001B794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U dorosłych chorych na zaawansowanego raka jajnika, raka jajowodu lub pierwotnego raka otrzewnej, u których doszło do nawrotu choroby przed upływem 6 miesięcy od czasu, kiedy po raz ostatni otrzymali chemioterapię zawierającą pochodną platyny,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t>
      </w:r>
      <w:r w:rsidR="00090103">
        <w:rPr>
          <w:rFonts w:ascii="Times New Roman" w:eastAsia="Times New Roman" w:hAnsi="Times New Roman" w:cs="Times New Roman"/>
          <w:sz w:val="22"/>
          <w:szCs w:val="22"/>
          <w:lang w:val="lt-LT"/>
        </w:rPr>
        <w:t>jest</w:t>
      </w:r>
      <w:r w:rsidRPr="00741122">
        <w:rPr>
          <w:rFonts w:ascii="Times New Roman" w:eastAsia="Times New Roman" w:hAnsi="Times New Roman" w:cs="Times New Roman"/>
          <w:sz w:val="22"/>
          <w:szCs w:val="22"/>
          <w:lang w:val="lt-LT"/>
        </w:rPr>
        <w:t xml:space="preserve"> podawany w skojarzeniu z</w:t>
      </w:r>
      <w:r w:rsidR="000F02D1">
        <w:rPr>
          <w:rFonts w:ascii="Times New Roman" w:eastAsia="Times New Roman" w:hAnsi="Times New Roman" w:cs="Times New Roman"/>
          <w:sz w:val="22"/>
          <w:szCs w:val="22"/>
          <w:lang w:val="lt-LT"/>
        </w:rPr>
        <w:t xml:space="preserve"> paklitakselem lub</w:t>
      </w:r>
      <w:r w:rsidRPr="00741122">
        <w:rPr>
          <w:rFonts w:ascii="Times New Roman" w:eastAsia="Times New Roman" w:hAnsi="Times New Roman" w:cs="Times New Roman"/>
          <w:sz w:val="22"/>
          <w:szCs w:val="22"/>
          <w:lang w:val="lt-LT"/>
        </w:rPr>
        <w:t xml:space="preserve"> topotekanem lub pegylowaną liposomalną doksorubicyną.</w:t>
      </w:r>
    </w:p>
    <w:p w14:paraId="4F93D05A" w14:textId="77777777" w:rsidR="00071CFE" w:rsidRPr="00741122" w:rsidRDefault="00071CFE" w:rsidP="001B794B">
      <w:pPr>
        <w:rPr>
          <w:rFonts w:ascii="Times New Roman" w:eastAsia="Times New Roman" w:hAnsi="Times New Roman" w:cs="Times New Roman"/>
          <w:sz w:val="22"/>
          <w:szCs w:val="22"/>
          <w:lang w:val="lt-LT"/>
        </w:rPr>
      </w:pPr>
    </w:p>
    <w:p w14:paraId="74ACF032" w14:textId="77777777" w:rsidR="00071CFE" w:rsidRPr="00741122" w:rsidRDefault="00261A5A" w:rsidP="001B794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stosuje się również w leczeniu dorosłych chorych na przetrwałego, nawrotowego lub przerzutowego raka szyjki macicy. </w:t>
      </w: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stosowany w skojarzeniu z paklitakselem i cisplatyną lub alternatywnie z paklitakselem i topotekanem u chorych</w:t>
      </w:r>
      <w:r w:rsidR="00E47D8C">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któr</w:t>
      </w:r>
      <w:r w:rsidR="00E47D8C">
        <w:rPr>
          <w:rFonts w:ascii="Times New Roman" w:eastAsia="Times New Roman" w:hAnsi="Times New Roman" w:cs="Times New Roman"/>
          <w:sz w:val="22"/>
          <w:szCs w:val="22"/>
          <w:lang w:val="lt-LT"/>
        </w:rPr>
        <w:t>zy</w:t>
      </w:r>
      <w:r w:rsidR="00071CFE" w:rsidRPr="00741122">
        <w:rPr>
          <w:rFonts w:ascii="Times New Roman" w:eastAsia="Times New Roman" w:hAnsi="Times New Roman" w:cs="Times New Roman"/>
          <w:sz w:val="22"/>
          <w:szCs w:val="22"/>
          <w:lang w:val="lt-LT"/>
        </w:rPr>
        <w:t xml:space="preserve"> nie mogą być lecze</w:t>
      </w:r>
      <w:r w:rsidR="00E47D8C">
        <w:rPr>
          <w:rFonts w:ascii="Times New Roman" w:eastAsia="Times New Roman" w:hAnsi="Times New Roman" w:cs="Times New Roman"/>
          <w:sz w:val="22"/>
          <w:szCs w:val="22"/>
          <w:lang w:val="lt-LT"/>
        </w:rPr>
        <w:t>ni</w:t>
      </w:r>
      <w:r w:rsidR="00071CFE" w:rsidRPr="00741122">
        <w:rPr>
          <w:rFonts w:ascii="Times New Roman" w:eastAsia="Times New Roman" w:hAnsi="Times New Roman" w:cs="Times New Roman"/>
          <w:sz w:val="22"/>
          <w:szCs w:val="22"/>
          <w:lang w:val="lt-LT"/>
        </w:rPr>
        <w:t xml:space="preserve"> związkami platyny.</w:t>
      </w:r>
    </w:p>
    <w:p w14:paraId="2987B6C3" w14:textId="77777777" w:rsidR="00071CFE" w:rsidRPr="00741122" w:rsidRDefault="00071CFE" w:rsidP="001B794B">
      <w:pPr>
        <w:rPr>
          <w:rFonts w:ascii="Times New Roman" w:eastAsia="Times New Roman" w:hAnsi="Times New Roman" w:cs="Times New Roman"/>
          <w:sz w:val="22"/>
          <w:szCs w:val="22"/>
          <w:lang w:val="lt-LT"/>
        </w:rPr>
      </w:pPr>
    </w:p>
    <w:p w14:paraId="567B0F69" w14:textId="77777777" w:rsidR="00071CFE" w:rsidRPr="00741122" w:rsidRDefault="00071CFE" w:rsidP="001B794B">
      <w:pPr>
        <w:rPr>
          <w:rFonts w:ascii="Times New Roman" w:eastAsia="Times New Roman" w:hAnsi="Times New Roman" w:cs="Times New Roman"/>
          <w:sz w:val="22"/>
          <w:szCs w:val="22"/>
          <w:lang w:val="lt-LT"/>
        </w:rPr>
      </w:pPr>
    </w:p>
    <w:p w14:paraId="4A0B0E4E" w14:textId="77777777" w:rsidR="00071CFE" w:rsidRPr="00741122" w:rsidRDefault="00071CFE" w:rsidP="001B794B">
      <w:pPr>
        <w:numPr>
          <w:ilvl w:val="0"/>
          <w:numId w:val="43"/>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Informacje ważne przed zastosowaniem leku </w:t>
      </w:r>
      <w:r w:rsidR="00261A5A">
        <w:rPr>
          <w:rFonts w:ascii="Times New Roman" w:eastAsia="Times New Roman" w:hAnsi="Times New Roman" w:cs="Times New Roman"/>
          <w:b/>
          <w:sz w:val="22"/>
          <w:szCs w:val="22"/>
          <w:lang w:val="lt-LT"/>
        </w:rPr>
        <w:t>MVASI</w:t>
      </w:r>
    </w:p>
    <w:p w14:paraId="2530940A" w14:textId="77777777" w:rsidR="00071CFE" w:rsidRPr="00741122" w:rsidRDefault="00071CFE" w:rsidP="001B794B">
      <w:pPr>
        <w:rPr>
          <w:rFonts w:ascii="Times New Roman" w:eastAsia="Times New Roman" w:hAnsi="Times New Roman" w:cs="Times New Roman"/>
          <w:sz w:val="22"/>
          <w:szCs w:val="22"/>
          <w:lang w:val="lt-LT"/>
        </w:rPr>
      </w:pPr>
    </w:p>
    <w:p w14:paraId="2FD0E4A9" w14:textId="191F1AAE" w:rsidR="00071CFE" w:rsidRDefault="00071CFE" w:rsidP="001B794B">
      <w:pPr>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Kiedy nie stosować leku </w:t>
      </w:r>
      <w:r w:rsidR="00261A5A">
        <w:rPr>
          <w:rFonts w:ascii="Times New Roman" w:eastAsia="Times New Roman" w:hAnsi="Times New Roman" w:cs="Times New Roman"/>
          <w:b/>
          <w:sz w:val="22"/>
          <w:szCs w:val="22"/>
          <w:lang w:val="lt-LT"/>
        </w:rPr>
        <w:t>MVASI</w:t>
      </w:r>
    </w:p>
    <w:p w14:paraId="7BE0F3D1" w14:textId="77777777" w:rsidR="00346047" w:rsidRPr="00741122" w:rsidRDefault="00346047" w:rsidP="001B794B">
      <w:pPr>
        <w:rPr>
          <w:rFonts w:ascii="Times New Roman" w:eastAsia="Times New Roman" w:hAnsi="Times New Roman" w:cs="Times New Roman"/>
          <w:b/>
          <w:sz w:val="22"/>
          <w:szCs w:val="22"/>
          <w:lang w:val="lt-LT"/>
        </w:rPr>
      </w:pPr>
    </w:p>
    <w:p w14:paraId="7FF6A39D" w14:textId="5C5B8208" w:rsidR="00071CFE" w:rsidRPr="00741122" w:rsidRDefault="00071CFE" w:rsidP="00C968E9">
      <w:pPr>
        <w:numPr>
          <w:ilvl w:val="0"/>
          <w:numId w:val="94"/>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 xml:space="preserve">jeśli pacjent ma uczulenie </w:t>
      </w:r>
      <w:r w:rsidR="00202B1C">
        <w:rPr>
          <w:rFonts w:ascii="Times New Roman" w:eastAsia="Times New Roman" w:hAnsi="Times New Roman" w:cs="Times New Roman"/>
          <w:sz w:val="22"/>
          <w:szCs w:val="22"/>
          <w:lang w:val="lt-LT"/>
        </w:rPr>
        <w:t xml:space="preserve">(nadwrażliwość) </w:t>
      </w:r>
      <w:r w:rsidRPr="00741122">
        <w:rPr>
          <w:rFonts w:ascii="Times New Roman" w:eastAsia="Times New Roman" w:hAnsi="Times New Roman" w:cs="Times New Roman"/>
          <w:sz w:val="22"/>
          <w:szCs w:val="22"/>
          <w:lang w:val="lt-LT"/>
        </w:rPr>
        <w:t>na bewacyzumab lub na którykolwiek z pozostałych składników tego leku (wymienione w punkcie 6).</w:t>
      </w:r>
    </w:p>
    <w:p w14:paraId="33EFC6A1" w14:textId="77777777" w:rsidR="00071CFE" w:rsidRPr="00741122" w:rsidRDefault="00071CFE" w:rsidP="00C968E9">
      <w:pPr>
        <w:numPr>
          <w:ilvl w:val="0"/>
          <w:numId w:val="94"/>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jeśli u pacjenta stwierdzono uczulenie (nadwrażliwość) na produkty wytwarzane z komórek jajnika chomika chińskiego (CHO) lub inne rekombinowane ludzkie lub humanizowane przeciwciała.</w:t>
      </w:r>
    </w:p>
    <w:p w14:paraId="10A3ED6D" w14:textId="77777777" w:rsidR="00071CFE" w:rsidRPr="00741122" w:rsidRDefault="00071CFE" w:rsidP="00C968E9">
      <w:pPr>
        <w:numPr>
          <w:ilvl w:val="0"/>
          <w:numId w:val="94"/>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jeśli pacjentka jest w ciąży.</w:t>
      </w:r>
    </w:p>
    <w:p w14:paraId="7BD82764" w14:textId="77777777" w:rsidR="00071CFE" w:rsidRPr="00741122" w:rsidRDefault="00071CFE" w:rsidP="001B794B">
      <w:pPr>
        <w:rPr>
          <w:rFonts w:ascii="Times New Roman" w:eastAsia="Times New Roman" w:hAnsi="Times New Roman" w:cs="Times New Roman"/>
          <w:sz w:val="22"/>
          <w:szCs w:val="22"/>
          <w:lang w:val="lt-LT"/>
        </w:rPr>
      </w:pPr>
    </w:p>
    <w:p w14:paraId="2E6C1B65" w14:textId="77777777" w:rsidR="00071CFE" w:rsidRPr="00A4420B" w:rsidRDefault="00071CFE" w:rsidP="001B794B">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O</w:t>
      </w:r>
      <w:r w:rsidR="00A4420B">
        <w:rPr>
          <w:rFonts w:ascii="Times New Roman" w:eastAsia="Times New Roman" w:hAnsi="Times New Roman" w:cs="Times New Roman"/>
          <w:b/>
          <w:sz w:val="22"/>
          <w:szCs w:val="22"/>
          <w:lang w:val="lt-LT"/>
        </w:rPr>
        <w:t>strzeżenia i środki ostrożności</w:t>
      </w:r>
    </w:p>
    <w:p w14:paraId="0463B31C" w14:textId="77777777" w:rsidR="00346047" w:rsidRDefault="00346047" w:rsidP="001B794B">
      <w:pPr>
        <w:ind w:left="2" w:right="1000"/>
        <w:rPr>
          <w:rFonts w:ascii="Times New Roman" w:eastAsia="Times New Roman" w:hAnsi="Times New Roman" w:cs="Times New Roman"/>
          <w:sz w:val="22"/>
          <w:szCs w:val="22"/>
          <w:lang w:val="lt-LT"/>
        </w:rPr>
      </w:pPr>
    </w:p>
    <w:p w14:paraId="7FDADC3C" w14:textId="77777777" w:rsidR="00071CFE" w:rsidRPr="00741122" w:rsidRDefault="00071CFE" w:rsidP="001B794B">
      <w:pPr>
        <w:ind w:left="2" w:right="100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Przed rozpoczęciem stosowania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należy zwrócić się do lekarza, farmaceuty lub pielęgniarki:</w:t>
      </w:r>
    </w:p>
    <w:p w14:paraId="0A3FEA4D" w14:textId="77777777" w:rsidR="00071CFE" w:rsidRPr="00741122" w:rsidRDefault="00071CFE" w:rsidP="001B794B">
      <w:pPr>
        <w:rPr>
          <w:rFonts w:ascii="Times New Roman" w:eastAsia="Times New Roman" w:hAnsi="Times New Roman" w:cs="Times New Roman"/>
          <w:sz w:val="22"/>
          <w:szCs w:val="22"/>
          <w:lang w:val="lt-LT"/>
        </w:rPr>
      </w:pPr>
    </w:p>
    <w:p w14:paraId="510C533B" w14:textId="77777777" w:rsidR="00071CFE" w:rsidRPr="00741122" w:rsidRDefault="00261A5A" w:rsidP="00C968E9">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zwiększyć ryzyko wystąpienia perforacji (przedziurawienia) jelita. Należy poinformować lekarza, jeśli u pacjenta rozpoznano choroby powodujące zmiany zapalne w obrębie jamy brzusznej (np. zapalenie uchyłka, wrzody żołądka, zapalenie jelit związane z chemioterapią).</w:t>
      </w:r>
    </w:p>
    <w:p w14:paraId="60E1CE4E" w14:textId="77777777" w:rsidR="00071CFE" w:rsidRPr="00741122" w:rsidRDefault="00261A5A" w:rsidP="00C968E9">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zwiększać ryzyko powstania nieprawidłowych połączeń pomiędzy organami lub naczyniami. Ryzyko wystąpienia połączeń pomiędzy pochwą i jakąkolwiek częścią jelit może się zwiększyć u chorych na przetrwałego, nawrotowego lub przerzutowego raka szyjki macicy.</w:t>
      </w:r>
    </w:p>
    <w:p w14:paraId="51B4784D" w14:textId="77777777" w:rsidR="00071CFE" w:rsidRPr="00741122" w:rsidRDefault="005C3FED" w:rsidP="00C968E9">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zwiększyć ryzyko krwawienia po zabiegu lub zwiększyć ryzyko opóźnienia gojenia ran po zabiegu chirurgicznym. Gdy planowany jest u pacjenta zabieg chirurgiczny lub</w:t>
      </w:r>
      <w:r w:rsidR="00090103">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jeśli pacjent miał większy zabieg chirurgiczny w ciągu ostatnich 28 dni</w:t>
      </w:r>
      <w:r w:rsidR="00090103">
        <w:rPr>
          <w:rFonts w:ascii="Times New Roman" w:eastAsia="Times New Roman" w:hAnsi="Times New Roman" w:cs="Times New Roman"/>
          <w:sz w:val="22"/>
          <w:szCs w:val="22"/>
          <w:lang w:val="lt-LT"/>
        </w:rPr>
        <w:t>,</w:t>
      </w:r>
      <w:r w:rsidR="00071CFE" w:rsidRPr="00741122">
        <w:rPr>
          <w:rFonts w:ascii="Times New Roman" w:eastAsia="Times New Roman" w:hAnsi="Times New Roman" w:cs="Times New Roman"/>
          <w:sz w:val="22"/>
          <w:szCs w:val="22"/>
          <w:lang w:val="lt-LT"/>
        </w:rPr>
        <w:t xml:space="preserve"> lub jeśli u pacjenta nie wygoiły się jeszcze rany po operacji, nie należy stosować leku </w:t>
      </w:r>
      <w:r w:rsidR="00261A5A">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w:t>
      </w:r>
    </w:p>
    <w:p w14:paraId="13780661" w14:textId="77777777" w:rsidR="00071CFE" w:rsidRPr="00741122" w:rsidRDefault="00261A5A" w:rsidP="00C968E9">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zwiększać ryzyko wystąpienia ciężkiego zakażenia skóry lub tkanek położonych głębiej pod skórą, szczególnie w przypadku przedziurawienia jelita lub problemów dotyczących gojenia ran.</w:t>
      </w:r>
    </w:p>
    <w:p w14:paraId="7E9979FF" w14:textId="77777777" w:rsidR="00071CFE" w:rsidRPr="00741122" w:rsidRDefault="00261A5A" w:rsidP="00EA799D">
      <w:pPr>
        <w:numPr>
          <w:ilvl w:val="0"/>
          <w:numId w:val="95"/>
        </w:numPr>
        <w:tabs>
          <w:tab w:val="left" w:pos="562"/>
        </w:tabs>
        <w:ind w:left="567" w:hanging="567"/>
        <w:rPr>
          <w:rFonts w:ascii="Times New Roman" w:eastAsia="Arial" w:hAnsi="Times New Roman" w:cs="Times New Roman"/>
          <w:sz w:val="22"/>
          <w:szCs w:val="22"/>
          <w:lang w:val="lt-LT"/>
        </w:rPr>
      </w:pPr>
      <w:bookmarkStart w:id="103" w:name="page74"/>
      <w:bookmarkEnd w:id="103"/>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zwiększać częstość występowania nadciśnienia tętniczego. Jeśli u pacjenta stwierdzono nadciśnienie (podwyższone ciśnienie krwi), które nie jest dobrze kontrolowane lekami przeciwnadciśnieniowymi, należy skonsultować to z lekarzem, ponieważ jest istotne, aby przed rozpoczęciem leczenia lekiem </w:t>
      </w: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lekarz upewnił się, czy ciśnienie tętnicze krwi jest dobrze kontrolowane.</w:t>
      </w:r>
    </w:p>
    <w:p w14:paraId="60EA25C5" w14:textId="77777777" w:rsidR="00071CFE" w:rsidRPr="00741122" w:rsidRDefault="005C3FED" w:rsidP="00EA799D">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zwiększać ryzyko pojawienia się białka w moczu, szczególnie, jeśli pacjent choruje na nadciśnienie.</w:t>
      </w:r>
    </w:p>
    <w:p w14:paraId="11B7D368" w14:textId="77777777" w:rsidR="00071CFE" w:rsidRPr="00741122" w:rsidRDefault="00071CFE" w:rsidP="00EA799D">
      <w:pPr>
        <w:numPr>
          <w:ilvl w:val="0"/>
          <w:numId w:val="95"/>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Ryzyko wystąpienia zakrzepów w tętnicach (rodzaj naczyń krwionośnych) może być zwiększone</w:t>
      </w:r>
      <w:r w:rsidR="00090103">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jeśli pacjent ma ponad 65 lat, ma cukrzycę lub występowały u niego zakrzepy w tętnicach w przeszłości. Należy powiedzieć o tym lekarzowi, ponieważ zakrzepy w tętnicach mogą spowodować zawał serca i udar mózgu.</w:t>
      </w:r>
    </w:p>
    <w:p w14:paraId="5435F247" w14:textId="77777777" w:rsidR="00071CFE" w:rsidRPr="00741122" w:rsidRDefault="00261A5A" w:rsidP="00EA799D">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lastRenderedPageBreak/>
        <w:t>MVASI</w:t>
      </w:r>
      <w:r w:rsidR="00071CFE" w:rsidRPr="00741122">
        <w:rPr>
          <w:rFonts w:ascii="Times New Roman" w:eastAsia="Times New Roman" w:hAnsi="Times New Roman" w:cs="Times New Roman"/>
          <w:sz w:val="22"/>
          <w:szCs w:val="22"/>
          <w:lang w:val="lt-LT"/>
        </w:rPr>
        <w:t xml:space="preserve"> może zwiększać ryzyko wystąpienia zakrzepów w żyłach (rodzaj naczyń krwionośnych).</w:t>
      </w:r>
    </w:p>
    <w:p w14:paraId="349C8228" w14:textId="77777777" w:rsidR="00071CFE" w:rsidRPr="00741122" w:rsidRDefault="003307C0" w:rsidP="00EA799D">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 xml:space="preserve">MVASI </w:t>
      </w:r>
      <w:r w:rsidR="00071CFE" w:rsidRPr="00741122">
        <w:rPr>
          <w:rFonts w:ascii="Times New Roman" w:eastAsia="Times New Roman" w:hAnsi="Times New Roman" w:cs="Times New Roman"/>
          <w:sz w:val="22"/>
          <w:szCs w:val="22"/>
          <w:lang w:val="lt-LT"/>
        </w:rPr>
        <w:t>może powodować krwawienie, zwłaszcza krwawienie związane z guzem. Należy powiedzieć lekarzowi, jeśli u pacjenta lub w jego rodzinie występuje skłonność do problemów z krwawieniem lub z jakiegokolwiek powodu przyjmowane są leki przeciwko tworzeniu się zakrzepów krwi w naczyniach.</w:t>
      </w:r>
    </w:p>
    <w:p w14:paraId="733A15BD" w14:textId="77777777" w:rsidR="00071CFE" w:rsidRPr="00741122" w:rsidRDefault="00071CFE" w:rsidP="00EA799D">
      <w:pPr>
        <w:numPr>
          <w:ilvl w:val="0"/>
          <w:numId w:val="95"/>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 xml:space="preserve">Jest możliwe, że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może zwiększyć ryzyko krwawienia w mózgu i wokół niego. Należy powiedzieć lekarzowi, jeśli u pacjenta zdiagnozowano przerzut nowotworu do mózgu.</w:t>
      </w:r>
    </w:p>
    <w:p w14:paraId="1660F25E" w14:textId="77777777" w:rsidR="00071CFE" w:rsidRPr="00741122" w:rsidRDefault="00071CFE" w:rsidP="00EA799D">
      <w:pPr>
        <w:numPr>
          <w:ilvl w:val="0"/>
          <w:numId w:val="95"/>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Jest możliwe, że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może zwiększyć ryzyko krwawienia w płucach, łącznie</w:t>
      </w:r>
      <w:r w:rsidR="007B72CF"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z odkrztuszaniem lub pluciem krwią. Należy powiedzieć lekarzowi, jeśli pacjent wcześniej zauważył takie objawy.</w:t>
      </w:r>
    </w:p>
    <w:p w14:paraId="203EB99F" w14:textId="77777777" w:rsidR="00071CFE" w:rsidRPr="00741122" w:rsidRDefault="00261A5A" w:rsidP="00EA799D">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zwiększać ryzyko zaburzeń czynności serca. Jest ważne, aby lekarz wiedział, czy pacjent kiedykolwiek otrzymywał antracykliny (np. doksorubicynę - specjalną chemioterapię wykorzystywaną w leczeniu niektórych nowotworów), był poddawany radioterapii klatki piersiowej lub miał chorobę serca.</w:t>
      </w:r>
    </w:p>
    <w:p w14:paraId="2163C874" w14:textId="77777777" w:rsidR="00071CFE" w:rsidRPr="00741122" w:rsidRDefault="003307C0" w:rsidP="00EA799D">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powodować zakażenia oraz zmniejszać liczbę neutrofili (jednego z typów białych krwinek, które chronią organizm przed zakażeniami).</w:t>
      </w:r>
    </w:p>
    <w:p w14:paraId="0C0DCCC1" w14:textId="77835431" w:rsidR="00071CFE" w:rsidRPr="00741122" w:rsidRDefault="00071CFE" w:rsidP="00EA799D">
      <w:pPr>
        <w:numPr>
          <w:ilvl w:val="0"/>
          <w:numId w:val="95"/>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 xml:space="preserve">Jest możliwe, że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może powodować nadwrażliwość </w:t>
      </w:r>
      <w:r w:rsidR="00F8036C">
        <w:rPr>
          <w:rFonts w:ascii="Times New Roman" w:eastAsia="Times New Roman" w:hAnsi="Times New Roman" w:cs="Times New Roman"/>
          <w:sz w:val="22"/>
          <w:szCs w:val="22"/>
          <w:lang w:val="lt-LT"/>
        </w:rPr>
        <w:t xml:space="preserve">(w tym wstrząs anafilaktyczny) </w:t>
      </w:r>
      <w:r w:rsidRPr="00741122">
        <w:rPr>
          <w:rFonts w:ascii="Times New Roman" w:eastAsia="Times New Roman" w:hAnsi="Times New Roman" w:cs="Times New Roman"/>
          <w:sz w:val="22"/>
          <w:szCs w:val="22"/>
          <w:lang w:val="lt-LT"/>
        </w:rPr>
        <w:t>i (lub) reakcje podczas wlewu (reakcje związane z wstrzyknięciem leku). Należy powiedzieć lekarzowi, farmaceucie lub pielęgniarce, jeśli pacjent miał w przeszłości kłopoty po wstrzyknięciu leku, takie jak zawroty głowy/ uczucie omdlenia, duszność, obrzęk lub wysypka na skórze.</w:t>
      </w:r>
    </w:p>
    <w:p w14:paraId="0874CDF3" w14:textId="77777777" w:rsidR="00071CFE" w:rsidRPr="00FF158E" w:rsidRDefault="00071CFE" w:rsidP="00EA799D">
      <w:pPr>
        <w:numPr>
          <w:ilvl w:val="0"/>
          <w:numId w:val="95"/>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Objawy rzadkiej choroby neurologicznej zwanej zespołem odwracalnej</w:t>
      </w:r>
      <w:r w:rsidR="00B15CC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tylnej encefalopatii (PRES) były powiązane z leczeniem lekiem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Jeśli u pacjenta występują bóle głowy, zaburzenia widzenia, stany splątania lub napady drgawkowe z towarzyszącym wysokim ciśnieniem tętniczym lub bez</w:t>
      </w:r>
      <w:r w:rsidR="00E47D8C">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należy skontaktować się z lekarzem prowadzącym.</w:t>
      </w:r>
    </w:p>
    <w:p w14:paraId="040DA1D9" w14:textId="77777777" w:rsidR="00B477D9" w:rsidRPr="0038156C" w:rsidRDefault="001B6E0A" w:rsidP="00023583">
      <w:pPr>
        <w:numPr>
          <w:ilvl w:val="0"/>
          <w:numId w:val="95"/>
        </w:numPr>
        <w:tabs>
          <w:tab w:val="left" w:pos="562"/>
        </w:tabs>
        <w:ind w:left="567" w:hanging="567"/>
        <w:rPr>
          <w:rFonts w:ascii="Times New Roman" w:eastAsia="Arial" w:hAnsi="Times New Roman" w:cs="Times New Roman"/>
          <w:sz w:val="22"/>
          <w:szCs w:val="22"/>
          <w:lang w:val="lt-LT"/>
        </w:rPr>
      </w:pPr>
      <w:r>
        <w:rPr>
          <w:rFonts w:ascii="Times New Roman" w:eastAsia="Times New Roman" w:hAnsi="Times New Roman" w:cs="Times New Roman"/>
          <w:sz w:val="22"/>
          <w:szCs w:val="22"/>
          <w:lang w:val="lt-LT"/>
        </w:rPr>
        <w:t>J</w:t>
      </w:r>
      <w:r w:rsidR="00B477D9" w:rsidRPr="00FF158E">
        <w:rPr>
          <w:rFonts w:ascii="Times New Roman" w:eastAsia="Times New Roman" w:hAnsi="Times New Roman" w:cs="Times New Roman"/>
          <w:sz w:val="22"/>
          <w:szCs w:val="22"/>
          <w:lang w:val="lt-LT"/>
        </w:rPr>
        <w:t>eśli pacjent ma lub w przeszłości miał tętniaka (powiększenie i osłabienie ściany naczynia krwionośnego) lub rozdarcie ściany naczynia krwionośnego</w:t>
      </w:r>
      <w:r w:rsidR="0038156C">
        <w:rPr>
          <w:rFonts w:ascii="Times New Roman" w:eastAsia="Times New Roman" w:hAnsi="Times New Roman" w:cs="Times New Roman"/>
          <w:sz w:val="22"/>
          <w:szCs w:val="22"/>
          <w:lang w:val="lt-LT"/>
        </w:rPr>
        <w:t>.</w:t>
      </w:r>
    </w:p>
    <w:p w14:paraId="1A06A8A6" w14:textId="77777777" w:rsidR="00071CFE" w:rsidRPr="00741122" w:rsidRDefault="00071CFE" w:rsidP="0023471C">
      <w:pPr>
        <w:ind w:left="567" w:hanging="567"/>
        <w:rPr>
          <w:rFonts w:ascii="Times New Roman" w:eastAsia="Times New Roman" w:hAnsi="Times New Roman" w:cs="Times New Roman"/>
          <w:sz w:val="22"/>
          <w:szCs w:val="22"/>
          <w:lang w:val="lt-LT"/>
        </w:rPr>
      </w:pPr>
    </w:p>
    <w:p w14:paraId="0C809F3B" w14:textId="77777777" w:rsidR="00071CFE" w:rsidRPr="00741122" w:rsidRDefault="00071CFE" w:rsidP="001B794B">
      <w:pPr>
        <w:ind w:left="2" w:right="48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Należy skontaktować się z lekarzem prowadzącym, nawet jeśli powyższe stwierdzenia dotyczyły </w:t>
      </w:r>
      <w:r w:rsidR="006952A7" w:rsidRPr="00741122">
        <w:rPr>
          <w:rFonts w:ascii="Times New Roman" w:eastAsia="Times New Roman" w:hAnsi="Times New Roman" w:cs="Times New Roman"/>
          <w:sz w:val="22"/>
          <w:szCs w:val="22"/>
          <w:lang w:val="lt-LT"/>
        </w:rPr>
        <w:t>jedynie pacjenta w przeszłości.</w:t>
      </w:r>
    </w:p>
    <w:p w14:paraId="3D695361" w14:textId="77777777" w:rsidR="00071CFE" w:rsidRPr="00741122" w:rsidRDefault="00071CFE" w:rsidP="001B794B">
      <w:pPr>
        <w:ind w:left="567" w:hanging="567"/>
        <w:rPr>
          <w:rFonts w:ascii="Times New Roman" w:eastAsia="Times New Roman" w:hAnsi="Times New Roman" w:cs="Times New Roman"/>
          <w:sz w:val="22"/>
          <w:szCs w:val="22"/>
          <w:lang w:val="lt-LT"/>
        </w:rPr>
      </w:pPr>
    </w:p>
    <w:p w14:paraId="0CB08BE1" w14:textId="77777777" w:rsidR="00071CFE" w:rsidRDefault="00071CFE" w:rsidP="001B794B">
      <w:pPr>
        <w:ind w:left="567" w:hanging="567"/>
        <w:rPr>
          <w:rFonts w:ascii="Times New Roman" w:eastAsia="Times New Roman" w:hAnsi="Times New Roman" w:cs="Times New Roman"/>
          <w:sz w:val="22"/>
          <w:szCs w:val="22"/>
          <w:lang w:val="lt-LT"/>
        </w:rPr>
      </w:pPr>
      <w:bookmarkStart w:id="104" w:name="page75"/>
      <w:bookmarkEnd w:id="104"/>
      <w:r w:rsidRPr="00741122">
        <w:rPr>
          <w:rFonts w:ascii="Times New Roman" w:eastAsia="Times New Roman" w:hAnsi="Times New Roman" w:cs="Times New Roman"/>
          <w:sz w:val="22"/>
          <w:szCs w:val="22"/>
          <w:lang w:val="lt-LT"/>
        </w:rPr>
        <w:t>Przed rozpoczęciem lub w t</w:t>
      </w:r>
      <w:r w:rsidR="00F544D7">
        <w:rPr>
          <w:rFonts w:ascii="Times New Roman" w:eastAsia="Times New Roman" w:hAnsi="Times New Roman" w:cs="Times New Roman"/>
          <w:sz w:val="22"/>
          <w:szCs w:val="22"/>
          <w:lang w:val="lt-LT"/>
        </w:rPr>
        <w:t xml:space="preserve">rakcie leczenia lekiem </w:t>
      </w:r>
      <w:r w:rsidR="00261A5A">
        <w:rPr>
          <w:rFonts w:ascii="Times New Roman" w:eastAsia="Times New Roman" w:hAnsi="Times New Roman" w:cs="Times New Roman"/>
          <w:sz w:val="22"/>
          <w:szCs w:val="22"/>
          <w:lang w:val="lt-LT"/>
        </w:rPr>
        <w:t>MVASI</w:t>
      </w:r>
      <w:r w:rsidR="00F544D7">
        <w:rPr>
          <w:rFonts w:ascii="Times New Roman" w:eastAsia="Times New Roman" w:hAnsi="Times New Roman" w:cs="Times New Roman"/>
          <w:sz w:val="22"/>
          <w:szCs w:val="22"/>
          <w:lang w:val="lt-LT"/>
        </w:rPr>
        <w:t>:</w:t>
      </w:r>
    </w:p>
    <w:p w14:paraId="6BF2EFD5" w14:textId="77777777" w:rsidR="00346047" w:rsidRPr="00741122" w:rsidRDefault="00346047" w:rsidP="001B794B">
      <w:pPr>
        <w:ind w:left="567" w:hanging="567"/>
        <w:rPr>
          <w:rFonts w:ascii="Times New Roman" w:eastAsia="Times New Roman" w:hAnsi="Times New Roman" w:cs="Times New Roman"/>
          <w:sz w:val="22"/>
          <w:szCs w:val="22"/>
          <w:lang w:val="lt-LT"/>
        </w:rPr>
      </w:pPr>
    </w:p>
    <w:p w14:paraId="61E7A7F3" w14:textId="77777777" w:rsidR="00071CFE" w:rsidRPr="00741122" w:rsidRDefault="00071CFE" w:rsidP="003819E0">
      <w:pPr>
        <w:numPr>
          <w:ilvl w:val="0"/>
          <w:numId w:val="96"/>
        </w:numPr>
        <w:tabs>
          <w:tab w:val="left" w:pos="58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jeżeli występuje lub w przeszłości występował u pacjenta</w:t>
      </w:r>
      <w:r w:rsidR="00B15CC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ból w jamie ustnej lub ból zębów i (lub) szczęki/żuchwy, opuchlizna lub owrzodzenie wewnątrz jamy ustnej, drętwienie szczęki lub żuchwy, uczucie ciężkości szczęki lub żuchwy lub obluzowania zęba należy niezwłocznie poinformować o tym lekarza.</w:t>
      </w:r>
    </w:p>
    <w:p w14:paraId="0F2312EF" w14:textId="77777777" w:rsidR="00071CFE" w:rsidRPr="00741122" w:rsidRDefault="00071CFE" w:rsidP="003819E0">
      <w:pPr>
        <w:numPr>
          <w:ilvl w:val="0"/>
          <w:numId w:val="96"/>
        </w:numPr>
        <w:tabs>
          <w:tab w:val="left" w:pos="54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jeżeli u pacjenta planowane jest inwazyjne leczenie stomatologiczne lub operacja stomatologiczna</w:t>
      </w:r>
      <w:r w:rsidR="00E47D8C">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należy poinformować lekarza stomatologa o przyjmowaniu leku </w:t>
      </w:r>
      <w:r w:rsidR="00261A5A">
        <w:rPr>
          <w:rFonts w:ascii="Times New Roman" w:eastAsia="Times New Roman" w:hAnsi="Times New Roman" w:cs="Times New Roman"/>
          <w:sz w:val="22"/>
          <w:szCs w:val="22"/>
          <w:lang w:val="lt-LT"/>
        </w:rPr>
        <w:t>MVASI</w:t>
      </w:r>
      <w:r w:rsidR="003307C0">
        <w:rPr>
          <w:rFonts w:ascii="Times New Roman" w:eastAsia="Times New Roman" w:hAnsi="Times New Roman" w:cs="Times New Roman"/>
          <w:sz w:val="22"/>
          <w:szCs w:val="22"/>
          <w:lang w:val="lt-LT"/>
        </w:rPr>
        <w:t xml:space="preserve"> (bewacyzumabu)</w:t>
      </w:r>
      <w:r w:rsidRPr="00741122">
        <w:rPr>
          <w:rFonts w:ascii="Times New Roman" w:eastAsia="Times New Roman" w:hAnsi="Times New Roman" w:cs="Times New Roman"/>
          <w:sz w:val="22"/>
          <w:szCs w:val="22"/>
          <w:lang w:val="lt-LT"/>
        </w:rPr>
        <w:t>, zwłaszcza</w:t>
      </w:r>
      <w:r w:rsidR="00B15CC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jeśli pacjent przyjmuje lub przyjmował także lek z grupy bisfosfonianów w postaci wstrzyknięcia do krwi.</w:t>
      </w:r>
    </w:p>
    <w:p w14:paraId="4F9A25C0" w14:textId="77777777" w:rsidR="00071CFE" w:rsidRPr="00741122" w:rsidRDefault="00071CFE" w:rsidP="001B794B">
      <w:pPr>
        <w:ind w:left="567" w:hanging="567"/>
        <w:rPr>
          <w:rFonts w:ascii="Times New Roman" w:eastAsia="Times New Roman" w:hAnsi="Times New Roman" w:cs="Times New Roman"/>
          <w:sz w:val="22"/>
          <w:szCs w:val="22"/>
          <w:lang w:val="lt-LT"/>
        </w:rPr>
      </w:pPr>
    </w:p>
    <w:p w14:paraId="67A7292A" w14:textId="77777777" w:rsidR="00071CFE" w:rsidRPr="00741122" w:rsidRDefault="00071CFE" w:rsidP="001B794B">
      <w:pPr>
        <w:ind w:left="2" w:right="68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Lekarz może zalecić pacjentowi kontrolę stomatologiczną przed rozpoczęciem leczenia lekiem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w:t>
      </w:r>
    </w:p>
    <w:p w14:paraId="12E3181D" w14:textId="77777777" w:rsidR="00071CFE" w:rsidRPr="00741122" w:rsidRDefault="00071CFE" w:rsidP="001B794B">
      <w:pPr>
        <w:rPr>
          <w:rFonts w:ascii="Times New Roman" w:eastAsia="Times New Roman" w:hAnsi="Times New Roman" w:cs="Times New Roman"/>
          <w:sz w:val="22"/>
          <w:szCs w:val="22"/>
          <w:lang w:val="lt-LT"/>
        </w:rPr>
      </w:pPr>
    </w:p>
    <w:p w14:paraId="2D20BA92" w14:textId="77777777" w:rsidR="00071CFE" w:rsidRPr="00741122" w:rsidRDefault="00071CFE" w:rsidP="001B794B">
      <w:pPr>
        <w:keepNext/>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Dzieci i młodzież</w:t>
      </w:r>
    </w:p>
    <w:p w14:paraId="5BA2490E" w14:textId="77777777" w:rsidR="00346047" w:rsidRDefault="00346047" w:rsidP="0023471C">
      <w:pPr>
        <w:keepNext/>
        <w:ind w:right="544"/>
        <w:rPr>
          <w:rFonts w:ascii="Times New Roman" w:eastAsia="Times New Roman" w:hAnsi="Times New Roman" w:cs="Times New Roman"/>
          <w:sz w:val="22"/>
          <w:szCs w:val="22"/>
          <w:lang w:val="lt-LT"/>
        </w:rPr>
      </w:pPr>
    </w:p>
    <w:p w14:paraId="7BD98C01" w14:textId="77777777" w:rsidR="00071CFE" w:rsidRPr="00741122" w:rsidRDefault="00071CFE" w:rsidP="0008597C">
      <w:pPr>
        <w:ind w:left="2" w:right="54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zaleca się stosowania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u dzieci i młodzieży poniżej 18 </w:t>
      </w:r>
      <w:r w:rsidR="00B15CC4">
        <w:rPr>
          <w:rFonts w:ascii="Times New Roman" w:eastAsia="Times New Roman" w:hAnsi="Times New Roman" w:cs="Times New Roman"/>
          <w:sz w:val="22"/>
          <w:szCs w:val="22"/>
          <w:lang w:val="lt-LT"/>
        </w:rPr>
        <w:t>lat</w:t>
      </w:r>
      <w:r w:rsidRPr="00741122">
        <w:rPr>
          <w:rFonts w:ascii="Times New Roman" w:eastAsia="Times New Roman" w:hAnsi="Times New Roman" w:cs="Times New Roman"/>
          <w:sz w:val="22"/>
          <w:szCs w:val="22"/>
          <w:lang w:val="lt-LT"/>
        </w:rPr>
        <w:t>, ponieważ nie określono bezpieczeństwa i skuteczności jego stosowania w tych grupach chorych.</w:t>
      </w:r>
    </w:p>
    <w:p w14:paraId="63DCEE1C" w14:textId="77777777" w:rsidR="00071CFE" w:rsidRPr="00741122" w:rsidRDefault="00071CFE" w:rsidP="0008597C">
      <w:pPr>
        <w:rPr>
          <w:rFonts w:ascii="Times New Roman" w:eastAsia="Times New Roman" w:hAnsi="Times New Roman" w:cs="Times New Roman"/>
          <w:sz w:val="22"/>
          <w:szCs w:val="22"/>
          <w:lang w:val="lt-LT"/>
        </w:rPr>
      </w:pPr>
    </w:p>
    <w:p w14:paraId="2DA789CE" w14:textId="77777777" w:rsidR="00071CFE" w:rsidRPr="00741122" w:rsidRDefault="00071CFE" w:rsidP="002F765C">
      <w:pPr>
        <w:ind w:left="2" w:right="40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Zgłaszano przypadki martwicy kości innych niż szczęki lub żuchwy u pacjentów w wieku poniżej 18 lat leczonych </w:t>
      </w:r>
      <w:r w:rsidR="003307C0">
        <w:rPr>
          <w:rFonts w:ascii="Times New Roman" w:eastAsia="Times New Roman" w:hAnsi="Times New Roman" w:cs="Times New Roman"/>
          <w:sz w:val="22"/>
          <w:szCs w:val="22"/>
          <w:lang w:val="lt-LT"/>
        </w:rPr>
        <w:t>bewacyzumabem</w:t>
      </w:r>
      <w:r w:rsidRPr="00741122">
        <w:rPr>
          <w:rFonts w:ascii="Times New Roman" w:eastAsia="Times New Roman" w:hAnsi="Times New Roman" w:cs="Times New Roman"/>
          <w:sz w:val="22"/>
          <w:szCs w:val="22"/>
          <w:lang w:val="lt-LT"/>
        </w:rPr>
        <w:t>.</w:t>
      </w:r>
    </w:p>
    <w:p w14:paraId="0F5E7151" w14:textId="77777777" w:rsidR="00071CFE" w:rsidRPr="00741122" w:rsidRDefault="00071CFE" w:rsidP="002F765C">
      <w:pPr>
        <w:rPr>
          <w:rFonts w:ascii="Times New Roman" w:eastAsia="Times New Roman" w:hAnsi="Times New Roman" w:cs="Times New Roman"/>
          <w:sz w:val="22"/>
          <w:szCs w:val="22"/>
          <w:lang w:val="lt-LT"/>
        </w:rPr>
      </w:pPr>
    </w:p>
    <w:p w14:paraId="352DDCDC" w14:textId="77777777" w:rsidR="00071CFE" w:rsidRPr="00741122" w:rsidRDefault="00071CFE" w:rsidP="002F765C">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Inne leki i </w:t>
      </w:r>
      <w:r w:rsidR="00261A5A">
        <w:rPr>
          <w:rFonts w:ascii="Times New Roman" w:eastAsia="Times New Roman" w:hAnsi="Times New Roman" w:cs="Times New Roman"/>
          <w:b/>
          <w:sz w:val="22"/>
          <w:szCs w:val="22"/>
          <w:lang w:val="lt-LT"/>
        </w:rPr>
        <w:t>MVASI</w:t>
      </w:r>
    </w:p>
    <w:p w14:paraId="3B7EB2BF" w14:textId="77777777" w:rsidR="00071CFE" w:rsidRPr="00741122" w:rsidRDefault="00071CFE" w:rsidP="002F765C">
      <w:pPr>
        <w:rPr>
          <w:rFonts w:ascii="Times New Roman" w:eastAsia="Times New Roman" w:hAnsi="Times New Roman" w:cs="Times New Roman"/>
          <w:sz w:val="22"/>
          <w:szCs w:val="22"/>
          <w:lang w:val="lt-LT"/>
        </w:rPr>
      </w:pPr>
    </w:p>
    <w:p w14:paraId="069C2687" w14:textId="77777777" w:rsidR="00071CFE" w:rsidRPr="00741122" w:rsidRDefault="00071CFE" w:rsidP="002F765C">
      <w:pPr>
        <w:ind w:left="2" w:right="50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Należy powiedzieć lekarzowi, farmaceucie lub pielęgniarce o wszystkich lekach przyjmowanych obecnie lub ostatnio</w:t>
      </w:r>
      <w:r w:rsidR="00B15CC4">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a także o lekach, które pacjent planuje przyjmować.</w:t>
      </w:r>
    </w:p>
    <w:p w14:paraId="2F7EB40E" w14:textId="77777777" w:rsidR="00071CFE" w:rsidRPr="00741122" w:rsidRDefault="00071CFE" w:rsidP="002F765C">
      <w:pPr>
        <w:rPr>
          <w:rFonts w:ascii="Times New Roman" w:eastAsia="Times New Roman" w:hAnsi="Times New Roman" w:cs="Times New Roman"/>
          <w:sz w:val="22"/>
          <w:szCs w:val="22"/>
          <w:lang w:val="lt-LT"/>
        </w:rPr>
      </w:pPr>
    </w:p>
    <w:p w14:paraId="2ACE3A9B" w14:textId="77777777" w:rsidR="00071CFE" w:rsidRPr="00741122" w:rsidRDefault="00071CFE" w:rsidP="002F765C">
      <w:pPr>
        <w:ind w:left="2" w:right="8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Jednoczesne stosowanie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z innym lekiem zwanym jabłczanem sunitynibu (lek stosowany z powodu raka nerki i raka przewodu pokarmowego) może powodować ciężkie objawy niepożądane. Należy omówić to z lekarzem, aby upewnić się, że nie zastosuje się jednocześnie tych leków.</w:t>
      </w:r>
    </w:p>
    <w:p w14:paraId="44AB04A8" w14:textId="77777777" w:rsidR="00071CFE" w:rsidRPr="00741122" w:rsidRDefault="00071CFE" w:rsidP="002F765C">
      <w:pPr>
        <w:rPr>
          <w:rFonts w:ascii="Times New Roman" w:eastAsia="Times New Roman" w:hAnsi="Times New Roman" w:cs="Times New Roman"/>
          <w:sz w:val="22"/>
          <w:szCs w:val="22"/>
          <w:lang w:val="lt-LT"/>
        </w:rPr>
      </w:pPr>
    </w:p>
    <w:p w14:paraId="6FDE6B48"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Należy powiedzieć lekarzowi, jeśli pacjent przyjmuje terapię opartą na lekach zawierających platynę lub taksany z powodu raka płuc lub rozsianego raka piersi. Takie leczenie w skojarzeniu z lekiem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może zwiększać ryzyko ciężkich </w:t>
      </w:r>
      <w:r w:rsidR="00A66704">
        <w:rPr>
          <w:rFonts w:ascii="Times New Roman" w:eastAsia="Times New Roman" w:hAnsi="Times New Roman" w:cs="Times New Roman"/>
          <w:sz w:val="22"/>
          <w:szCs w:val="22"/>
          <w:lang w:val="lt-LT"/>
        </w:rPr>
        <w:t>reakcji</w:t>
      </w:r>
      <w:r w:rsidRPr="00741122">
        <w:rPr>
          <w:rFonts w:ascii="Times New Roman" w:eastAsia="Times New Roman" w:hAnsi="Times New Roman" w:cs="Times New Roman"/>
          <w:sz w:val="22"/>
          <w:szCs w:val="22"/>
          <w:lang w:val="lt-LT"/>
        </w:rPr>
        <w:t xml:space="preserve"> niepożądanych.</w:t>
      </w:r>
    </w:p>
    <w:p w14:paraId="42C6A995" w14:textId="77777777" w:rsidR="00071CFE" w:rsidRPr="00741122" w:rsidRDefault="00071CFE" w:rsidP="002F765C">
      <w:pPr>
        <w:rPr>
          <w:rFonts w:ascii="Times New Roman" w:eastAsia="Times New Roman" w:hAnsi="Times New Roman" w:cs="Times New Roman"/>
          <w:sz w:val="22"/>
          <w:szCs w:val="22"/>
          <w:lang w:val="lt-LT"/>
        </w:rPr>
      </w:pPr>
    </w:p>
    <w:p w14:paraId="5A649FDB" w14:textId="77777777" w:rsidR="0008597C"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Należy poinformować lekarza, czy ostatnio otrzymywano lub otrzymuje się radioterapię. </w:t>
      </w:r>
    </w:p>
    <w:p w14:paraId="61556F85" w14:textId="77777777" w:rsidR="0008597C" w:rsidRPr="00741122" w:rsidRDefault="0008597C" w:rsidP="002F765C">
      <w:pPr>
        <w:rPr>
          <w:rFonts w:ascii="Times New Roman" w:eastAsia="Times New Roman" w:hAnsi="Times New Roman" w:cs="Times New Roman"/>
          <w:sz w:val="22"/>
          <w:szCs w:val="22"/>
          <w:lang w:val="lt-LT"/>
        </w:rPr>
      </w:pPr>
    </w:p>
    <w:p w14:paraId="25A42ECA" w14:textId="77777777" w:rsidR="00071CFE" w:rsidRPr="00741122" w:rsidRDefault="00071CFE" w:rsidP="002F765C">
      <w:pPr>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Ciąża, karmienie piersią i wpływ na płodność</w:t>
      </w:r>
    </w:p>
    <w:p w14:paraId="26A3BD52" w14:textId="77777777" w:rsidR="00071CFE" w:rsidRPr="00741122" w:rsidRDefault="00071CFE" w:rsidP="002F765C">
      <w:pPr>
        <w:rPr>
          <w:rFonts w:ascii="Times New Roman" w:eastAsia="Times New Roman" w:hAnsi="Times New Roman" w:cs="Times New Roman"/>
          <w:sz w:val="22"/>
          <w:szCs w:val="22"/>
          <w:lang w:val="lt-LT"/>
        </w:rPr>
      </w:pPr>
    </w:p>
    <w:p w14:paraId="72A2C6A2"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w:t>
      </w:r>
      <w:r w:rsidR="00B15CC4">
        <w:rPr>
          <w:rFonts w:ascii="Times New Roman" w:eastAsia="Times New Roman" w:hAnsi="Times New Roman" w:cs="Times New Roman"/>
          <w:sz w:val="22"/>
          <w:szCs w:val="22"/>
          <w:lang w:val="lt-LT"/>
        </w:rPr>
        <w:t xml:space="preserve">wolno </w:t>
      </w:r>
      <w:r w:rsidRPr="00741122">
        <w:rPr>
          <w:rFonts w:ascii="Times New Roman" w:eastAsia="Times New Roman" w:hAnsi="Times New Roman" w:cs="Times New Roman"/>
          <w:sz w:val="22"/>
          <w:szCs w:val="22"/>
          <w:lang w:val="lt-LT"/>
        </w:rPr>
        <w:t xml:space="preserve">stosować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 trakcie ciąży.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może spowodować uszkodzenie nienarodzonego dziecka, ponieważ może hamować rozwój nowych naczyń krwionośnych. Lekarz prowadzący powinien poinformować pacjenta o metodach antykoncepcji w czasie terapii lekiem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i co najmniej przez 6 miesięcy od momentu podania ostatniej dawki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w:t>
      </w:r>
    </w:p>
    <w:p w14:paraId="69AB1881" w14:textId="77777777" w:rsidR="00071CFE" w:rsidRPr="00741122" w:rsidRDefault="00071CFE" w:rsidP="002F765C">
      <w:pPr>
        <w:rPr>
          <w:rFonts w:ascii="Times New Roman" w:eastAsia="Times New Roman" w:hAnsi="Times New Roman" w:cs="Times New Roman"/>
          <w:sz w:val="22"/>
          <w:szCs w:val="22"/>
          <w:lang w:val="lt-LT"/>
        </w:rPr>
      </w:pPr>
    </w:p>
    <w:p w14:paraId="63D7FD2E"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Należy natychmiast poinformować lekarza, jeśli pacjentka jest w ciąży, zaszła w ciążę w trakcie terapii lekiem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lub zamierza być w ciąży w niedalekiej przyszłości.</w:t>
      </w:r>
    </w:p>
    <w:p w14:paraId="7018B243" w14:textId="77777777" w:rsidR="00071CFE" w:rsidRPr="00741122" w:rsidRDefault="00071CFE" w:rsidP="002F765C">
      <w:pPr>
        <w:rPr>
          <w:rFonts w:ascii="Times New Roman" w:eastAsia="Times New Roman" w:hAnsi="Times New Roman" w:cs="Times New Roman"/>
          <w:sz w:val="22"/>
          <w:szCs w:val="22"/>
          <w:lang w:val="lt-LT"/>
        </w:rPr>
      </w:pPr>
    </w:p>
    <w:p w14:paraId="7E7BAB66"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w:t>
      </w:r>
      <w:r w:rsidR="00B15CC4">
        <w:rPr>
          <w:rFonts w:ascii="Times New Roman" w:eastAsia="Times New Roman" w:hAnsi="Times New Roman" w:cs="Times New Roman"/>
          <w:sz w:val="22"/>
          <w:szCs w:val="22"/>
          <w:lang w:val="lt-LT"/>
        </w:rPr>
        <w:t xml:space="preserve">wolno </w:t>
      </w:r>
      <w:r w:rsidRPr="00741122">
        <w:rPr>
          <w:rFonts w:ascii="Times New Roman" w:eastAsia="Times New Roman" w:hAnsi="Times New Roman" w:cs="Times New Roman"/>
          <w:sz w:val="22"/>
          <w:szCs w:val="22"/>
          <w:lang w:val="lt-LT"/>
        </w:rPr>
        <w:t xml:space="preserve">karmić piersią w trakcie terapii lekiem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i co najmniej przez 6 miesięcy od momentu podania ostatniej dawki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ponieważ lek może negatywnie wpływać na wzrost i rozwój dziecka.</w:t>
      </w:r>
    </w:p>
    <w:p w14:paraId="696B5A05" w14:textId="77777777" w:rsidR="00071CFE" w:rsidRPr="00741122" w:rsidRDefault="00071CFE" w:rsidP="002F765C">
      <w:pPr>
        <w:rPr>
          <w:rFonts w:ascii="Times New Roman" w:eastAsia="Times New Roman" w:hAnsi="Times New Roman" w:cs="Times New Roman"/>
          <w:sz w:val="22"/>
          <w:szCs w:val="22"/>
          <w:lang w:val="lt-LT"/>
        </w:rPr>
      </w:pPr>
    </w:p>
    <w:p w14:paraId="5669564B" w14:textId="77777777" w:rsidR="00071CFE" w:rsidRPr="00741122" w:rsidRDefault="00261A5A" w:rsidP="002F765C">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wpłynąć niekorzystnie na płodność kobiety. W celu uzyskania dodatkowych informacji, należy skonsultować się z lekarzem.</w:t>
      </w:r>
    </w:p>
    <w:p w14:paraId="22206B57" w14:textId="77777777" w:rsidR="00071CFE" w:rsidRPr="00741122" w:rsidRDefault="00071CFE" w:rsidP="002F765C">
      <w:pPr>
        <w:rPr>
          <w:rFonts w:ascii="Times New Roman" w:eastAsia="Times New Roman" w:hAnsi="Times New Roman" w:cs="Times New Roman"/>
          <w:sz w:val="22"/>
          <w:szCs w:val="22"/>
          <w:lang w:val="lt-LT"/>
        </w:rPr>
      </w:pPr>
    </w:p>
    <w:p w14:paraId="50C2B841" w14:textId="77777777" w:rsidR="0008597C"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Przed zastosowaniem jakiegokolwiek leku należy poradzić się lekarza, farmaceuty lub pielęgniarki. </w:t>
      </w:r>
    </w:p>
    <w:p w14:paraId="592372AC" w14:textId="77777777" w:rsidR="0008597C" w:rsidRPr="00741122" w:rsidRDefault="0008597C" w:rsidP="002F765C">
      <w:pPr>
        <w:rPr>
          <w:rFonts w:ascii="Times New Roman" w:eastAsia="Times New Roman" w:hAnsi="Times New Roman" w:cs="Times New Roman"/>
          <w:sz w:val="22"/>
          <w:szCs w:val="22"/>
          <w:lang w:val="lt-LT"/>
        </w:rPr>
      </w:pPr>
    </w:p>
    <w:p w14:paraId="3FF32140" w14:textId="77777777" w:rsidR="00071CFE" w:rsidRPr="00741122" w:rsidRDefault="00071CFE" w:rsidP="002F765C">
      <w:pPr>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Prowadzenie pojazdów i </w:t>
      </w:r>
      <w:r w:rsidR="00382333" w:rsidRPr="00741122">
        <w:rPr>
          <w:rFonts w:ascii="Times New Roman" w:eastAsia="Times New Roman" w:hAnsi="Times New Roman" w:cs="Times New Roman"/>
          <w:b/>
          <w:sz w:val="22"/>
          <w:szCs w:val="22"/>
          <w:lang w:val="lt-LT" w:bidi="pl-PL"/>
        </w:rPr>
        <w:t>obsług</w:t>
      </w:r>
      <w:r w:rsidR="009D48D4" w:rsidRPr="00741122">
        <w:rPr>
          <w:rFonts w:ascii="Times New Roman" w:eastAsia="Times New Roman" w:hAnsi="Times New Roman" w:cs="Times New Roman"/>
          <w:b/>
          <w:sz w:val="22"/>
          <w:szCs w:val="22"/>
          <w:lang w:val="lt-LT" w:bidi="pl-PL"/>
        </w:rPr>
        <w:t>a</w:t>
      </w:r>
      <w:r w:rsidRPr="00741122">
        <w:rPr>
          <w:rFonts w:ascii="Times New Roman" w:eastAsia="Times New Roman" w:hAnsi="Times New Roman" w:cs="Times New Roman"/>
          <w:b/>
          <w:sz w:val="22"/>
          <w:szCs w:val="22"/>
          <w:lang w:val="lt-LT"/>
        </w:rPr>
        <w:t xml:space="preserve"> maszyn</w:t>
      </w:r>
    </w:p>
    <w:p w14:paraId="6D4F7C3F" w14:textId="77777777" w:rsidR="00071CFE" w:rsidRPr="00741122" w:rsidRDefault="00071CFE" w:rsidP="002F765C">
      <w:pPr>
        <w:rPr>
          <w:rFonts w:ascii="Times New Roman" w:eastAsia="Times New Roman" w:hAnsi="Times New Roman" w:cs="Times New Roman"/>
          <w:sz w:val="22"/>
          <w:szCs w:val="22"/>
          <w:lang w:val="lt-LT"/>
        </w:rPr>
      </w:pPr>
    </w:p>
    <w:p w14:paraId="1D5E8196"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stwierdzono, żeby lek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powodował u pacjenta zmniejszenie zdolności kierowania pojazdami, posługiwania się narzędziami lub obsługi maszyn.</w:t>
      </w:r>
      <w:r w:rsidR="00A76566">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 xml:space="preserve">Jednakże u chorych przyjmujących lek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zgłaszano przypadki senności i omdlenia. Jeżeli</w:t>
      </w:r>
      <w:r w:rsidR="00A76566">
        <w:rPr>
          <w:rFonts w:ascii="Times New Roman" w:eastAsia="Times New Roman" w:hAnsi="Times New Roman" w:cs="Times New Roman"/>
          <w:sz w:val="22"/>
          <w:szCs w:val="22"/>
          <w:lang w:val="lt-LT"/>
        </w:rPr>
        <w:t xml:space="preserve"> </w:t>
      </w:r>
      <w:bookmarkStart w:id="105" w:name="page76"/>
      <w:bookmarkEnd w:id="105"/>
      <w:r w:rsidRPr="00741122">
        <w:rPr>
          <w:rFonts w:ascii="Times New Roman" w:eastAsia="Times New Roman" w:hAnsi="Times New Roman" w:cs="Times New Roman"/>
          <w:sz w:val="22"/>
          <w:szCs w:val="22"/>
          <w:lang w:val="lt-LT"/>
        </w:rPr>
        <w:t>wystąpią objawy wpływające na widzenie, koncentrację lub zdolność do reakcji, nie należy prowadzić pojazdów i obsługiwać maszyn do czasu ustąpienia tych objawów.</w:t>
      </w:r>
    </w:p>
    <w:p w14:paraId="01559210" w14:textId="77777777" w:rsidR="00226B6B" w:rsidRDefault="00226B6B" w:rsidP="006E6281">
      <w:pPr>
        <w:keepNext/>
        <w:keepLines/>
        <w:rPr>
          <w:rFonts w:ascii="Times New Roman" w:eastAsia="Times New Roman" w:hAnsi="Times New Roman" w:cs="Times New Roman"/>
          <w:sz w:val="22"/>
          <w:szCs w:val="22"/>
          <w:lang w:val="lt-LT"/>
        </w:rPr>
      </w:pPr>
    </w:p>
    <w:p w14:paraId="4AD118A6" w14:textId="77777777" w:rsidR="00226B6B" w:rsidRDefault="00226B6B" w:rsidP="006E6281">
      <w:pPr>
        <w:keepNext/>
        <w:keepLines/>
        <w:rPr>
          <w:rFonts w:ascii="Times New Roman" w:eastAsia="Times New Roman" w:hAnsi="Times New Roman" w:cs="Times New Roman"/>
          <w:b/>
          <w:sz w:val="22"/>
          <w:szCs w:val="22"/>
          <w:lang w:val="lt-LT"/>
        </w:rPr>
      </w:pPr>
      <w:bookmarkStart w:id="106" w:name="_Hlk42681424"/>
      <w:bookmarkStart w:id="107" w:name="_Hlk42683887"/>
      <w:r>
        <w:rPr>
          <w:rFonts w:ascii="Times New Roman" w:eastAsia="Times New Roman" w:hAnsi="Times New Roman" w:cs="Times New Roman"/>
          <w:b/>
          <w:sz w:val="22"/>
          <w:szCs w:val="22"/>
          <w:lang w:val="lt-LT"/>
        </w:rPr>
        <w:t>Lek MVASI zawiera sód</w:t>
      </w:r>
    </w:p>
    <w:p w14:paraId="52AB71EB" w14:textId="77777777" w:rsidR="00226B6B" w:rsidRDefault="00226B6B" w:rsidP="006E6281">
      <w:pPr>
        <w:keepNext/>
        <w:keepLines/>
        <w:rPr>
          <w:rFonts w:ascii="Times New Roman" w:eastAsia="Times New Roman" w:hAnsi="Times New Roman" w:cs="Times New Roman"/>
          <w:sz w:val="22"/>
          <w:szCs w:val="22"/>
          <w:lang w:val="lt-LT"/>
        </w:rPr>
      </w:pPr>
    </w:p>
    <w:p w14:paraId="163E32F8" w14:textId="77777777" w:rsidR="00226B6B" w:rsidRDefault="00226B6B" w:rsidP="006E6281">
      <w:pPr>
        <w:keepNext/>
        <w:keepLines/>
        <w:rPr>
          <w:rFonts w:ascii="Times New Roman" w:eastAsia="Times New Roman" w:hAnsi="Times New Roman" w:cs="Times New Roman"/>
          <w:sz w:val="22"/>
          <w:szCs w:val="22"/>
          <w:u w:val="single"/>
          <w:lang w:val="lt-LT"/>
        </w:rPr>
      </w:pPr>
      <w:r>
        <w:rPr>
          <w:rFonts w:ascii="Times New Roman" w:eastAsia="Times New Roman" w:hAnsi="Times New Roman" w:cs="Times New Roman"/>
          <w:sz w:val="22"/>
          <w:szCs w:val="22"/>
          <w:u w:val="single"/>
          <w:lang w:val="lt-LT"/>
        </w:rPr>
        <w:t>MVASI 25 mg/ml koncentrat do sporządzania roztworu do infuzji (4 ml)</w:t>
      </w:r>
    </w:p>
    <w:p w14:paraId="6B360B77" w14:textId="77777777" w:rsidR="00226B6B" w:rsidRDefault="00226B6B" w:rsidP="006E6281">
      <w:pPr>
        <w:keepNext/>
        <w:keepLines/>
        <w:rPr>
          <w:rFonts w:ascii="Times New Roman" w:eastAsia="Times New Roman" w:hAnsi="Times New Roman" w:cs="Times New Roman"/>
          <w:sz w:val="22"/>
          <w:szCs w:val="22"/>
          <w:lang w:val="lt-LT"/>
        </w:rPr>
      </w:pPr>
    </w:p>
    <w:p w14:paraId="1362B6FD" w14:textId="1B594BD9" w:rsidR="00226B6B" w:rsidRDefault="00226B6B" w:rsidP="006E6281">
      <w:pPr>
        <w:keepNext/>
        <w:keepLines/>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Ten lek zawiera </w:t>
      </w:r>
      <w:r w:rsidR="00F00F36">
        <w:rPr>
          <w:rFonts w:ascii="Times New Roman" w:eastAsia="Times New Roman" w:hAnsi="Times New Roman" w:cs="Times New Roman"/>
          <w:sz w:val="22"/>
          <w:szCs w:val="22"/>
          <w:lang w:val="lt-LT"/>
        </w:rPr>
        <w:t>5</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4</w:t>
      </w:r>
      <w:r>
        <w:rPr>
          <w:rFonts w:ascii="Times New Roman" w:eastAsia="Times New Roman" w:hAnsi="Times New Roman" w:cs="Times New Roman"/>
          <w:sz w:val="22"/>
          <w:szCs w:val="22"/>
          <w:lang w:val="lt-LT"/>
        </w:rPr>
        <w:t> mg sodu (główny składnik soli kuchennej/stołowej) w każdej 4 ml fiolce. Stanowi to 0,</w:t>
      </w:r>
      <w:r w:rsidR="00F00F36">
        <w:rPr>
          <w:rFonts w:ascii="Times New Roman" w:eastAsia="Times New Roman" w:hAnsi="Times New Roman" w:cs="Times New Roman"/>
          <w:sz w:val="22"/>
          <w:szCs w:val="22"/>
          <w:lang w:val="lt-LT"/>
        </w:rPr>
        <w:t>3</w:t>
      </w:r>
      <w:r>
        <w:rPr>
          <w:rFonts w:ascii="Times New Roman" w:eastAsia="Times New Roman" w:hAnsi="Times New Roman" w:cs="Times New Roman"/>
          <w:sz w:val="22"/>
          <w:szCs w:val="22"/>
          <w:lang w:val="lt-LT"/>
        </w:rPr>
        <w:t>% zalecanego maksymalnego dziennego spożycia sodu przez osobę dorosłą.</w:t>
      </w:r>
    </w:p>
    <w:p w14:paraId="4D12CAF8" w14:textId="77777777" w:rsidR="00226B6B" w:rsidRDefault="00226B6B" w:rsidP="00226B6B">
      <w:pPr>
        <w:rPr>
          <w:rFonts w:ascii="Times New Roman" w:eastAsia="Times New Roman" w:hAnsi="Times New Roman" w:cs="Times New Roman"/>
          <w:sz w:val="22"/>
          <w:szCs w:val="22"/>
          <w:lang w:val="lt-LT"/>
        </w:rPr>
      </w:pPr>
    </w:p>
    <w:p w14:paraId="65017BBC" w14:textId="77777777" w:rsidR="00226B6B" w:rsidRDefault="00226B6B" w:rsidP="002B1650">
      <w:pPr>
        <w:keepNext/>
        <w:keepLines/>
        <w:rPr>
          <w:rFonts w:ascii="Times New Roman" w:eastAsia="Times New Roman" w:hAnsi="Times New Roman" w:cs="Times New Roman"/>
          <w:sz w:val="22"/>
          <w:szCs w:val="22"/>
          <w:u w:val="single"/>
          <w:lang w:val="lt-LT"/>
        </w:rPr>
      </w:pPr>
      <w:r>
        <w:rPr>
          <w:rFonts w:ascii="Times New Roman" w:eastAsia="Times New Roman" w:hAnsi="Times New Roman" w:cs="Times New Roman"/>
          <w:sz w:val="22"/>
          <w:szCs w:val="22"/>
          <w:u w:val="single"/>
          <w:lang w:val="lt-LT"/>
        </w:rPr>
        <w:t>MVASI 25 mg/ml koncentrat do sporządzania roztworu do infuzji (16 ml)</w:t>
      </w:r>
    </w:p>
    <w:p w14:paraId="04F4CDDE" w14:textId="77777777" w:rsidR="00226B6B" w:rsidRDefault="00226B6B" w:rsidP="002B1650">
      <w:pPr>
        <w:keepNext/>
        <w:rPr>
          <w:rFonts w:ascii="Times New Roman" w:eastAsia="Times New Roman" w:hAnsi="Times New Roman" w:cs="Times New Roman"/>
          <w:sz w:val="22"/>
          <w:szCs w:val="22"/>
          <w:lang w:val="lt-LT"/>
        </w:rPr>
      </w:pPr>
    </w:p>
    <w:p w14:paraId="3E8A66B6" w14:textId="31681BA1" w:rsidR="00226B6B" w:rsidRDefault="00226B6B" w:rsidP="00226B6B">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Ten lek zawiera </w:t>
      </w:r>
      <w:r w:rsidR="00F00F36">
        <w:rPr>
          <w:rFonts w:ascii="Times New Roman" w:eastAsia="Times New Roman" w:hAnsi="Times New Roman" w:cs="Times New Roman"/>
          <w:sz w:val="22"/>
          <w:szCs w:val="22"/>
          <w:lang w:val="lt-LT"/>
        </w:rPr>
        <w:t>21</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7</w:t>
      </w:r>
      <w:r>
        <w:rPr>
          <w:rFonts w:ascii="Times New Roman" w:eastAsia="Times New Roman" w:hAnsi="Times New Roman" w:cs="Times New Roman"/>
          <w:sz w:val="22"/>
          <w:szCs w:val="22"/>
          <w:lang w:val="lt-LT"/>
        </w:rPr>
        <w:t xml:space="preserve"> mg sodu (główny składnik soli kuchennej/stołowej) w każdej 16 ml fiolce. Stanowi to </w:t>
      </w:r>
      <w:r w:rsidR="00F00F36">
        <w:rPr>
          <w:rFonts w:ascii="Times New Roman" w:eastAsia="Times New Roman" w:hAnsi="Times New Roman" w:cs="Times New Roman"/>
          <w:sz w:val="22"/>
          <w:szCs w:val="22"/>
          <w:lang w:val="lt-LT"/>
        </w:rPr>
        <w:t>1</w:t>
      </w:r>
      <w:r w:rsidR="007C2453">
        <w:rPr>
          <w:rFonts w:ascii="Times New Roman" w:eastAsia="Times New Roman" w:hAnsi="Times New Roman" w:cs="Times New Roman"/>
          <w:sz w:val="22"/>
          <w:szCs w:val="22"/>
          <w:lang w:val="lt-LT"/>
        </w:rPr>
        <w:t>,</w:t>
      </w:r>
      <w:r w:rsidR="00F00F36">
        <w:rPr>
          <w:rFonts w:ascii="Times New Roman" w:eastAsia="Times New Roman" w:hAnsi="Times New Roman" w:cs="Times New Roman"/>
          <w:sz w:val="22"/>
          <w:szCs w:val="22"/>
          <w:lang w:val="lt-LT"/>
        </w:rPr>
        <w:t>1</w:t>
      </w:r>
      <w:r>
        <w:rPr>
          <w:rFonts w:ascii="Times New Roman" w:eastAsia="Times New Roman" w:hAnsi="Times New Roman" w:cs="Times New Roman"/>
          <w:sz w:val="22"/>
          <w:szCs w:val="22"/>
          <w:lang w:val="lt-LT"/>
        </w:rPr>
        <w:t>% zalecanego maksymalnego dziennego spożycia sodu przez osobę dorosłą.</w:t>
      </w:r>
    </w:p>
    <w:bookmarkEnd w:id="106"/>
    <w:bookmarkEnd w:id="107"/>
    <w:p w14:paraId="4D9E2558" w14:textId="77777777" w:rsidR="00071CFE" w:rsidRPr="00741122" w:rsidRDefault="00071CFE" w:rsidP="002F765C">
      <w:pPr>
        <w:rPr>
          <w:rFonts w:ascii="Times New Roman" w:eastAsia="Times New Roman" w:hAnsi="Times New Roman" w:cs="Times New Roman"/>
          <w:sz w:val="22"/>
          <w:szCs w:val="22"/>
          <w:lang w:val="lt-LT"/>
        </w:rPr>
      </w:pPr>
    </w:p>
    <w:p w14:paraId="470B703E" w14:textId="77777777" w:rsidR="00071CFE" w:rsidRPr="00741122" w:rsidRDefault="00071CFE" w:rsidP="002F765C">
      <w:pPr>
        <w:rPr>
          <w:rFonts w:ascii="Times New Roman" w:eastAsia="Times New Roman" w:hAnsi="Times New Roman" w:cs="Times New Roman"/>
          <w:sz w:val="22"/>
          <w:szCs w:val="22"/>
          <w:lang w:val="lt-LT"/>
        </w:rPr>
      </w:pPr>
    </w:p>
    <w:p w14:paraId="1CDDDB1C" w14:textId="77777777" w:rsidR="00071CFE" w:rsidRPr="00741122" w:rsidRDefault="00071CFE" w:rsidP="002F765C">
      <w:pPr>
        <w:keepNext/>
        <w:numPr>
          <w:ilvl w:val="0"/>
          <w:numId w:val="48"/>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lastRenderedPageBreak/>
        <w:t xml:space="preserve">Jak stosować </w:t>
      </w:r>
      <w:r w:rsidR="00261A5A">
        <w:rPr>
          <w:rFonts w:ascii="Times New Roman" w:eastAsia="Times New Roman" w:hAnsi="Times New Roman" w:cs="Times New Roman"/>
          <w:b/>
          <w:sz w:val="22"/>
          <w:szCs w:val="22"/>
          <w:lang w:val="lt-LT"/>
        </w:rPr>
        <w:t>MVASI</w:t>
      </w:r>
    </w:p>
    <w:p w14:paraId="062B79D2" w14:textId="77777777" w:rsidR="00071CFE" w:rsidRPr="00741122" w:rsidRDefault="00071CFE" w:rsidP="002F765C">
      <w:pPr>
        <w:keepNext/>
        <w:rPr>
          <w:rFonts w:ascii="Times New Roman" w:eastAsia="Times New Roman" w:hAnsi="Times New Roman" w:cs="Times New Roman"/>
          <w:sz w:val="22"/>
          <w:szCs w:val="22"/>
          <w:lang w:val="lt-LT"/>
        </w:rPr>
      </w:pPr>
    </w:p>
    <w:p w14:paraId="4CED2D0D" w14:textId="59909D8D" w:rsidR="00071CFE" w:rsidRPr="00741122" w:rsidRDefault="00071CFE" w:rsidP="002F765C">
      <w:pPr>
        <w:keepNext/>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Dawk</w:t>
      </w:r>
      <w:r w:rsidR="00105519">
        <w:rPr>
          <w:rFonts w:ascii="Times New Roman" w:eastAsia="Times New Roman" w:hAnsi="Times New Roman" w:cs="Times New Roman"/>
          <w:b/>
          <w:sz w:val="22"/>
          <w:szCs w:val="22"/>
          <w:lang w:val="lt-LT"/>
        </w:rPr>
        <w:t>a</w:t>
      </w:r>
      <w:r w:rsidRPr="00741122">
        <w:rPr>
          <w:rFonts w:ascii="Times New Roman" w:eastAsia="Times New Roman" w:hAnsi="Times New Roman" w:cs="Times New Roman"/>
          <w:b/>
          <w:sz w:val="22"/>
          <w:szCs w:val="22"/>
          <w:lang w:val="lt-LT"/>
        </w:rPr>
        <w:t xml:space="preserve"> i częstość podawania</w:t>
      </w:r>
    </w:p>
    <w:p w14:paraId="41E63BAA" w14:textId="77777777" w:rsidR="0008597C" w:rsidRPr="00741122" w:rsidRDefault="0008597C" w:rsidP="002F765C">
      <w:pPr>
        <w:keepNext/>
        <w:ind w:left="2"/>
        <w:rPr>
          <w:rFonts w:ascii="Times New Roman" w:eastAsia="Times New Roman" w:hAnsi="Times New Roman" w:cs="Times New Roman"/>
          <w:b/>
          <w:sz w:val="22"/>
          <w:szCs w:val="22"/>
          <w:lang w:val="lt-LT"/>
        </w:rPr>
      </w:pPr>
    </w:p>
    <w:p w14:paraId="388BD0D6" w14:textId="77777777" w:rsidR="00071CFE" w:rsidRPr="00741122" w:rsidRDefault="00071CFE" w:rsidP="002F765C">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Dawka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wymaga dostosowania w zależności od masy ciała pacjenta i rodzaju nowotworu, jaki będzie l</w:t>
      </w:r>
      <w:r w:rsidR="0008597C" w:rsidRPr="00741122">
        <w:rPr>
          <w:rFonts w:ascii="Times New Roman" w:eastAsia="Times New Roman" w:hAnsi="Times New Roman" w:cs="Times New Roman"/>
          <w:sz w:val="22"/>
          <w:szCs w:val="22"/>
          <w:lang w:val="lt-LT"/>
        </w:rPr>
        <w:t>eczony. Zalecana dawka wynosi 5 mg, 7,5 mg, 10 mg lub 15 </w:t>
      </w:r>
      <w:r w:rsidRPr="00741122">
        <w:rPr>
          <w:rFonts w:ascii="Times New Roman" w:eastAsia="Times New Roman" w:hAnsi="Times New Roman" w:cs="Times New Roman"/>
          <w:sz w:val="22"/>
          <w:szCs w:val="22"/>
          <w:lang w:val="lt-LT"/>
        </w:rPr>
        <w:t xml:space="preserve">mg na kg masy ciała pacjenta. Lekarz prowadzący zaleci dawkę odpowiednią dla danego pacjenta. Lek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jest podawany co 2 lub 3 tygodnie. Ilość </w:t>
      </w:r>
      <w:r w:rsidR="00E16896">
        <w:rPr>
          <w:rFonts w:ascii="Times New Roman" w:eastAsia="Times New Roman" w:hAnsi="Times New Roman" w:cs="Times New Roman"/>
          <w:sz w:val="22"/>
          <w:szCs w:val="22"/>
          <w:lang w:val="lt-LT"/>
        </w:rPr>
        <w:t>wlewów</w:t>
      </w:r>
      <w:r w:rsidRPr="00741122">
        <w:rPr>
          <w:rFonts w:ascii="Times New Roman" w:eastAsia="Times New Roman" w:hAnsi="Times New Roman" w:cs="Times New Roman"/>
          <w:sz w:val="22"/>
          <w:szCs w:val="22"/>
          <w:lang w:val="lt-LT"/>
        </w:rPr>
        <w:t xml:space="preserve"> dożylnych podawanych pacjentowi zależy od tego, jaka jest odpowiedź na leczenie</w:t>
      </w:r>
      <w:r w:rsidR="00E16896">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lek powinien być podawany do momentu, gdy stwierdza się, że przestał on być skuteczny w hamowaniu wzrostu nowotworu. Kwestie te mogą być przedyskutowane z lekarzem prowadzącym.</w:t>
      </w:r>
    </w:p>
    <w:p w14:paraId="66D760AE" w14:textId="77777777" w:rsidR="00071CFE" w:rsidRPr="00741122" w:rsidRDefault="00071CFE" w:rsidP="002F765C">
      <w:pPr>
        <w:rPr>
          <w:rFonts w:ascii="Times New Roman" w:eastAsia="Times New Roman" w:hAnsi="Times New Roman" w:cs="Times New Roman"/>
          <w:sz w:val="22"/>
          <w:szCs w:val="22"/>
          <w:lang w:val="lt-LT"/>
        </w:rPr>
      </w:pPr>
    </w:p>
    <w:p w14:paraId="6FA4E33A" w14:textId="77777777" w:rsidR="00071CFE" w:rsidRPr="00741122" w:rsidRDefault="00071CFE" w:rsidP="002F765C">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Sposób i droga podania</w:t>
      </w:r>
    </w:p>
    <w:p w14:paraId="23AE171E" w14:textId="77777777" w:rsidR="0008597C" w:rsidRPr="00741122" w:rsidRDefault="0008597C" w:rsidP="002F765C">
      <w:pPr>
        <w:ind w:left="2"/>
        <w:rPr>
          <w:rFonts w:ascii="Times New Roman" w:eastAsia="Times New Roman" w:hAnsi="Times New Roman" w:cs="Times New Roman"/>
          <w:b/>
          <w:sz w:val="22"/>
          <w:szCs w:val="22"/>
          <w:lang w:val="lt-LT"/>
        </w:rPr>
      </w:pPr>
    </w:p>
    <w:p w14:paraId="68B994DD" w14:textId="78F2177D" w:rsidR="00071CFE" w:rsidRPr="00741122" w:rsidRDefault="004D54A4" w:rsidP="002F765C">
      <w:pPr>
        <w:ind w:left="2" w:right="40"/>
        <w:rPr>
          <w:rFonts w:ascii="Times New Roman" w:eastAsia="Times New Roman" w:hAnsi="Times New Roman" w:cs="Times New Roman"/>
          <w:sz w:val="22"/>
          <w:szCs w:val="22"/>
          <w:lang w:val="lt-LT"/>
        </w:rPr>
      </w:pPr>
      <w:r w:rsidRPr="004D54A4">
        <w:rPr>
          <w:rFonts w:ascii="Times New Roman" w:eastAsia="Times New Roman" w:hAnsi="Times New Roman" w:cs="Times New Roman"/>
          <w:sz w:val="22"/>
          <w:szCs w:val="22"/>
          <w:lang w:val="lt-LT"/>
        </w:rPr>
        <w:t>Nie wstrząsać fiolką.</w:t>
      </w:r>
      <w:r>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 xml:space="preserve">Lek </w:t>
      </w:r>
      <w:r w:rsidR="00261A5A">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koncentratem do sporządzania roztworu do </w:t>
      </w:r>
      <w:r w:rsidR="00E16896">
        <w:rPr>
          <w:rFonts w:ascii="Times New Roman" w:eastAsia="Times New Roman" w:hAnsi="Times New Roman" w:cs="Times New Roman"/>
          <w:sz w:val="22"/>
          <w:szCs w:val="22"/>
          <w:lang w:val="lt-LT"/>
        </w:rPr>
        <w:t>wlewu</w:t>
      </w:r>
      <w:r w:rsidR="00071CFE" w:rsidRPr="00741122">
        <w:rPr>
          <w:rFonts w:ascii="Times New Roman" w:eastAsia="Times New Roman" w:hAnsi="Times New Roman" w:cs="Times New Roman"/>
          <w:sz w:val="22"/>
          <w:szCs w:val="22"/>
          <w:lang w:val="lt-LT"/>
        </w:rPr>
        <w:t xml:space="preserve">. W zależności od zaleconej dawki, całość lub część zawartości fiolki będzie rozcieńczona w roztworze chlorku sodu przed podaniem pacjentowi. Lekarz lub pielęgniarka poda rozcieńczony w ten sposób lek </w:t>
      </w:r>
      <w:r w:rsidR="00261A5A">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w formie </w:t>
      </w:r>
      <w:r w:rsidR="00E16896">
        <w:rPr>
          <w:rFonts w:ascii="Times New Roman" w:eastAsia="Times New Roman" w:hAnsi="Times New Roman" w:cs="Times New Roman"/>
          <w:sz w:val="22"/>
          <w:szCs w:val="22"/>
          <w:lang w:val="lt-LT"/>
        </w:rPr>
        <w:t>wlewu</w:t>
      </w:r>
      <w:r w:rsidR="00071CFE" w:rsidRPr="00741122">
        <w:rPr>
          <w:rFonts w:ascii="Times New Roman" w:eastAsia="Times New Roman" w:hAnsi="Times New Roman" w:cs="Times New Roman"/>
          <w:sz w:val="22"/>
          <w:szCs w:val="22"/>
          <w:lang w:val="lt-LT"/>
        </w:rPr>
        <w:t xml:space="preserve"> dożylne</w:t>
      </w:r>
      <w:r w:rsidR="00E16896">
        <w:rPr>
          <w:rFonts w:ascii="Times New Roman" w:eastAsia="Times New Roman" w:hAnsi="Times New Roman" w:cs="Times New Roman"/>
          <w:sz w:val="22"/>
          <w:szCs w:val="22"/>
          <w:lang w:val="lt-LT"/>
        </w:rPr>
        <w:t>go</w:t>
      </w:r>
      <w:r w:rsidR="00071CFE" w:rsidRPr="00741122">
        <w:rPr>
          <w:rFonts w:ascii="Times New Roman" w:eastAsia="Times New Roman" w:hAnsi="Times New Roman" w:cs="Times New Roman"/>
          <w:sz w:val="22"/>
          <w:szCs w:val="22"/>
          <w:lang w:val="lt-LT"/>
        </w:rPr>
        <w:t xml:space="preserve"> (kroplówka do żyły). Pierwsz</w:t>
      </w:r>
      <w:r w:rsidR="00E16896">
        <w:rPr>
          <w:rFonts w:ascii="Times New Roman" w:eastAsia="Times New Roman" w:hAnsi="Times New Roman" w:cs="Times New Roman"/>
          <w:sz w:val="22"/>
          <w:szCs w:val="22"/>
          <w:lang w:val="lt-LT"/>
        </w:rPr>
        <w:t>y</w:t>
      </w:r>
      <w:r w:rsidR="00071CFE" w:rsidRPr="00741122">
        <w:rPr>
          <w:rFonts w:ascii="Times New Roman" w:eastAsia="Times New Roman" w:hAnsi="Times New Roman" w:cs="Times New Roman"/>
          <w:sz w:val="22"/>
          <w:szCs w:val="22"/>
          <w:lang w:val="lt-LT"/>
        </w:rPr>
        <w:t xml:space="preserve"> </w:t>
      </w:r>
      <w:r w:rsidR="00E16896">
        <w:rPr>
          <w:rFonts w:ascii="Times New Roman" w:eastAsia="Times New Roman" w:hAnsi="Times New Roman" w:cs="Times New Roman"/>
          <w:sz w:val="22"/>
          <w:szCs w:val="22"/>
          <w:lang w:val="lt-LT"/>
        </w:rPr>
        <w:t>wlew</w:t>
      </w:r>
      <w:r w:rsidR="00071CFE" w:rsidRPr="00741122">
        <w:rPr>
          <w:rFonts w:ascii="Times New Roman" w:eastAsia="Times New Roman" w:hAnsi="Times New Roman" w:cs="Times New Roman"/>
          <w:sz w:val="22"/>
          <w:szCs w:val="22"/>
          <w:lang w:val="lt-LT"/>
        </w:rPr>
        <w:t xml:space="preserve"> będzie podawan</w:t>
      </w:r>
      <w:r w:rsidR="00E16896">
        <w:rPr>
          <w:rFonts w:ascii="Times New Roman" w:eastAsia="Times New Roman" w:hAnsi="Times New Roman" w:cs="Times New Roman"/>
          <w:sz w:val="22"/>
          <w:szCs w:val="22"/>
          <w:lang w:val="lt-LT"/>
        </w:rPr>
        <w:t>y</w:t>
      </w:r>
      <w:r w:rsidR="00071CFE" w:rsidRPr="00741122">
        <w:rPr>
          <w:rFonts w:ascii="Times New Roman" w:eastAsia="Times New Roman" w:hAnsi="Times New Roman" w:cs="Times New Roman"/>
          <w:sz w:val="22"/>
          <w:szCs w:val="22"/>
          <w:lang w:val="lt-LT"/>
        </w:rPr>
        <w:t xml:space="preserve"> w ciągu 90 minut. Jeżeli pacjent dobrze tolerował pierwsze podanie, drug</w:t>
      </w:r>
      <w:r w:rsidR="00E16896">
        <w:rPr>
          <w:rFonts w:ascii="Times New Roman" w:eastAsia="Times New Roman" w:hAnsi="Times New Roman" w:cs="Times New Roman"/>
          <w:sz w:val="22"/>
          <w:szCs w:val="22"/>
          <w:lang w:val="lt-LT"/>
        </w:rPr>
        <w:t>i</w:t>
      </w:r>
      <w:r w:rsidR="00071CFE" w:rsidRPr="00741122">
        <w:rPr>
          <w:rFonts w:ascii="Times New Roman" w:eastAsia="Times New Roman" w:hAnsi="Times New Roman" w:cs="Times New Roman"/>
          <w:sz w:val="22"/>
          <w:szCs w:val="22"/>
          <w:lang w:val="lt-LT"/>
        </w:rPr>
        <w:t xml:space="preserve"> </w:t>
      </w:r>
      <w:r w:rsidR="00E16896">
        <w:rPr>
          <w:rFonts w:ascii="Times New Roman" w:eastAsia="Times New Roman" w:hAnsi="Times New Roman" w:cs="Times New Roman"/>
          <w:sz w:val="22"/>
          <w:szCs w:val="22"/>
          <w:lang w:val="lt-LT"/>
        </w:rPr>
        <w:t>wlew</w:t>
      </w:r>
      <w:r w:rsidR="00071CFE" w:rsidRPr="00741122">
        <w:rPr>
          <w:rFonts w:ascii="Times New Roman" w:eastAsia="Times New Roman" w:hAnsi="Times New Roman" w:cs="Times New Roman"/>
          <w:sz w:val="22"/>
          <w:szCs w:val="22"/>
          <w:lang w:val="lt-LT"/>
        </w:rPr>
        <w:t xml:space="preserve"> może być podawan</w:t>
      </w:r>
      <w:r w:rsidR="00E16896">
        <w:rPr>
          <w:rFonts w:ascii="Times New Roman" w:eastAsia="Times New Roman" w:hAnsi="Times New Roman" w:cs="Times New Roman"/>
          <w:sz w:val="22"/>
          <w:szCs w:val="22"/>
          <w:lang w:val="lt-LT"/>
        </w:rPr>
        <w:t>y</w:t>
      </w:r>
      <w:r w:rsidR="00071CFE" w:rsidRPr="00741122">
        <w:rPr>
          <w:rFonts w:ascii="Times New Roman" w:eastAsia="Times New Roman" w:hAnsi="Times New Roman" w:cs="Times New Roman"/>
          <w:sz w:val="22"/>
          <w:szCs w:val="22"/>
          <w:lang w:val="lt-LT"/>
        </w:rPr>
        <w:t xml:space="preserve"> w ciągu 60 minut. Kolejne można podawać w ciągu 30 minut.</w:t>
      </w:r>
    </w:p>
    <w:p w14:paraId="3290E09E" w14:textId="77777777" w:rsidR="00071CFE" w:rsidRPr="00741122" w:rsidRDefault="00071CFE" w:rsidP="002F765C">
      <w:pPr>
        <w:rPr>
          <w:rFonts w:ascii="Times New Roman" w:eastAsia="Times New Roman" w:hAnsi="Times New Roman" w:cs="Times New Roman"/>
          <w:sz w:val="22"/>
          <w:szCs w:val="22"/>
          <w:lang w:val="lt-LT"/>
        </w:rPr>
      </w:pPr>
    </w:p>
    <w:p w14:paraId="7B05CA50" w14:textId="77777777" w:rsidR="00071CFE" w:rsidRPr="00741122" w:rsidRDefault="00071CFE" w:rsidP="002F765C">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Podawanie leku </w:t>
      </w:r>
      <w:r w:rsidR="00261A5A">
        <w:rPr>
          <w:rFonts w:ascii="Times New Roman" w:eastAsia="Times New Roman" w:hAnsi="Times New Roman" w:cs="Times New Roman"/>
          <w:b/>
          <w:sz w:val="22"/>
          <w:szCs w:val="22"/>
          <w:lang w:val="lt-LT"/>
        </w:rPr>
        <w:t>MVASI</w:t>
      </w:r>
      <w:r w:rsidRPr="00741122">
        <w:rPr>
          <w:rFonts w:ascii="Times New Roman" w:eastAsia="Times New Roman" w:hAnsi="Times New Roman" w:cs="Times New Roman"/>
          <w:b/>
          <w:sz w:val="22"/>
          <w:szCs w:val="22"/>
          <w:lang w:val="lt-LT"/>
        </w:rPr>
        <w:t xml:space="preserve"> powinno być czasowo przerwane, jeżeli:</w:t>
      </w:r>
    </w:p>
    <w:p w14:paraId="282F52C1" w14:textId="77777777" w:rsidR="00071CFE" w:rsidRPr="00741122" w:rsidRDefault="00071CFE" w:rsidP="002F765C">
      <w:pPr>
        <w:rPr>
          <w:rFonts w:ascii="Times New Roman" w:eastAsia="Times New Roman" w:hAnsi="Times New Roman" w:cs="Times New Roman"/>
          <w:sz w:val="22"/>
          <w:szCs w:val="22"/>
          <w:lang w:val="lt-LT"/>
        </w:rPr>
      </w:pPr>
    </w:p>
    <w:p w14:paraId="3A867AF9" w14:textId="77777777" w:rsidR="00071CFE" w:rsidRPr="00741122" w:rsidRDefault="00071CFE" w:rsidP="003819E0">
      <w:pPr>
        <w:numPr>
          <w:ilvl w:val="0"/>
          <w:numId w:val="97"/>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występują poważne przypadki podwyższonego ciśnienia krwi, wymagające leczenia z zastosowaniem leków obniżających ciśnienie,</w:t>
      </w:r>
    </w:p>
    <w:p w14:paraId="54287986" w14:textId="77777777" w:rsidR="00071CFE" w:rsidRPr="00741122" w:rsidRDefault="00071CFE" w:rsidP="003819E0">
      <w:pPr>
        <w:numPr>
          <w:ilvl w:val="0"/>
          <w:numId w:val="97"/>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wystąpią problemy z gojeniem ran po zabiegu chirurgicznym,</w:t>
      </w:r>
    </w:p>
    <w:p w14:paraId="2FCAE611" w14:textId="77777777" w:rsidR="00071CFE" w:rsidRPr="00741122" w:rsidRDefault="00071CFE" w:rsidP="003819E0">
      <w:pPr>
        <w:numPr>
          <w:ilvl w:val="0"/>
          <w:numId w:val="97"/>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pacjent poddawany jest zabiegowi chirurgicznemu.</w:t>
      </w:r>
    </w:p>
    <w:p w14:paraId="15E8F298" w14:textId="77777777" w:rsidR="00071CFE" w:rsidRPr="00741122" w:rsidRDefault="00071CFE" w:rsidP="002F765C">
      <w:pPr>
        <w:rPr>
          <w:rFonts w:ascii="Times New Roman" w:eastAsia="Times New Roman" w:hAnsi="Times New Roman" w:cs="Times New Roman"/>
          <w:sz w:val="22"/>
          <w:szCs w:val="22"/>
          <w:lang w:val="lt-LT"/>
        </w:rPr>
      </w:pPr>
    </w:p>
    <w:p w14:paraId="24AF7196" w14:textId="77777777" w:rsidR="00071CFE" w:rsidRPr="00741122" w:rsidRDefault="00071CFE" w:rsidP="002F765C">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Podawanie leku </w:t>
      </w:r>
      <w:r w:rsidR="00261A5A">
        <w:rPr>
          <w:rFonts w:ascii="Times New Roman" w:eastAsia="Times New Roman" w:hAnsi="Times New Roman" w:cs="Times New Roman"/>
          <w:b/>
          <w:sz w:val="22"/>
          <w:szCs w:val="22"/>
          <w:lang w:val="lt-LT"/>
        </w:rPr>
        <w:t>MVASI</w:t>
      </w:r>
      <w:r w:rsidRPr="00741122">
        <w:rPr>
          <w:rFonts w:ascii="Times New Roman" w:eastAsia="Times New Roman" w:hAnsi="Times New Roman" w:cs="Times New Roman"/>
          <w:b/>
          <w:sz w:val="22"/>
          <w:szCs w:val="22"/>
          <w:lang w:val="lt-LT"/>
        </w:rPr>
        <w:t xml:space="preserve"> powinno być zakończone, jeżeli:</w:t>
      </w:r>
    </w:p>
    <w:p w14:paraId="79A53C17" w14:textId="77777777" w:rsidR="00071CFE" w:rsidRPr="00741122" w:rsidRDefault="00071CFE" w:rsidP="002F765C">
      <w:pPr>
        <w:rPr>
          <w:rFonts w:ascii="Times New Roman" w:eastAsia="Times New Roman" w:hAnsi="Times New Roman" w:cs="Times New Roman"/>
          <w:sz w:val="22"/>
          <w:szCs w:val="22"/>
          <w:lang w:val="lt-LT"/>
        </w:rPr>
      </w:pPr>
    </w:p>
    <w:p w14:paraId="52FF2BD3"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występują poważne przypadki podwyższonego ciśnienia krwi, które nie poddaje się leczeniu lekami przeciwnadciśnieniowymi lub, gdy wystąpi nagłe znaczne podwyższenie ciśnienia,</w:t>
      </w:r>
    </w:p>
    <w:p w14:paraId="22412608"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występuje białko w moczu oraz objawy obrzęku całego ciała,</w:t>
      </w:r>
    </w:p>
    <w:p w14:paraId="385CB55B"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występuje perforacja (dziura) w ścianach przewodu pokarmowego,</w:t>
      </w:r>
    </w:p>
    <w:p w14:paraId="57A64397"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występuje nieprawidłowe połączenie lub przejście w kształcie rurki między tchawicą i przełykiem, między narządami wewnętrznymi i skórą, między pochwą i jakąkolwiek częścią jelit lub między innymi tkankami, które zazwyczaj nie są ze sobą połączone (przetoka), ocenione przez lekarza jako poważne,</w:t>
      </w:r>
    </w:p>
    <w:p w14:paraId="207BE866"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wystąpi ciężkie zakażenie skóry lub tkanek położonych głębiej pod skórą</w:t>
      </w:r>
      <w:r w:rsidR="00E16896">
        <w:rPr>
          <w:rFonts w:ascii="Times New Roman" w:eastAsia="Times New Roman" w:hAnsi="Times New Roman" w:cs="Times New Roman"/>
          <w:sz w:val="22"/>
          <w:szCs w:val="22"/>
          <w:lang w:val="lt-LT"/>
        </w:rPr>
        <w:t>,</w:t>
      </w:r>
    </w:p>
    <w:p w14:paraId="4C8F6426"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występują zakrzepy w tętnicach,</w:t>
      </w:r>
    </w:p>
    <w:p w14:paraId="3401F081"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występują zakrzepy w naczyniach krwionośnych płuc,</w:t>
      </w:r>
    </w:p>
    <w:p w14:paraId="49745184" w14:textId="77777777" w:rsidR="00071CFE" w:rsidRPr="00741122" w:rsidRDefault="00071CFE" w:rsidP="003819E0">
      <w:pPr>
        <w:numPr>
          <w:ilvl w:val="0"/>
          <w:numId w:val="98"/>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występuje jakiekolwiek poważne krwawienie.</w:t>
      </w:r>
    </w:p>
    <w:p w14:paraId="0E6807D4" w14:textId="77777777" w:rsidR="00071CFE" w:rsidRPr="00741122" w:rsidRDefault="00071CFE" w:rsidP="002F765C">
      <w:pPr>
        <w:rPr>
          <w:rFonts w:ascii="Times New Roman" w:eastAsia="Times New Roman" w:hAnsi="Times New Roman" w:cs="Times New Roman"/>
          <w:sz w:val="22"/>
          <w:szCs w:val="22"/>
          <w:lang w:val="lt-LT"/>
        </w:rPr>
      </w:pPr>
    </w:p>
    <w:p w14:paraId="4800FF72" w14:textId="77777777" w:rsidR="00071CFE" w:rsidRPr="00741122" w:rsidRDefault="00071CFE" w:rsidP="002F765C">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Zastosowanie większej niż zalecana dawki leku </w:t>
      </w:r>
      <w:r w:rsidR="00261A5A">
        <w:rPr>
          <w:rFonts w:ascii="Times New Roman" w:eastAsia="Times New Roman" w:hAnsi="Times New Roman" w:cs="Times New Roman"/>
          <w:b/>
          <w:sz w:val="22"/>
          <w:szCs w:val="22"/>
          <w:lang w:val="lt-LT"/>
        </w:rPr>
        <w:t>MVASI</w:t>
      </w:r>
    </w:p>
    <w:p w14:paraId="6954916D" w14:textId="77777777" w:rsidR="00071CFE" w:rsidRPr="00741122" w:rsidRDefault="00071CFE" w:rsidP="002F765C">
      <w:pPr>
        <w:rPr>
          <w:rFonts w:ascii="Times New Roman" w:eastAsia="Times New Roman" w:hAnsi="Times New Roman" w:cs="Times New Roman"/>
          <w:sz w:val="22"/>
          <w:szCs w:val="22"/>
          <w:lang w:val="lt-LT"/>
        </w:rPr>
      </w:pPr>
    </w:p>
    <w:p w14:paraId="6C5BFAB5" w14:textId="77777777" w:rsidR="00071CFE" w:rsidRPr="00741122" w:rsidRDefault="00071CFE" w:rsidP="003819E0">
      <w:pPr>
        <w:numPr>
          <w:ilvl w:val="0"/>
          <w:numId w:val="99"/>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 pacjenta może wystąpić ciężka migrena. W takim przypadku należy pilnie skontaktować się z lekarzem, farmaceutą lub pielęgniarką.</w:t>
      </w:r>
    </w:p>
    <w:p w14:paraId="1FADD21D" w14:textId="77777777" w:rsidR="00071CFE" w:rsidRPr="00741122" w:rsidRDefault="00071CFE" w:rsidP="002F765C">
      <w:pPr>
        <w:rPr>
          <w:rFonts w:ascii="Times New Roman" w:eastAsia="Times New Roman" w:hAnsi="Times New Roman" w:cs="Times New Roman"/>
          <w:sz w:val="22"/>
          <w:szCs w:val="22"/>
          <w:lang w:val="lt-LT"/>
        </w:rPr>
      </w:pPr>
    </w:p>
    <w:p w14:paraId="6A626CC9" w14:textId="77777777" w:rsidR="00071CFE" w:rsidRPr="00741122" w:rsidRDefault="00071CFE" w:rsidP="002B1650">
      <w:pPr>
        <w:keepNext/>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Pominięcie zastosowania leku </w:t>
      </w:r>
      <w:r w:rsidR="00261A5A">
        <w:rPr>
          <w:rFonts w:ascii="Times New Roman" w:eastAsia="Times New Roman" w:hAnsi="Times New Roman" w:cs="Times New Roman"/>
          <w:b/>
          <w:sz w:val="22"/>
          <w:szCs w:val="22"/>
          <w:lang w:val="lt-LT"/>
        </w:rPr>
        <w:t>MVASI</w:t>
      </w:r>
    </w:p>
    <w:p w14:paraId="5CF45B72" w14:textId="77777777" w:rsidR="00071CFE" w:rsidRPr="00741122" w:rsidRDefault="00071CFE" w:rsidP="002B1650">
      <w:pPr>
        <w:keepNext/>
        <w:rPr>
          <w:rFonts w:ascii="Times New Roman" w:eastAsia="Times New Roman" w:hAnsi="Times New Roman" w:cs="Times New Roman"/>
          <w:sz w:val="22"/>
          <w:szCs w:val="22"/>
          <w:lang w:val="lt-LT"/>
        </w:rPr>
      </w:pPr>
    </w:p>
    <w:p w14:paraId="25650AFE" w14:textId="77777777" w:rsidR="00071CFE" w:rsidRPr="00741122" w:rsidRDefault="00071CFE" w:rsidP="003819E0">
      <w:pPr>
        <w:numPr>
          <w:ilvl w:val="0"/>
          <w:numId w:val="99"/>
        </w:numPr>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 xml:space="preserve">lekarz prowadzący podejmie decyzję, kiedy powinna być podana następna dawka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Pacjent powinien omówić to z lekarzem prowadzącym.</w:t>
      </w:r>
    </w:p>
    <w:p w14:paraId="30637F4D" w14:textId="77777777" w:rsidR="00071CFE" w:rsidRPr="00741122" w:rsidRDefault="00071CFE" w:rsidP="002F765C">
      <w:pPr>
        <w:rPr>
          <w:rFonts w:ascii="Times New Roman" w:eastAsia="Times New Roman" w:hAnsi="Times New Roman" w:cs="Times New Roman"/>
          <w:sz w:val="22"/>
          <w:szCs w:val="22"/>
          <w:lang w:val="lt-LT"/>
        </w:rPr>
      </w:pPr>
    </w:p>
    <w:p w14:paraId="74177C52" w14:textId="77777777" w:rsidR="00071CFE" w:rsidRPr="00741122" w:rsidRDefault="00071CFE" w:rsidP="002F765C">
      <w:pPr>
        <w:keepNext/>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lastRenderedPageBreak/>
        <w:t xml:space="preserve">Przerwanie stosowania leku </w:t>
      </w:r>
      <w:r w:rsidR="00261A5A">
        <w:rPr>
          <w:rFonts w:ascii="Times New Roman" w:eastAsia="Times New Roman" w:hAnsi="Times New Roman" w:cs="Times New Roman"/>
          <w:b/>
          <w:sz w:val="22"/>
          <w:szCs w:val="22"/>
          <w:lang w:val="lt-LT"/>
        </w:rPr>
        <w:t>MVASI</w:t>
      </w:r>
    </w:p>
    <w:p w14:paraId="44093D57" w14:textId="77777777" w:rsidR="00071CFE" w:rsidRPr="00741122" w:rsidRDefault="00071CFE" w:rsidP="002F765C">
      <w:pPr>
        <w:keepNext/>
        <w:rPr>
          <w:rFonts w:ascii="Times New Roman" w:eastAsia="Times New Roman" w:hAnsi="Times New Roman" w:cs="Times New Roman"/>
          <w:sz w:val="22"/>
          <w:szCs w:val="22"/>
          <w:lang w:val="lt-LT"/>
        </w:rPr>
      </w:pPr>
    </w:p>
    <w:p w14:paraId="31830DA5" w14:textId="77777777" w:rsidR="00071CFE" w:rsidRPr="00741122" w:rsidRDefault="00071CFE" w:rsidP="002F765C">
      <w:pPr>
        <w:ind w:left="2" w:right="240"/>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Przerwanie podawania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może spowodować zatrzymanie wpływu na wzrost nowotworu. Nie należy przerywać stosowania leku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chyba, że zostało to uzgodnione z lekarzem prowadzącym.</w:t>
      </w:r>
    </w:p>
    <w:p w14:paraId="0BAF4105" w14:textId="77777777" w:rsidR="00071CFE" w:rsidRPr="00741122" w:rsidRDefault="00071CFE" w:rsidP="002F765C">
      <w:pPr>
        <w:rPr>
          <w:rFonts w:ascii="Times New Roman" w:eastAsia="Times New Roman" w:hAnsi="Times New Roman" w:cs="Times New Roman"/>
          <w:sz w:val="22"/>
          <w:szCs w:val="22"/>
          <w:lang w:val="lt-LT"/>
        </w:rPr>
      </w:pPr>
    </w:p>
    <w:p w14:paraId="5D5E1AA1" w14:textId="77777777" w:rsidR="00071CFE" w:rsidRPr="00741122" w:rsidRDefault="00071CFE" w:rsidP="002F765C">
      <w:pPr>
        <w:ind w:left="2" w:right="6"/>
        <w:rPr>
          <w:rFonts w:ascii="Times New Roman" w:eastAsia="Times New Roman" w:hAnsi="Times New Roman" w:cs="Times New Roman"/>
          <w:sz w:val="22"/>
          <w:szCs w:val="22"/>
          <w:lang w:val="lt-LT"/>
        </w:rPr>
      </w:pPr>
      <w:bookmarkStart w:id="108" w:name="page77"/>
      <w:bookmarkEnd w:id="108"/>
      <w:r w:rsidRPr="00741122">
        <w:rPr>
          <w:rFonts w:ascii="Times New Roman" w:eastAsia="Times New Roman" w:hAnsi="Times New Roman" w:cs="Times New Roman"/>
          <w:sz w:val="22"/>
          <w:szCs w:val="22"/>
          <w:lang w:val="lt-LT"/>
        </w:rPr>
        <w:t>W razie jakichkolwiek dalszych wątpliwości związanych ze stosowaniem tego leku należy zwrócić się do lekarza, farmaceuty lub pielęgniarki.</w:t>
      </w:r>
    </w:p>
    <w:p w14:paraId="7E308D11" w14:textId="77777777" w:rsidR="00071CFE" w:rsidRPr="00741122" w:rsidRDefault="00071CFE" w:rsidP="002F765C">
      <w:pPr>
        <w:rPr>
          <w:rFonts w:ascii="Times New Roman" w:eastAsia="Times New Roman" w:hAnsi="Times New Roman" w:cs="Times New Roman"/>
          <w:sz w:val="22"/>
          <w:szCs w:val="22"/>
          <w:lang w:val="lt-LT"/>
        </w:rPr>
      </w:pPr>
    </w:p>
    <w:p w14:paraId="27A0CBAD" w14:textId="77777777" w:rsidR="00071CFE" w:rsidRPr="00741122" w:rsidRDefault="00071CFE" w:rsidP="002F765C">
      <w:pPr>
        <w:rPr>
          <w:rFonts w:ascii="Times New Roman" w:eastAsia="Times New Roman" w:hAnsi="Times New Roman" w:cs="Times New Roman"/>
          <w:sz w:val="22"/>
          <w:szCs w:val="22"/>
          <w:lang w:val="lt-LT"/>
        </w:rPr>
      </w:pPr>
    </w:p>
    <w:p w14:paraId="5EB2611F" w14:textId="77777777" w:rsidR="00071CFE" w:rsidRPr="00741122" w:rsidRDefault="00071CFE" w:rsidP="0023471C">
      <w:pPr>
        <w:numPr>
          <w:ilvl w:val="0"/>
          <w:numId w:val="50"/>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Możliwe działania niepożądane</w:t>
      </w:r>
    </w:p>
    <w:p w14:paraId="7C44C1B8" w14:textId="77777777" w:rsidR="00071CFE" w:rsidRPr="00741122" w:rsidRDefault="00071CFE" w:rsidP="002F765C">
      <w:pPr>
        <w:rPr>
          <w:rFonts w:ascii="Times New Roman" w:eastAsia="Times New Roman" w:hAnsi="Times New Roman" w:cs="Times New Roman"/>
          <w:sz w:val="22"/>
          <w:szCs w:val="22"/>
          <w:lang w:val="lt-LT"/>
        </w:rPr>
      </w:pPr>
    </w:p>
    <w:p w14:paraId="74C8996A" w14:textId="77777777" w:rsidR="00071CFE" w:rsidRPr="00741122" w:rsidRDefault="00071CFE" w:rsidP="002F765C">
      <w:pPr>
        <w:ind w:left="2"/>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Jak każdy lek, lek ten może powodować działania niepożądane, chociaż nie u każdego one wystąpią.</w:t>
      </w:r>
    </w:p>
    <w:p w14:paraId="4EB27529" w14:textId="77777777" w:rsidR="00071CFE" w:rsidRPr="00741122" w:rsidRDefault="00071CFE" w:rsidP="002F765C">
      <w:pPr>
        <w:rPr>
          <w:rFonts w:ascii="Times New Roman" w:eastAsia="Times New Roman" w:hAnsi="Times New Roman" w:cs="Times New Roman"/>
          <w:sz w:val="22"/>
          <w:szCs w:val="22"/>
          <w:lang w:val="lt-LT"/>
        </w:rPr>
      </w:pPr>
    </w:p>
    <w:p w14:paraId="2F459743" w14:textId="77777777" w:rsidR="00071CFE" w:rsidRPr="00741122" w:rsidRDefault="00071CFE" w:rsidP="002F765C">
      <w:pPr>
        <w:ind w:left="2" w:right="60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Jeśli wystąpią jakiekolwiek objawy niepożądane, w tym wszelkie możliwe objawy niepożądane niewymienione w ulotce, należy zwrócić się do lekarza, farmaceuty lub pielęgniarki.</w:t>
      </w:r>
    </w:p>
    <w:p w14:paraId="1BC8B85D" w14:textId="77777777" w:rsidR="00071CFE" w:rsidRPr="00741122" w:rsidRDefault="00071CFE" w:rsidP="002F765C">
      <w:pPr>
        <w:rPr>
          <w:rFonts w:ascii="Times New Roman" w:eastAsia="Times New Roman" w:hAnsi="Times New Roman" w:cs="Times New Roman"/>
          <w:sz w:val="22"/>
          <w:szCs w:val="22"/>
          <w:lang w:val="lt-LT"/>
        </w:rPr>
      </w:pPr>
    </w:p>
    <w:p w14:paraId="7E558526" w14:textId="77777777" w:rsidR="00071CFE" w:rsidRPr="00741122" w:rsidRDefault="00071CFE" w:rsidP="002F765C">
      <w:pPr>
        <w:ind w:left="2" w:right="24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Poniżej wymienione działania niepożądane były obserwowane, gdy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 xml:space="preserve"> był stosowany w skojarzeniu z chemioterapią. Nie oznacza to koniecznie, że działania te były powodowane przez lek </w:t>
      </w:r>
      <w:r w:rsidR="00261A5A">
        <w:rPr>
          <w:rFonts w:ascii="Times New Roman" w:eastAsia="Times New Roman" w:hAnsi="Times New Roman" w:cs="Times New Roman"/>
          <w:sz w:val="22"/>
          <w:szCs w:val="22"/>
          <w:lang w:val="lt-LT"/>
        </w:rPr>
        <w:t>MVASI</w:t>
      </w:r>
      <w:r w:rsidRPr="00741122">
        <w:rPr>
          <w:rFonts w:ascii="Times New Roman" w:eastAsia="Times New Roman" w:hAnsi="Times New Roman" w:cs="Times New Roman"/>
          <w:sz w:val="22"/>
          <w:szCs w:val="22"/>
          <w:lang w:val="lt-LT"/>
        </w:rPr>
        <w:t>.</w:t>
      </w:r>
    </w:p>
    <w:p w14:paraId="31E1F9F1" w14:textId="77777777" w:rsidR="00071CFE" w:rsidRPr="00741122" w:rsidRDefault="00071CFE" w:rsidP="002F765C">
      <w:pPr>
        <w:rPr>
          <w:rFonts w:ascii="Times New Roman" w:eastAsia="Times New Roman" w:hAnsi="Times New Roman" w:cs="Times New Roman"/>
          <w:sz w:val="22"/>
          <w:szCs w:val="22"/>
          <w:lang w:val="lt-LT"/>
        </w:rPr>
      </w:pPr>
    </w:p>
    <w:p w14:paraId="453E6532" w14:textId="77777777" w:rsidR="00071CFE" w:rsidRPr="00741122" w:rsidRDefault="00071CFE" w:rsidP="002F765C">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Reakcje alergiczne</w:t>
      </w:r>
    </w:p>
    <w:p w14:paraId="05BD166B" w14:textId="77777777" w:rsidR="00672CB2" w:rsidRDefault="00672CB2" w:rsidP="002F765C">
      <w:pPr>
        <w:ind w:left="2" w:right="26"/>
        <w:rPr>
          <w:rFonts w:ascii="Times New Roman" w:eastAsia="Times New Roman" w:hAnsi="Times New Roman" w:cs="Times New Roman"/>
          <w:sz w:val="22"/>
          <w:szCs w:val="22"/>
          <w:lang w:val="lt-LT"/>
        </w:rPr>
      </w:pPr>
    </w:p>
    <w:p w14:paraId="4211C5E3" w14:textId="706B0B08" w:rsidR="00071CFE" w:rsidRPr="00741122" w:rsidRDefault="00071CFE" w:rsidP="002F765C">
      <w:pPr>
        <w:ind w:left="2" w:right="2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Jeśli wystąpi reakcja alergiczna należy natychmiast poinformować lekarza lub inn</w:t>
      </w:r>
      <w:r w:rsidR="00E16896">
        <w:rPr>
          <w:rFonts w:ascii="Times New Roman" w:eastAsia="Times New Roman" w:hAnsi="Times New Roman" w:cs="Times New Roman"/>
          <w:sz w:val="22"/>
          <w:szCs w:val="22"/>
          <w:lang w:val="lt-LT"/>
        </w:rPr>
        <w:t>y personel</w:t>
      </w:r>
      <w:r w:rsidRPr="00741122">
        <w:rPr>
          <w:rFonts w:ascii="Times New Roman" w:eastAsia="Times New Roman" w:hAnsi="Times New Roman" w:cs="Times New Roman"/>
          <w:sz w:val="22"/>
          <w:szCs w:val="22"/>
          <w:lang w:val="lt-LT"/>
        </w:rPr>
        <w:t xml:space="preserve"> medyczn</w:t>
      </w:r>
      <w:r w:rsidR="00E16896">
        <w:rPr>
          <w:rFonts w:ascii="Times New Roman" w:eastAsia="Times New Roman" w:hAnsi="Times New Roman" w:cs="Times New Roman"/>
          <w:sz w:val="22"/>
          <w:szCs w:val="22"/>
          <w:lang w:val="lt-LT"/>
        </w:rPr>
        <w:t>y</w:t>
      </w:r>
      <w:r w:rsidRPr="00741122">
        <w:rPr>
          <w:rFonts w:ascii="Times New Roman" w:eastAsia="Times New Roman" w:hAnsi="Times New Roman" w:cs="Times New Roman"/>
          <w:sz w:val="22"/>
          <w:szCs w:val="22"/>
          <w:lang w:val="lt-LT"/>
        </w:rPr>
        <w:t>. Objawy takiej reakcji mogą obejmować: trudności w oddychaniu lub ból w klatce piersiowej. Może również wystąpić rumień, nagłe zaczerwienienie skóry, wysypka skórna, dreszcze i uczucie zimna, nudności lub wymioty</w:t>
      </w:r>
      <w:r w:rsidR="00AB2AB2">
        <w:rPr>
          <w:rFonts w:ascii="Times New Roman" w:eastAsia="Times New Roman" w:hAnsi="Times New Roman" w:cs="Times New Roman"/>
          <w:sz w:val="22"/>
          <w:szCs w:val="22"/>
          <w:lang w:val="lt-LT"/>
        </w:rPr>
        <w:t xml:space="preserve">, </w:t>
      </w:r>
      <w:r w:rsidR="00AB2AB2" w:rsidRPr="00AB2AB2">
        <w:rPr>
          <w:rFonts w:ascii="Times New Roman" w:eastAsia="Times New Roman" w:hAnsi="Times New Roman" w:cs="Times New Roman"/>
          <w:sz w:val="22"/>
          <w:szCs w:val="22"/>
          <w:lang w:val="lt-LT"/>
        </w:rPr>
        <w:t>obrzęk, zawroty głowy, szybkie bicie serca</w:t>
      </w:r>
      <w:r w:rsidR="00AB2AB2">
        <w:rPr>
          <w:rFonts w:ascii="Times New Roman" w:eastAsia="Times New Roman" w:hAnsi="Times New Roman" w:cs="Times New Roman"/>
          <w:sz w:val="22"/>
          <w:szCs w:val="22"/>
          <w:lang w:val="lt-LT"/>
        </w:rPr>
        <w:t xml:space="preserve"> i utrata przytomności.</w:t>
      </w:r>
    </w:p>
    <w:p w14:paraId="3EE16617" w14:textId="77777777" w:rsidR="00071CFE" w:rsidRPr="00741122" w:rsidRDefault="00071CFE" w:rsidP="002F765C">
      <w:pPr>
        <w:rPr>
          <w:rFonts w:ascii="Times New Roman" w:eastAsia="Times New Roman" w:hAnsi="Times New Roman" w:cs="Times New Roman"/>
          <w:sz w:val="22"/>
          <w:szCs w:val="22"/>
          <w:lang w:val="lt-LT"/>
        </w:rPr>
      </w:pPr>
    </w:p>
    <w:p w14:paraId="681644EA" w14:textId="77777777" w:rsidR="00071CFE" w:rsidRPr="00741122" w:rsidRDefault="00071CFE" w:rsidP="002F765C">
      <w:pPr>
        <w:ind w:left="2" w:right="1006"/>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Należy natychmiast skontaktować się z lekarzem w przypadku wystąpienia którego</w:t>
      </w:r>
      <w:r w:rsidR="00466409">
        <w:rPr>
          <w:rFonts w:ascii="Times New Roman" w:eastAsia="Times New Roman" w:hAnsi="Times New Roman" w:cs="Times New Roman"/>
          <w:b/>
          <w:sz w:val="22"/>
          <w:szCs w:val="22"/>
          <w:lang w:val="lt-LT"/>
        </w:rPr>
        <w:t>kolwiek</w:t>
      </w:r>
      <w:r w:rsidRPr="00741122">
        <w:rPr>
          <w:rFonts w:ascii="Times New Roman" w:eastAsia="Times New Roman" w:hAnsi="Times New Roman" w:cs="Times New Roman"/>
          <w:b/>
          <w:sz w:val="22"/>
          <w:szCs w:val="22"/>
          <w:lang w:val="lt-LT"/>
        </w:rPr>
        <w:t xml:space="preserve"> z poniższych działań niepożądanych.</w:t>
      </w:r>
    </w:p>
    <w:p w14:paraId="395EA691" w14:textId="77777777" w:rsidR="00071CFE" w:rsidRPr="00741122" w:rsidRDefault="00071CFE" w:rsidP="002F765C">
      <w:pPr>
        <w:rPr>
          <w:rFonts w:ascii="Times New Roman" w:eastAsia="Times New Roman" w:hAnsi="Times New Roman" w:cs="Times New Roman"/>
          <w:sz w:val="22"/>
          <w:szCs w:val="22"/>
          <w:lang w:val="lt-LT"/>
        </w:rPr>
      </w:pPr>
    </w:p>
    <w:p w14:paraId="7F28CF2E" w14:textId="7C309AA8" w:rsidR="00071CFE" w:rsidRDefault="00071CFE" w:rsidP="002F765C">
      <w:pPr>
        <w:ind w:left="2" w:right="58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Do ciężkich działań niepożądanych, które mogą występować </w:t>
      </w:r>
      <w:r w:rsidRPr="00741122">
        <w:rPr>
          <w:rFonts w:ascii="Times New Roman" w:eastAsia="Times New Roman" w:hAnsi="Times New Roman" w:cs="Times New Roman"/>
          <w:b/>
          <w:sz w:val="22"/>
          <w:szCs w:val="22"/>
          <w:lang w:val="lt-LT"/>
        </w:rPr>
        <w:t>bardzo często</w:t>
      </w:r>
      <w:r w:rsidRPr="00741122">
        <w:rPr>
          <w:rFonts w:ascii="Times New Roman" w:eastAsia="Times New Roman" w:hAnsi="Times New Roman" w:cs="Times New Roman"/>
          <w:sz w:val="22"/>
          <w:szCs w:val="22"/>
          <w:lang w:val="lt-LT"/>
        </w:rPr>
        <w:t xml:space="preserve"> (</w:t>
      </w:r>
      <w:r w:rsidR="005C127B">
        <w:rPr>
          <w:rFonts w:ascii="Times New Roman" w:eastAsia="Times New Roman" w:hAnsi="Times New Roman" w:cs="Times New Roman"/>
          <w:sz w:val="22"/>
          <w:szCs w:val="22"/>
          <w:lang w:val="lt-LT"/>
        </w:rPr>
        <w:t xml:space="preserve">mogą </w:t>
      </w:r>
      <w:r w:rsidR="00BE4DF5">
        <w:rPr>
          <w:rFonts w:ascii="Times New Roman" w:eastAsia="Times New Roman" w:hAnsi="Times New Roman" w:cs="Times New Roman"/>
          <w:sz w:val="22"/>
          <w:szCs w:val="22"/>
          <w:lang w:val="lt-LT"/>
        </w:rPr>
        <w:t xml:space="preserve">wystąpić u </w:t>
      </w:r>
      <w:r w:rsidRPr="00741122">
        <w:rPr>
          <w:rFonts w:ascii="Times New Roman" w:eastAsia="Times New Roman" w:hAnsi="Times New Roman" w:cs="Times New Roman"/>
          <w:sz w:val="22"/>
          <w:szCs w:val="22"/>
          <w:lang w:val="lt-LT"/>
        </w:rPr>
        <w:t>więcej niż 1 na 10</w:t>
      </w:r>
      <w:r w:rsidR="00BE4DF5">
        <w:rPr>
          <w:rFonts w:ascii="Times New Roman" w:eastAsia="Times New Roman" w:hAnsi="Times New Roman" w:cs="Times New Roman"/>
          <w:sz w:val="22"/>
          <w:szCs w:val="22"/>
          <w:lang w:val="lt-LT"/>
        </w:rPr>
        <w:t xml:space="preserve"> osób</w:t>
      </w:r>
      <w:r w:rsidRPr="00741122">
        <w:rPr>
          <w:rFonts w:ascii="Times New Roman" w:eastAsia="Times New Roman" w:hAnsi="Times New Roman" w:cs="Times New Roman"/>
          <w:sz w:val="22"/>
          <w:szCs w:val="22"/>
          <w:lang w:val="lt-LT"/>
        </w:rPr>
        <w:t>) należą:</w:t>
      </w:r>
    </w:p>
    <w:p w14:paraId="5BA114FD" w14:textId="77777777" w:rsidR="00071CFE" w:rsidRPr="00741122" w:rsidRDefault="00071CFE" w:rsidP="00694DAD">
      <w:pPr>
        <w:numPr>
          <w:ilvl w:val="0"/>
          <w:numId w:val="99"/>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podwyższone ciśnienie krwi,</w:t>
      </w:r>
    </w:p>
    <w:p w14:paraId="4DAF22B9" w14:textId="77777777" w:rsidR="00071CFE" w:rsidRPr="00741122" w:rsidRDefault="00071CFE" w:rsidP="00694DAD">
      <w:pPr>
        <w:numPr>
          <w:ilvl w:val="0"/>
          <w:numId w:val="99"/>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uczucie zdrętwienia lub mrowienia w dłoniach i stopach,</w:t>
      </w:r>
    </w:p>
    <w:p w14:paraId="52D3F3DD" w14:textId="77777777" w:rsidR="00071CFE" w:rsidRPr="00741122" w:rsidRDefault="00071CFE" w:rsidP="00694DAD">
      <w:pPr>
        <w:numPr>
          <w:ilvl w:val="0"/>
          <w:numId w:val="99"/>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zmniejszona liczba krwinek we krwi, włącznie z krwinkami białymi, które wspomagają zwalczanie infekcji (mogące objawiać się gorączką) oraz krwinek, które wpływają na krzepliwość krwi,</w:t>
      </w:r>
    </w:p>
    <w:p w14:paraId="283F4B44" w14:textId="77777777" w:rsidR="00071CFE" w:rsidRPr="00741122" w:rsidRDefault="00071CFE" w:rsidP="00694DAD">
      <w:pPr>
        <w:numPr>
          <w:ilvl w:val="0"/>
          <w:numId w:val="99"/>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uczucie osłabienia oraz brak energii,</w:t>
      </w:r>
    </w:p>
    <w:p w14:paraId="1F372B59" w14:textId="77777777" w:rsidR="00071CFE" w:rsidRPr="00741122" w:rsidRDefault="00071CFE" w:rsidP="00694DAD">
      <w:pPr>
        <w:numPr>
          <w:ilvl w:val="0"/>
          <w:numId w:val="99"/>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uczucie zmęczenia,</w:t>
      </w:r>
    </w:p>
    <w:p w14:paraId="2286BF4A" w14:textId="77777777" w:rsidR="00071CFE" w:rsidRPr="00741122" w:rsidRDefault="00071CFE" w:rsidP="00694DAD">
      <w:pPr>
        <w:numPr>
          <w:ilvl w:val="0"/>
          <w:numId w:val="99"/>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biegunka, nudności, wymioty i ból brzucha.</w:t>
      </w:r>
    </w:p>
    <w:p w14:paraId="26653813" w14:textId="77777777" w:rsidR="006B5D4A" w:rsidRPr="00741122" w:rsidRDefault="006B5D4A" w:rsidP="002F765C">
      <w:pPr>
        <w:tabs>
          <w:tab w:val="left" w:pos="562"/>
        </w:tabs>
        <w:ind w:left="1"/>
        <w:rPr>
          <w:rFonts w:ascii="Times New Roman" w:eastAsia="Arial" w:hAnsi="Times New Roman" w:cs="Times New Roman"/>
          <w:sz w:val="22"/>
          <w:szCs w:val="22"/>
          <w:lang w:val="lt-LT"/>
        </w:rPr>
      </w:pPr>
    </w:p>
    <w:p w14:paraId="1425019A" w14:textId="55DA2064" w:rsidR="00071CFE" w:rsidRPr="00741122" w:rsidRDefault="00071CFE" w:rsidP="002F765C">
      <w:pPr>
        <w:ind w:left="2" w:right="28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Do ciężkich działań niepożądanych, które mogą występować </w:t>
      </w:r>
      <w:r w:rsidRPr="00741122">
        <w:rPr>
          <w:rFonts w:ascii="Times New Roman" w:eastAsia="Times New Roman" w:hAnsi="Times New Roman" w:cs="Times New Roman"/>
          <w:b/>
          <w:sz w:val="22"/>
          <w:szCs w:val="22"/>
          <w:lang w:val="lt-LT"/>
        </w:rPr>
        <w:t>często</w:t>
      </w:r>
      <w:r w:rsidRPr="00741122">
        <w:rPr>
          <w:rFonts w:ascii="Times New Roman" w:eastAsia="Times New Roman" w:hAnsi="Times New Roman" w:cs="Times New Roman"/>
          <w:sz w:val="22"/>
          <w:szCs w:val="22"/>
          <w:lang w:val="lt-LT"/>
        </w:rPr>
        <w:t xml:space="preserve"> (</w:t>
      </w:r>
      <w:r w:rsidR="005C127B">
        <w:rPr>
          <w:rFonts w:ascii="Times New Roman" w:eastAsia="Times New Roman" w:hAnsi="Times New Roman" w:cs="Times New Roman"/>
          <w:sz w:val="22"/>
          <w:szCs w:val="22"/>
          <w:lang w:val="lt-LT"/>
        </w:rPr>
        <w:t xml:space="preserve">mogą </w:t>
      </w:r>
      <w:r w:rsidR="00BE4DF5">
        <w:rPr>
          <w:rFonts w:ascii="Times New Roman" w:eastAsia="Times New Roman" w:hAnsi="Times New Roman" w:cs="Times New Roman"/>
          <w:sz w:val="22"/>
          <w:szCs w:val="22"/>
          <w:lang w:val="lt-LT"/>
        </w:rPr>
        <w:t xml:space="preserve">wystąpić u </w:t>
      </w:r>
      <w:r w:rsidR="00A54F24">
        <w:rPr>
          <w:rFonts w:ascii="Times New Roman" w:eastAsia="Times New Roman" w:hAnsi="Times New Roman" w:cs="Times New Roman"/>
          <w:sz w:val="22"/>
          <w:szCs w:val="22"/>
          <w:lang w:val="lt-LT"/>
        </w:rPr>
        <w:t>nie więcej niż</w:t>
      </w:r>
      <w:r w:rsidR="00466409">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1 na 10</w:t>
      </w:r>
      <w:r w:rsidR="00BE4DF5">
        <w:rPr>
          <w:rFonts w:ascii="Times New Roman" w:eastAsia="Times New Roman" w:hAnsi="Times New Roman" w:cs="Times New Roman"/>
          <w:sz w:val="22"/>
          <w:szCs w:val="22"/>
          <w:lang w:val="lt-LT"/>
        </w:rPr>
        <w:t xml:space="preserve"> osób</w:t>
      </w:r>
      <w:r w:rsidRPr="00741122">
        <w:rPr>
          <w:rFonts w:ascii="Times New Roman" w:eastAsia="Times New Roman" w:hAnsi="Times New Roman" w:cs="Times New Roman"/>
          <w:sz w:val="22"/>
          <w:szCs w:val="22"/>
          <w:lang w:val="lt-LT"/>
        </w:rPr>
        <w:t>) należą:</w:t>
      </w:r>
    </w:p>
    <w:p w14:paraId="6ABB3C79"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perforacja jelita,</w:t>
      </w:r>
    </w:p>
    <w:p w14:paraId="2C0BCB65"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krwawienie, w tym krwawienie w płucach u pacjentów z niedrobnokomórkowym rakiem płuca,</w:t>
      </w:r>
    </w:p>
    <w:p w14:paraId="5B86A892"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blokowanie tętnic przez zakrzepy,</w:t>
      </w:r>
    </w:p>
    <w:p w14:paraId="57FDE2CC"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blokowanie żył przez zakrzepy,</w:t>
      </w:r>
    </w:p>
    <w:p w14:paraId="41F28C51"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blokowanie naczyń krwionośnych płuc przez zakrzepy,</w:t>
      </w:r>
    </w:p>
    <w:p w14:paraId="10FDE1F6"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blokowanie żył w nogach przez zakrzepy,</w:t>
      </w:r>
    </w:p>
    <w:p w14:paraId="76D2485F"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niewydolność serca,</w:t>
      </w:r>
    </w:p>
    <w:p w14:paraId="7C2F5294"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problemy z gojeniem ran po zabiegach chirurgicznych,</w:t>
      </w:r>
    </w:p>
    <w:p w14:paraId="3E7FF186"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zaczerwienienie, złuszczanie, tkliwość, ból lub pęcherze na palcach lub stopach,</w:t>
      </w:r>
    </w:p>
    <w:p w14:paraId="4D6181F6"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zmniejszenie liczby krwinek czerwonych we krwi,</w:t>
      </w:r>
    </w:p>
    <w:p w14:paraId="30C3A3DE"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osłabienie,</w:t>
      </w:r>
    </w:p>
    <w:p w14:paraId="5C724BE5"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zaburzenia żołądka i jelit,</w:t>
      </w:r>
    </w:p>
    <w:p w14:paraId="27D67EA3"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lastRenderedPageBreak/>
        <w:t>bóle mięśniowe i bóle stawów, osłabienie mięśni,</w:t>
      </w:r>
    </w:p>
    <w:p w14:paraId="6AC50303" w14:textId="77777777" w:rsidR="00071CFE" w:rsidRPr="00741122" w:rsidRDefault="00071CFE" w:rsidP="00A10CC5">
      <w:pPr>
        <w:numPr>
          <w:ilvl w:val="0"/>
          <w:numId w:val="100"/>
        </w:numPr>
        <w:tabs>
          <w:tab w:val="left" w:pos="561"/>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suchość w jamie ustnej z uczuciem pragnienia i (lub) zmniejszona ilość moczu lub ciemniejsze zabarwienie moczu,</w:t>
      </w:r>
    </w:p>
    <w:p w14:paraId="23117517"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zapalenie błony śluzowej jamy ustnej i przewodu pokarmowego, płuc i dróg oddechowych, układu rozrodczego i moczowego,</w:t>
      </w:r>
    </w:p>
    <w:p w14:paraId="6FC5B584"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bookmarkStart w:id="109" w:name="page78"/>
      <w:bookmarkEnd w:id="109"/>
      <w:r w:rsidRPr="00741122">
        <w:rPr>
          <w:rFonts w:ascii="Times New Roman" w:eastAsia="Times New Roman" w:hAnsi="Times New Roman" w:cs="Times New Roman"/>
          <w:sz w:val="22"/>
          <w:szCs w:val="22"/>
          <w:lang w:val="lt-LT"/>
        </w:rPr>
        <w:t>owrzodzenia w jamie ustnej i przełyku, które mogą być bolesne i powodować trudności z połykaniem,</w:t>
      </w:r>
    </w:p>
    <w:p w14:paraId="0ED171B5"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ból, w tym ból głowy, ból pleców, ból miednicy, ból okolicy odbytu,</w:t>
      </w:r>
    </w:p>
    <w:p w14:paraId="1403DDD6"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miejscowe gromadzenie się ropy,</w:t>
      </w:r>
    </w:p>
    <w:p w14:paraId="73620D3E"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zakażenia, w szczególności zakażenia krwi lub pęcherza moczowego,</w:t>
      </w:r>
    </w:p>
    <w:p w14:paraId="13A2EDB3"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niedostateczna ilość krwi dostarczana do mózgu lub udar,</w:t>
      </w:r>
    </w:p>
    <w:p w14:paraId="6C85AE56"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senność,</w:t>
      </w:r>
    </w:p>
    <w:p w14:paraId="5F7E0FED"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krwawienie z nosa,</w:t>
      </w:r>
    </w:p>
    <w:p w14:paraId="0235EC84"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zwiększenie częstości rytmu serca (tętna),</w:t>
      </w:r>
    </w:p>
    <w:p w14:paraId="69BF2944"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zaparcia w obrębie jelit,</w:t>
      </w:r>
    </w:p>
    <w:p w14:paraId="659F0113"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nieprawidłowe wyniki badań moczu (obecność białka w moczu),</w:t>
      </w:r>
    </w:p>
    <w:p w14:paraId="1FF931E9"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duszność lub małe stężenia tlenu we krwi,</w:t>
      </w:r>
    </w:p>
    <w:p w14:paraId="35FC82B9" w14:textId="77777777" w:rsidR="00071CFE" w:rsidRPr="00741122" w:rsidRDefault="00071CFE" w:rsidP="00A10CC5">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zakażenia skóry lub tkanki podskórnej,</w:t>
      </w:r>
    </w:p>
    <w:p w14:paraId="6A169B5F" w14:textId="6963CF72" w:rsidR="005C3609" w:rsidRDefault="00071CFE" w:rsidP="005C3609">
      <w:pPr>
        <w:numPr>
          <w:ilvl w:val="0"/>
          <w:numId w:val="100"/>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przetoka: nieprawidłowe połączenie lub przejście w kształcie rurki między narządami wewnętrznymi i skórą lub innymi tkankami, które zazwyczaj nie są ze sobą połączone, w</w:t>
      </w:r>
      <w:r w:rsidR="00466409">
        <w:rPr>
          <w:rFonts w:ascii="Times New Roman" w:eastAsia="Times New Roman" w:hAnsi="Times New Roman" w:cs="Times New Roman"/>
          <w:sz w:val="22"/>
          <w:szCs w:val="22"/>
          <w:lang w:val="lt-LT"/>
        </w:rPr>
        <w:t xml:space="preserve"> tym</w:t>
      </w:r>
      <w:r w:rsidRPr="00741122">
        <w:rPr>
          <w:rFonts w:ascii="Times New Roman" w:eastAsia="Times New Roman" w:hAnsi="Times New Roman" w:cs="Times New Roman"/>
          <w:sz w:val="22"/>
          <w:szCs w:val="22"/>
          <w:lang w:val="lt-LT"/>
        </w:rPr>
        <w:t xml:space="preserve"> połączenia między pochwą i jelitami u chorych z rakiem szyjki macicy</w:t>
      </w:r>
      <w:r w:rsidR="00EC727D">
        <w:rPr>
          <w:rFonts w:ascii="Times New Roman" w:eastAsia="Times New Roman" w:hAnsi="Times New Roman" w:cs="Times New Roman"/>
          <w:sz w:val="22"/>
          <w:szCs w:val="22"/>
          <w:lang w:val="lt-LT"/>
        </w:rPr>
        <w:t>,</w:t>
      </w:r>
      <w:r w:rsidR="005C3609" w:rsidRPr="005C3609">
        <w:rPr>
          <w:rFonts w:ascii="Times New Roman" w:eastAsia="Arial" w:hAnsi="Times New Roman" w:cs="Times New Roman"/>
          <w:sz w:val="22"/>
          <w:szCs w:val="22"/>
          <w:lang w:val="lt-LT"/>
        </w:rPr>
        <w:t>reakcje alergiczne (objawami mogą być: trudności w oddychaniu, zaczerwienienie twarzy, wysypka, zmniejszone lub zwiększone ciśnienie krwi, zmniejszone stężenie tlenu we krwi, ból w klatce piersiowej lub nudności/wymioty).</w:t>
      </w:r>
    </w:p>
    <w:p w14:paraId="02EC8B14" w14:textId="77777777" w:rsidR="005C3609" w:rsidRPr="00741122" w:rsidRDefault="005C3609" w:rsidP="00134D54">
      <w:pPr>
        <w:rPr>
          <w:rFonts w:ascii="Times New Roman" w:eastAsia="Times New Roman" w:hAnsi="Times New Roman" w:cs="Times New Roman"/>
          <w:sz w:val="22"/>
          <w:szCs w:val="22"/>
          <w:lang w:val="lt-LT"/>
        </w:rPr>
      </w:pPr>
    </w:p>
    <w:p w14:paraId="3B71E453" w14:textId="2BD917C3" w:rsidR="00EC727D" w:rsidRPr="00EC727D" w:rsidRDefault="00EC727D" w:rsidP="00EC727D">
      <w:pPr>
        <w:ind w:right="246"/>
        <w:rPr>
          <w:rFonts w:ascii="Times New Roman" w:eastAsia="Times New Roman" w:hAnsi="Times New Roman" w:cs="Times New Roman"/>
          <w:sz w:val="22"/>
          <w:szCs w:val="22"/>
          <w:lang w:val="pl-PL"/>
        </w:rPr>
      </w:pPr>
      <w:r w:rsidRPr="00EC727D">
        <w:rPr>
          <w:rFonts w:ascii="Times New Roman" w:eastAsia="Times New Roman" w:hAnsi="Times New Roman" w:cs="Times New Roman"/>
          <w:sz w:val="22"/>
          <w:szCs w:val="22"/>
          <w:lang w:val="pl-PL"/>
        </w:rPr>
        <w:t>Do ciężkich działań niepożądanych, które mogą występować</w:t>
      </w:r>
      <w:r w:rsidRPr="00134D54">
        <w:rPr>
          <w:rFonts w:ascii="Times New Roman" w:eastAsia="Times New Roman" w:hAnsi="Times New Roman" w:cs="Times New Roman"/>
          <w:b/>
          <w:bCs/>
          <w:sz w:val="22"/>
          <w:szCs w:val="22"/>
          <w:lang w:val="pl-PL"/>
        </w:rPr>
        <w:t xml:space="preserve"> rzadko</w:t>
      </w:r>
      <w:r w:rsidRPr="00EC727D">
        <w:rPr>
          <w:rFonts w:ascii="Times New Roman" w:eastAsia="Times New Roman" w:hAnsi="Times New Roman" w:cs="Times New Roman"/>
          <w:sz w:val="22"/>
          <w:szCs w:val="22"/>
          <w:lang w:val="pl-PL"/>
        </w:rPr>
        <w:t xml:space="preserve"> (mogą wystąpić u </w:t>
      </w:r>
      <w:r w:rsidR="00BE4DF5">
        <w:rPr>
          <w:rFonts w:ascii="Times New Roman" w:eastAsia="Times New Roman" w:hAnsi="Times New Roman" w:cs="Times New Roman"/>
          <w:sz w:val="22"/>
          <w:szCs w:val="22"/>
          <w:lang w:val="pl-PL"/>
        </w:rPr>
        <w:t xml:space="preserve">nie więcej niż </w:t>
      </w:r>
      <w:r>
        <w:rPr>
          <w:rFonts w:ascii="Times New Roman" w:eastAsia="Times New Roman" w:hAnsi="Times New Roman" w:cs="Times New Roman"/>
          <w:sz w:val="22"/>
          <w:szCs w:val="22"/>
          <w:lang w:val="pl-PL"/>
        </w:rPr>
        <w:t xml:space="preserve">1 </w:t>
      </w:r>
      <w:r w:rsidR="00BE4DF5">
        <w:rPr>
          <w:rFonts w:ascii="Times New Roman" w:eastAsia="Times New Roman" w:hAnsi="Times New Roman" w:cs="Times New Roman"/>
          <w:sz w:val="22"/>
          <w:szCs w:val="22"/>
          <w:lang w:val="pl-PL"/>
        </w:rPr>
        <w:t>na</w:t>
      </w:r>
      <w:r w:rsidRPr="00EC727D">
        <w:rPr>
          <w:rFonts w:ascii="Times New Roman" w:eastAsia="Times New Roman" w:hAnsi="Times New Roman" w:cs="Times New Roman"/>
          <w:sz w:val="22"/>
          <w:szCs w:val="22"/>
          <w:lang w:val="pl-PL"/>
        </w:rPr>
        <w:t xml:space="preserve"> 1000</w:t>
      </w:r>
      <w:r>
        <w:rPr>
          <w:rFonts w:ascii="Times New Roman" w:eastAsia="Times New Roman" w:hAnsi="Times New Roman" w:cs="Times New Roman"/>
          <w:sz w:val="22"/>
          <w:szCs w:val="22"/>
          <w:lang w:val="pl-PL"/>
        </w:rPr>
        <w:t xml:space="preserve"> </w:t>
      </w:r>
      <w:r w:rsidR="00BE4DF5">
        <w:rPr>
          <w:rFonts w:ascii="Times New Roman" w:eastAsia="Times New Roman" w:hAnsi="Times New Roman" w:cs="Times New Roman"/>
          <w:sz w:val="22"/>
          <w:szCs w:val="22"/>
          <w:lang w:val="pl-PL"/>
        </w:rPr>
        <w:t>osób</w:t>
      </w:r>
      <w:r w:rsidRPr="00EC727D">
        <w:rPr>
          <w:rFonts w:ascii="Times New Roman" w:eastAsia="Times New Roman" w:hAnsi="Times New Roman" w:cs="Times New Roman"/>
          <w:sz w:val="22"/>
          <w:szCs w:val="22"/>
          <w:lang w:val="pl-PL"/>
        </w:rPr>
        <w:t>) należą:</w:t>
      </w:r>
    </w:p>
    <w:p w14:paraId="3F146F92" w14:textId="42715B52" w:rsidR="00EC727D" w:rsidRPr="00134D54" w:rsidRDefault="00EC727D" w:rsidP="00134D54">
      <w:pPr>
        <w:ind w:left="567" w:hanging="567"/>
        <w:rPr>
          <w:rFonts w:ascii="Times New Roman" w:eastAsia="Times New Roman" w:hAnsi="Times New Roman" w:cs="Times New Roman"/>
          <w:sz w:val="22"/>
          <w:szCs w:val="22"/>
          <w:lang w:val="pl-PL"/>
        </w:rPr>
      </w:pPr>
      <w:r w:rsidRPr="00EC727D">
        <w:rPr>
          <w:rFonts w:ascii="Times New Roman" w:eastAsia="Times New Roman" w:hAnsi="Times New Roman" w:cs="Times New Roman"/>
          <w:sz w:val="22"/>
          <w:szCs w:val="22"/>
          <w:lang w:val="pl-PL"/>
        </w:rPr>
        <w:t>•</w:t>
      </w:r>
      <w:r w:rsidR="00F84164">
        <w:rPr>
          <w:rFonts w:ascii="Times New Roman" w:eastAsia="Times New Roman" w:hAnsi="Times New Roman" w:cs="Times New Roman"/>
          <w:sz w:val="22"/>
          <w:szCs w:val="22"/>
          <w:lang w:val="pl-PL"/>
        </w:rPr>
        <w:tab/>
      </w:r>
      <w:r w:rsidRPr="00EC727D">
        <w:rPr>
          <w:rFonts w:ascii="Times New Roman" w:eastAsia="Times New Roman" w:hAnsi="Times New Roman" w:cs="Times New Roman"/>
          <w:sz w:val="22"/>
          <w:szCs w:val="22"/>
          <w:lang w:val="pl-PL"/>
        </w:rPr>
        <w:t>nagłe, ciężkie reakcje alergiczne, w tym trudności w oddychaniu, obrzęk, zawroty głowy, szybkie bicie serca i utrata przytomności (wstrząs anafilaktyczny).</w:t>
      </w:r>
    </w:p>
    <w:p w14:paraId="0AF932D7" w14:textId="77777777" w:rsidR="00EC727D" w:rsidRDefault="00EC727D" w:rsidP="002F765C">
      <w:pPr>
        <w:ind w:right="246"/>
        <w:rPr>
          <w:rFonts w:ascii="Times New Roman" w:eastAsia="Times New Roman" w:hAnsi="Times New Roman" w:cs="Times New Roman"/>
          <w:sz w:val="22"/>
          <w:szCs w:val="22"/>
          <w:lang w:val="lt-LT"/>
        </w:rPr>
      </w:pPr>
    </w:p>
    <w:p w14:paraId="653F3B13" w14:textId="48ECCA29" w:rsidR="00071CFE" w:rsidRPr="00741122" w:rsidRDefault="00071CFE" w:rsidP="002F765C">
      <w:pPr>
        <w:ind w:right="246"/>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Do ciężkich działań niepożądanych, których częstość występowania </w:t>
      </w:r>
      <w:r w:rsidRPr="00741122">
        <w:rPr>
          <w:rFonts w:ascii="Times New Roman" w:eastAsia="Times New Roman" w:hAnsi="Times New Roman" w:cs="Times New Roman"/>
          <w:b/>
          <w:sz w:val="22"/>
          <w:szCs w:val="22"/>
          <w:lang w:val="lt-LT"/>
        </w:rPr>
        <w:t>jest nieznana</w:t>
      </w:r>
      <w:r w:rsidRPr="00741122">
        <w:rPr>
          <w:rFonts w:ascii="Times New Roman" w:eastAsia="Times New Roman" w:hAnsi="Times New Roman" w:cs="Times New Roman"/>
          <w:sz w:val="22"/>
          <w:szCs w:val="22"/>
          <w:lang w:val="lt-LT"/>
        </w:rPr>
        <w:t xml:space="preserve"> (ich częstość nie może zostać oceniona na podstawie dostępnych danych) należą:</w:t>
      </w:r>
    </w:p>
    <w:p w14:paraId="45CA3D3D"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ciężkie zakażenie skóry lub tkanek położonych głębiej pod skórą, zwłaszcza</w:t>
      </w:r>
      <w:r w:rsidR="00466409">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jeśli wcześniej wystąpiły perforacje jelita lub problemy z gojeniem ran,</w:t>
      </w:r>
    </w:p>
    <w:p w14:paraId="56261EED"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szkodliwy wpływ na zdolność rozrodczą kobiet (w celu uzyskania dalszych informacji patrz akapity poniżej z wykazem działań niepożądanych),</w:t>
      </w:r>
    </w:p>
    <w:p w14:paraId="0F7D4EBB" w14:textId="77777777" w:rsidR="00071CFE" w:rsidRPr="00741122" w:rsidRDefault="00071CFE" w:rsidP="00806668">
      <w:pPr>
        <w:numPr>
          <w:ilvl w:val="0"/>
          <w:numId w:val="101"/>
        </w:numPr>
        <w:tabs>
          <w:tab w:val="left" w:pos="54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zaburzenie czynności mózgu objawiające się drgawkami (napady drgawkowe), bólem głowy, splątaniem oraz zaburzeniami widzenia (zwane zespołem tylnej</w:t>
      </w:r>
      <w:r w:rsidR="00466409">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odwracalnej encefalopatii lub PRES),</w:t>
      </w:r>
    </w:p>
    <w:p w14:paraId="55420D3C" w14:textId="77777777" w:rsidR="00071CFE" w:rsidRPr="00741122" w:rsidRDefault="00071CFE" w:rsidP="00806668">
      <w:pPr>
        <w:numPr>
          <w:ilvl w:val="0"/>
          <w:numId w:val="101"/>
        </w:numPr>
        <w:tabs>
          <w:tab w:val="left" w:pos="54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objawy wskazujące na zmiany w normalnym funkcjonowaniu mózgu (bóle głowy, zaburzenia widzenia, splątanie lub drgawki) oraz wysokie ciśnienie krwi,</w:t>
      </w:r>
    </w:p>
    <w:p w14:paraId="6202A491"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zatykanie bardzo małych naczyń krwionośnych w nerkach,</w:t>
      </w:r>
    </w:p>
    <w:p w14:paraId="1A702C7D"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nieprawidłowo zwiększone ciśnienie krwi w naczyniach krwionośnych płuc, powodujące przyspieszoną pracę prawej strony serca,</w:t>
      </w:r>
    </w:p>
    <w:p w14:paraId="5C677AC5"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dziura w przegrodzie nosowej – płytce kostnej oddzielającej nozdrza od siebie,</w:t>
      </w:r>
    </w:p>
    <w:p w14:paraId="08DDBCB9"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dziura w żołądku lub jelitach,</w:t>
      </w:r>
    </w:p>
    <w:p w14:paraId="3D9DC0ED" w14:textId="0441E440"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otwarta rana lub dziura w błonie śluzowej żołądka lub jelita cienkiego (objawy mogą obejmować bóle brzucha, wzdęcia, czarne</w:t>
      </w:r>
      <w:r w:rsidR="00F8036C">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smoliste stolce lub krew w stolcu lub w wymiocinach),</w:t>
      </w:r>
    </w:p>
    <w:p w14:paraId="67FF1505"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krwawienie z dolnej części jelita grubego,</w:t>
      </w:r>
    </w:p>
    <w:p w14:paraId="3FD64140" w14:textId="77777777" w:rsidR="00071CFE" w:rsidRPr="00741122"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zmiany w dziąsłach z odsłonięciem kości szczęki, które nie ulegają gojeniu i mogą być związane z bólem i zapaleniem otaczających tkanek (w celu uzyskania dalszych informacji patrz akapity poniżej z wykazem działań niepożądanych),</w:t>
      </w:r>
    </w:p>
    <w:p w14:paraId="19920553" w14:textId="77777777" w:rsidR="00B477D9" w:rsidRPr="00FF158E" w:rsidRDefault="00071CFE" w:rsidP="00806668">
      <w:pPr>
        <w:numPr>
          <w:ilvl w:val="0"/>
          <w:numId w:val="101"/>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dziura w pęcherzyku żółciowym (objawy mogą obejmować bóle brzucha, gorączkę i nudności/wymioty)</w:t>
      </w:r>
      <w:r w:rsidR="00B477D9">
        <w:rPr>
          <w:rFonts w:ascii="Times New Roman" w:eastAsia="Times New Roman" w:hAnsi="Times New Roman" w:cs="Times New Roman"/>
          <w:sz w:val="22"/>
          <w:szCs w:val="22"/>
          <w:lang w:val="lt-LT"/>
        </w:rPr>
        <w:t>,</w:t>
      </w:r>
    </w:p>
    <w:p w14:paraId="11E30929" w14:textId="77777777" w:rsidR="00071CFE" w:rsidRPr="00FF158E" w:rsidRDefault="00B477D9" w:rsidP="00806668">
      <w:pPr>
        <w:numPr>
          <w:ilvl w:val="0"/>
          <w:numId w:val="101"/>
        </w:numPr>
        <w:tabs>
          <w:tab w:val="left" w:pos="562"/>
        </w:tabs>
        <w:ind w:left="567" w:hanging="567"/>
        <w:rPr>
          <w:rFonts w:ascii="Times New Roman" w:eastAsia="Times New Roman" w:hAnsi="Times New Roman" w:cs="Times New Roman"/>
          <w:sz w:val="22"/>
          <w:szCs w:val="22"/>
          <w:lang w:val="lt-LT"/>
        </w:rPr>
      </w:pPr>
      <w:r w:rsidRPr="00FF158E">
        <w:rPr>
          <w:rFonts w:ascii="Times New Roman" w:eastAsia="Times New Roman" w:hAnsi="Times New Roman" w:cs="Times New Roman"/>
          <w:sz w:val="22"/>
          <w:szCs w:val="22"/>
          <w:lang w:val="lt-LT"/>
        </w:rPr>
        <w:lastRenderedPageBreak/>
        <w:t>powiększenie i osłabienie ściany naczynia krwionośnego lub rozdarcie ściany naczynia krwionośnego (tętniak</w:t>
      </w:r>
      <w:r>
        <w:rPr>
          <w:rFonts w:ascii="Times New Roman" w:eastAsia="Times New Roman" w:hAnsi="Times New Roman" w:cs="Times New Roman"/>
          <w:sz w:val="22"/>
          <w:szCs w:val="22"/>
          <w:lang w:val="lt-LT"/>
        </w:rPr>
        <w:t>i</w:t>
      </w:r>
      <w:r w:rsidRPr="00FF158E">
        <w:rPr>
          <w:rFonts w:ascii="Times New Roman" w:eastAsia="Times New Roman" w:hAnsi="Times New Roman" w:cs="Times New Roman"/>
          <w:sz w:val="22"/>
          <w:szCs w:val="22"/>
          <w:lang w:val="lt-LT"/>
        </w:rPr>
        <w:t xml:space="preserve"> i rozwarstwieni</w:t>
      </w:r>
      <w:r w:rsidR="001B6E0A">
        <w:rPr>
          <w:rFonts w:ascii="Times New Roman" w:eastAsia="Times New Roman" w:hAnsi="Times New Roman" w:cs="Times New Roman"/>
          <w:sz w:val="22"/>
          <w:szCs w:val="22"/>
          <w:lang w:val="lt-LT"/>
        </w:rPr>
        <w:t>a</w:t>
      </w:r>
      <w:r w:rsidRPr="00FF158E">
        <w:rPr>
          <w:rFonts w:ascii="Times New Roman" w:eastAsia="Times New Roman" w:hAnsi="Times New Roman" w:cs="Times New Roman"/>
          <w:sz w:val="22"/>
          <w:szCs w:val="22"/>
          <w:lang w:val="lt-LT"/>
        </w:rPr>
        <w:t xml:space="preserve"> tętnic).</w:t>
      </w:r>
    </w:p>
    <w:p w14:paraId="4DE332B9" w14:textId="77777777" w:rsidR="00071CFE" w:rsidRPr="00741122" w:rsidRDefault="00071CFE" w:rsidP="002F765C">
      <w:pPr>
        <w:rPr>
          <w:rFonts w:ascii="Times New Roman" w:eastAsia="Times New Roman" w:hAnsi="Times New Roman"/>
          <w:lang w:val="lt-LT"/>
        </w:rPr>
      </w:pPr>
    </w:p>
    <w:p w14:paraId="201DD254" w14:textId="77777777" w:rsidR="00071CFE" w:rsidRPr="00741122" w:rsidRDefault="00071CFE" w:rsidP="002F765C">
      <w:pPr>
        <w:keepNext/>
        <w:ind w:left="2" w:right="726"/>
        <w:rPr>
          <w:rFonts w:ascii="Times New Roman" w:eastAsia="Times New Roman" w:hAnsi="Times New Roman"/>
          <w:b/>
          <w:sz w:val="22"/>
          <w:lang w:val="lt-LT"/>
        </w:rPr>
      </w:pPr>
      <w:r w:rsidRPr="00741122">
        <w:rPr>
          <w:rFonts w:ascii="Times New Roman" w:eastAsia="Times New Roman" w:hAnsi="Times New Roman"/>
          <w:b/>
          <w:sz w:val="22"/>
          <w:lang w:val="lt-LT"/>
        </w:rPr>
        <w:t>Należy skontaktować się tak szybko jak to możliwe z lekarzem w przypadku wystąpienia którego</w:t>
      </w:r>
      <w:r w:rsidR="007D75FC">
        <w:rPr>
          <w:rFonts w:ascii="Times New Roman" w:eastAsia="Times New Roman" w:hAnsi="Times New Roman"/>
          <w:b/>
          <w:sz w:val="22"/>
          <w:lang w:val="lt-LT"/>
        </w:rPr>
        <w:t>kolwiek</w:t>
      </w:r>
      <w:r w:rsidRPr="00741122">
        <w:rPr>
          <w:rFonts w:ascii="Times New Roman" w:eastAsia="Times New Roman" w:hAnsi="Times New Roman"/>
          <w:b/>
          <w:sz w:val="22"/>
          <w:lang w:val="lt-LT"/>
        </w:rPr>
        <w:t xml:space="preserve"> z niżej wymienionych działań niepożądanych.</w:t>
      </w:r>
    </w:p>
    <w:p w14:paraId="331AA24E" w14:textId="77777777" w:rsidR="00071CFE" w:rsidRPr="00741122" w:rsidRDefault="00071CFE" w:rsidP="002F765C">
      <w:pPr>
        <w:keepNext/>
        <w:ind w:left="2"/>
        <w:rPr>
          <w:rFonts w:ascii="Times New Roman" w:eastAsia="Times New Roman" w:hAnsi="Times New Roman"/>
          <w:lang w:val="lt-LT"/>
        </w:rPr>
      </w:pPr>
    </w:p>
    <w:p w14:paraId="1FD1503F" w14:textId="1D531EE3" w:rsidR="00071CFE" w:rsidRPr="00741122" w:rsidRDefault="00071CFE" w:rsidP="00633F20">
      <w:pPr>
        <w:keepNext/>
        <w:rPr>
          <w:rFonts w:ascii="Times New Roman" w:eastAsia="Times New Roman" w:hAnsi="Times New Roman" w:cs="Times New Roman"/>
          <w:sz w:val="22"/>
          <w:szCs w:val="22"/>
          <w:lang w:val="lt-LT"/>
        </w:rPr>
      </w:pPr>
      <w:r w:rsidRPr="00741122">
        <w:rPr>
          <w:rFonts w:ascii="Times New Roman" w:eastAsia="Times New Roman" w:hAnsi="Times New Roman" w:cs="Times New Roman"/>
          <w:b/>
          <w:sz w:val="22"/>
          <w:szCs w:val="22"/>
          <w:lang w:val="lt-LT"/>
        </w:rPr>
        <w:t xml:space="preserve">Bardzo częste </w:t>
      </w:r>
      <w:r w:rsidRPr="00741122">
        <w:rPr>
          <w:rFonts w:ascii="Times New Roman" w:eastAsia="Times New Roman" w:hAnsi="Times New Roman" w:cs="Times New Roman"/>
          <w:sz w:val="22"/>
          <w:szCs w:val="22"/>
          <w:lang w:val="lt-LT"/>
        </w:rPr>
        <w:t>(</w:t>
      </w:r>
      <w:r w:rsidR="005C127B">
        <w:rPr>
          <w:rFonts w:ascii="Times New Roman" w:eastAsia="Times New Roman" w:hAnsi="Times New Roman" w:cs="Times New Roman"/>
          <w:sz w:val="22"/>
          <w:szCs w:val="22"/>
          <w:lang w:val="lt-LT"/>
        </w:rPr>
        <w:t xml:space="preserve">mogą </w:t>
      </w:r>
      <w:r w:rsidR="00BE4DF5">
        <w:rPr>
          <w:rFonts w:ascii="Times New Roman" w:eastAsia="Times New Roman" w:hAnsi="Times New Roman" w:cs="Times New Roman"/>
          <w:sz w:val="22"/>
          <w:szCs w:val="22"/>
          <w:lang w:val="lt-LT"/>
        </w:rPr>
        <w:t>wystąpić u</w:t>
      </w:r>
      <w:r w:rsidR="00BE4DF5" w:rsidRPr="00741122">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więcej niż 1 na 10</w:t>
      </w:r>
      <w:r w:rsidR="00BE4DF5">
        <w:rPr>
          <w:rFonts w:ascii="Times New Roman" w:eastAsia="Times New Roman" w:hAnsi="Times New Roman" w:cs="Times New Roman"/>
          <w:sz w:val="22"/>
          <w:szCs w:val="22"/>
          <w:lang w:val="lt-LT"/>
        </w:rPr>
        <w:t xml:space="preserve"> osób</w:t>
      </w:r>
      <w:r w:rsidRPr="00741122">
        <w:rPr>
          <w:rFonts w:ascii="Times New Roman" w:eastAsia="Times New Roman" w:hAnsi="Times New Roman" w:cs="Times New Roman"/>
          <w:sz w:val="22"/>
          <w:szCs w:val="22"/>
          <w:lang w:val="lt-LT"/>
        </w:rPr>
        <w:t>) działania niepożądane, które nie były określane</w:t>
      </w:r>
      <w:r w:rsidRPr="00741122">
        <w:rPr>
          <w:rFonts w:ascii="Times New Roman" w:eastAsia="Times New Roman" w:hAnsi="Times New Roman" w:cs="Times New Roman"/>
          <w:b/>
          <w:sz w:val="22"/>
          <w:szCs w:val="22"/>
          <w:lang w:val="lt-LT"/>
        </w:rPr>
        <w:t xml:space="preserve"> </w:t>
      </w:r>
      <w:r w:rsidRPr="00741122">
        <w:rPr>
          <w:rFonts w:ascii="Times New Roman" w:eastAsia="Times New Roman" w:hAnsi="Times New Roman" w:cs="Times New Roman"/>
          <w:sz w:val="22"/>
          <w:szCs w:val="22"/>
          <w:lang w:val="lt-LT"/>
        </w:rPr>
        <w:t>jako ciężkie, to:</w:t>
      </w:r>
    </w:p>
    <w:p w14:paraId="3C00466C" w14:textId="77777777" w:rsidR="00071CFE" w:rsidRPr="00741122" w:rsidRDefault="00071CFE" w:rsidP="007C09F1">
      <w:pPr>
        <w:numPr>
          <w:ilvl w:val="0"/>
          <w:numId w:val="103"/>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zaparcia,</w:t>
      </w:r>
    </w:p>
    <w:p w14:paraId="719A6649" w14:textId="77777777" w:rsidR="00071CFE" w:rsidRPr="00741122" w:rsidRDefault="00071CFE" w:rsidP="007C09F1">
      <w:pPr>
        <w:numPr>
          <w:ilvl w:val="0"/>
          <w:numId w:val="103"/>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utrata apetytu,</w:t>
      </w:r>
    </w:p>
    <w:p w14:paraId="4B53028B" w14:textId="77777777" w:rsidR="00071CFE" w:rsidRPr="00741122" w:rsidRDefault="00071CFE" w:rsidP="007C09F1">
      <w:pPr>
        <w:numPr>
          <w:ilvl w:val="0"/>
          <w:numId w:val="103"/>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gorączka,</w:t>
      </w:r>
    </w:p>
    <w:p w14:paraId="4A956A6F" w14:textId="77777777" w:rsidR="00071CFE" w:rsidRPr="00741122" w:rsidRDefault="00071CFE" w:rsidP="007C09F1">
      <w:pPr>
        <w:numPr>
          <w:ilvl w:val="0"/>
          <w:numId w:val="103"/>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problemy dotyczące oczu (w tym zwiększone łzawienie),</w:t>
      </w:r>
    </w:p>
    <w:p w14:paraId="6120F94B" w14:textId="77777777" w:rsidR="00071CFE" w:rsidRPr="00741122" w:rsidRDefault="00071CFE" w:rsidP="007C09F1">
      <w:pPr>
        <w:numPr>
          <w:ilvl w:val="0"/>
          <w:numId w:val="103"/>
        </w:numPr>
        <w:tabs>
          <w:tab w:val="left" w:pos="562"/>
        </w:tabs>
        <w:ind w:left="567" w:hanging="567"/>
        <w:rPr>
          <w:rFonts w:ascii="Times New Roman" w:eastAsia="Times New Roman" w:hAnsi="Times New Roman" w:cs="Times New Roman"/>
          <w:sz w:val="22"/>
          <w:szCs w:val="22"/>
          <w:lang w:val="lt-LT"/>
        </w:rPr>
      </w:pPr>
      <w:bookmarkStart w:id="110" w:name="page79"/>
      <w:bookmarkEnd w:id="110"/>
      <w:r w:rsidRPr="00741122">
        <w:rPr>
          <w:rFonts w:ascii="Times New Roman" w:eastAsia="Times New Roman" w:hAnsi="Times New Roman" w:cs="Times New Roman"/>
          <w:sz w:val="22"/>
          <w:szCs w:val="22"/>
          <w:lang w:val="lt-LT"/>
        </w:rPr>
        <w:t>zmiany w mowie,</w:t>
      </w:r>
    </w:p>
    <w:p w14:paraId="49088B56" w14:textId="77777777" w:rsidR="00071CFE" w:rsidRPr="00741122" w:rsidRDefault="00071CFE" w:rsidP="007C09F1">
      <w:pPr>
        <w:numPr>
          <w:ilvl w:val="0"/>
          <w:numId w:val="103"/>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zmiany odczuwania smaku,</w:t>
      </w:r>
    </w:p>
    <w:p w14:paraId="67D63AF5" w14:textId="77777777" w:rsidR="00071CFE" w:rsidRPr="00741122" w:rsidRDefault="00071CFE" w:rsidP="007C09F1">
      <w:pPr>
        <w:numPr>
          <w:ilvl w:val="0"/>
          <w:numId w:val="103"/>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katar,</w:t>
      </w:r>
    </w:p>
    <w:p w14:paraId="20A0A53E" w14:textId="77777777" w:rsidR="00071CFE" w:rsidRPr="00741122" w:rsidRDefault="00071CFE" w:rsidP="007C09F1">
      <w:pPr>
        <w:numPr>
          <w:ilvl w:val="0"/>
          <w:numId w:val="103"/>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suchość skóry, łuszczenie i zapalenie skóry, zmiany koloru skóry,</w:t>
      </w:r>
    </w:p>
    <w:p w14:paraId="4DF00600" w14:textId="77777777" w:rsidR="00071CFE" w:rsidRPr="00741122" w:rsidRDefault="00071CFE" w:rsidP="007C09F1">
      <w:pPr>
        <w:numPr>
          <w:ilvl w:val="0"/>
          <w:numId w:val="103"/>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zmniejszenie masy ciała,</w:t>
      </w:r>
    </w:p>
    <w:p w14:paraId="0C231CF9" w14:textId="77777777" w:rsidR="00071CFE" w:rsidRPr="00741122" w:rsidRDefault="00071CFE" w:rsidP="007C09F1">
      <w:pPr>
        <w:numPr>
          <w:ilvl w:val="0"/>
          <w:numId w:val="103"/>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krwawienie z nosa.</w:t>
      </w:r>
    </w:p>
    <w:p w14:paraId="3A1B304F" w14:textId="77777777" w:rsidR="008151BC" w:rsidRDefault="008151BC" w:rsidP="002F765C">
      <w:pPr>
        <w:rPr>
          <w:rFonts w:ascii="Times New Roman" w:eastAsia="Times New Roman" w:hAnsi="Times New Roman" w:cs="Times New Roman"/>
          <w:sz w:val="22"/>
          <w:szCs w:val="22"/>
          <w:lang w:val="lt-LT"/>
        </w:rPr>
      </w:pPr>
    </w:p>
    <w:p w14:paraId="401914DA" w14:textId="408602DB"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Do </w:t>
      </w:r>
      <w:r w:rsidRPr="00741122">
        <w:rPr>
          <w:rFonts w:ascii="Times New Roman" w:eastAsia="Times New Roman" w:hAnsi="Times New Roman" w:cs="Times New Roman"/>
          <w:b/>
          <w:sz w:val="22"/>
          <w:szCs w:val="22"/>
          <w:lang w:val="lt-LT"/>
        </w:rPr>
        <w:t>częstych</w:t>
      </w:r>
      <w:r w:rsidRPr="00741122">
        <w:rPr>
          <w:rFonts w:ascii="Times New Roman" w:eastAsia="Times New Roman" w:hAnsi="Times New Roman" w:cs="Times New Roman"/>
          <w:sz w:val="22"/>
          <w:szCs w:val="22"/>
          <w:lang w:val="lt-LT"/>
        </w:rPr>
        <w:t xml:space="preserve"> (</w:t>
      </w:r>
      <w:r w:rsidR="005C127B">
        <w:rPr>
          <w:rFonts w:ascii="Times New Roman" w:eastAsia="Times New Roman" w:hAnsi="Times New Roman" w:cs="Times New Roman"/>
          <w:sz w:val="22"/>
          <w:szCs w:val="22"/>
          <w:lang w:val="lt-LT"/>
        </w:rPr>
        <w:t xml:space="preserve">mogą </w:t>
      </w:r>
      <w:r w:rsidR="00BE4DF5">
        <w:rPr>
          <w:rFonts w:ascii="Times New Roman" w:eastAsia="Times New Roman" w:hAnsi="Times New Roman" w:cs="Times New Roman"/>
          <w:sz w:val="22"/>
          <w:szCs w:val="22"/>
          <w:lang w:val="lt-LT"/>
        </w:rPr>
        <w:t>wystąpić u</w:t>
      </w:r>
      <w:r w:rsidR="00BE4DF5" w:rsidRPr="00741122">
        <w:rPr>
          <w:rFonts w:ascii="Times New Roman" w:eastAsia="Times New Roman" w:hAnsi="Times New Roman" w:cs="Times New Roman"/>
          <w:sz w:val="22"/>
          <w:szCs w:val="22"/>
          <w:lang w:val="lt-LT"/>
        </w:rPr>
        <w:t xml:space="preserve"> </w:t>
      </w:r>
      <w:r w:rsidR="00A54F24">
        <w:rPr>
          <w:rFonts w:ascii="Times New Roman" w:eastAsia="Times New Roman" w:hAnsi="Times New Roman" w:cs="Times New Roman"/>
          <w:sz w:val="22"/>
          <w:szCs w:val="22"/>
          <w:lang w:val="lt-LT"/>
        </w:rPr>
        <w:t>nie więcej niż</w:t>
      </w:r>
      <w:r w:rsidR="007D75FC">
        <w:rPr>
          <w:rFonts w:ascii="Times New Roman" w:eastAsia="Times New Roman" w:hAnsi="Times New Roman" w:cs="Times New Roman"/>
          <w:sz w:val="22"/>
          <w:szCs w:val="22"/>
          <w:lang w:val="lt-LT"/>
        </w:rPr>
        <w:t xml:space="preserve"> </w:t>
      </w:r>
      <w:r w:rsidR="007D75FC" w:rsidRPr="00741122">
        <w:rPr>
          <w:rFonts w:ascii="Times New Roman" w:eastAsia="Times New Roman" w:hAnsi="Times New Roman" w:cs="Times New Roman"/>
          <w:sz w:val="22"/>
          <w:szCs w:val="22"/>
          <w:lang w:val="lt-LT"/>
        </w:rPr>
        <w:t>1 na 10</w:t>
      </w:r>
      <w:r w:rsidR="00BE4DF5">
        <w:rPr>
          <w:rFonts w:ascii="Times New Roman" w:eastAsia="Times New Roman" w:hAnsi="Times New Roman" w:cs="Times New Roman"/>
          <w:sz w:val="22"/>
          <w:szCs w:val="22"/>
          <w:lang w:val="lt-LT"/>
        </w:rPr>
        <w:t xml:space="preserve"> osób</w:t>
      </w:r>
      <w:r w:rsidRPr="00741122">
        <w:rPr>
          <w:rFonts w:ascii="Times New Roman" w:eastAsia="Times New Roman" w:hAnsi="Times New Roman" w:cs="Times New Roman"/>
          <w:sz w:val="22"/>
          <w:szCs w:val="22"/>
          <w:lang w:val="lt-LT"/>
        </w:rPr>
        <w:t>) działań niepożądanych, które nie były ciężkie, można zaliczyć:</w:t>
      </w:r>
    </w:p>
    <w:p w14:paraId="1D41B3FB" w14:textId="77777777" w:rsidR="00071CFE" w:rsidRPr="00741122" w:rsidRDefault="00071CFE" w:rsidP="007C09F1">
      <w:pPr>
        <w:numPr>
          <w:ilvl w:val="0"/>
          <w:numId w:val="104"/>
        </w:numPr>
        <w:tabs>
          <w:tab w:val="left" w:pos="54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zmiany głosu i chrypka.</w:t>
      </w:r>
    </w:p>
    <w:p w14:paraId="7CA27447" w14:textId="77777777" w:rsidR="00071CFE" w:rsidRPr="00741122" w:rsidRDefault="00071CFE" w:rsidP="002F765C">
      <w:pPr>
        <w:rPr>
          <w:rFonts w:ascii="Times New Roman" w:eastAsia="Times New Roman" w:hAnsi="Times New Roman" w:cs="Times New Roman"/>
          <w:sz w:val="22"/>
          <w:szCs w:val="22"/>
          <w:lang w:val="lt-LT"/>
        </w:rPr>
      </w:pPr>
    </w:p>
    <w:p w14:paraId="7F53CEA9"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U pacjentów w wieku powyżej 65 lat występuje zwiększone ryzyko następujących działań niepożądanych:</w:t>
      </w:r>
    </w:p>
    <w:p w14:paraId="4D2C27CC" w14:textId="77777777" w:rsidR="00071CFE" w:rsidRPr="00741122" w:rsidRDefault="00071CFE" w:rsidP="00806668">
      <w:pPr>
        <w:numPr>
          <w:ilvl w:val="0"/>
          <w:numId w:val="104"/>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zakrzepy w tętnicach mogące prowadzić do udaru mózgu lub zawału serca,</w:t>
      </w:r>
    </w:p>
    <w:p w14:paraId="31FFA76F" w14:textId="77777777" w:rsidR="00071CFE" w:rsidRPr="00741122" w:rsidRDefault="00071CFE" w:rsidP="00806668">
      <w:pPr>
        <w:numPr>
          <w:ilvl w:val="0"/>
          <w:numId w:val="104"/>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zmniejszenie liczby białych krwinek we krwi oraz krwinek, które wpływają na krzepliwość krwi,</w:t>
      </w:r>
    </w:p>
    <w:p w14:paraId="37C71D80" w14:textId="77777777" w:rsidR="00071CFE" w:rsidRPr="00741122" w:rsidRDefault="00071CFE" w:rsidP="00806668">
      <w:pPr>
        <w:numPr>
          <w:ilvl w:val="0"/>
          <w:numId w:val="104"/>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biegunka,</w:t>
      </w:r>
    </w:p>
    <w:p w14:paraId="6CC3789C" w14:textId="77777777" w:rsidR="00071CFE" w:rsidRPr="00741122" w:rsidRDefault="00071CFE" w:rsidP="00806668">
      <w:pPr>
        <w:numPr>
          <w:ilvl w:val="0"/>
          <w:numId w:val="104"/>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nudności,</w:t>
      </w:r>
    </w:p>
    <w:p w14:paraId="21F6F2F5" w14:textId="77777777" w:rsidR="00071CFE" w:rsidRPr="00741122" w:rsidRDefault="00071CFE" w:rsidP="00806668">
      <w:pPr>
        <w:numPr>
          <w:ilvl w:val="0"/>
          <w:numId w:val="104"/>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ból głowy,</w:t>
      </w:r>
    </w:p>
    <w:p w14:paraId="19D36544" w14:textId="77777777" w:rsidR="00071CFE" w:rsidRPr="00741122" w:rsidRDefault="00071CFE" w:rsidP="00806668">
      <w:pPr>
        <w:numPr>
          <w:ilvl w:val="0"/>
          <w:numId w:val="104"/>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zmęczenie,</w:t>
      </w:r>
    </w:p>
    <w:p w14:paraId="5DE0A763" w14:textId="77777777" w:rsidR="00071CFE" w:rsidRPr="00741122" w:rsidRDefault="00071CFE" w:rsidP="00806668">
      <w:pPr>
        <w:numPr>
          <w:ilvl w:val="0"/>
          <w:numId w:val="104"/>
        </w:numPr>
        <w:tabs>
          <w:tab w:val="left" w:pos="562"/>
        </w:tabs>
        <w:ind w:left="567" w:hanging="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zwiększone ciśnienie krwi.</w:t>
      </w:r>
    </w:p>
    <w:p w14:paraId="0E8257F6" w14:textId="77777777" w:rsidR="00071CFE" w:rsidRPr="00741122" w:rsidRDefault="00071CFE" w:rsidP="002F765C">
      <w:pPr>
        <w:rPr>
          <w:rFonts w:ascii="Times New Roman" w:eastAsia="Times New Roman" w:hAnsi="Times New Roman" w:cs="Times New Roman"/>
          <w:sz w:val="22"/>
          <w:szCs w:val="22"/>
          <w:lang w:val="lt-LT"/>
        </w:rPr>
      </w:pPr>
    </w:p>
    <w:p w14:paraId="3975276C" w14:textId="77777777" w:rsidR="00071CFE" w:rsidRPr="00741122" w:rsidRDefault="00261A5A" w:rsidP="002F765C">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może również powodować zmiany w wynikach badań laboratoryjnych zleconych przez lekarza, w tym: zmniejszoną liczbę białych krwinek we krwi, szczególnie neutrofili (jednego z typów białych krwinek, które chronią organizm przed infekcjami), obecność białka w moczu, zmniejszone stężenie potasu, sodu lub fosforu (substancj</w:t>
      </w:r>
      <w:r w:rsidR="007D75FC">
        <w:rPr>
          <w:rFonts w:ascii="Times New Roman" w:eastAsia="Times New Roman" w:hAnsi="Times New Roman" w:cs="Times New Roman"/>
          <w:sz w:val="22"/>
          <w:szCs w:val="22"/>
          <w:lang w:val="lt-LT"/>
        </w:rPr>
        <w:t>e</w:t>
      </w:r>
      <w:r w:rsidR="00071CFE" w:rsidRPr="00741122">
        <w:rPr>
          <w:rFonts w:ascii="Times New Roman" w:eastAsia="Times New Roman" w:hAnsi="Times New Roman" w:cs="Times New Roman"/>
          <w:sz w:val="22"/>
          <w:szCs w:val="22"/>
          <w:lang w:val="lt-LT"/>
        </w:rPr>
        <w:t xml:space="preserve"> mineraln</w:t>
      </w:r>
      <w:r w:rsidR="007D75FC">
        <w:rPr>
          <w:rFonts w:ascii="Times New Roman" w:eastAsia="Times New Roman" w:hAnsi="Times New Roman" w:cs="Times New Roman"/>
          <w:sz w:val="22"/>
          <w:szCs w:val="22"/>
          <w:lang w:val="lt-LT"/>
        </w:rPr>
        <w:t>e</w:t>
      </w:r>
      <w:r w:rsidR="00071CFE" w:rsidRPr="00741122">
        <w:rPr>
          <w:rFonts w:ascii="Times New Roman" w:eastAsia="Times New Roman" w:hAnsi="Times New Roman" w:cs="Times New Roman"/>
          <w:sz w:val="22"/>
          <w:szCs w:val="22"/>
          <w:lang w:val="lt-LT"/>
        </w:rPr>
        <w:t>) we krwi, zwiększone stężenie cukru we krwi, zwiększoną aktywność fosfatazy zasadowej (enzym), zmniejszone stężenie hemoglobiny (substancja występująca w krwinkach czerwonych przenosząca tlen), które mogą mieć ciężki charakter.</w:t>
      </w:r>
    </w:p>
    <w:p w14:paraId="5E7636C5" w14:textId="77777777" w:rsidR="00071CFE" w:rsidRPr="00741122" w:rsidRDefault="00071CFE" w:rsidP="002F765C">
      <w:pPr>
        <w:rPr>
          <w:rFonts w:ascii="Times New Roman" w:eastAsia="Times New Roman" w:hAnsi="Times New Roman" w:cs="Times New Roman"/>
          <w:sz w:val="22"/>
          <w:szCs w:val="22"/>
          <w:lang w:val="lt-LT"/>
        </w:rPr>
      </w:pPr>
    </w:p>
    <w:p w14:paraId="782009EA"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Ból w jamie ustnej, ból zębów i (lub) szczęki/żuchwy, opuchlizna lub owrzodzenie wewnątrz jamy ustnej, drętwienie szczęki lub żuchwy, uczucie ciężkości szczęki/żuchwy lub obluzowania zęba mogą być objawami uszkodzenia kości szczęki/żuchwy (martwica kości). W przypadku wystąpienia któregokolwiek z tych objawów należy niezwłocznie poinformować lekarza onkologa oraz stomatologa.</w:t>
      </w:r>
    </w:p>
    <w:p w14:paraId="00295ADC" w14:textId="77777777" w:rsidR="00071CFE" w:rsidRPr="00741122" w:rsidRDefault="00071CFE" w:rsidP="002F765C">
      <w:pPr>
        <w:rPr>
          <w:rFonts w:ascii="Times New Roman" w:eastAsia="Times New Roman" w:hAnsi="Times New Roman" w:cs="Times New Roman"/>
          <w:sz w:val="22"/>
          <w:szCs w:val="22"/>
          <w:lang w:val="lt-LT"/>
        </w:rPr>
      </w:pPr>
    </w:p>
    <w:p w14:paraId="4D8F5F58"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Kobiety przed menopauzą (u których występuje cykl menstruacyjny) mogą zaobserwować nieregularne krwawienia miesięczne lub ich zaniknięcie, z możliwym upośledzeniem płodności. Jeśli pacjentka rozważa posiadanie dzieci, powinna przedyskutować tę kwestię z lekarzem przed rozpoczęciem leczenia.</w:t>
      </w:r>
    </w:p>
    <w:p w14:paraId="1049A05E" w14:textId="77777777" w:rsidR="00071CFE" w:rsidRPr="00741122" w:rsidRDefault="00071CFE" w:rsidP="002F765C">
      <w:pPr>
        <w:rPr>
          <w:rFonts w:ascii="Times New Roman" w:eastAsia="Times New Roman" w:hAnsi="Times New Roman" w:cs="Times New Roman"/>
          <w:sz w:val="22"/>
          <w:szCs w:val="22"/>
          <w:lang w:val="lt-LT"/>
        </w:rPr>
      </w:pPr>
    </w:p>
    <w:p w14:paraId="7399FF80" w14:textId="77777777" w:rsidR="00071CFE" w:rsidRPr="00741122" w:rsidRDefault="007D75FC" w:rsidP="002F765C">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Lek </w:t>
      </w:r>
      <w:r w:rsidR="00261A5A">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został wy</w:t>
      </w:r>
      <w:r w:rsidR="001151A5">
        <w:rPr>
          <w:rFonts w:ascii="Times New Roman" w:eastAsia="Times New Roman" w:hAnsi="Times New Roman" w:cs="Times New Roman"/>
          <w:sz w:val="22"/>
          <w:szCs w:val="22"/>
          <w:lang w:val="lt-LT"/>
        </w:rPr>
        <w:t>tworzony</w:t>
      </w:r>
      <w:r w:rsidR="00071CFE" w:rsidRPr="00741122">
        <w:rPr>
          <w:rFonts w:ascii="Times New Roman" w:eastAsia="Times New Roman" w:hAnsi="Times New Roman" w:cs="Times New Roman"/>
          <w:sz w:val="22"/>
          <w:szCs w:val="22"/>
          <w:lang w:val="lt-LT"/>
        </w:rPr>
        <w:t xml:space="preserve"> i </w:t>
      </w:r>
      <w:r>
        <w:rPr>
          <w:rFonts w:ascii="Times New Roman" w:eastAsia="Times New Roman" w:hAnsi="Times New Roman" w:cs="Times New Roman"/>
          <w:sz w:val="22"/>
          <w:szCs w:val="22"/>
          <w:lang w:val="lt-LT"/>
        </w:rPr>
        <w:t>wyprodukowany</w:t>
      </w:r>
      <w:r w:rsidR="00071CFE" w:rsidRPr="00741122">
        <w:rPr>
          <w:rFonts w:ascii="Times New Roman" w:eastAsia="Times New Roman" w:hAnsi="Times New Roman" w:cs="Times New Roman"/>
          <w:sz w:val="22"/>
          <w:szCs w:val="22"/>
          <w:lang w:val="lt-LT"/>
        </w:rPr>
        <w:t xml:space="preserve"> </w:t>
      </w:r>
      <w:r>
        <w:rPr>
          <w:rFonts w:ascii="Times New Roman" w:eastAsia="Times New Roman" w:hAnsi="Times New Roman" w:cs="Times New Roman"/>
          <w:sz w:val="22"/>
          <w:szCs w:val="22"/>
          <w:lang w:val="lt-LT"/>
        </w:rPr>
        <w:t>w celu</w:t>
      </w:r>
      <w:r w:rsidR="00071CFE" w:rsidRPr="00741122">
        <w:rPr>
          <w:rFonts w:ascii="Times New Roman" w:eastAsia="Times New Roman" w:hAnsi="Times New Roman" w:cs="Times New Roman"/>
          <w:sz w:val="22"/>
          <w:szCs w:val="22"/>
          <w:lang w:val="lt-LT"/>
        </w:rPr>
        <w:t xml:space="preserve"> leczenia chorych na raka poprzez wstrzyknięcie leku do krwioobiegu. Nie został wy</w:t>
      </w:r>
      <w:r w:rsidR="001151A5">
        <w:rPr>
          <w:rFonts w:ascii="Times New Roman" w:eastAsia="Times New Roman" w:hAnsi="Times New Roman" w:cs="Times New Roman"/>
          <w:sz w:val="22"/>
          <w:szCs w:val="22"/>
          <w:lang w:val="lt-LT"/>
        </w:rPr>
        <w:t>tworzony</w:t>
      </w:r>
      <w:r w:rsidR="00071CFE" w:rsidRPr="00741122">
        <w:rPr>
          <w:rFonts w:ascii="Times New Roman" w:eastAsia="Times New Roman" w:hAnsi="Times New Roman" w:cs="Times New Roman"/>
          <w:sz w:val="22"/>
          <w:szCs w:val="22"/>
          <w:lang w:val="lt-LT"/>
        </w:rPr>
        <w:t xml:space="preserve"> </w:t>
      </w:r>
      <w:r>
        <w:rPr>
          <w:rFonts w:ascii="Times New Roman" w:eastAsia="Times New Roman" w:hAnsi="Times New Roman" w:cs="Times New Roman"/>
          <w:sz w:val="22"/>
          <w:szCs w:val="22"/>
          <w:lang w:val="lt-LT"/>
        </w:rPr>
        <w:t>lub wyprodukowany</w:t>
      </w:r>
      <w:r w:rsidRPr="00741122">
        <w:rPr>
          <w:rFonts w:ascii="Times New Roman" w:eastAsia="Times New Roman" w:hAnsi="Times New Roman" w:cs="Times New Roman"/>
          <w:sz w:val="22"/>
          <w:szCs w:val="22"/>
          <w:lang w:val="lt-LT"/>
        </w:rPr>
        <w:t xml:space="preserve"> </w:t>
      </w:r>
      <w:r>
        <w:rPr>
          <w:rFonts w:ascii="Times New Roman" w:eastAsia="Times New Roman" w:hAnsi="Times New Roman" w:cs="Times New Roman"/>
          <w:sz w:val="22"/>
          <w:szCs w:val="22"/>
          <w:lang w:val="lt-LT"/>
        </w:rPr>
        <w:t>w celu</w:t>
      </w:r>
      <w:r w:rsidRPr="00741122">
        <w:rPr>
          <w:rFonts w:ascii="Times New Roman" w:eastAsia="Times New Roman" w:hAnsi="Times New Roman" w:cs="Times New Roman"/>
          <w:sz w:val="22"/>
          <w:szCs w:val="22"/>
          <w:lang w:val="lt-LT"/>
        </w:rPr>
        <w:t xml:space="preserve"> </w:t>
      </w:r>
      <w:r w:rsidR="00071CFE" w:rsidRPr="00741122">
        <w:rPr>
          <w:rFonts w:ascii="Times New Roman" w:eastAsia="Times New Roman" w:hAnsi="Times New Roman" w:cs="Times New Roman"/>
          <w:sz w:val="22"/>
          <w:szCs w:val="22"/>
          <w:lang w:val="lt-LT"/>
        </w:rPr>
        <w:t xml:space="preserve">wstrzyknięcia do oka. W związku z tym nie jest zarejestrowany do zastosowania w ten sposób. Po podaniu </w:t>
      </w:r>
      <w:r w:rsidR="005C127B">
        <w:rPr>
          <w:rFonts w:ascii="Times New Roman" w:eastAsia="Times New Roman" w:hAnsi="Times New Roman" w:cs="Times New Roman"/>
          <w:sz w:val="22"/>
          <w:szCs w:val="22"/>
          <w:lang w:val="lt-LT"/>
        </w:rPr>
        <w:t>bewacyzumabu</w:t>
      </w:r>
      <w:r w:rsidR="00071CFE" w:rsidRPr="00741122">
        <w:rPr>
          <w:rFonts w:ascii="Times New Roman" w:eastAsia="Times New Roman" w:hAnsi="Times New Roman" w:cs="Times New Roman"/>
          <w:sz w:val="22"/>
          <w:szCs w:val="22"/>
          <w:lang w:val="lt-LT"/>
        </w:rPr>
        <w:t xml:space="preserve"> do oka (stosowanie niezgodne z rejestracją) mogą wystąpić poniższe działania niepożądane:</w:t>
      </w:r>
    </w:p>
    <w:p w14:paraId="75EBCB08" w14:textId="77777777" w:rsidR="00071CFE" w:rsidRPr="00741122" w:rsidRDefault="00071CFE" w:rsidP="002F765C">
      <w:pPr>
        <w:rPr>
          <w:rFonts w:ascii="Times New Roman" w:eastAsia="Times New Roman" w:hAnsi="Times New Roman" w:cs="Times New Roman"/>
          <w:sz w:val="22"/>
          <w:szCs w:val="22"/>
          <w:lang w:val="lt-LT"/>
        </w:rPr>
      </w:pPr>
    </w:p>
    <w:p w14:paraId="71D8E3B8" w14:textId="77777777" w:rsidR="00071CFE" w:rsidRPr="00741122" w:rsidRDefault="007D75FC" w:rsidP="00DA23F7">
      <w:pPr>
        <w:numPr>
          <w:ilvl w:val="0"/>
          <w:numId w:val="105"/>
        </w:numPr>
        <w:tabs>
          <w:tab w:val="left" w:pos="562"/>
        </w:tabs>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z</w:t>
      </w:r>
      <w:r w:rsidR="00071CFE" w:rsidRPr="00741122">
        <w:rPr>
          <w:rFonts w:ascii="Times New Roman" w:eastAsia="Times New Roman" w:hAnsi="Times New Roman" w:cs="Times New Roman"/>
          <w:sz w:val="22"/>
          <w:szCs w:val="22"/>
          <w:lang w:val="lt-LT"/>
        </w:rPr>
        <w:t>akażenie lub zapalenie gałki ocznej,</w:t>
      </w:r>
    </w:p>
    <w:p w14:paraId="28A506C0" w14:textId="77777777" w:rsidR="00071CFE" w:rsidRPr="00741122" w:rsidRDefault="007D75FC" w:rsidP="002C4661">
      <w:pPr>
        <w:numPr>
          <w:ilvl w:val="0"/>
          <w:numId w:val="105"/>
        </w:numPr>
        <w:tabs>
          <w:tab w:val="left" w:pos="562"/>
        </w:tabs>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z</w:t>
      </w:r>
      <w:r w:rsidR="00071CFE" w:rsidRPr="00741122">
        <w:rPr>
          <w:rFonts w:ascii="Times New Roman" w:eastAsia="Times New Roman" w:hAnsi="Times New Roman" w:cs="Times New Roman"/>
          <w:sz w:val="22"/>
          <w:szCs w:val="22"/>
          <w:lang w:val="lt-LT"/>
        </w:rPr>
        <w:t>aczerwienienie oka, ruchome punkty lub plamy w polu widzenia (mroczki), ból oka,</w:t>
      </w:r>
    </w:p>
    <w:p w14:paraId="5E00C5CC" w14:textId="77777777" w:rsidR="00071CFE" w:rsidRPr="00741122" w:rsidRDefault="007D75FC" w:rsidP="002C4661">
      <w:pPr>
        <w:numPr>
          <w:ilvl w:val="0"/>
          <w:numId w:val="105"/>
        </w:numPr>
        <w:tabs>
          <w:tab w:val="left" w:pos="562"/>
        </w:tabs>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b</w:t>
      </w:r>
      <w:r w:rsidR="00071CFE" w:rsidRPr="00741122">
        <w:rPr>
          <w:rFonts w:ascii="Times New Roman" w:eastAsia="Times New Roman" w:hAnsi="Times New Roman" w:cs="Times New Roman"/>
          <w:sz w:val="22"/>
          <w:szCs w:val="22"/>
          <w:lang w:val="lt-LT"/>
        </w:rPr>
        <w:t>łyski światła z mroczkami, które mogą prowadzić do częściowej utraty wzroku,</w:t>
      </w:r>
    </w:p>
    <w:p w14:paraId="5EB0F8FA" w14:textId="77777777" w:rsidR="00071CFE" w:rsidRPr="00741122" w:rsidRDefault="007D75FC" w:rsidP="002C4661">
      <w:pPr>
        <w:numPr>
          <w:ilvl w:val="0"/>
          <w:numId w:val="105"/>
        </w:numPr>
        <w:tabs>
          <w:tab w:val="left" w:pos="562"/>
        </w:tabs>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w:t>
      </w:r>
      <w:r w:rsidR="00071CFE" w:rsidRPr="00741122">
        <w:rPr>
          <w:rFonts w:ascii="Times New Roman" w:eastAsia="Times New Roman" w:hAnsi="Times New Roman" w:cs="Times New Roman"/>
          <w:sz w:val="22"/>
          <w:szCs w:val="22"/>
          <w:lang w:val="lt-LT"/>
        </w:rPr>
        <w:t>zrost ciśnienia śródgałkowego,</w:t>
      </w:r>
    </w:p>
    <w:p w14:paraId="464C6ECE" w14:textId="77777777" w:rsidR="00071CFE" w:rsidRPr="00741122" w:rsidRDefault="007D75FC" w:rsidP="002C4661">
      <w:pPr>
        <w:numPr>
          <w:ilvl w:val="0"/>
          <w:numId w:val="105"/>
        </w:numPr>
        <w:tabs>
          <w:tab w:val="left" w:pos="562"/>
        </w:tabs>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w:t>
      </w:r>
      <w:r w:rsidR="00071CFE" w:rsidRPr="00741122">
        <w:rPr>
          <w:rFonts w:ascii="Times New Roman" w:eastAsia="Times New Roman" w:hAnsi="Times New Roman" w:cs="Times New Roman"/>
          <w:sz w:val="22"/>
          <w:szCs w:val="22"/>
          <w:lang w:val="lt-LT"/>
        </w:rPr>
        <w:t>rwawienie wewnątrz oka.</w:t>
      </w:r>
    </w:p>
    <w:p w14:paraId="7D43A275" w14:textId="77777777" w:rsidR="00071CFE" w:rsidRPr="00741122" w:rsidRDefault="00071CFE" w:rsidP="002F765C">
      <w:pPr>
        <w:rPr>
          <w:rFonts w:ascii="Times New Roman" w:eastAsia="Times New Roman" w:hAnsi="Times New Roman"/>
          <w:lang w:val="lt-LT"/>
        </w:rPr>
      </w:pPr>
    </w:p>
    <w:p w14:paraId="26BC699A" w14:textId="77777777" w:rsidR="00071CFE" w:rsidRPr="00741122" w:rsidRDefault="00071CFE" w:rsidP="002F765C">
      <w:pPr>
        <w:keepNext/>
        <w:rPr>
          <w:rFonts w:ascii="Times New Roman" w:eastAsia="Times New Roman" w:hAnsi="Times New Roman" w:cs="Times New Roman"/>
          <w:b/>
          <w:sz w:val="22"/>
          <w:szCs w:val="22"/>
          <w:lang w:val="lt-LT"/>
        </w:rPr>
      </w:pPr>
      <w:bookmarkStart w:id="111" w:name="page80"/>
      <w:bookmarkEnd w:id="111"/>
      <w:r w:rsidRPr="00741122">
        <w:rPr>
          <w:rFonts w:ascii="Times New Roman" w:eastAsia="Times New Roman" w:hAnsi="Times New Roman" w:cs="Times New Roman"/>
          <w:b/>
          <w:sz w:val="22"/>
          <w:szCs w:val="22"/>
          <w:lang w:val="lt-LT"/>
        </w:rPr>
        <w:t>Zgłaszanie działań niepożądanych</w:t>
      </w:r>
    </w:p>
    <w:p w14:paraId="252BFF9B" w14:textId="77777777" w:rsidR="00071CFE" w:rsidRPr="00741122" w:rsidRDefault="00071CFE" w:rsidP="002F765C">
      <w:pPr>
        <w:keepNext/>
        <w:rPr>
          <w:rFonts w:ascii="Times New Roman" w:eastAsia="Times New Roman" w:hAnsi="Times New Roman" w:cs="Times New Roman"/>
          <w:sz w:val="22"/>
          <w:szCs w:val="22"/>
          <w:lang w:val="lt-LT"/>
        </w:rPr>
      </w:pPr>
    </w:p>
    <w:p w14:paraId="23F99BCD" w14:textId="77777777" w:rsidR="00071CFE" w:rsidRPr="00741122" w:rsidRDefault="00071CFE" w:rsidP="002F765C">
      <w:pPr>
        <w:rPr>
          <w:rFonts w:ascii="Times New Roman" w:eastAsia="Times New Roman" w:hAnsi="Times New Roman" w:cs="Times New Roman"/>
          <w:color w:val="000000"/>
          <w:sz w:val="22"/>
          <w:szCs w:val="22"/>
          <w:lang w:val="lt-LT"/>
        </w:rPr>
      </w:pPr>
      <w:r w:rsidRPr="00BF0AF3">
        <w:rPr>
          <w:rFonts w:ascii="Times New Roman" w:eastAsia="Times New Roman" w:hAnsi="Times New Roman" w:cs="Times New Roman"/>
          <w:sz w:val="22"/>
          <w:szCs w:val="22"/>
          <w:lang w:val="lt-LT"/>
        </w:rPr>
        <w:t xml:space="preserve">Jeśli wystąpią jakiekolwiek objawy niepożądane, w tym wszelkie objawy niepożądane niewymienione w ulotce, należy powiedzieć o tym lekarzowi, farmaceucie lub pielęgniarce. Działania niepożądane można zgłaszać bezpośrednio do </w:t>
      </w:r>
      <w:r>
        <w:rPr>
          <w:rFonts w:ascii="Times New Roman" w:eastAsia="Times New Roman" w:hAnsi="Times New Roman" w:cs="Times New Roman"/>
          <w:sz w:val="22"/>
          <w:szCs w:val="22"/>
          <w:highlight w:val="lightGray"/>
          <w:lang w:val="lt-LT"/>
        </w:rPr>
        <w:t xml:space="preserve">„krajowego systemu zgłaszania” wymienionego w </w:t>
      </w:r>
      <w:r>
        <w:fldChar w:fldCharType="begin"/>
      </w:r>
      <w:r w:rsidRPr="00BC56FD">
        <w:rPr>
          <w:lang w:val="lt-LT"/>
          <w:rPrChange w:id="112"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color w:val="0000FF"/>
          <w:sz w:val="22"/>
          <w:szCs w:val="22"/>
          <w:highlight w:val="lightGray"/>
          <w:u w:val="single"/>
          <w:lang w:val="lt-LT"/>
        </w:rPr>
        <w:t>załączniku V</w:t>
      </w:r>
      <w:r w:rsidRPr="00BF0AF3">
        <w:rPr>
          <w:rFonts w:ascii="Times New Roman" w:eastAsia="Times New Roman" w:hAnsi="Times New Roman" w:cs="Times New Roman"/>
          <w:color w:val="000000"/>
          <w:sz w:val="22"/>
          <w:szCs w:val="22"/>
          <w:lang w:val="lt-LT"/>
        </w:rPr>
        <w:t>.</w:t>
      </w:r>
      <w:r>
        <w:fldChar w:fldCharType="end"/>
      </w:r>
      <w:r w:rsidR="00BF0AF3" w:rsidRPr="00BF0AF3">
        <w:rPr>
          <w:rFonts w:ascii="Times New Roman" w:hAnsi="Times New Roman" w:cs="Times New Roman"/>
          <w:sz w:val="22"/>
          <w:szCs w:val="22"/>
          <w:lang w:val="lt-LT"/>
        </w:rPr>
        <w:t xml:space="preserve"> </w:t>
      </w:r>
      <w:r w:rsidRPr="00BF0AF3">
        <w:rPr>
          <w:rFonts w:ascii="Times New Roman" w:eastAsia="Times New Roman" w:hAnsi="Times New Roman" w:cs="Times New Roman"/>
          <w:sz w:val="22"/>
          <w:szCs w:val="22"/>
          <w:lang w:val="lt-LT"/>
        </w:rPr>
        <w:t xml:space="preserve">Dzięki </w:t>
      </w:r>
      <w:r w:rsidRPr="00BF0AF3">
        <w:rPr>
          <w:rFonts w:ascii="Times New Roman" w:eastAsia="Times New Roman" w:hAnsi="Times New Roman" w:cs="Times New Roman"/>
          <w:color w:val="000000"/>
          <w:sz w:val="22"/>
          <w:szCs w:val="22"/>
          <w:lang w:val="lt-LT"/>
        </w:rPr>
        <w:t>zgłaszaniu działań niepożądanych można będzie</w:t>
      </w:r>
      <w:r w:rsidRPr="00BF0AF3">
        <w:rPr>
          <w:rFonts w:ascii="Times New Roman" w:eastAsia="Times New Roman" w:hAnsi="Times New Roman" w:cs="Times New Roman"/>
          <w:color w:val="0000FF"/>
          <w:sz w:val="22"/>
          <w:szCs w:val="22"/>
          <w:lang w:val="lt-LT"/>
        </w:rPr>
        <w:t xml:space="preserve"> </w:t>
      </w:r>
      <w:r w:rsidRPr="00BF0AF3">
        <w:rPr>
          <w:rFonts w:ascii="Times New Roman" w:eastAsia="Times New Roman" w:hAnsi="Times New Roman" w:cs="Times New Roman"/>
          <w:color w:val="000000"/>
          <w:sz w:val="22"/>
          <w:szCs w:val="22"/>
          <w:lang w:val="lt-LT"/>
        </w:rPr>
        <w:t>zgromadzić więcej informacji</w:t>
      </w:r>
      <w:r w:rsidRPr="00BF0AF3">
        <w:rPr>
          <w:rFonts w:ascii="Times New Roman" w:eastAsia="Times New Roman" w:hAnsi="Times New Roman" w:cs="Times New Roman"/>
          <w:color w:val="0000FF"/>
          <w:sz w:val="22"/>
          <w:szCs w:val="22"/>
          <w:lang w:val="lt-LT"/>
        </w:rPr>
        <w:t xml:space="preserve"> </w:t>
      </w:r>
      <w:r w:rsidRPr="00BF0AF3">
        <w:rPr>
          <w:rFonts w:ascii="Times New Roman" w:eastAsia="Times New Roman" w:hAnsi="Times New Roman" w:cs="Times New Roman"/>
          <w:color w:val="000000"/>
          <w:sz w:val="22"/>
          <w:szCs w:val="22"/>
          <w:lang w:val="lt-LT"/>
        </w:rPr>
        <w:t>na temat bezpieczeństwa stosowania leku.</w:t>
      </w:r>
    </w:p>
    <w:p w14:paraId="39DACDAE" w14:textId="77777777" w:rsidR="00071CFE" w:rsidRPr="00741122" w:rsidRDefault="00071CFE" w:rsidP="002F765C">
      <w:pPr>
        <w:rPr>
          <w:rFonts w:ascii="Times New Roman" w:eastAsia="Times New Roman" w:hAnsi="Times New Roman" w:cs="Times New Roman"/>
          <w:sz w:val="22"/>
          <w:szCs w:val="22"/>
          <w:lang w:val="lt-LT"/>
        </w:rPr>
      </w:pPr>
    </w:p>
    <w:p w14:paraId="1A116D9F" w14:textId="77777777" w:rsidR="00071CFE" w:rsidRPr="00741122" w:rsidRDefault="00071CFE" w:rsidP="002F765C">
      <w:pPr>
        <w:rPr>
          <w:rFonts w:ascii="Times New Roman" w:eastAsia="Times New Roman" w:hAnsi="Times New Roman" w:cs="Times New Roman"/>
          <w:sz w:val="22"/>
          <w:szCs w:val="22"/>
          <w:lang w:val="lt-LT"/>
        </w:rPr>
      </w:pPr>
    </w:p>
    <w:p w14:paraId="29A72556" w14:textId="77777777" w:rsidR="00071CFE" w:rsidRPr="00741122" w:rsidRDefault="00071CFE" w:rsidP="002F765C">
      <w:pPr>
        <w:numPr>
          <w:ilvl w:val="0"/>
          <w:numId w:val="56"/>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Jak przechowywać </w:t>
      </w:r>
      <w:r w:rsidR="00261A5A">
        <w:rPr>
          <w:rFonts w:ascii="Times New Roman" w:eastAsia="Times New Roman" w:hAnsi="Times New Roman" w:cs="Times New Roman"/>
          <w:b/>
          <w:sz w:val="22"/>
          <w:szCs w:val="22"/>
          <w:lang w:val="lt-LT"/>
        </w:rPr>
        <w:t>MVASI</w:t>
      </w:r>
    </w:p>
    <w:p w14:paraId="0C500D0B" w14:textId="77777777" w:rsidR="00071CFE" w:rsidRPr="00741122" w:rsidRDefault="00071CFE" w:rsidP="002F765C">
      <w:pPr>
        <w:rPr>
          <w:rFonts w:ascii="Times New Roman" w:eastAsia="Times New Roman" w:hAnsi="Times New Roman" w:cs="Times New Roman"/>
          <w:sz w:val="22"/>
          <w:szCs w:val="22"/>
          <w:lang w:val="lt-LT"/>
        </w:rPr>
      </w:pPr>
    </w:p>
    <w:p w14:paraId="76110655"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Lek należy przechowywać w miejscu niewidocznym i niedostępnym dla dzieci.</w:t>
      </w:r>
    </w:p>
    <w:p w14:paraId="062CD295" w14:textId="77777777" w:rsidR="00071CFE" w:rsidRPr="00741122" w:rsidRDefault="00071CFE" w:rsidP="002F765C">
      <w:pPr>
        <w:rPr>
          <w:rFonts w:ascii="Times New Roman" w:eastAsia="Times New Roman" w:hAnsi="Times New Roman" w:cs="Times New Roman"/>
          <w:sz w:val="22"/>
          <w:szCs w:val="22"/>
          <w:lang w:val="lt-LT"/>
        </w:rPr>
      </w:pPr>
    </w:p>
    <w:p w14:paraId="00976098"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stosować tego leku po upływie terminu ważności zamieszczonego na opakowaniu oraz na etykiecie fiolki. Termin ważności oznacza ostatni dzień podanego miesiąca.</w:t>
      </w:r>
    </w:p>
    <w:p w14:paraId="4A615F1D" w14:textId="77777777" w:rsidR="00071CFE" w:rsidRPr="00741122" w:rsidRDefault="00071CFE" w:rsidP="002F765C">
      <w:pPr>
        <w:rPr>
          <w:rFonts w:ascii="Times New Roman" w:eastAsia="Times New Roman" w:hAnsi="Times New Roman" w:cs="Times New Roman"/>
          <w:sz w:val="22"/>
          <w:szCs w:val="22"/>
          <w:lang w:val="lt-LT"/>
        </w:rPr>
      </w:pPr>
    </w:p>
    <w:p w14:paraId="148AC8B6"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Przechowywać w lodówce (2°C</w:t>
      </w:r>
      <w:r w:rsidR="00DC089D">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w:t>
      </w:r>
      <w:r w:rsidR="00DC089D">
        <w:rPr>
          <w:rFonts w:ascii="Times New Roman" w:eastAsia="Times New Roman" w:hAnsi="Times New Roman" w:cs="Times New Roman"/>
          <w:sz w:val="22"/>
          <w:szCs w:val="22"/>
          <w:lang w:val="lt-LT"/>
        </w:rPr>
        <w:t xml:space="preserve"> </w:t>
      </w:r>
      <w:r w:rsidRPr="00741122">
        <w:rPr>
          <w:rFonts w:ascii="Times New Roman" w:eastAsia="Times New Roman" w:hAnsi="Times New Roman" w:cs="Times New Roman"/>
          <w:sz w:val="22"/>
          <w:szCs w:val="22"/>
          <w:lang w:val="lt-LT"/>
        </w:rPr>
        <w:t>8°C).</w:t>
      </w:r>
    </w:p>
    <w:p w14:paraId="2B429FA5"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Nie zamrażać.</w:t>
      </w:r>
    </w:p>
    <w:p w14:paraId="35F35941"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Fiolki z lekiem przechowywać w opakowaniu zewnętrznym w celu ochrony przed światłem.</w:t>
      </w:r>
    </w:p>
    <w:p w14:paraId="53B3E40F" w14:textId="77777777" w:rsidR="00071CFE" w:rsidRPr="00741122" w:rsidRDefault="00071CFE" w:rsidP="002F765C">
      <w:pPr>
        <w:rPr>
          <w:rFonts w:ascii="Times New Roman" w:eastAsia="Times New Roman" w:hAnsi="Times New Roman" w:cs="Times New Roman"/>
          <w:sz w:val="22"/>
          <w:szCs w:val="22"/>
          <w:lang w:val="lt-LT"/>
        </w:rPr>
      </w:pPr>
    </w:p>
    <w:p w14:paraId="1FFF87A1" w14:textId="77777777" w:rsidR="00226B6B" w:rsidRDefault="00071CFE" w:rsidP="00226B6B">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Roztwór do </w:t>
      </w:r>
      <w:r w:rsidR="00DC089D">
        <w:rPr>
          <w:rFonts w:ascii="Times New Roman" w:eastAsia="Times New Roman" w:hAnsi="Times New Roman" w:cs="Times New Roman"/>
          <w:sz w:val="22"/>
          <w:szCs w:val="22"/>
          <w:lang w:val="lt-LT"/>
        </w:rPr>
        <w:t>wlewu</w:t>
      </w:r>
      <w:r w:rsidRPr="00741122">
        <w:rPr>
          <w:rFonts w:ascii="Times New Roman" w:eastAsia="Times New Roman" w:hAnsi="Times New Roman" w:cs="Times New Roman"/>
          <w:sz w:val="22"/>
          <w:szCs w:val="22"/>
          <w:lang w:val="lt-LT"/>
        </w:rPr>
        <w:t xml:space="preserve"> należy zużyć natychmiast po rozcieńczeniu. </w:t>
      </w:r>
      <w:r w:rsidR="00226B6B">
        <w:rPr>
          <w:rFonts w:ascii="Times New Roman" w:eastAsia="Times New Roman" w:hAnsi="Times New Roman" w:cs="Times New Roman"/>
          <w:sz w:val="22"/>
          <w:szCs w:val="22"/>
          <w:lang w:val="lt-LT"/>
        </w:rPr>
        <w:t>Jeśli nie zostanie zużyty natychmiast, za ustalenie czasu i warunków przechowywania jest odpowiedzialna osoba przygotowywująca lek i czas ten nie powinien być dłuższy niż 24 godziny w temperaturze od 2°C do 8°C, chyba że roztwór do wlewu został przygotowany w jałowym środowisku. Kiedy rozcieńczenie odbywa się w środowisku jałowym, lek MVASI jest stabilny przez 35 dni w temperaturze od 2°C do 8°C oraz dodatkowe 48 godzin w temperaturze nieprzekraczającej 30°C.</w:t>
      </w:r>
    </w:p>
    <w:p w14:paraId="2902F093" w14:textId="77777777" w:rsidR="00226B6B" w:rsidRDefault="00226B6B" w:rsidP="00226B6B">
      <w:pPr>
        <w:rPr>
          <w:rFonts w:ascii="Times New Roman" w:eastAsia="Times New Roman" w:hAnsi="Times New Roman" w:cs="Times New Roman"/>
          <w:sz w:val="22"/>
          <w:szCs w:val="22"/>
          <w:lang w:val="lt-LT"/>
        </w:rPr>
      </w:pPr>
    </w:p>
    <w:p w14:paraId="3740FE4C" w14:textId="70D3FD02"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Nie stosować leku </w:t>
      </w:r>
      <w:r w:rsidR="00261A5A">
        <w:rPr>
          <w:rFonts w:ascii="Times New Roman" w:eastAsia="Times New Roman" w:hAnsi="Times New Roman" w:cs="Times New Roman"/>
          <w:sz w:val="22"/>
          <w:szCs w:val="22"/>
          <w:lang w:val="lt-LT"/>
        </w:rPr>
        <w:t>MVASI</w:t>
      </w:r>
      <w:r w:rsidR="00DC089D">
        <w:rPr>
          <w:rFonts w:ascii="Times New Roman" w:eastAsia="Times New Roman" w:hAnsi="Times New Roman" w:cs="Times New Roman"/>
          <w:sz w:val="22"/>
          <w:szCs w:val="22"/>
          <w:lang w:val="lt-LT"/>
        </w:rPr>
        <w:t>,</w:t>
      </w:r>
      <w:r w:rsidRPr="00741122">
        <w:rPr>
          <w:rFonts w:ascii="Times New Roman" w:eastAsia="Times New Roman" w:hAnsi="Times New Roman" w:cs="Times New Roman"/>
          <w:sz w:val="22"/>
          <w:szCs w:val="22"/>
          <w:lang w:val="lt-LT"/>
        </w:rPr>
        <w:t xml:space="preserve"> jeśli zauważy się cząstki stałe lub jeśli wystąpiła zmiana jego barwy.</w:t>
      </w:r>
    </w:p>
    <w:p w14:paraId="53688432" w14:textId="77777777" w:rsidR="00071CFE" w:rsidRPr="00741122" w:rsidRDefault="00071CFE" w:rsidP="002F765C">
      <w:pPr>
        <w:rPr>
          <w:rFonts w:ascii="Times New Roman" w:eastAsia="Times New Roman" w:hAnsi="Times New Roman" w:cs="Times New Roman"/>
          <w:sz w:val="22"/>
          <w:szCs w:val="22"/>
          <w:lang w:val="lt-LT"/>
        </w:rPr>
      </w:pPr>
    </w:p>
    <w:p w14:paraId="6BA46327" w14:textId="77777777" w:rsidR="00071CFE" w:rsidRPr="00741122" w:rsidRDefault="00071CFE" w:rsidP="002F765C">
      <w:pPr>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Leków nie należy wyrzucać do kanalizacji ani domowych pojemników na odpadki. Należy zapytać farmaceutę jak usunąć leki, których się już nie używa. Takie postępowanie pomoże chronić środowisko.</w:t>
      </w:r>
    </w:p>
    <w:p w14:paraId="1C7CCC13" w14:textId="77777777" w:rsidR="00071CFE" w:rsidRPr="00741122" w:rsidRDefault="00071CFE" w:rsidP="002F765C">
      <w:pPr>
        <w:rPr>
          <w:rFonts w:ascii="Times New Roman" w:eastAsia="Times New Roman" w:hAnsi="Times New Roman" w:cs="Times New Roman"/>
          <w:sz w:val="22"/>
          <w:szCs w:val="22"/>
          <w:lang w:val="lt-LT"/>
        </w:rPr>
      </w:pPr>
    </w:p>
    <w:p w14:paraId="7AADC6F2" w14:textId="77777777" w:rsidR="00071CFE" w:rsidRPr="00741122" w:rsidRDefault="00071CFE" w:rsidP="002F765C">
      <w:pPr>
        <w:rPr>
          <w:rFonts w:ascii="Times New Roman" w:eastAsia="Times New Roman" w:hAnsi="Times New Roman" w:cs="Times New Roman"/>
          <w:sz w:val="22"/>
          <w:szCs w:val="22"/>
          <w:lang w:val="lt-LT"/>
        </w:rPr>
      </w:pPr>
    </w:p>
    <w:p w14:paraId="77B62E24" w14:textId="77777777" w:rsidR="00071CFE" w:rsidRPr="00741122" w:rsidRDefault="00071CFE" w:rsidP="002F765C">
      <w:pPr>
        <w:numPr>
          <w:ilvl w:val="0"/>
          <w:numId w:val="57"/>
        </w:numPr>
        <w:tabs>
          <w:tab w:val="left" w:pos="562"/>
        </w:tabs>
        <w:ind w:left="567" w:hanging="567"/>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Zawartość opakowania i inne informacje</w:t>
      </w:r>
    </w:p>
    <w:p w14:paraId="23152194" w14:textId="77777777" w:rsidR="00071CFE" w:rsidRPr="00741122" w:rsidRDefault="00071CFE" w:rsidP="002F765C">
      <w:pPr>
        <w:rPr>
          <w:rFonts w:ascii="Times New Roman" w:eastAsia="Times New Roman" w:hAnsi="Times New Roman" w:cs="Times New Roman"/>
          <w:sz w:val="22"/>
          <w:szCs w:val="22"/>
          <w:lang w:val="lt-LT"/>
        </w:rPr>
      </w:pPr>
    </w:p>
    <w:p w14:paraId="7CB5E009" w14:textId="77777777" w:rsidR="00071CFE" w:rsidRPr="00741122" w:rsidRDefault="00071CFE" w:rsidP="002F765C">
      <w:pPr>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Co zawiera </w:t>
      </w:r>
      <w:r w:rsidR="00261A5A">
        <w:rPr>
          <w:rFonts w:ascii="Times New Roman" w:eastAsia="Times New Roman" w:hAnsi="Times New Roman" w:cs="Times New Roman"/>
          <w:b/>
          <w:sz w:val="22"/>
          <w:szCs w:val="22"/>
          <w:lang w:val="lt-LT"/>
        </w:rPr>
        <w:t>MVASI</w:t>
      </w:r>
    </w:p>
    <w:p w14:paraId="6860BF17" w14:textId="2BE614A6" w:rsidR="00071CFE" w:rsidRPr="00741122" w:rsidRDefault="00071CFE" w:rsidP="002C4661">
      <w:pPr>
        <w:numPr>
          <w:ilvl w:val="0"/>
          <w:numId w:val="106"/>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 xml:space="preserve">Substancją czynną leku jest bewacyzumab. Każdy </w:t>
      </w:r>
      <w:r w:rsidR="00665FBE" w:rsidRPr="00741122">
        <w:rPr>
          <w:rFonts w:ascii="Times New Roman" w:eastAsia="Times New Roman" w:hAnsi="Times New Roman" w:cs="Times New Roman"/>
          <w:sz w:val="22"/>
          <w:szCs w:val="22"/>
          <w:lang w:val="lt-LT"/>
        </w:rPr>
        <w:t>mililitr koncentratu zawiera 25 </w:t>
      </w:r>
      <w:r w:rsidRPr="00741122">
        <w:rPr>
          <w:rFonts w:ascii="Times New Roman" w:eastAsia="Times New Roman" w:hAnsi="Times New Roman" w:cs="Times New Roman"/>
          <w:sz w:val="22"/>
          <w:szCs w:val="22"/>
          <w:lang w:val="lt-LT"/>
        </w:rPr>
        <w:t>mg bewacyzumabu.</w:t>
      </w:r>
    </w:p>
    <w:p w14:paraId="628FBF14" w14:textId="34B2FCF2" w:rsidR="00665FBE" w:rsidRPr="00741122" w:rsidRDefault="00665FBE" w:rsidP="001E2C6A">
      <w:pPr>
        <w:tabs>
          <w:tab w:val="left" w:pos="562"/>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Każda fiolka </w:t>
      </w:r>
      <w:r w:rsidR="001C5907">
        <w:rPr>
          <w:rFonts w:ascii="Times New Roman" w:eastAsia="Times New Roman" w:hAnsi="Times New Roman" w:cs="Times New Roman"/>
          <w:sz w:val="22"/>
          <w:szCs w:val="22"/>
          <w:lang w:val="lt-LT"/>
        </w:rPr>
        <w:t>zawierająca 4 ml koncentratu</w:t>
      </w:r>
      <w:r w:rsidRPr="00741122">
        <w:rPr>
          <w:rFonts w:ascii="Times New Roman" w:eastAsia="Times New Roman" w:hAnsi="Times New Roman" w:cs="Times New Roman"/>
          <w:sz w:val="22"/>
          <w:szCs w:val="22"/>
          <w:lang w:val="lt-LT"/>
        </w:rPr>
        <w:t xml:space="preserve"> zawiera 100 </w:t>
      </w:r>
      <w:r w:rsidR="00071CFE" w:rsidRPr="00741122">
        <w:rPr>
          <w:rFonts w:ascii="Times New Roman" w:eastAsia="Times New Roman" w:hAnsi="Times New Roman" w:cs="Times New Roman"/>
          <w:sz w:val="22"/>
          <w:szCs w:val="22"/>
          <w:lang w:val="lt-LT"/>
        </w:rPr>
        <w:t xml:space="preserve">mg bewacyzumabu, co odpowiada stężeniu </w:t>
      </w:r>
      <w:r w:rsidRPr="00741122">
        <w:rPr>
          <w:rFonts w:ascii="Times New Roman" w:eastAsia="Times New Roman" w:hAnsi="Times New Roman" w:cs="Times New Roman"/>
          <w:sz w:val="22"/>
          <w:szCs w:val="22"/>
          <w:lang w:val="lt-LT"/>
        </w:rPr>
        <w:t>1,4 </w:t>
      </w:r>
      <w:r w:rsidR="00071CFE" w:rsidRPr="00741122">
        <w:rPr>
          <w:rFonts w:ascii="Times New Roman" w:eastAsia="Times New Roman" w:hAnsi="Times New Roman" w:cs="Times New Roman"/>
          <w:sz w:val="22"/>
          <w:szCs w:val="22"/>
          <w:lang w:val="lt-LT"/>
        </w:rPr>
        <w:t>mg/ml, jeżeli roztwór jest rozcieńcza</w:t>
      </w:r>
      <w:r w:rsidR="00DC089D">
        <w:rPr>
          <w:rFonts w:ascii="Times New Roman" w:eastAsia="Times New Roman" w:hAnsi="Times New Roman" w:cs="Times New Roman"/>
          <w:sz w:val="22"/>
          <w:szCs w:val="22"/>
          <w:lang w:val="lt-LT"/>
        </w:rPr>
        <w:t>on</w:t>
      </w:r>
      <w:r w:rsidR="00071CFE" w:rsidRPr="00741122">
        <w:rPr>
          <w:rFonts w:ascii="Times New Roman" w:eastAsia="Times New Roman" w:hAnsi="Times New Roman" w:cs="Times New Roman"/>
          <w:sz w:val="22"/>
          <w:szCs w:val="22"/>
          <w:lang w:val="lt-LT"/>
        </w:rPr>
        <w:t>y zgodnie z zaleceniami.</w:t>
      </w:r>
    </w:p>
    <w:p w14:paraId="3FA2476B" w14:textId="519EA52F" w:rsidR="00071CFE" w:rsidRPr="00741122" w:rsidRDefault="00665FBE" w:rsidP="001E2C6A">
      <w:pPr>
        <w:tabs>
          <w:tab w:val="left" w:pos="562"/>
        </w:tabs>
        <w:ind w:left="567"/>
        <w:rPr>
          <w:rFonts w:ascii="Times New Roman" w:eastAsia="Times New Roman" w:hAnsi="Times New Roman" w:cs="Times New Roman"/>
          <w:sz w:val="22"/>
          <w:szCs w:val="22"/>
          <w:lang w:val="lt-LT"/>
        </w:rPr>
      </w:pPr>
      <w:r w:rsidRPr="00741122">
        <w:rPr>
          <w:rFonts w:ascii="Times New Roman" w:eastAsia="Times New Roman" w:hAnsi="Times New Roman" w:cs="Times New Roman"/>
          <w:sz w:val="22"/>
          <w:szCs w:val="22"/>
          <w:lang w:val="lt-LT"/>
        </w:rPr>
        <w:t xml:space="preserve">Każda fiolka </w:t>
      </w:r>
      <w:r w:rsidR="001C5907">
        <w:rPr>
          <w:rFonts w:ascii="Times New Roman" w:eastAsia="Times New Roman" w:hAnsi="Times New Roman" w:cs="Times New Roman"/>
          <w:sz w:val="22"/>
          <w:szCs w:val="22"/>
          <w:lang w:val="lt-LT"/>
        </w:rPr>
        <w:t>zawierająca 16 ml koncentratu</w:t>
      </w:r>
      <w:r w:rsidRPr="00741122">
        <w:rPr>
          <w:rFonts w:ascii="Times New Roman" w:eastAsia="Times New Roman" w:hAnsi="Times New Roman" w:cs="Times New Roman"/>
          <w:sz w:val="22"/>
          <w:szCs w:val="22"/>
          <w:lang w:val="lt-LT"/>
        </w:rPr>
        <w:t xml:space="preserve"> zawiera 400 </w:t>
      </w:r>
      <w:r w:rsidR="00071CFE" w:rsidRPr="00741122">
        <w:rPr>
          <w:rFonts w:ascii="Times New Roman" w:eastAsia="Times New Roman" w:hAnsi="Times New Roman" w:cs="Times New Roman"/>
          <w:sz w:val="22"/>
          <w:szCs w:val="22"/>
          <w:lang w:val="lt-LT"/>
        </w:rPr>
        <w:t>mg bewacyzum</w:t>
      </w:r>
      <w:r w:rsidRPr="00741122">
        <w:rPr>
          <w:rFonts w:ascii="Times New Roman" w:eastAsia="Times New Roman" w:hAnsi="Times New Roman" w:cs="Times New Roman"/>
          <w:sz w:val="22"/>
          <w:szCs w:val="22"/>
          <w:lang w:val="lt-LT"/>
        </w:rPr>
        <w:t>abu, co odpowiada stężeniu 16,5 </w:t>
      </w:r>
      <w:r w:rsidR="00071CFE" w:rsidRPr="00741122">
        <w:rPr>
          <w:rFonts w:ascii="Times New Roman" w:eastAsia="Times New Roman" w:hAnsi="Times New Roman" w:cs="Times New Roman"/>
          <w:sz w:val="22"/>
          <w:szCs w:val="22"/>
          <w:lang w:val="lt-LT"/>
        </w:rPr>
        <w:t>mg/ml, jeżeli roztwór jest rozcieńcz</w:t>
      </w:r>
      <w:r w:rsidR="00DC089D">
        <w:rPr>
          <w:rFonts w:ascii="Times New Roman" w:eastAsia="Times New Roman" w:hAnsi="Times New Roman" w:cs="Times New Roman"/>
          <w:sz w:val="22"/>
          <w:szCs w:val="22"/>
          <w:lang w:val="lt-LT"/>
        </w:rPr>
        <w:t>o</w:t>
      </w:r>
      <w:r w:rsidR="00071CFE" w:rsidRPr="00741122">
        <w:rPr>
          <w:rFonts w:ascii="Times New Roman" w:eastAsia="Times New Roman" w:hAnsi="Times New Roman" w:cs="Times New Roman"/>
          <w:sz w:val="22"/>
          <w:szCs w:val="22"/>
          <w:lang w:val="lt-LT"/>
        </w:rPr>
        <w:t>ny zgodnie z zaleceniami.</w:t>
      </w:r>
    </w:p>
    <w:p w14:paraId="4F9AB5F4" w14:textId="2B11853D" w:rsidR="00071CFE" w:rsidRPr="00741122" w:rsidRDefault="00071CFE" w:rsidP="002C4661">
      <w:pPr>
        <w:numPr>
          <w:ilvl w:val="0"/>
          <w:numId w:val="106"/>
        </w:numPr>
        <w:tabs>
          <w:tab w:val="left" w:pos="562"/>
        </w:tabs>
        <w:ind w:left="567" w:hanging="567"/>
        <w:rPr>
          <w:rFonts w:ascii="Times New Roman" w:eastAsia="Arial" w:hAnsi="Times New Roman" w:cs="Times New Roman"/>
          <w:sz w:val="22"/>
          <w:szCs w:val="22"/>
          <w:lang w:val="lt-LT"/>
        </w:rPr>
      </w:pPr>
      <w:r w:rsidRPr="00741122">
        <w:rPr>
          <w:rFonts w:ascii="Times New Roman" w:eastAsia="Times New Roman" w:hAnsi="Times New Roman" w:cs="Times New Roman"/>
          <w:sz w:val="22"/>
          <w:szCs w:val="22"/>
          <w:lang w:val="lt-LT"/>
        </w:rPr>
        <w:t>Pozostałe składniki to trehalozy dwuwodzian, sodu fosforan, polisorbat 20 oraz woda do wstrzykiwań</w:t>
      </w:r>
      <w:r w:rsidR="00B032BC">
        <w:rPr>
          <w:rFonts w:ascii="Times New Roman" w:eastAsia="Times New Roman" w:hAnsi="Times New Roman" w:cs="Times New Roman"/>
          <w:sz w:val="22"/>
          <w:szCs w:val="22"/>
          <w:lang w:val="lt-LT"/>
        </w:rPr>
        <w:t xml:space="preserve"> (patrz punkt 2 </w:t>
      </w:r>
      <w:r w:rsidR="00B032BC" w:rsidRPr="004474EE">
        <w:rPr>
          <w:noProof/>
          <w:lang w:val="pl-PL"/>
        </w:rPr>
        <w:t xml:space="preserve">– </w:t>
      </w:r>
      <w:r w:rsidR="00B032BC">
        <w:rPr>
          <w:rFonts w:ascii="Times New Roman" w:eastAsia="Times New Roman" w:hAnsi="Times New Roman" w:cs="Times New Roman"/>
          <w:sz w:val="22"/>
          <w:szCs w:val="22"/>
          <w:lang w:val="lt-LT"/>
        </w:rPr>
        <w:t>Lek MVASI zawiera sód)</w:t>
      </w:r>
      <w:r w:rsidRPr="00741122">
        <w:rPr>
          <w:rFonts w:ascii="Times New Roman" w:eastAsia="Times New Roman" w:hAnsi="Times New Roman" w:cs="Times New Roman"/>
          <w:sz w:val="22"/>
          <w:szCs w:val="22"/>
          <w:lang w:val="lt-LT"/>
        </w:rPr>
        <w:t>.</w:t>
      </w:r>
    </w:p>
    <w:p w14:paraId="7D43228F" w14:textId="77777777" w:rsidR="00071CFE" w:rsidRPr="00741122" w:rsidRDefault="00071CFE" w:rsidP="002F765C">
      <w:pPr>
        <w:rPr>
          <w:rFonts w:ascii="Times New Roman" w:eastAsia="Times New Roman" w:hAnsi="Times New Roman" w:cs="Times New Roman"/>
          <w:sz w:val="22"/>
          <w:szCs w:val="22"/>
          <w:lang w:val="lt-LT"/>
        </w:rPr>
      </w:pPr>
    </w:p>
    <w:p w14:paraId="1391CEC0" w14:textId="77777777" w:rsidR="00071CFE" w:rsidRPr="00741122" w:rsidRDefault="00071CFE" w:rsidP="002F765C">
      <w:pPr>
        <w:ind w:left="2"/>
        <w:rPr>
          <w:rFonts w:ascii="Times New Roman" w:eastAsia="Times New Roman" w:hAnsi="Times New Roman" w:cs="Times New Roman"/>
          <w:b/>
          <w:sz w:val="22"/>
          <w:szCs w:val="22"/>
          <w:lang w:val="lt-LT"/>
        </w:rPr>
      </w:pPr>
      <w:r w:rsidRPr="00741122">
        <w:rPr>
          <w:rFonts w:ascii="Times New Roman" w:eastAsia="Times New Roman" w:hAnsi="Times New Roman" w:cs="Times New Roman"/>
          <w:b/>
          <w:sz w:val="22"/>
          <w:szCs w:val="22"/>
          <w:lang w:val="lt-LT"/>
        </w:rPr>
        <w:t xml:space="preserve">Jak wygląda </w:t>
      </w:r>
      <w:r w:rsidR="00261A5A">
        <w:rPr>
          <w:rFonts w:ascii="Times New Roman" w:eastAsia="Times New Roman" w:hAnsi="Times New Roman" w:cs="Times New Roman"/>
          <w:b/>
          <w:sz w:val="22"/>
          <w:szCs w:val="22"/>
          <w:lang w:val="lt-LT"/>
        </w:rPr>
        <w:t>MVASI</w:t>
      </w:r>
      <w:r w:rsidRPr="00741122">
        <w:rPr>
          <w:rFonts w:ascii="Times New Roman" w:eastAsia="Times New Roman" w:hAnsi="Times New Roman" w:cs="Times New Roman"/>
          <w:b/>
          <w:sz w:val="22"/>
          <w:szCs w:val="22"/>
          <w:lang w:val="lt-LT"/>
        </w:rPr>
        <w:t xml:space="preserve"> i co zawiera opakowanie</w:t>
      </w:r>
    </w:p>
    <w:p w14:paraId="5BB54688" w14:textId="77777777" w:rsidR="00665FBE" w:rsidRPr="00741122" w:rsidRDefault="00665FBE" w:rsidP="002F765C">
      <w:pPr>
        <w:ind w:left="2"/>
        <w:rPr>
          <w:rFonts w:ascii="Times New Roman" w:eastAsia="Times New Roman" w:hAnsi="Times New Roman" w:cs="Times New Roman"/>
          <w:b/>
          <w:sz w:val="22"/>
          <w:szCs w:val="22"/>
          <w:lang w:val="lt-LT"/>
        </w:rPr>
      </w:pPr>
    </w:p>
    <w:p w14:paraId="545FC4BE" w14:textId="77777777" w:rsidR="00071CFE" w:rsidRPr="00741122" w:rsidRDefault="00261A5A" w:rsidP="002F765C">
      <w:pPr>
        <w:ind w:left="2" w:right="20"/>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jest koncentratem do sporządzania roztworu do infuzji. Koncentrat ma postać przezroczystego roztworu, o barwie od bezbarwnej do </w:t>
      </w:r>
      <w:r w:rsidR="005C127B">
        <w:rPr>
          <w:rFonts w:ascii="Times New Roman" w:eastAsia="Times New Roman" w:hAnsi="Times New Roman" w:cs="Times New Roman"/>
          <w:sz w:val="22"/>
          <w:szCs w:val="22"/>
          <w:lang w:val="lt-LT"/>
        </w:rPr>
        <w:t>lekko opalizującej</w:t>
      </w:r>
      <w:r w:rsidR="00071CFE" w:rsidRPr="00741122">
        <w:rPr>
          <w:rFonts w:ascii="Times New Roman" w:eastAsia="Times New Roman" w:hAnsi="Times New Roman" w:cs="Times New Roman"/>
          <w:sz w:val="22"/>
          <w:szCs w:val="22"/>
          <w:lang w:val="lt-LT"/>
        </w:rPr>
        <w:t xml:space="preserve">, dostępnego w szklanych fiolkach zamkniętych </w:t>
      </w:r>
      <w:r w:rsidR="00071CFE" w:rsidRPr="00741122">
        <w:rPr>
          <w:rFonts w:ascii="Times New Roman" w:eastAsia="Times New Roman" w:hAnsi="Times New Roman" w:cs="Times New Roman"/>
          <w:sz w:val="22"/>
          <w:szCs w:val="22"/>
          <w:lang w:val="lt-LT"/>
        </w:rPr>
        <w:lastRenderedPageBreak/>
        <w:t>gumowym ko</w:t>
      </w:r>
      <w:r w:rsidR="00665FBE" w:rsidRPr="00741122">
        <w:rPr>
          <w:rFonts w:ascii="Times New Roman" w:eastAsia="Times New Roman" w:hAnsi="Times New Roman" w:cs="Times New Roman"/>
          <w:sz w:val="22"/>
          <w:szCs w:val="22"/>
          <w:lang w:val="lt-LT"/>
        </w:rPr>
        <w:t>rkiem. Jedna fiolka zawiera 100 mg bewacyzumabu w 4 ml lub 400 mg bewacyzumabu w 16 </w:t>
      </w:r>
      <w:r w:rsidR="00071CFE" w:rsidRPr="00741122">
        <w:rPr>
          <w:rFonts w:ascii="Times New Roman" w:eastAsia="Times New Roman" w:hAnsi="Times New Roman" w:cs="Times New Roman"/>
          <w:sz w:val="22"/>
          <w:szCs w:val="22"/>
          <w:lang w:val="lt-LT"/>
        </w:rPr>
        <w:t xml:space="preserve">ml roztworu. Każde opakowanie leku </w:t>
      </w:r>
      <w:r>
        <w:rPr>
          <w:rFonts w:ascii="Times New Roman" w:eastAsia="Times New Roman" w:hAnsi="Times New Roman" w:cs="Times New Roman"/>
          <w:sz w:val="22"/>
          <w:szCs w:val="22"/>
          <w:lang w:val="lt-LT"/>
        </w:rPr>
        <w:t>MVASI</w:t>
      </w:r>
      <w:r w:rsidR="00071CFE" w:rsidRPr="00741122">
        <w:rPr>
          <w:rFonts w:ascii="Times New Roman" w:eastAsia="Times New Roman" w:hAnsi="Times New Roman" w:cs="Times New Roman"/>
          <w:sz w:val="22"/>
          <w:szCs w:val="22"/>
          <w:lang w:val="lt-LT"/>
        </w:rPr>
        <w:t xml:space="preserve"> zawiera jedną fiolkę.</w:t>
      </w:r>
    </w:p>
    <w:p w14:paraId="790B9818" w14:textId="77777777" w:rsidR="00071CFE" w:rsidRPr="00741122" w:rsidRDefault="00071CFE" w:rsidP="002F765C">
      <w:pPr>
        <w:rPr>
          <w:rFonts w:ascii="Times New Roman" w:eastAsia="Times New Roman" w:hAnsi="Times New Roman" w:cs="Times New Roman"/>
          <w:sz w:val="22"/>
          <w:szCs w:val="22"/>
          <w:lang w:val="lt-LT"/>
        </w:rPr>
      </w:pPr>
    </w:p>
    <w:p w14:paraId="4CD6C036" w14:textId="77777777" w:rsidR="00071CFE" w:rsidRDefault="00047D2C" w:rsidP="00A230CE">
      <w:pPr>
        <w:keepNext/>
        <w:rPr>
          <w:rFonts w:ascii="Times New Roman" w:eastAsia="Times New Roman" w:hAnsi="Times New Roman" w:cs="Times New Roman"/>
          <w:b/>
          <w:sz w:val="22"/>
          <w:szCs w:val="22"/>
          <w:highlight w:val="lightGray"/>
          <w:lang w:val="lt-LT"/>
          <w:rPrChange w:id="113" w:author="Author">
            <w:rPr>
              <w:rFonts w:ascii="Times New Roman" w:eastAsia="Times New Roman" w:hAnsi="Times New Roman" w:cs="Times New Roman"/>
              <w:b/>
              <w:sz w:val="22"/>
              <w:szCs w:val="22"/>
              <w:lang w:val="lt-LT"/>
            </w:rPr>
          </w:rPrChange>
        </w:rPr>
      </w:pPr>
      <w:r>
        <w:rPr>
          <w:rFonts w:ascii="Times New Roman" w:eastAsia="Times New Roman" w:hAnsi="Times New Roman" w:cs="Times New Roman"/>
          <w:b/>
          <w:sz w:val="22"/>
          <w:szCs w:val="22"/>
          <w:highlight w:val="lightGray"/>
          <w:lang w:val="lt-LT"/>
          <w:rPrChange w:id="114" w:author="Author">
            <w:rPr>
              <w:rFonts w:ascii="Times New Roman" w:eastAsia="Times New Roman" w:hAnsi="Times New Roman" w:cs="Times New Roman"/>
              <w:b/>
              <w:sz w:val="22"/>
              <w:szCs w:val="22"/>
              <w:lang w:val="lt-LT"/>
            </w:rPr>
          </w:rPrChange>
        </w:rPr>
        <w:t>Podmiot odpowiedzialny</w:t>
      </w:r>
      <w:r w:rsidR="005C127B">
        <w:rPr>
          <w:rFonts w:ascii="Times New Roman" w:eastAsia="Times New Roman" w:hAnsi="Times New Roman" w:cs="Times New Roman"/>
          <w:b/>
          <w:sz w:val="22"/>
          <w:szCs w:val="22"/>
          <w:highlight w:val="lightGray"/>
          <w:lang w:val="lt-LT"/>
          <w:rPrChange w:id="115" w:author="Author">
            <w:rPr>
              <w:rFonts w:ascii="Times New Roman" w:eastAsia="Times New Roman" w:hAnsi="Times New Roman" w:cs="Times New Roman"/>
              <w:b/>
              <w:sz w:val="22"/>
              <w:szCs w:val="22"/>
              <w:lang w:val="lt-LT"/>
            </w:rPr>
          </w:rPrChange>
        </w:rPr>
        <w:t xml:space="preserve"> i Wytwórca</w:t>
      </w:r>
    </w:p>
    <w:p w14:paraId="6598BC3E" w14:textId="77777777" w:rsidR="00905155" w:rsidRDefault="00905155" w:rsidP="00A230CE">
      <w:pPr>
        <w:keepNext/>
        <w:rPr>
          <w:rFonts w:ascii="Times New Roman" w:hAnsi="Times New Roman" w:cs="Times New Roman"/>
          <w:sz w:val="22"/>
          <w:szCs w:val="22"/>
          <w:highlight w:val="lightGray"/>
          <w:rPrChange w:id="116" w:author="Author">
            <w:rPr>
              <w:rFonts w:ascii="Times New Roman" w:hAnsi="Times New Roman" w:cs="Times New Roman"/>
              <w:sz w:val="22"/>
              <w:szCs w:val="22"/>
            </w:rPr>
          </w:rPrChange>
        </w:rPr>
      </w:pPr>
      <w:r>
        <w:rPr>
          <w:rFonts w:ascii="Times New Roman" w:hAnsi="Times New Roman" w:cs="Times New Roman"/>
          <w:sz w:val="22"/>
          <w:szCs w:val="22"/>
          <w:highlight w:val="lightGray"/>
          <w:rPrChange w:id="117" w:author="Author">
            <w:rPr>
              <w:rFonts w:ascii="Times New Roman" w:hAnsi="Times New Roman" w:cs="Times New Roman"/>
              <w:sz w:val="22"/>
              <w:szCs w:val="22"/>
            </w:rPr>
          </w:rPrChange>
        </w:rPr>
        <w:t>Amgen Technology (Ireland) UC,</w:t>
      </w:r>
    </w:p>
    <w:p w14:paraId="2F7A948E" w14:textId="77777777" w:rsidR="00905155" w:rsidRDefault="00905155" w:rsidP="00A230CE">
      <w:pPr>
        <w:keepNext/>
        <w:rPr>
          <w:rFonts w:ascii="Times New Roman" w:hAnsi="Times New Roman" w:cs="Times New Roman"/>
          <w:sz w:val="22"/>
          <w:szCs w:val="22"/>
          <w:highlight w:val="lightGray"/>
          <w:rPrChange w:id="118" w:author="Author">
            <w:rPr>
              <w:rFonts w:ascii="Times New Roman" w:hAnsi="Times New Roman" w:cs="Times New Roman"/>
              <w:sz w:val="22"/>
              <w:szCs w:val="22"/>
            </w:rPr>
          </w:rPrChange>
        </w:rPr>
      </w:pPr>
      <w:r>
        <w:rPr>
          <w:rFonts w:ascii="Times New Roman" w:hAnsi="Times New Roman" w:cs="Times New Roman"/>
          <w:sz w:val="22"/>
          <w:szCs w:val="22"/>
          <w:highlight w:val="lightGray"/>
          <w:rPrChange w:id="119" w:author="Author">
            <w:rPr>
              <w:rFonts w:ascii="Times New Roman" w:hAnsi="Times New Roman" w:cs="Times New Roman"/>
              <w:sz w:val="22"/>
              <w:szCs w:val="22"/>
            </w:rPr>
          </w:rPrChange>
        </w:rPr>
        <w:t>Pottery Road,</w:t>
      </w:r>
    </w:p>
    <w:p w14:paraId="0CA1D2FF" w14:textId="77777777" w:rsidR="00905155" w:rsidRDefault="00905155" w:rsidP="00A230CE">
      <w:pPr>
        <w:keepNext/>
        <w:rPr>
          <w:rFonts w:ascii="Times New Roman" w:hAnsi="Times New Roman" w:cs="Times New Roman"/>
          <w:sz w:val="22"/>
          <w:szCs w:val="22"/>
          <w:highlight w:val="lightGray"/>
          <w:lang w:val="pl-PL"/>
          <w:rPrChange w:id="120" w:author="Author">
            <w:rPr>
              <w:rFonts w:ascii="Times New Roman" w:hAnsi="Times New Roman" w:cs="Times New Roman"/>
              <w:sz w:val="22"/>
              <w:szCs w:val="22"/>
              <w:lang w:val="pl-PL"/>
            </w:rPr>
          </w:rPrChange>
        </w:rPr>
      </w:pPr>
      <w:r>
        <w:rPr>
          <w:rFonts w:ascii="Times New Roman" w:hAnsi="Times New Roman" w:cs="Times New Roman"/>
          <w:sz w:val="22"/>
          <w:szCs w:val="22"/>
          <w:highlight w:val="lightGray"/>
          <w:lang w:val="pl-PL"/>
          <w:rPrChange w:id="121" w:author="Author">
            <w:rPr>
              <w:rFonts w:ascii="Times New Roman" w:hAnsi="Times New Roman" w:cs="Times New Roman"/>
              <w:sz w:val="22"/>
              <w:szCs w:val="22"/>
              <w:lang w:val="pl-PL"/>
            </w:rPr>
          </w:rPrChange>
        </w:rPr>
        <w:t>Dun Laoghaire,</w:t>
      </w:r>
    </w:p>
    <w:p w14:paraId="37283816" w14:textId="77777777" w:rsidR="00905155" w:rsidRDefault="00905155" w:rsidP="00A230CE">
      <w:pPr>
        <w:keepNext/>
        <w:rPr>
          <w:rFonts w:ascii="Times New Roman" w:hAnsi="Times New Roman" w:cs="Times New Roman"/>
          <w:sz w:val="22"/>
          <w:szCs w:val="22"/>
          <w:highlight w:val="lightGray"/>
          <w:lang w:val="pl-PL"/>
          <w:rPrChange w:id="122" w:author="Author">
            <w:rPr>
              <w:rFonts w:ascii="Times New Roman" w:hAnsi="Times New Roman" w:cs="Times New Roman"/>
              <w:sz w:val="22"/>
              <w:szCs w:val="22"/>
              <w:lang w:val="pl-PL"/>
            </w:rPr>
          </w:rPrChange>
        </w:rPr>
      </w:pPr>
      <w:r>
        <w:rPr>
          <w:rFonts w:ascii="Times New Roman" w:hAnsi="Times New Roman" w:cs="Times New Roman"/>
          <w:sz w:val="22"/>
          <w:szCs w:val="22"/>
          <w:highlight w:val="lightGray"/>
          <w:lang w:val="pl-PL"/>
          <w:rPrChange w:id="123" w:author="Author">
            <w:rPr>
              <w:rFonts w:ascii="Times New Roman" w:hAnsi="Times New Roman" w:cs="Times New Roman"/>
              <w:sz w:val="22"/>
              <w:szCs w:val="22"/>
              <w:lang w:val="pl-PL"/>
            </w:rPr>
          </w:rPrChange>
        </w:rPr>
        <w:t>Co. Dublin,</w:t>
      </w:r>
    </w:p>
    <w:p w14:paraId="1CFC675B" w14:textId="77777777" w:rsidR="00905155" w:rsidRPr="00E77ACE" w:rsidRDefault="00905155" w:rsidP="00A230CE">
      <w:pPr>
        <w:widowControl w:val="0"/>
        <w:autoSpaceDE w:val="0"/>
        <w:autoSpaceDN w:val="0"/>
        <w:adjustRightInd w:val="0"/>
        <w:rPr>
          <w:rFonts w:ascii="Times New Roman" w:hAnsi="Times New Roman" w:cs="Times New Roman"/>
          <w:color w:val="000000"/>
          <w:sz w:val="22"/>
          <w:szCs w:val="22"/>
          <w:lang w:val="pl-PL"/>
        </w:rPr>
      </w:pPr>
      <w:r>
        <w:rPr>
          <w:rFonts w:ascii="Times New Roman" w:hAnsi="Times New Roman" w:cs="Times New Roman"/>
          <w:color w:val="000000"/>
          <w:sz w:val="22"/>
          <w:szCs w:val="22"/>
          <w:highlight w:val="lightGray"/>
          <w:lang w:val="pl-PL"/>
          <w:rPrChange w:id="124" w:author="Author">
            <w:rPr>
              <w:rFonts w:ascii="Times New Roman" w:hAnsi="Times New Roman" w:cs="Times New Roman"/>
              <w:color w:val="000000"/>
              <w:sz w:val="22"/>
              <w:szCs w:val="22"/>
              <w:lang w:val="pl-PL"/>
            </w:rPr>
          </w:rPrChange>
        </w:rPr>
        <w:t>Irlandia</w:t>
      </w:r>
    </w:p>
    <w:p w14:paraId="1A15CCDA" w14:textId="77777777" w:rsidR="00FC3CE5" w:rsidRDefault="00FC3CE5" w:rsidP="00A230CE">
      <w:pPr>
        <w:rPr>
          <w:rFonts w:ascii="Times New Roman" w:eastAsia="Times New Roman" w:hAnsi="Times New Roman" w:cs="Times New Roman"/>
          <w:sz w:val="22"/>
          <w:szCs w:val="22"/>
          <w:lang w:val="lt-LT"/>
        </w:rPr>
      </w:pPr>
    </w:p>
    <w:p w14:paraId="516082EA" w14:textId="77777777" w:rsidR="00FC3CE5" w:rsidRDefault="00FC3CE5" w:rsidP="00A230CE">
      <w:pPr>
        <w:rPr>
          <w:rFonts w:ascii="Times New Roman" w:eastAsia="Times New Roman" w:hAnsi="Times New Roman" w:cs="Times New Roman"/>
          <w:b/>
          <w:sz w:val="22"/>
          <w:szCs w:val="22"/>
          <w:lang w:val="lt-LT"/>
          <w:rPrChange w:id="125" w:author="Author">
            <w:rPr>
              <w:rFonts w:ascii="Times New Roman" w:eastAsia="Times New Roman" w:hAnsi="Times New Roman" w:cs="Times New Roman"/>
              <w:b/>
              <w:sz w:val="22"/>
              <w:szCs w:val="22"/>
              <w:highlight w:val="lightGray"/>
              <w:lang w:val="lt-LT"/>
            </w:rPr>
          </w:rPrChange>
        </w:rPr>
      </w:pPr>
      <w:r>
        <w:rPr>
          <w:rFonts w:ascii="Times New Roman" w:eastAsia="Times New Roman" w:hAnsi="Times New Roman" w:cs="Times New Roman"/>
          <w:b/>
          <w:sz w:val="22"/>
          <w:szCs w:val="22"/>
          <w:lang w:val="lt-LT"/>
          <w:rPrChange w:id="126" w:author="Author">
            <w:rPr>
              <w:rFonts w:ascii="Times New Roman" w:eastAsia="Times New Roman" w:hAnsi="Times New Roman" w:cs="Times New Roman"/>
              <w:b/>
              <w:sz w:val="22"/>
              <w:szCs w:val="22"/>
              <w:highlight w:val="lightGray"/>
              <w:lang w:val="lt-LT"/>
            </w:rPr>
          </w:rPrChange>
        </w:rPr>
        <w:t>Podmiot odpowiedzialny</w:t>
      </w:r>
    </w:p>
    <w:p w14:paraId="7E8B1BED" w14:textId="77777777" w:rsidR="009A7433" w:rsidRDefault="009A7433" w:rsidP="00A230CE">
      <w:pPr>
        <w:keepNext/>
        <w:rPr>
          <w:rFonts w:ascii="Times New Roman" w:hAnsi="Times New Roman" w:cs="Times New Roman"/>
          <w:sz w:val="22"/>
          <w:szCs w:val="22"/>
          <w:rPrChange w:id="127" w:author="Author">
            <w:rPr>
              <w:rFonts w:ascii="Times New Roman" w:hAnsi="Times New Roman" w:cs="Times New Roman"/>
              <w:sz w:val="22"/>
              <w:szCs w:val="22"/>
              <w:highlight w:val="lightGray"/>
            </w:rPr>
          </w:rPrChange>
        </w:rPr>
      </w:pPr>
      <w:r>
        <w:rPr>
          <w:rFonts w:ascii="Times New Roman" w:hAnsi="Times New Roman" w:cs="Times New Roman"/>
          <w:sz w:val="22"/>
          <w:szCs w:val="22"/>
          <w:rPrChange w:id="128" w:author="Author">
            <w:rPr>
              <w:rFonts w:ascii="Times New Roman" w:hAnsi="Times New Roman" w:cs="Times New Roman"/>
              <w:sz w:val="22"/>
              <w:szCs w:val="22"/>
              <w:highlight w:val="lightGray"/>
            </w:rPr>
          </w:rPrChange>
        </w:rPr>
        <w:t>Amgen Technology (Ireland) UC,</w:t>
      </w:r>
    </w:p>
    <w:p w14:paraId="39BB59E5" w14:textId="77777777" w:rsidR="009A7433" w:rsidRDefault="009A7433" w:rsidP="00A230CE">
      <w:pPr>
        <w:keepNext/>
        <w:rPr>
          <w:rFonts w:ascii="Times New Roman" w:hAnsi="Times New Roman" w:cs="Times New Roman"/>
          <w:sz w:val="22"/>
          <w:szCs w:val="22"/>
          <w:rPrChange w:id="129" w:author="Author">
            <w:rPr>
              <w:rFonts w:ascii="Times New Roman" w:hAnsi="Times New Roman" w:cs="Times New Roman"/>
              <w:sz w:val="22"/>
              <w:szCs w:val="22"/>
              <w:highlight w:val="lightGray"/>
            </w:rPr>
          </w:rPrChange>
        </w:rPr>
      </w:pPr>
      <w:r>
        <w:rPr>
          <w:rFonts w:ascii="Times New Roman" w:hAnsi="Times New Roman" w:cs="Times New Roman"/>
          <w:sz w:val="22"/>
          <w:szCs w:val="22"/>
          <w:rPrChange w:id="130" w:author="Author">
            <w:rPr>
              <w:rFonts w:ascii="Times New Roman" w:hAnsi="Times New Roman" w:cs="Times New Roman"/>
              <w:sz w:val="22"/>
              <w:szCs w:val="22"/>
              <w:highlight w:val="lightGray"/>
            </w:rPr>
          </w:rPrChange>
        </w:rPr>
        <w:t>Pottery Road,</w:t>
      </w:r>
    </w:p>
    <w:p w14:paraId="63747756" w14:textId="77777777" w:rsidR="009A7433" w:rsidRDefault="009A7433" w:rsidP="00A230CE">
      <w:pPr>
        <w:keepNext/>
        <w:rPr>
          <w:rFonts w:ascii="Times New Roman" w:hAnsi="Times New Roman" w:cs="Times New Roman"/>
          <w:sz w:val="22"/>
          <w:szCs w:val="22"/>
          <w:lang w:val="en-GB"/>
          <w:rPrChange w:id="131" w:author="Author">
            <w:rPr>
              <w:rFonts w:ascii="Times New Roman" w:hAnsi="Times New Roman" w:cs="Times New Roman"/>
              <w:sz w:val="22"/>
              <w:szCs w:val="22"/>
              <w:highlight w:val="lightGray"/>
              <w:lang w:val="en-GB"/>
            </w:rPr>
          </w:rPrChange>
        </w:rPr>
      </w:pPr>
      <w:r>
        <w:rPr>
          <w:rFonts w:ascii="Times New Roman" w:hAnsi="Times New Roman" w:cs="Times New Roman"/>
          <w:sz w:val="22"/>
          <w:szCs w:val="22"/>
          <w:lang w:val="en-GB"/>
          <w:rPrChange w:id="132" w:author="Author">
            <w:rPr>
              <w:rFonts w:ascii="Times New Roman" w:hAnsi="Times New Roman" w:cs="Times New Roman"/>
              <w:sz w:val="22"/>
              <w:szCs w:val="22"/>
              <w:highlight w:val="lightGray"/>
              <w:lang w:val="en-GB"/>
            </w:rPr>
          </w:rPrChange>
        </w:rPr>
        <w:t>Dun Laoghaire,</w:t>
      </w:r>
    </w:p>
    <w:p w14:paraId="06131395" w14:textId="77777777" w:rsidR="009A7433" w:rsidRDefault="009A7433" w:rsidP="00A230CE">
      <w:pPr>
        <w:keepNext/>
        <w:rPr>
          <w:rFonts w:ascii="Times New Roman" w:hAnsi="Times New Roman" w:cs="Times New Roman"/>
          <w:sz w:val="22"/>
          <w:szCs w:val="22"/>
          <w:lang w:val="en-GB"/>
          <w:rPrChange w:id="133" w:author="Author">
            <w:rPr>
              <w:rFonts w:ascii="Times New Roman" w:hAnsi="Times New Roman" w:cs="Times New Roman"/>
              <w:sz w:val="22"/>
              <w:szCs w:val="22"/>
              <w:highlight w:val="lightGray"/>
              <w:lang w:val="en-GB"/>
            </w:rPr>
          </w:rPrChange>
        </w:rPr>
      </w:pPr>
      <w:r>
        <w:rPr>
          <w:rFonts w:ascii="Times New Roman" w:hAnsi="Times New Roman" w:cs="Times New Roman"/>
          <w:sz w:val="22"/>
          <w:szCs w:val="22"/>
          <w:lang w:val="en-GB"/>
          <w:rPrChange w:id="134" w:author="Author">
            <w:rPr>
              <w:rFonts w:ascii="Times New Roman" w:hAnsi="Times New Roman" w:cs="Times New Roman"/>
              <w:sz w:val="22"/>
              <w:szCs w:val="22"/>
              <w:highlight w:val="lightGray"/>
              <w:lang w:val="en-GB"/>
            </w:rPr>
          </w:rPrChange>
        </w:rPr>
        <w:t>Co. Dublin,</w:t>
      </w:r>
    </w:p>
    <w:p w14:paraId="24E2FFD7" w14:textId="77777777" w:rsidR="009A7433" w:rsidRPr="004D54A4" w:rsidRDefault="009A7433" w:rsidP="00A230CE">
      <w:pPr>
        <w:widowControl w:val="0"/>
        <w:autoSpaceDE w:val="0"/>
        <w:autoSpaceDN w:val="0"/>
        <w:adjustRightInd w:val="0"/>
        <w:rPr>
          <w:rFonts w:ascii="Times New Roman" w:hAnsi="Times New Roman" w:cs="Times New Roman"/>
          <w:color w:val="000000"/>
          <w:sz w:val="22"/>
          <w:szCs w:val="22"/>
          <w:lang w:val="it-IT"/>
        </w:rPr>
      </w:pPr>
      <w:r>
        <w:rPr>
          <w:rFonts w:ascii="Times New Roman" w:hAnsi="Times New Roman" w:cs="Times New Roman"/>
          <w:color w:val="000000"/>
          <w:sz w:val="22"/>
          <w:szCs w:val="22"/>
          <w:lang w:val="it-IT"/>
          <w:rPrChange w:id="135" w:author="Author">
            <w:rPr>
              <w:rFonts w:ascii="Times New Roman" w:hAnsi="Times New Roman" w:cs="Times New Roman"/>
              <w:color w:val="000000"/>
              <w:sz w:val="22"/>
              <w:szCs w:val="22"/>
              <w:highlight w:val="lightGray"/>
              <w:lang w:val="it-IT"/>
            </w:rPr>
          </w:rPrChange>
        </w:rPr>
        <w:t>Irlandia</w:t>
      </w:r>
    </w:p>
    <w:p w14:paraId="337DA43D" w14:textId="77777777" w:rsidR="009A7433" w:rsidRDefault="009A7433" w:rsidP="00A230CE">
      <w:pPr>
        <w:widowControl w:val="0"/>
        <w:autoSpaceDE w:val="0"/>
        <w:autoSpaceDN w:val="0"/>
        <w:adjustRightInd w:val="0"/>
        <w:rPr>
          <w:ins w:id="136" w:author="Author"/>
          <w:rFonts w:ascii="Times New Roman" w:hAnsi="Times New Roman" w:cs="Times New Roman"/>
          <w:color w:val="000000"/>
          <w:sz w:val="22"/>
          <w:szCs w:val="22"/>
          <w:lang w:val="it-IT"/>
        </w:rPr>
      </w:pPr>
    </w:p>
    <w:p w14:paraId="58AB0FD8" w14:textId="3F6397D4" w:rsidR="0090319A" w:rsidRPr="00BC56FD" w:rsidRDefault="0090319A" w:rsidP="0090319A">
      <w:pPr>
        <w:pStyle w:val="BodyText"/>
        <w:keepNext/>
        <w:keepLines/>
        <w:widowControl/>
        <w:kinsoku w:val="0"/>
        <w:overflowPunct w:val="0"/>
        <w:ind w:left="0"/>
        <w:rPr>
          <w:ins w:id="137" w:author="Author"/>
          <w:color w:val="000000"/>
          <w:lang w:val="it-IT"/>
        </w:rPr>
      </w:pPr>
      <w:ins w:id="138" w:author="Author">
        <w:r w:rsidRPr="00BC56FD">
          <w:rPr>
            <w:b/>
            <w:lang w:val="it-IT"/>
          </w:rPr>
          <w:t>Wytwórca</w:t>
        </w:r>
      </w:ins>
    </w:p>
    <w:p w14:paraId="6A8C501A" w14:textId="6333E37D" w:rsidR="0090319A" w:rsidRPr="00BC56FD" w:rsidRDefault="0090319A" w:rsidP="0090319A">
      <w:pPr>
        <w:widowControl w:val="0"/>
        <w:autoSpaceDE w:val="0"/>
        <w:autoSpaceDN w:val="0"/>
        <w:adjustRightInd w:val="0"/>
        <w:rPr>
          <w:ins w:id="139" w:author="Author"/>
          <w:rFonts w:ascii="Times New Roman" w:hAnsi="Times New Roman" w:cs="Times New Roman"/>
          <w:color w:val="000000"/>
          <w:sz w:val="22"/>
          <w:szCs w:val="22"/>
          <w:lang w:val="it-IT"/>
        </w:rPr>
      </w:pPr>
      <w:ins w:id="140" w:author="Author">
        <w:r w:rsidRPr="00BC56FD">
          <w:rPr>
            <w:rFonts w:ascii="Times New Roman" w:hAnsi="Times New Roman" w:cs="Times New Roman"/>
            <w:color w:val="000000"/>
            <w:sz w:val="22"/>
            <w:szCs w:val="22"/>
            <w:lang w:val="it-IT"/>
          </w:rPr>
          <w:t xml:space="preserve">Amgen Europe B.V. </w:t>
        </w:r>
      </w:ins>
    </w:p>
    <w:p w14:paraId="23E9DB6D" w14:textId="77777777" w:rsidR="0090319A" w:rsidRPr="00BC56FD" w:rsidRDefault="0090319A" w:rsidP="0090319A">
      <w:pPr>
        <w:widowControl w:val="0"/>
        <w:autoSpaceDE w:val="0"/>
        <w:autoSpaceDN w:val="0"/>
        <w:adjustRightInd w:val="0"/>
        <w:rPr>
          <w:ins w:id="141" w:author="Author"/>
          <w:rFonts w:ascii="Times New Roman" w:hAnsi="Times New Roman" w:cs="Times New Roman"/>
          <w:color w:val="000000"/>
          <w:sz w:val="22"/>
          <w:szCs w:val="22"/>
          <w:lang w:val="it-IT"/>
        </w:rPr>
      </w:pPr>
      <w:ins w:id="142" w:author="Author">
        <w:r w:rsidRPr="00BC56FD">
          <w:rPr>
            <w:rFonts w:ascii="Times New Roman" w:hAnsi="Times New Roman" w:cs="Times New Roman"/>
            <w:color w:val="000000"/>
            <w:sz w:val="22"/>
            <w:szCs w:val="22"/>
            <w:lang w:val="it-IT"/>
          </w:rPr>
          <w:t xml:space="preserve">Minervum 7061 </w:t>
        </w:r>
      </w:ins>
    </w:p>
    <w:p w14:paraId="5D93ABB4" w14:textId="77777777" w:rsidR="0090319A" w:rsidRPr="00BC56FD" w:rsidRDefault="0090319A" w:rsidP="0090319A">
      <w:pPr>
        <w:widowControl w:val="0"/>
        <w:autoSpaceDE w:val="0"/>
        <w:autoSpaceDN w:val="0"/>
        <w:adjustRightInd w:val="0"/>
        <w:rPr>
          <w:ins w:id="143" w:author="Author"/>
          <w:rFonts w:ascii="Times New Roman" w:hAnsi="Times New Roman" w:cs="Times New Roman"/>
          <w:color w:val="000000"/>
          <w:sz w:val="22"/>
          <w:szCs w:val="22"/>
          <w:lang w:val="it-IT"/>
        </w:rPr>
      </w:pPr>
      <w:ins w:id="144" w:author="Author">
        <w:r w:rsidRPr="00BC56FD">
          <w:rPr>
            <w:rFonts w:ascii="Times New Roman" w:hAnsi="Times New Roman" w:cs="Times New Roman"/>
            <w:color w:val="000000"/>
            <w:sz w:val="22"/>
            <w:szCs w:val="22"/>
            <w:lang w:val="it-IT"/>
          </w:rPr>
          <w:t xml:space="preserve">4817 ZK Breda </w:t>
        </w:r>
      </w:ins>
    </w:p>
    <w:p w14:paraId="29BF2953" w14:textId="052F00B2" w:rsidR="0090319A" w:rsidRDefault="0090319A" w:rsidP="0090319A">
      <w:pPr>
        <w:widowControl w:val="0"/>
        <w:autoSpaceDE w:val="0"/>
        <w:autoSpaceDN w:val="0"/>
        <w:adjustRightInd w:val="0"/>
        <w:rPr>
          <w:ins w:id="145" w:author="Author"/>
          <w:rFonts w:ascii="Times New Roman" w:hAnsi="Times New Roman" w:cs="Times New Roman"/>
          <w:color w:val="000000"/>
          <w:sz w:val="22"/>
          <w:szCs w:val="22"/>
          <w:lang w:val="it-IT"/>
        </w:rPr>
      </w:pPr>
      <w:ins w:id="146" w:author="Author">
        <w:r w:rsidRPr="00BC56FD">
          <w:rPr>
            <w:rFonts w:ascii="Times New Roman" w:hAnsi="Times New Roman" w:cs="Times New Roman"/>
            <w:color w:val="000000"/>
            <w:sz w:val="22"/>
            <w:szCs w:val="22"/>
            <w:lang w:val="it-IT"/>
          </w:rPr>
          <w:t>Holandia</w:t>
        </w:r>
      </w:ins>
    </w:p>
    <w:p w14:paraId="202E4AD8" w14:textId="77777777" w:rsidR="0090319A" w:rsidRPr="004D54A4" w:rsidRDefault="0090319A" w:rsidP="00A230CE">
      <w:pPr>
        <w:widowControl w:val="0"/>
        <w:autoSpaceDE w:val="0"/>
        <w:autoSpaceDN w:val="0"/>
        <w:adjustRightInd w:val="0"/>
        <w:rPr>
          <w:rFonts w:ascii="Times New Roman" w:hAnsi="Times New Roman" w:cs="Times New Roman"/>
          <w:color w:val="000000"/>
          <w:sz w:val="22"/>
          <w:szCs w:val="22"/>
          <w:lang w:val="it-IT"/>
        </w:rPr>
      </w:pPr>
    </w:p>
    <w:p w14:paraId="7612766C" w14:textId="77777777" w:rsidR="00E77ACE" w:rsidRDefault="00E77ACE" w:rsidP="00A230CE">
      <w:pPr>
        <w:pStyle w:val="BodyText"/>
        <w:keepNext/>
        <w:keepLines/>
        <w:widowControl/>
        <w:kinsoku w:val="0"/>
        <w:overflowPunct w:val="0"/>
        <w:ind w:left="0"/>
        <w:rPr>
          <w:b/>
          <w:highlight w:val="lightGray"/>
          <w:lang w:val="it-IT"/>
        </w:rPr>
      </w:pPr>
      <w:bookmarkStart w:id="147" w:name="_Hlk503461339"/>
      <w:r>
        <w:rPr>
          <w:b/>
          <w:highlight w:val="lightGray"/>
          <w:lang w:val="it-IT"/>
        </w:rPr>
        <w:t>Wytwórca</w:t>
      </w:r>
    </w:p>
    <w:p w14:paraId="3D560B44" w14:textId="77777777" w:rsidR="00E77ACE" w:rsidRDefault="00E77ACE" w:rsidP="00A230CE">
      <w:pPr>
        <w:keepNext/>
        <w:keepLines/>
        <w:rPr>
          <w:rFonts w:ascii="Times New Roman" w:hAnsi="Times New Roman" w:cs="Times New Roman"/>
          <w:sz w:val="22"/>
          <w:highlight w:val="lightGray"/>
          <w:lang w:val="nl-BE" w:eastAsia="ja-JP"/>
        </w:rPr>
      </w:pPr>
      <w:r>
        <w:rPr>
          <w:rFonts w:ascii="Times New Roman" w:hAnsi="Times New Roman" w:cs="Times New Roman"/>
          <w:sz w:val="22"/>
          <w:highlight w:val="lightGray"/>
          <w:lang w:val="nl-BE" w:eastAsia="ja-JP"/>
        </w:rPr>
        <w:t>Amgen NV</w:t>
      </w:r>
    </w:p>
    <w:p w14:paraId="28FAF743" w14:textId="77777777" w:rsidR="00BC2B82" w:rsidRDefault="00BC2B82" w:rsidP="00A230CE">
      <w:pPr>
        <w:pStyle w:val="BodyText"/>
        <w:kinsoku w:val="0"/>
        <w:overflowPunct w:val="0"/>
        <w:ind w:left="0"/>
        <w:rPr>
          <w:highlight w:val="lightGray"/>
          <w:lang w:val="nl-BE" w:eastAsia="ja-JP"/>
        </w:rPr>
      </w:pPr>
      <w:r>
        <w:rPr>
          <w:highlight w:val="lightGray"/>
          <w:lang w:val="nl-BE" w:eastAsia="ja-JP"/>
        </w:rPr>
        <w:t>Telecomlaan 5-7</w:t>
      </w:r>
    </w:p>
    <w:p w14:paraId="3EEC8AB9" w14:textId="77777777" w:rsidR="00BC2B82" w:rsidRDefault="00BC2B82" w:rsidP="00A230CE">
      <w:pPr>
        <w:pStyle w:val="BodyText"/>
        <w:widowControl/>
        <w:kinsoku w:val="0"/>
        <w:overflowPunct w:val="0"/>
        <w:ind w:left="0"/>
        <w:rPr>
          <w:highlight w:val="lightGray"/>
          <w:lang w:val="nl-NL" w:eastAsia="ja-JP"/>
        </w:rPr>
      </w:pPr>
      <w:r>
        <w:rPr>
          <w:highlight w:val="lightGray"/>
          <w:lang w:val="nl-BE" w:eastAsia="ja-JP"/>
        </w:rPr>
        <w:t>1831 Diegem</w:t>
      </w:r>
    </w:p>
    <w:p w14:paraId="1392BCB1" w14:textId="77777777" w:rsidR="00E77ACE" w:rsidRPr="00E77ACE" w:rsidRDefault="00E77ACE" w:rsidP="00A230CE">
      <w:pPr>
        <w:pStyle w:val="BodyText"/>
        <w:widowControl/>
        <w:kinsoku w:val="0"/>
        <w:overflowPunct w:val="0"/>
        <w:ind w:left="0"/>
        <w:rPr>
          <w:lang w:val="pl-PL"/>
        </w:rPr>
      </w:pPr>
      <w:r>
        <w:rPr>
          <w:highlight w:val="lightGray"/>
          <w:lang w:val="nl-BE" w:eastAsia="ja-JP"/>
        </w:rPr>
        <w:t>Belgia</w:t>
      </w:r>
      <w:bookmarkEnd w:id="147"/>
      <w:r w:rsidRPr="00E77ACE">
        <w:rPr>
          <w:lang w:val="pl-PL"/>
        </w:rPr>
        <w:t xml:space="preserve"> </w:t>
      </w:r>
    </w:p>
    <w:p w14:paraId="7F5D91D6" w14:textId="77777777" w:rsidR="00E77ACE" w:rsidRPr="00741122" w:rsidRDefault="00E77ACE" w:rsidP="002F765C">
      <w:pPr>
        <w:ind w:left="2"/>
        <w:rPr>
          <w:rFonts w:ascii="Times New Roman" w:eastAsia="Times New Roman" w:hAnsi="Times New Roman" w:cs="Times New Roman"/>
          <w:sz w:val="22"/>
          <w:szCs w:val="22"/>
          <w:lang w:val="lt-LT"/>
        </w:rPr>
      </w:pPr>
    </w:p>
    <w:p w14:paraId="43B0C025" w14:textId="77777777" w:rsidR="00D83EF6" w:rsidRDefault="00071CFE" w:rsidP="002F765C">
      <w:pPr>
        <w:ind w:right="1186"/>
        <w:rPr>
          <w:rFonts w:ascii="Times New Roman" w:eastAsia="Times New Roman" w:hAnsi="Times New Roman"/>
          <w:sz w:val="22"/>
          <w:lang w:val="lt-LT"/>
        </w:rPr>
      </w:pPr>
      <w:bookmarkStart w:id="148" w:name="page81"/>
      <w:bookmarkEnd w:id="148"/>
      <w:r w:rsidRPr="00741122">
        <w:rPr>
          <w:rFonts w:ascii="Times New Roman" w:eastAsia="Times New Roman" w:hAnsi="Times New Roman"/>
          <w:sz w:val="22"/>
          <w:lang w:val="lt-LT"/>
        </w:rPr>
        <w:t>W celu uzyskania bardziej szczegółowych informacji należy zwrócić się do miejscowego przedstawiciela podmiotu odpowiedzialnego</w:t>
      </w:r>
      <w:r w:rsidR="00167165">
        <w:rPr>
          <w:rFonts w:ascii="Times New Roman" w:eastAsia="Times New Roman" w:hAnsi="Times New Roman"/>
          <w:sz w:val="22"/>
          <w:lang w:val="lt-LT"/>
        </w:rPr>
        <w:t>:</w:t>
      </w:r>
    </w:p>
    <w:p w14:paraId="6EC81997" w14:textId="77777777" w:rsidR="00167165" w:rsidRDefault="00167165" w:rsidP="002F765C">
      <w:pPr>
        <w:ind w:right="1186"/>
        <w:rPr>
          <w:rFonts w:ascii="Times New Roman" w:eastAsia="Times New Roman" w:hAnsi="Times New Roman"/>
          <w:sz w:val="22"/>
          <w:lang w:val="lt-LT"/>
        </w:rPr>
      </w:pPr>
    </w:p>
    <w:tbl>
      <w:tblPr>
        <w:tblW w:w="9360" w:type="dxa"/>
        <w:tblInd w:w="-34" w:type="dxa"/>
        <w:tblLayout w:type="fixed"/>
        <w:tblCellMar>
          <w:left w:w="0" w:type="dxa"/>
          <w:right w:w="0" w:type="dxa"/>
        </w:tblCellMar>
        <w:tblLook w:val="04A0" w:firstRow="1" w:lastRow="0" w:firstColumn="1" w:lastColumn="0" w:noHBand="0" w:noVBand="1"/>
      </w:tblPr>
      <w:tblGrid>
        <w:gridCol w:w="34"/>
        <w:gridCol w:w="4646"/>
        <w:gridCol w:w="4680"/>
      </w:tblGrid>
      <w:tr w:rsidR="00FC3CE5" w:rsidRPr="00FD7F9C" w14:paraId="368A0885" w14:textId="77777777" w:rsidTr="00245F9B">
        <w:trPr>
          <w:gridBefore w:val="1"/>
          <w:wBefore w:w="34" w:type="dxa"/>
          <w:cantSplit/>
        </w:trPr>
        <w:tc>
          <w:tcPr>
            <w:tcW w:w="4646" w:type="dxa"/>
          </w:tcPr>
          <w:p w14:paraId="0D8AA102" w14:textId="77777777" w:rsidR="00FC3CE5" w:rsidRPr="008A2F57" w:rsidRDefault="00FC3CE5" w:rsidP="00245F9B">
            <w:pPr>
              <w:pStyle w:val="lbltxt"/>
              <w:rPr>
                <w:noProof w:val="0"/>
                <w:szCs w:val="22"/>
                <w:lang w:val="fr-FR"/>
              </w:rPr>
            </w:pPr>
            <w:proofErr w:type="spellStart"/>
            <w:r w:rsidRPr="000E3770">
              <w:rPr>
                <w:b/>
                <w:noProof w:val="0"/>
                <w:szCs w:val="22"/>
                <w:lang w:val="fr-FR"/>
              </w:rPr>
              <w:t>België</w:t>
            </w:r>
            <w:proofErr w:type="spellEnd"/>
            <w:r w:rsidRPr="000E3770">
              <w:rPr>
                <w:b/>
                <w:noProof w:val="0"/>
                <w:szCs w:val="22"/>
                <w:lang w:val="fr-FR"/>
              </w:rPr>
              <w:t>/Belgique/</w:t>
            </w:r>
            <w:proofErr w:type="spellStart"/>
            <w:r w:rsidRPr="000E3770">
              <w:rPr>
                <w:b/>
                <w:noProof w:val="0"/>
                <w:szCs w:val="22"/>
                <w:lang w:val="fr-FR"/>
              </w:rPr>
              <w:t>Belgien</w:t>
            </w:r>
            <w:proofErr w:type="spellEnd"/>
          </w:p>
          <w:p w14:paraId="1A4F739D" w14:textId="77777777" w:rsidR="00FC3CE5" w:rsidRPr="00021B73" w:rsidRDefault="00FC3CE5" w:rsidP="00245F9B">
            <w:pPr>
              <w:pStyle w:val="lbltxt"/>
              <w:rPr>
                <w:noProof w:val="0"/>
                <w:szCs w:val="22"/>
                <w:lang w:val="fr-FR"/>
              </w:rPr>
            </w:pPr>
            <w:proofErr w:type="spellStart"/>
            <w:r w:rsidRPr="00021B73">
              <w:rPr>
                <w:noProof w:val="0"/>
                <w:szCs w:val="22"/>
                <w:lang w:val="fr-FR"/>
              </w:rPr>
              <w:t>s.a.</w:t>
            </w:r>
            <w:proofErr w:type="spellEnd"/>
            <w:r w:rsidRPr="00021B73">
              <w:rPr>
                <w:noProof w:val="0"/>
                <w:szCs w:val="22"/>
                <w:lang w:val="fr-FR"/>
              </w:rPr>
              <w:t xml:space="preserve"> Amgen </w:t>
            </w:r>
            <w:proofErr w:type="spellStart"/>
            <w:r w:rsidRPr="00021B73">
              <w:rPr>
                <w:noProof w:val="0"/>
                <w:szCs w:val="22"/>
                <w:lang w:val="fr-FR"/>
              </w:rPr>
              <w:t>n.v</w:t>
            </w:r>
            <w:proofErr w:type="spellEnd"/>
            <w:r w:rsidRPr="00021B73">
              <w:rPr>
                <w:noProof w:val="0"/>
                <w:szCs w:val="22"/>
                <w:lang w:val="fr-FR"/>
              </w:rPr>
              <w:t>.</w:t>
            </w:r>
          </w:p>
          <w:p w14:paraId="7513161D" w14:textId="4E33CAAC" w:rsidR="00FC3CE5" w:rsidRPr="005D46E4" w:rsidRDefault="00B032BC" w:rsidP="00245F9B">
            <w:pPr>
              <w:pStyle w:val="lbltxt"/>
              <w:rPr>
                <w:noProof w:val="0"/>
                <w:szCs w:val="22"/>
              </w:rPr>
            </w:pPr>
            <w:proofErr w:type="spellStart"/>
            <w:r w:rsidRPr="005578D9">
              <w:rPr>
                <w:noProof w:val="0"/>
                <w:szCs w:val="22"/>
              </w:rPr>
              <w:t>Tél</w:t>
            </w:r>
            <w:proofErr w:type="spellEnd"/>
            <w:r w:rsidRPr="005578D9">
              <w:rPr>
                <w:noProof w:val="0"/>
                <w:szCs w:val="22"/>
              </w:rPr>
              <w:t>/</w:t>
            </w:r>
            <w:r w:rsidR="00FC3CE5" w:rsidRPr="005D46E4">
              <w:rPr>
                <w:noProof w:val="0"/>
                <w:szCs w:val="22"/>
              </w:rPr>
              <w:t>Tel: +32 (0)2 7752711</w:t>
            </w:r>
          </w:p>
          <w:p w14:paraId="78444CB2" w14:textId="77777777" w:rsidR="00FC3CE5" w:rsidRPr="00D83EF6" w:rsidRDefault="00FC3CE5" w:rsidP="00245F9B">
            <w:pPr>
              <w:pStyle w:val="lbltxt"/>
              <w:rPr>
                <w:noProof w:val="0"/>
                <w:szCs w:val="22"/>
              </w:rPr>
            </w:pPr>
          </w:p>
        </w:tc>
        <w:tc>
          <w:tcPr>
            <w:tcW w:w="4680" w:type="dxa"/>
            <w:hideMark/>
          </w:tcPr>
          <w:p w14:paraId="6F3F33BC" w14:textId="77777777" w:rsidR="00FC3CE5" w:rsidRPr="008C2A94" w:rsidRDefault="00FC3CE5" w:rsidP="00245F9B">
            <w:pPr>
              <w:pStyle w:val="lbltxt"/>
              <w:rPr>
                <w:b/>
                <w:noProof w:val="0"/>
                <w:szCs w:val="22"/>
                <w:lang w:val="de-DE"/>
              </w:rPr>
            </w:pPr>
            <w:r w:rsidRPr="008C2A94">
              <w:rPr>
                <w:b/>
                <w:noProof w:val="0"/>
                <w:szCs w:val="22"/>
                <w:lang w:val="de-DE"/>
              </w:rPr>
              <w:t>Lietuva</w:t>
            </w:r>
          </w:p>
          <w:p w14:paraId="66B0A2DD" w14:textId="77777777" w:rsidR="00FC3CE5" w:rsidRPr="008C2A94" w:rsidRDefault="00FC3CE5" w:rsidP="00245F9B">
            <w:pPr>
              <w:pStyle w:val="lbltxt"/>
              <w:rPr>
                <w:bCs/>
                <w:noProof w:val="0"/>
                <w:szCs w:val="22"/>
                <w:lang w:val="de-DE"/>
              </w:rPr>
            </w:pPr>
            <w:r w:rsidRPr="008C2A94">
              <w:rPr>
                <w:noProof w:val="0"/>
                <w:szCs w:val="22"/>
                <w:lang w:val="de-DE"/>
              </w:rPr>
              <w:t>Amgen Switzerland AG Vilniaus filialas</w:t>
            </w:r>
          </w:p>
          <w:p w14:paraId="2164E3F6" w14:textId="77777777" w:rsidR="00FC3CE5" w:rsidRPr="00E47D8C" w:rsidRDefault="00FC3CE5" w:rsidP="00245F9B">
            <w:pPr>
              <w:pStyle w:val="lbltxt"/>
              <w:rPr>
                <w:noProof w:val="0"/>
                <w:szCs w:val="22"/>
              </w:rPr>
            </w:pPr>
            <w:r w:rsidRPr="00DE33C3">
              <w:rPr>
                <w:bCs/>
                <w:noProof w:val="0"/>
                <w:szCs w:val="22"/>
              </w:rPr>
              <w:t>Tel: +</w:t>
            </w:r>
            <w:r w:rsidRPr="00F90C75">
              <w:rPr>
                <w:noProof w:val="0"/>
                <w:szCs w:val="22"/>
              </w:rPr>
              <w:t xml:space="preserve">370 </w:t>
            </w:r>
            <w:r w:rsidRPr="00E47D8C">
              <w:rPr>
                <w:bCs/>
                <w:noProof w:val="0"/>
                <w:szCs w:val="22"/>
              </w:rPr>
              <w:t>5 219 7474</w:t>
            </w:r>
          </w:p>
        </w:tc>
      </w:tr>
      <w:tr w:rsidR="00FC3CE5" w:rsidRPr="00FD7F9C" w14:paraId="2D3E8ADB" w14:textId="77777777" w:rsidTr="00245F9B">
        <w:trPr>
          <w:gridBefore w:val="1"/>
          <w:wBefore w:w="34" w:type="dxa"/>
          <w:cantSplit/>
        </w:trPr>
        <w:tc>
          <w:tcPr>
            <w:tcW w:w="4646" w:type="dxa"/>
            <w:hideMark/>
          </w:tcPr>
          <w:p w14:paraId="687599F9" w14:textId="77777777" w:rsidR="00FC3CE5" w:rsidRPr="004474EE" w:rsidRDefault="00FC3CE5" w:rsidP="00245F9B">
            <w:pPr>
              <w:autoSpaceDE w:val="0"/>
              <w:autoSpaceDN w:val="0"/>
              <w:adjustRightInd w:val="0"/>
              <w:rPr>
                <w:rFonts w:ascii="Times New Roman" w:hAnsi="Times New Roman" w:cs="Times New Roman"/>
                <w:b/>
                <w:bCs/>
                <w:sz w:val="22"/>
                <w:szCs w:val="22"/>
                <w:lang w:val="ru-RU"/>
              </w:rPr>
            </w:pPr>
            <w:r w:rsidRPr="004474EE">
              <w:rPr>
                <w:rFonts w:ascii="Times New Roman" w:hAnsi="Times New Roman" w:cs="Times New Roman"/>
                <w:b/>
                <w:bCs/>
                <w:sz w:val="22"/>
                <w:szCs w:val="22"/>
                <w:lang w:val="ru-RU"/>
              </w:rPr>
              <w:t>България</w:t>
            </w:r>
          </w:p>
          <w:p w14:paraId="02A0E67D" w14:textId="77777777" w:rsidR="00FC3CE5" w:rsidRPr="004474EE" w:rsidRDefault="00FC3CE5" w:rsidP="00245F9B">
            <w:pPr>
              <w:pStyle w:val="lbltxt"/>
              <w:rPr>
                <w:b/>
                <w:noProof w:val="0"/>
                <w:szCs w:val="22"/>
                <w:lang w:val="ru-RU" w:eastAsia="en-GB"/>
              </w:rPr>
            </w:pPr>
            <w:r w:rsidRPr="004474EE">
              <w:rPr>
                <w:rStyle w:val="Strong"/>
                <w:b w:val="0"/>
                <w:noProof w:val="0"/>
                <w:szCs w:val="22"/>
                <w:lang w:val="ru-RU"/>
              </w:rPr>
              <w:t>Амджен България ЕООД</w:t>
            </w:r>
          </w:p>
          <w:p w14:paraId="71B6F4A4" w14:textId="77777777" w:rsidR="00FC3CE5" w:rsidRPr="004474EE" w:rsidRDefault="00FC3CE5" w:rsidP="00245F9B">
            <w:pPr>
              <w:pStyle w:val="lbltxt"/>
              <w:rPr>
                <w:bCs/>
                <w:noProof w:val="0"/>
                <w:szCs w:val="22"/>
                <w:lang w:val="ru-RU"/>
              </w:rPr>
            </w:pPr>
            <w:r w:rsidRPr="004474EE">
              <w:rPr>
                <w:noProof w:val="0"/>
                <w:szCs w:val="22"/>
                <w:lang w:val="ru-RU" w:eastAsia="en-GB"/>
              </w:rPr>
              <w:t xml:space="preserve">Тел.: +359 </w:t>
            </w:r>
            <w:r w:rsidRPr="004474EE">
              <w:rPr>
                <w:bCs/>
                <w:noProof w:val="0"/>
                <w:szCs w:val="22"/>
                <w:lang w:val="ru-RU"/>
              </w:rPr>
              <w:t>(0)2</w:t>
            </w:r>
            <w:r w:rsidRPr="005D46E4">
              <w:rPr>
                <w:bCs/>
                <w:noProof w:val="0"/>
                <w:szCs w:val="22"/>
              </w:rPr>
              <w:t> </w:t>
            </w:r>
            <w:r w:rsidRPr="004474EE">
              <w:rPr>
                <w:bCs/>
                <w:noProof w:val="0"/>
                <w:szCs w:val="22"/>
                <w:lang w:val="ru-RU"/>
              </w:rPr>
              <w:t>424 7440</w:t>
            </w:r>
          </w:p>
        </w:tc>
        <w:tc>
          <w:tcPr>
            <w:tcW w:w="4680" w:type="dxa"/>
          </w:tcPr>
          <w:p w14:paraId="12D4305E" w14:textId="77777777" w:rsidR="00FC3CE5" w:rsidRPr="00DD4419" w:rsidRDefault="00FC3CE5" w:rsidP="00245F9B">
            <w:pPr>
              <w:pStyle w:val="lbltxt"/>
              <w:rPr>
                <w:noProof w:val="0"/>
                <w:szCs w:val="22"/>
                <w:lang w:val="fr-FR"/>
              </w:rPr>
            </w:pPr>
            <w:r w:rsidRPr="00DD4419">
              <w:rPr>
                <w:b/>
                <w:noProof w:val="0"/>
                <w:szCs w:val="22"/>
                <w:lang w:val="fr-FR"/>
              </w:rPr>
              <w:t>Luxembourg/Luxemburg</w:t>
            </w:r>
          </w:p>
          <w:p w14:paraId="71504935" w14:textId="77777777" w:rsidR="00FC3CE5" w:rsidRPr="006E2FCA" w:rsidRDefault="00FC3CE5" w:rsidP="00245F9B">
            <w:pPr>
              <w:pStyle w:val="lbltxt"/>
              <w:rPr>
                <w:noProof w:val="0"/>
                <w:szCs w:val="22"/>
                <w:lang w:val="fr-FR"/>
              </w:rPr>
            </w:pPr>
            <w:proofErr w:type="spellStart"/>
            <w:r w:rsidRPr="006E2FCA">
              <w:rPr>
                <w:noProof w:val="0"/>
                <w:szCs w:val="22"/>
                <w:lang w:val="fr-FR"/>
              </w:rPr>
              <w:t>s.a.</w:t>
            </w:r>
            <w:proofErr w:type="spellEnd"/>
            <w:r w:rsidRPr="006E2FCA">
              <w:rPr>
                <w:noProof w:val="0"/>
                <w:szCs w:val="22"/>
                <w:lang w:val="fr-FR"/>
              </w:rPr>
              <w:t xml:space="preserve"> Amgen</w:t>
            </w:r>
          </w:p>
          <w:p w14:paraId="301565E6" w14:textId="77777777" w:rsidR="00FC3CE5" w:rsidRPr="00DE33C3" w:rsidRDefault="00FC3CE5" w:rsidP="00245F9B">
            <w:pPr>
              <w:pStyle w:val="lbltxt"/>
              <w:rPr>
                <w:noProof w:val="0"/>
                <w:szCs w:val="22"/>
                <w:lang w:val="fr-FR"/>
              </w:rPr>
            </w:pPr>
            <w:r w:rsidRPr="00DE33C3">
              <w:rPr>
                <w:noProof w:val="0"/>
                <w:szCs w:val="22"/>
                <w:lang w:val="fr-FR"/>
              </w:rPr>
              <w:t>Belgique/</w:t>
            </w:r>
            <w:proofErr w:type="spellStart"/>
            <w:r w:rsidRPr="00DE33C3">
              <w:rPr>
                <w:noProof w:val="0"/>
                <w:szCs w:val="22"/>
                <w:lang w:val="fr-FR"/>
              </w:rPr>
              <w:t>Belgien</w:t>
            </w:r>
            <w:proofErr w:type="spellEnd"/>
          </w:p>
          <w:p w14:paraId="3FF2F4E8" w14:textId="33F31714" w:rsidR="00FC3CE5" w:rsidRPr="00F90C75" w:rsidRDefault="00B032BC" w:rsidP="00245F9B">
            <w:pPr>
              <w:pStyle w:val="lbltxt"/>
              <w:rPr>
                <w:noProof w:val="0"/>
                <w:szCs w:val="22"/>
              </w:rPr>
            </w:pPr>
            <w:proofErr w:type="spellStart"/>
            <w:r w:rsidRPr="00161325">
              <w:rPr>
                <w:noProof w:val="0"/>
                <w:szCs w:val="22"/>
              </w:rPr>
              <w:t>Tél</w:t>
            </w:r>
            <w:proofErr w:type="spellEnd"/>
            <w:r w:rsidRPr="00161325">
              <w:rPr>
                <w:noProof w:val="0"/>
                <w:szCs w:val="22"/>
              </w:rPr>
              <w:t>/</w:t>
            </w:r>
            <w:r w:rsidR="00FC3CE5" w:rsidRPr="00F90C75">
              <w:rPr>
                <w:noProof w:val="0"/>
                <w:szCs w:val="22"/>
              </w:rPr>
              <w:t>Tel: +32 (0)2 7752711</w:t>
            </w:r>
          </w:p>
          <w:p w14:paraId="66AA45A4" w14:textId="77777777" w:rsidR="00FC3CE5" w:rsidRPr="00E47D8C" w:rsidRDefault="00FC3CE5" w:rsidP="00245F9B">
            <w:pPr>
              <w:pStyle w:val="lbltxt"/>
              <w:rPr>
                <w:bCs/>
                <w:noProof w:val="0"/>
                <w:szCs w:val="22"/>
              </w:rPr>
            </w:pPr>
          </w:p>
        </w:tc>
      </w:tr>
      <w:tr w:rsidR="00FC3CE5" w:rsidRPr="00FD7F9C" w14:paraId="5DBDB26B" w14:textId="77777777" w:rsidTr="00245F9B">
        <w:trPr>
          <w:gridBefore w:val="1"/>
          <w:wBefore w:w="34" w:type="dxa"/>
          <w:cantSplit/>
          <w:trHeight w:val="969"/>
        </w:trPr>
        <w:tc>
          <w:tcPr>
            <w:tcW w:w="4646" w:type="dxa"/>
            <w:hideMark/>
          </w:tcPr>
          <w:p w14:paraId="5361CB13" w14:textId="77777777" w:rsidR="00FC3CE5" w:rsidRPr="00FD7F9C" w:rsidRDefault="00FC3CE5" w:rsidP="00245F9B">
            <w:pPr>
              <w:pStyle w:val="lbltxt"/>
              <w:rPr>
                <w:b/>
                <w:noProof w:val="0"/>
                <w:szCs w:val="22"/>
                <w:lang w:val="pl-PL"/>
              </w:rPr>
            </w:pPr>
            <w:r w:rsidRPr="00FD7F9C">
              <w:rPr>
                <w:b/>
                <w:noProof w:val="0"/>
                <w:szCs w:val="22"/>
                <w:lang w:val="pl-PL"/>
              </w:rPr>
              <w:t>Česká republika</w:t>
            </w:r>
          </w:p>
          <w:p w14:paraId="69B877BC" w14:textId="77777777" w:rsidR="00FC3CE5" w:rsidRPr="00FD7F9C" w:rsidRDefault="00FC3CE5" w:rsidP="00245F9B">
            <w:pPr>
              <w:pStyle w:val="lbltxt"/>
              <w:rPr>
                <w:bCs/>
                <w:noProof w:val="0"/>
                <w:szCs w:val="22"/>
                <w:lang w:val="pl-PL"/>
              </w:rPr>
            </w:pPr>
            <w:r w:rsidRPr="00FD7F9C">
              <w:rPr>
                <w:bCs/>
                <w:noProof w:val="0"/>
                <w:szCs w:val="22"/>
                <w:lang w:val="pl-PL"/>
              </w:rPr>
              <w:t>Amgen s.r.o.</w:t>
            </w:r>
          </w:p>
          <w:p w14:paraId="64D64D59" w14:textId="77777777" w:rsidR="00FC3CE5" w:rsidRPr="000E3770" w:rsidRDefault="00FC3CE5" w:rsidP="00245F9B">
            <w:pPr>
              <w:pStyle w:val="lbltxt"/>
              <w:rPr>
                <w:bCs/>
                <w:noProof w:val="0"/>
                <w:szCs w:val="22"/>
              </w:rPr>
            </w:pPr>
            <w:r w:rsidRPr="000E3770">
              <w:rPr>
                <w:bCs/>
                <w:noProof w:val="0"/>
                <w:szCs w:val="22"/>
              </w:rPr>
              <w:t>Tel: +420 221 773 500</w:t>
            </w:r>
          </w:p>
        </w:tc>
        <w:tc>
          <w:tcPr>
            <w:tcW w:w="4680" w:type="dxa"/>
            <w:hideMark/>
          </w:tcPr>
          <w:p w14:paraId="0C62384F" w14:textId="77777777" w:rsidR="00FC3CE5" w:rsidRPr="00021B73" w:rsidRDefault="00FC3CE5" w:rsidP="00245F9B">
            <w:pPr>
              <w:pStyle w:val="lbltxt"/>
              <w:rPr>
                <w:b/>
                <w:noProof w:val="0"/>
                <w:szCs w:val="22"/>
              </w:rPr>
            </w:pPr>
            <w:proofErr w:type="spellStart"/>
            <w:r w:rsidRPr="00021B73">
              <w:rPr>
                <w:b/>
                <w:noProof w:val="0"/>
                <w:szCs w:val="22"/>
              </w:rPr>
              <w:t>Magyarország</w:t>
            </w:r>
            <w:proofErr w:type="spellEnd"/>
          </w:p>
          <w:p w14:paraId="2F16F489" w14:textId="77777777" w:rsidR="00FC3CE5" w:rsidRPr="005D46E4" w:rsidRDefault="00FC3CE5" w:rsidP="00245F9B">
            <w:pPr>
              <w:pStyle w:val="lbltxt"/>
              <w:rPr>
                <w:bCs/>
                <w:noProof w:val="0"/>
                <w:szCs w:val="22"/>
              </w:rPr>
            </w:pPr>
            <w:r w:rsidRPr="005D46E4">
              <w:rPr>
                <w:bCs/>
                <w:noProof w:val="0"/>
                <w:szCs w:val="22"/>
              </w:rPr>
              <w:t>Amgen Kft.</w:t>
            </w:r>
          </w:p>
          <w:p w14:paraId="1EAFEA56" w14:textId="77777777" w:rsidR="00FC3CE5" w:rsidRPr="006E2FCA" w:rsidRDefault="00FC3CE5" w:rsidP="00245F9B">
            <w:pPr>
              <w:pStyle w:val="lbltxt"/>
              <w:rPr>
                <w:noProof w:val="0"/>
                <w:szCs w:val="22"/>
              </w:rPr>
            </w:pPr>
            <w:r w:rsidRPr="00DD4419">
              <w:rPr>
                <w:bCs/>
                <w:noProof w:val="0"/>
                <w:szCs w:val="22"/>
              </w:rPr>
              <w:t>Tel.: +36 1 35 44 700</w:t>
            </w:r>
          </w:p>
        </w:tc>
      </w:tr>
      <w:tr w:rsidR="00FC3CE5" w:rsidRPr="00FD7F9C" w14:paraId="026F9728" w14:textId="77777777" w:rsidTr="00245F9B">
        <w:trPr>
          <w:gridBefore w:val="1"/>
          <w:wBefore w:w="34" w:type="dxa"/>
          <w:cantSplit/>
        </w:trPr>
        <w:tc>
          <w:tcPr>
            <w:tcW w:w="4646" w:type="dxa"/>
          </w:tcPr>
          <w:p w14:paraId="51729028" w14:textId="77777777" w:rsidR="00FC3CE5" w:rsidRPr="008A2F57" w:rsidRDefault="00FC3CE5" w:rsidP="00245F9B">
            <w:pPr>
              <w:pStyle w:val="lbltxt"/>
              <w:rPr>
                <w:noProof w:val="0"/>
                <w:szCs w:val="22"/>
              </w:rPr>
            </w:pPr>
            <w:r w:rsidRPr="000E3770">
              <w:rPr>
                <w:b/>
                <w:noProof w:val="0"/>
                <w:szCs w:val="22"/>
              </w:rPr>
              <w:t>Danmark</w:t>
            </w:r>
          </w:p>
          <w:p w14:paraId="33112DD7" w14:textId="77777777" w:rsidR="00FC3CE5" w:rsidRPr="00021B73" w:rsidRDefault="00FC3CE5" w:rsidP="00245F9B">
            <w:pPr>
              <w:pStyle w:val="lbltxt"/>
              <w:rPr>
                <w:noProof w:val="0"/>
                <w:szCs w:val="22"/>
              </w:rPr>
            </w:pPr>
            <w:r w:rsidRPr="00021B73">
              <w:rPr>
                <w:noProof w:val="0"/>
                <w:szCs w:val="22"/>
              </w:rPr>
              <w:t xml:space="preserve">Amgen, filial </w:t>
            </w:r>
            <w:proofErr w:type="spellStart"/>
            <w:r w:rsidRPr="00021B73">
              <w:rPr>
                <w:noProof w:val="0"/>
                <w:szCs w:val="22"/>
              </w:rPr>
              <w:t>af</w:t>
            </w:r>
            <w:proofErr w:type="spellEnd"/>
            <w:r w:rsidRPr="00021B73">
              <w:rPr>
                <w:noProof w:val="0"/>
                <w:szCs w:val="22"/>
              </w:rPr>
              <w:t xml:space="preserve"> Amgen AB, Sverige</w:t>
            </w:r>
          </w:p>
          <w:p w14:paraId="35186CBE" w14:textId="77777777" w:rsidR="00FC3CE5" w:rsidRPr="005D46E4" w:rsidRDefault="00FC3CE5" w:rsidP="00245F9B">
            <w:pPr>
              <w:pStyle w:val="lbltxt"/>
              <w:rPr>
                <w:noProof w:val="0"/>
                <w:szCs w:val="22"/>
              </w:rPr>
            </w:pPr>
            <w:proofErr w:type="spellStart"/>
            <w:r w:rsidRPr="005D46E4">
              <w:rPr>
                <w:noProof w:val="0"/>
                <w:szCs w:val="22"/>
              </w:rPr>
              <w:t>Tlf</w:t>
            </w:r>
            <w:proofErr w:type="spellEnd"/>
            <w:r w:rsidRPr="005D46E4">
              <w:rPr>
                <w:noProof w:val="0"/>
                <w:szCs w:val="22"/>
              </w:rPr>
              <w:t>: +45 39617500</w:t>
            </w:r>
          </w:p>
          <w:p w14:paraId="0510947C" w14:textId="77777777" w:rsidR="00FC3CE5" w:rsidRPr="00DD4419" w:rsidRDefault="00FC3CE5" w:rsidP="00245F9B">
            <w:pPr>
              <w:pStyle w:val="lbltxt"/>
              <w:rPr>
                <w:noProof w:val="0"/>
                <w:szCs w:val="22"/>
              </w:rPr>
            </w:pPr>
          </w:p>
        </w:tc>
        <w:tc>
          <w:tcPr>
            <w:tcW w:w="4680" w:type="dxa"/>
          </w:tcPr>
          <w:p w14:paraId="681D1C41" w14:textId="77777777" w:rsidR="00FC3CE5" w:rsidRPr="004D54A4" w:rsidRDefault="00FC3CE5" w:rsidP="00245F9B">
            <w:pPr>
              <w:pStyle w:val="lbltxt"/>
              <w:rPr>
                <w:b/>
                <w:noProof w:val="0"/>
                <w:szCs w:val="22"/>
                <w:lang w:val="es-ES"/>
              </w:rPr>
            </w:pPr>
            <w:r w:rsidRPr="004D54A4">
              <w:rPr>
                <w:b/>
                <w:noProof w:val="0"/>
                <w:szCs w:val="22"/>
                <w:lang w:val="es-ES"/>
              </w:rPr>
              <w:t>Malta</w:t>
            </w:r>
          </w:p>
          <w:p w14:paraId="22C68E80" w14:textId="77777777" w:rsidR="00226B6B" w:rsidRDefault="00226B6B" w:rsidP="00226B6B">
            <w:pPr>
              <w:pStyle w:val="lbltxt"/>
              <w:rPr>
                <w:noProof w:val="0"/>
                <w:szCs w:val="22"/>
                <w:lang w:val="es-ES"/>
              </w:rPr>
            </w:pPr>
            <w:r>
              <w:rPr>
                <w:noProof w:val="0"/>
                <w:szCs w:val="22"/>
                <w:lang w:val="es-ES"/>
              </w:rPr>
              <w:t xml:space="preserve">Amgen </w:t>
            </w:r>
            <w:proofErr w:type="spellStart"/>
            <w:r>
              <w:rPr>
                <w:noProof w:val="0"/>
                <w:szCs w:val="22"/>
                <w:lang w:val="es-ES"/>
              </w:rPr>
              <w:t>S.r.l</w:t>
            </w:r>
            <w:proofErr w:type="spellEnd"/>
            <w:r>
              <w:rPr>
                <w:noProof w:val="0"/>
                <w:szCs w:val="22"/>
                <w:lang w:val="es-ES"/>
              </w:rPr>
              <w:t>.</w:t>
            </w:r>
          </w:p>
          <w:p w14:paraId="3655804B" w14:textId="77777777" w:rsidR="00226B6B" w:rsidRDefault="00226B6B" w:rsidP="00226B6B">
            <w:pPr>
              <w:pStyle w:val="lbltxt"/>
              <w:rPr>
                <w:noProof w:val="0"/>
                <w:szCs w:val="22"/>
                <w:lang w:val="es-ES"/>
              </w:rPr>
            </w:pPr>
            <w:r>
              <w:rPr>
                <w:noProof w:val="0"/>
                <w:szCs w:val="22"/>
                <w:lang w:val="es-ES"/>
              </w:rPr>
              <w:t>Italy</w:t>
            </w:r>
          </w:p>
          <w:p w14:paraId="5F92F4CC" w14:textId="2189BC33" w:rsidR="00FC3CE5" w:rsidRPr="00E47D8C" w:rsidRDefault="00226B6B" w:rsidP="00245F9B">
            <w:pPr>
              <w:pStyle w:val="lbltxt"/>
              <w:rPr>
                <w:bCs/>
                <w:noProof w:val="0"/>
                <w:szCs w:val="22"/>
              </w:rPr>
            </w:pPr>
            <w:r>
              <w:rPr>
                <w:szCs w:val="22"/>
              </w:rPr>
              <w:t>Tel: +39 02 6241121</w:t>
            </w:r>
          </w:p>
          <w:p w14:paraId="23C61DBD" w14:textId="77777777" w:rsidR="00FC3CE5" w:rsidRPr="00C80787" w:rsidRDefault="00FC3CE5" w:rsidP="00245F9B">
            <w:pPr>
              <w:pStyle w:val="lbltxt"/>
              <w:rPr>
                <w:b/>
                <w:noProof w:val="0"/>
                <w:szCs w:val="22"/>
              </w:rPr>
            </w:pPr>
          </w:p>
        </w:tc>
      </w:tr>
      <w:tr w:rsidR="00FC3CE5" w:rsidRPr="00FD7F9C" w14:paraId="7E15E720" w14:textId="77777777" w:rsidTr="00245F9B">
        <w:trPr>
          <w:gridBefore w:val="1"/>
          <w:wBefore w:w="34" w:type="dxa"/>
          <w:cantSplit/>
        </w:trPr>
        <w:tc>
          <w:tcPr>
            <w:tcW w:w="4646" w:type="dxa"/>
          </w:tcPr>
          <w:p w14:paraId="0E06958D" w14:textId="77777777" w:rsidR="00FC3CE5" w:rsidRPr="008A2F57" w:rsidRDefault="00FC3CE5" w:rsidP="00245F9B">
            <w:pPr>
              <w:pStyle w:val="lbltxt"/>
              <w:rPr>
                <w:noProof w:val="0"/>
                <w:szCs w:val="22"/>
              </w:rPr>
            </w:pPr>
            <w:r w:rsidRPr="000E3770">
              <w:rPr>
                <w:b/>
                <w:noProof w:val="0"/>
                <w:szCs w:val="22"/>
              </w:rPr>
              <w:t>Deutschland</w:t>
            </w:r>
          </w:p>
          <w:p w14:paraId="2DA408A9" w14:textId="6E037AB3" w:rsidR="00FC3CE5" w:rsidRPr="00021B73" w:rsidRDefault="00FC3CE5" w:rsidP="00245F9B">
            <w:pPr>
              <w:pStyle w:val="lbltxt"/>
              <w:rPr>
                <w:noProof w:val="0"/>
                <w:szCs w:val="22"/>
              </w:rPr>
            </w:pPr>
            <w:r w:rsidRPr="00021B73">
              <w:rPr>
                <w:noProof w:val="0"/>
                <w:szCs w:val="22"/>
              </w:rPr>
              <w:t>A</w:t>
            </w:r>
            <w:r w:rsidR="004D54A4">
              <w:rPr>
                <w:noProof w:val="0"/>
                <w:szCs w:val="22"/>
              </w:rPr>
              <w:t>mgen</w:t>
            </w:r>
            <w:r w:rsidRPr="00021B73">
              <w:rPr>
                <w:noProof w:val="0"/>
                <w:szCs w:val="22"/>
              </w:rPr>
              <w:t xml:space="preserve"> GmbH</w:t>
            </w:r>
          </w:p>
          <w:p w14:paraId="08ECFBFD" w14:textId="0FC93801" w:rsidR="00FC3CE5" w:rsidRPr="005D46E4" w:rsidRDefault="00FC3CE5" w:rsidP="00245F9B">
            <w:pPr>
              <w:pStyle w:val="lbltxt"/>
              <w:rPr>
                <w:noProof w:val="0"/>
                <w:szCs w:val="22"/>
              </w:rPr>
            </w:pPr>
            <w:r w:rsidRPr="005D46E4">
              <w:rPr>
                <w:noProof w:val="0"/>
                <w:szCs w:val="22"/>
              </w:rPr>
              <w:t>Tel: +49 89 1490960</w:t>
            </w:r>
          </w:p>
          <w:p w14:paraId="068BBC0E" w14:textId="77777777" w:rsidR="00FC3CE5" w:rsidRPr="00DD4419" w:rsidRDefault="00FC3CE5" w:rsidP="00245F9B">
            <w:pPr>
              <w:pStyle w:val="lbltxt"/>
              <w:rPr>
                <w:b/>
                <w:noProof w:val="0"/>
                <w:szCs w:val="22"/>
              </w:rPr>
            </w:pPr>
          </w:p>
        </w:tc>
        <w:tc>
          <w:tcPr>
            <w:tcW w:w="4680" w:type="dxa"/>
          </w:tcPr>
          <w:p w14:paraId="39BA1FD5" w14:textId="77777777" w:rsidR="00FC3CE5" w:rsidRPr="00DE33C3" w:rsidRDefault="00FC3CE5" w:rsidP="00245F9B">
            <w:pPr>
              <w:pStyle w:val="lbltxt"/>
              <w:rPr>
                <w:noProof w:val="0"/>
                <w:szCs w:val="22"/>
              </w:rPr>
            </w:pPr>
            <w:r w:rsidRPr="006E2FCA">
              <w:rPr>
                <w:b/>
                <w:noProof w:val="0"/>
                <w:szCs w:val="22"/>
              </w:rPr>
              <w:t>Nederland</w:t>
            </w:r>
          </w:p>
          <w:p w14:paraId="3463F171" w14:textId="77777777" w:rsidR="00FC3CE5" w:rsidRPr="00F90C75" w:rsidRDefault="00FC3CE5" w:rsidP="00245F9B">
            <w:pPr>
              <w:pStyle w:val="lbltxt"/>
              <w:rPr>
                <w:noProof w:val="0"/>
                <w:szCs w:val="22"/>
              </w:rPr>
            </w:pPr>
            <w:r w:rsidRPr="00F90C75">
              <w:rPr>
                <w:noProof w:val="0"/>
                <w:szCs w:val="22"/>
              </w:rPr>
              <w:t>Amgen B.V.</w:t>
            </w:r>
          </w:p>
          <w:p w14:paraId="79324554" w14:textId="77777777" w:rsidR="00FC3CE5" w:rsidRPr="00E47D8C" w:rsidRDefault="00FC3CE5" w:rsidP="00245F9B">
            <w:pPr>
              <w:pStyle w:val="lbltxt"/>
              <w:rPr>
                <w:bCs/>
                <w:noProof w:val="0"/>
                <w:szCs w:val="22"/>
              </w:rPr>
            </w:pPr>
            <w:r w:rsidRPr="00E47D8C">
              <w:rPr>
                <w:noProof w:val="0"/>
                <w:szCs w:val="22"/>
              </w:rPr>
              <w:t>Tel: +31 (0)76 5732500</w:t>
            </w:r>
          </w:p>
          <w:p w14:paraId="189A9A15" w14:textId="77777777" w:rsidR="00FC3CE5" w:rsidRPr="00C80787" w:rsidRDefault="00FC3CE5" w:rsidP="00245F9B">
            <w:pPr>
              <w:pStyle w:val="lbltxt"/>
              <w:rPr>
                <w:noProof w:val="0"/>
                <w:szCs w:val="22"/>
              </w:rPr>
            </w:pPr>
          </w:p>
        </w:tc>
      </w:tr>
      <w:tr w:rsidR="00FC3CE5" w:rsidRPr="00FD7F9C" w14:paraId="163900CC" w14:textId="77777777" w:rsidTr="00245F9B">
        <w:trPr>
          <w:gridBefore w:val="1"/>
          <w:wBefore w:w="34" w:type="dxa"/>
          <w:cantSplit/>
        </w:trPr>
        <w:tc>
          <w:tcPr>
            <w:tcW w:w="4646" w:type="dxa"/>
            <w:hideMark/>
          </w:tcPr>
          <w:p w14:paraId="2950AC1D" w14:textId="77777777" w:rsidR="00FC3CE5" w:rsidRPr="008C2A94" w:rsidRDefault="00FC3CE5" w:rsidP="00245F9B">
            <w:pPr>
              <w:pStyle w:val="lbltxt"/>
              <w:rPr>
                <w:b/>
                <w:noProof w:val="0"/>
                <w:szCs w:val="22"/>
                <w:lang w:val="de-DE"/>
              </w:rPr>
            </w:pPr>
            <w:r w:rsidRPr="008C2A94">
              <w:rPr>
                <w:b/>
                <w:noProof w:val="0"/>
                <w:szCs w:val="22"/>
                <w:lang w:val="de-DE"/>
              </w:rPr>
              <w:lastRenderedPageBreak/>
              <w:t>Eesti</w:t>
            </w:r>
          </w:p>
          <w:p w14:paraId="16E7A72F" w14:textId="77777777" w:rsidR="00FC3CE5" w:rsidRPr="008C2A94" w:rsidRDefault="00FC3CE5" w:rsidP="00245F9B">
            <w:pPr>
              <w:pStyle w:val="lbltxt"/>
              <w:rPr>
                <w:bCs/>
                <w:noProof w:val="0"/>
                <w:szCs w:val="22"/>
                <w:lang w:val="de-DE"/>
              </w:rPr>
            </w:pPr>
            <w:r w:rsidRPr="008C2A94">
              <w:rPr>
                <w:bCs/>
                <w:noProof w:val="0"/>
                <w:szCs w:val="22"/>
                <w:lang w:val="de-DE"/>
              </w:rPr>
              <w:t xml:space="preserve">Amgen Switzerland AG </w:t>
            </w:r>
            <w:r w:rsidRPr="008C2A94">
              <w:rPr>
                <w:noProof w:val="0"/>
                <w:szCs w:val="22"/>
                <w:lang w:val="de-DE"/>
              </w:rPr>
              <w:t>Vilniaus filialas</w:t>
            </w:r>
          </w:p>
          <w:p w14:paraId="500576F6" w14:textId="77777777" w:rsidR="00FC3CE5" w:rsidRPr="00DE33C3" w:rsidRDefault="00FC3CE5" w:rsidP="00245F9B">
            <w:pPr>
              <w:pStyle w:val="lbltxt"/>
              <w:rPr>
                <w:b/>
                <w:noProof w:val="0"/>
                <w:szCs w:val="22"/>
              </w:rPr>
            </w:pPr>
            <w:r w:rsidRPr="00DD4419">
              <w:rPr>
                <w:bCs/>
                <w:noProof w:val="0"/>
                <w:szCs w:val="22"/>
              </w:rPr>
              <w:t>Tel: +</w:t>
            </w:r>
            <w:r w:rsidRPr="00DD4419">
              <w:rPr>
                <w:noProof w:val="0"/>
                <w:szCs w:val="22"/>
              </w:rPr>
              <w:t xml:space="preserve">372 </w:t>
            </w:r>
            <w:r w:rsidRPr="006E2FCA">
              <w:rPr>
                <w:bCs/>
                <w:szCs w:val="22"/>
              </w:rPr>
              <w:t>586 09553</w:t>
            </w:r>
          </w:p>
        </w:tc>
        <w:tc>
          <w:tcPr>
            <w:tcW w:w="4680" w:type="dxa"/>
          </w:tcPr>
          <w:p w14:paraId="7CB1A0BE" w14:textId="77777777" w:rsidR="00FC3CE5" w:rsidRPr="00F90C75" w:rsidRDefault="00FC3CE5" w:rsidP="00245F9B">
            <w:pPr>
              <w:pStyle w:val="lbltxt"/>
              <w:rPr>
                <w:b/>
                <w:bCs/>
                <w:noProof w:val="0"/>
                <w:szCs w:val="22"/>
              </w:rPr>
            </w:pPr>
            <w:r w:rsidRPr="00F90C75">
              <w:rPr>
                <w:b/>
                <w:bCs/>
                <w:noProof w:val="0"/>
                <w:szCs w:val="22"/>
              </w:rPr>
              <w:t>Norge</w:t>
            </w:r>
          </w:p>
          <w:p w14:paraId="45709002" w14:textId="77777777" w:rsidR="00FC3CE5" w:rsidRPr="00E47D8C" w:rsidRDefault="00FC3CE5" w:rsidP="00245F9B">
            <w:pPr>
              <w:pStyle w:val="lbltxt"/>
              <w:rPr>
                <w:rStyle w:val="CommentReference"/>
                <w:noProof w:val="0"/>
                <w:sz w:val="22"/>
                <w:szCs w:val="22"/>
              </w:rPr>
            </w:pPr>
            <w:r w:rsidRPr="00E47D8C">
              <w:rPr>
                <w:rStyle w:val="CommentReference"/>
                <w:noProof w:val="0"/>
                <w:sz w:val="22"/>
                <w:szCs w:val="22"/>
              </w:rPr>
              <w:t>Amgen AB</w:t>
            </w:r>
          </w:p>
          <w:p w14:paraId="0A5187A7" w14:textId="35763AC2" w:rsidR="00FC3CE5" w:rsidRPr="00EA3221" w:rsidRDefault="00FC3CE5" w:rsidP="00245F9B">
            <w:pPr>
              <w:pStyle w:val="lbltxt"/>
              <w:rPr>
                <w:noProof w:val="0"/>
                <w:szCs w:val="22"/>
              </w:rPr>
            </w:pPr>
            <w:proofErr w:type="spellStart"/>
            <w:r w:rsidRPr="00C80787">
              <w:rPr>
                <w:rStyle w:val="CommentReference"/>
                <w:noProof w:val="0"/>
                <w:sz w:val="22"/>
                <w:szCs w:val="22"/>
              </w:rPr>
              <w:t>Tl</w:t>
            </w:r>
            <w:r w:rsidR="00B032BC">
              <w:rPr>
                <w:rStyle w:val="CommentReference"/>
                <w:noProof w:val="0"/>
                <w:sz w:val="22"/>
                <w:szCs w:val="22"/>
              </w:rPr>
              <w:t>f</w:t>
            </w:r>
            <w:proofErr w:type="spellEnd"/>
            <w:r w:rsidRPr="00C80787">
              <w:rPr>
                <w:rStyle w:val="CommentReference"/>
                <w:noProof w:val="0"/>
                <w:sz w:val="22"/>
                <w:szCs w:val="22"/>
              </w:rPr>
              <w:t>: +47 23308000</w:t>
            </w:r>
          </w:p>
          <w:p w14:paraId="74CDCCDC" w14:textId="77777777" w:rsidR="00FC3CE5" w:rsidRPr="00EA3221" w:rsidRDefault="00FC3CE5" w:rsidP="00245F9B">
            <w:pPr>
              <w:pStyle w:val="lbltxt"/>
              <w:rPr>
                <w:noProof w:val="0"/>
                <w:szCs w:val="22"/>
              </w:rPr>
            </w:pPr>
          </w:p>
        </w:tc>
      </w:tr>
      <w:tr w:rsidR="00FC3CE5" w:rsidRPr="00FD7F9C" w14:paraId="3E8F3E59" w14:textId="77777777" w:rsidTr="00245F9B">
        <w:trPr>
          <w:gridBefore w:val="1"/>
          <w:wBefore w:w="34" w:type="dxa"/>
          <w:cantSplit/>
        </w:trPr>
        <w:tc>
          <w:tcPr>
            <w:tcW w:w="4646" w:type="dxa"/>
          </w:tcPr>
          <w:p w14:paraId="23E042BD" w14:textId="77777777" w:rsidR="00FC3CE5" w:rsidRPr="004474EE" w:rsidRDefault="00FC3CE5" w:rsidP="00245F9B">
            <w:pPr>
              <w:pStyle w:val="lbltxt"/>
              <w:rPr>
                <w:b/>
                <w:bCs/>
                <w:noProof w:val="0"/>
                <w:szCs w:val="22"/>
                <w:lang w:val="el-GR"/>
              </w:rPr>
            </w:pPr>
            <w:r w:rsidRPr="004474EE">
              <w:rPr>
                <w:b/>
                <w:bCs/>
                <w:noProof w:val="0"/>
                <w:szCs w:val="22"/>
                <w:lang w:val="el-GR"/>
              </w:rPr>
              <w:t>Ελλάδα</w:t>
            </w:r>
          </w:p>
          <w:p w14:paraId="6D6D2213" w14:textId="77777777" w:rsidR="00FC3CE5" w:rsidRPr="004474EE" w:rsidRDefault="00FC3CE5" w:rsidP="00245F9B">
            <w:pPr>
              <w:pStyle w:val="lbltxt"/>
              <w:rPr>
                <w:noProof w:val="0"/>
                <w:szCs w:val="22"/>
                <w:lang w:val="el-GR"/>
              </w:rPr>
            </w:pPr>
            <w:r w:rsidRPr="00021B73">
              <w:rPr>
                <w:noProof w:val="0"/>
                <w:szCs w:val="22"/>
              </w:rPr>
              <w:t>Amgen</w:t>
            </w:r>
            <w:r w:rsidRPr="004474EE">
              <w:rPr>
                <w:noProof w:val="0"/>
                <w:szCs w:val="22"/>
                <w:lang w:val="el-GR"/>
              </w:rPr>
              <w:t xml:space="preserve"> Ελλάς Φαρμακευτικά Ε.Π.Ε.</w:t>
            </w:r>
          </w:p>
          <w:p w14:paraId="0EC135CE" w14:textId="13B8E764" w:rsidR="00FC3CE5" w:rsidRPr="005D46E4" w:rsidRDefault="00FC3CE5" w:rsidP="00245F9B">
            <w:pPr>
              <w:pStyle w:val="lbltxt"/>
              <w:rPr>
                <w:noProof w:val="0"/>
                <w:szCs w:val="22"/>
              </w:rPr>
            </w:pPr>
            <w:proofErr w:type="spellStart"/>
            <w:r w:rsidRPr="005D46E4">
              <w:rPr>
                <w:noProof w:val="0"/>
                <w:szCs w:val="22"/>
              </w:rPr>
              <w:t>Τηλ</w:t>
            </w:r>
            <w:proofErr w:type="spellEnd"/>
            <w:r w:rsidRPr="005D46E4">
              <w:rPr>
                <w:noProof w:val="0"/>
                <w:szCs w:val="22"/>
              </w:rPr>
              <w:t>: +30 210 3447000</w:t>
            </w:r>
          </w:p>
          <w:p w14:paraId="2539DFE7" w14:textId="77777777" w:rsidR="00FC3CE5" w:rsidRPr="00DD4419" w:rsidRDefault="00FC3CE5" w:rsidP="00245F9B">
            <w:pPr>
              <w:pStyle w:val="lbltxt"/>
              <w:rPr>
                <w:noProof w:val="0"/>
                <w:szCs w:val="22"/>
              </w:rPr>
            </w:pPr>
          </w:p>
        </w:tc>
        <w:tc>
          <w:tcPr>
            <w:tcW w:w="4680" w:type="dxa"/>
          </w:tcPr>
          <w:p w14:paraId="384F6002" w14:textId="77777777" w:rsidR="00FC3CE5" w:rsidRPr="00DE33C3" w:rsidRDefault="00FC3CE5" w:rsidP="00245F9B">
            <w:pPr>
              <w:pStyle w:val="lbltxt"/>
              <w:rPr>
                <w:noProof w:val="0"/>
                <w:szCs w:val="22"/>
              </w:rPr>
            </w:pPr>
            <w:r w:rsidRPr="006E2FCA">
              <w:rPr>
                <w:b/>
                <w:noProof w:val="0"/>
                <w:szCs w:val="22"/>
              </w:rPr>
              <w:t>Österreich</w:t>
            </w:r>
          </w:p>
          <w:p w14:paraId="58230451" w14:textId="77777777" w:rsidR="00FC3CE5" w:rsidRPr="00F90C75" w:rsidRDefault="00FC3CE5" w:rsidP="00245F9B">
            <w:pPr>
              <w:pStyle w:val="lbltxt"/>
              <w:rPr>
                <w:noProof w:val="0"/>
                <w:szCs w:val="22"/>
              </w:rPr>
            </w:pPr>
            <w:r w:rsidRPr="00F90C75">
              <w:rPr>
                <w:noProof w:val="0"/>
                <w:szCs w:val="22"/>
              </w:rPr>
              <w:t>Amgen GmbH</w:t>
            </w:r>
          </w:p>
          <w:p w14:paraId="52697E3A" w14:textId="77777777" w:rsidR="00FC3CE5" w:rsidRPr="00E47D8C" w:rsidRDefault="00FC3CE5" w:rsidP="00245F9B">
            <w:pPr>
              <w:pStyle w:val="lbltxt"/>
              <w:rPr>
                <w:noProof w:val="0"/>
                <w:szCs w:val="22"/>
              </w:rPr>
            </w:pPr>
            <w:r w:rsidRPr="00E47D8C">
              <w:rPr>
                <w:noProof w:val="0"/>
                <w:szCs w:val="22"/>
              </w:rPr>
              <w:t>Tel: +43 (0)1 50 217</w:t>
            </w:r>
          </w:p>
          <w:p w14:paraId="341C5901" w14:textId="77777777" w:rsidR="00FC3CE5" w:rsidRPr="00C80787" w:rsidRDefault="00FC3CE5" w:rsidP="00245F9B">
            <w:pPr>
              <w:pStyle w:val="lbltxt"/>
              <w:rPr>
                <w:b/>
                <w:noProof w:val="0"/>
                <w:szCs w:val="22"/>
              </w:rPr>
            </w:pPr>
          </w:p>
        </w:tc>
      </w:tr>
      <w:tr w:rsidR="00FC3CE5" w:rsidRPr="00FD7F9C" w14:paraId="211A4929" w14:textId="77777777" w:rsidTr="00245F9B">
        <w:trPr>
          <w:cantSplit/>
        </w:trPr>
        <w:tc>
          <w:tcPr>
            <w:tcW w:w="4680" w:type="dxa"/>
            <w:gridSpan w:val="2"/>
          </w:tcPr>
          <w:p w14:paraId="1857C502" w14:textId="77777777" w:rsidR="00FC3CE5" w:rsidRPr="001C3E73" w:rsidRDefault="00FC3CE5" w:rsidP="00245F9B">
            <w:pPr>
              <w:pStyle w:val="lbltxt"/>
              <w:rPr>
                <w:noProof w:val="0"/>
                <w:szCs w:val="22"/>
                <w:lang w:val="es-ES"/>
              </w:rPr>
            </w:pPr>
            <w:r w:rsidRPr="001C3E73">
              <w:rPr>
                <w:b/>
                <w:noProof w:val="0"/>
                <w:szCs w:val="22"/>
                <w:lang w:val="es-ES"/>
              </w:rPr>
              <w:t>España</w:t>
            </w:r>
          </w:p>
          <w:p w14:paraId="7A2DAE0C" w14:textId="77777777" w:rsidR="00FC3CE5" w:rsidRPr="001C3E73" w:rsidRDefault="00FC3CE5" w:rsidP="00245F9B">
            <w:pPr>
              <w:pStyle w:val="lbltxt"/>
              <w:rPr>
                <w:noProof w:val="0"/>
                <w:spacing w:val="-2"/>
                <w:szCs w:val="22"/>
                <w:lang w:val="es-ES"/>
              </w:rPr>
            </w:pPr>
            <w:r w:rsidRPr="001C3E73">
              <w:rPr>
                <w:noProof w:val="0"/>
                <w:spacing w:val="-2"/>
                <w:szCs w:val="22"/>
                <w:lang w:val="es-ES"/>
              </w:rPr>
              <w:t>Amgen S.A.</w:t>
            </w:r>
            <w:r w:rsidRPr="001C3E73">
              <w:rPr>
                <w:noProof w:val="0"/>
                <w:spacing w:val="-2"/>
                <w:szCs w:val="22"/>
                <w:lang w:val="es-ES"/>
              </w:rPr>
              <w:tab/>
            </w:r>
          </w:p>
          <w:p w14:paraId="457AF7C6" w14:textId="77777777" w:rsidR="00FC3CE5" w:rsidRPr="001C3E73" w:rsidRDefault="00FC3CE5" w:rsidP="00245F9B">
            <w:pPr>
              <w:pStyle w:val="lbltxt"/>
              <w:rPr>
                <w:noProof w:val="0"/>
                <w:szCs w:val="22"/>
                <w:lang w:val="es-ES"/>
              </w:rPr>
            </w:pPr>
            <w:r w:rsidRPr="001C3E73">
              <w:rPr>
                <w:noProof w:val="0"/>
                <w:szCs w:val="22"/>
                <w:lang w:val="es-ES"/>
              </w:rPr>
              <w:t>Tel: +34 93 600 18 60</w:t>
            </w:r>
          </w:p>
          <w:p w14:paraId="198032AF" w14:textId="77777777" w:rsidR="00FC3CE5" w:rsidRPr="001C3E73" w:rsidRDefault="00FC3CE5" w:rsidP="00245F9B">
            <w:pPr>
              <w:pStyle w:val="lbltxt"/>
              <w:rPr>
                <w:bCs/>
                <w:noProof w:val="0"/>
                <w:szCs w:val="22"/>
                <w:lang w:val="es-ES"/>
              </w:rPr>
            </w:pPr>
          </w:p>
        </w:tc>
        <w:tc>
          <w:tcPr>
            <w:tcW w:w="4680" w:type="dxa"/>
            <w:hideMark/>
          </w:tcPr>
          <w:p w14:paraId="66252F8D" w14:textId="77777777" w:rsidR="00FC3CE5" w:rsidRPr="00FD7F9C" w:rsidRDefault="00FC3CE5" w:rsidP="00245F9B">
            <w:pPr>
              <w:pStyle w:val="lbltxt"/>
              <w:rPr>
                <w:b/>
                <w:noProof w:val="0"/>
                <w:szCs w:val="22"/>
                <w:lang w:val="pl-PL"/>
              </w:rPr>
            </w:pPr>
            <w:r w:rsidRPr="00FD7F9C">
              <w:rPr>
                <w:b/>
                <w:noProof w:val="0"/>
                <w:szCs w:val="22"/>
                <w:lang w:val="pl-PL"/>
              </w:rPr>
              <w:t>Polska</w:t>
            </w:r>
          </w:p>
          <w:p w14:paraId="3B9E151B" w14:textId="77777777" w:rsidR="00FC3CE5" w:rsidRPr="00FD7F9C" w:rsidRDefault="00FC3CE5" w:rsidP="00245F9B">
            <w:pPr>
              <w:pStyle w:val="lbltxt"/>
              <w:rPr>
                <w:noProof w:val="0"/>
                <w:szCs w:val="22"/>
                <w:lang w:val="pl-PL"/>
              </w:rPr>
            </w:pPr>
            <w:r w:rsidRPr="00FD7F9C">
              <w:rPr>
                <w:noProof w:val="0"/>
                <w:szCs w:val="22"/>
                <w:lang w:val="pl-PL"/>
              </w:rPr>
              <w:t xml:space="preserve">Amgen </w:t>
            </w:r>
            <w:r w:rsidRPr="00FD7F9C">
              <w:rPr>
                <w:noProof w:val="0"/>
                <w:color w:val="000000"/>
                <w:szCs w:val="22"/>
                <w:lang w:val="pl-PL" w:eastAsia="en-GB"/>
              </w:rPr>
              <w:t>Biotechnologia</w:t>
            </w:r>
            <w:r w:rsidRPr="00FD7F9C">
              <w:rPr>
                <w:noProof w:val="0"/>
                <w:szCs w:val="22"/>
                <w:lang w:val="pl-PL"/>
              </w:rPr>
              <w:t xml:space="preserve"> Sp. z o.o.</w:t>
            </w:r>
          </w:p>
          <w:p w14:paraId="3A9C8154" w14:textId="77777777" w:rsidR="00FC3CE5" w:rsidRPr="008A2F57" w:rsidRDefault="00FC3CE5" w:rsidP="00245F9B">
            <w:pPr>
              <w:pStyle w:val="lbltxt"/>
              <w:rPr>
                <w:noProof w:val="0"/>
                <w:szCs w:val="22"/>
              </w:rPr>
            </w:pPr>
            <w:r w:rsidRPr="000E3770">
              <w:rPr>
                <w:bCs/>
                <w:noProof w:val="0"/>
                <w:szCs w:val="22"/>
              </w:rPr>
              <w:t>Tel.: +48 22 581 3000</w:t>
            </w:r>
          </w:p>
        </w:tc>
      </w:tr>
      <w:tr w:rsidR="00FC3CE5" w:rsidRPr="00681220" w14:paraId="37F8677D" w14:textId="77777777" w:rsidTr="00245F9B">
        <w:trPr>
          <w:cantSplit/>
        </w:trPr>
        <w:tc>
          <w:tcPr>
            <w:tcW w:w="4680" w:type="dxa"/>
            <w:gridSpan w:val="2"/>
            <w:hideMark/>
          </w:tcPr>
          <w:p w14:paraId="087574FA" w14:textId="77777777" w:rsidR="00FC3CE5" w:rsidRPr="008A2F57" w:rsidRDefault="00FC3CE5" w:rsidP="00245F9B">
            <w:pPr>
              <w:pStyle w:val="lbltxt"/>
              <w:rPr>
                <w:noProof w:val="0"/>
                <w:szCs w:val="22"/>
                <w:lang w:val="fr-FR"/>
              </w:rPr>
            </w:pPr>
            <w:r w:rsidRPr="000E3770">
              <w:rPr>
                <w:b/>
                <w:noProof w:val="0"/>
                <w:szCs w:val="22"/>
                <w:lang w:val="fr-FR"/>
              </w:rPr>
              <w:t>France</w:t>
            </w:r>
          </w:p>
          <w:p w14:paraId="1D154E73" w14:textId="77777777" w:rsidR="00FC3CE5" w:rsidRPr="00021B73" w:rsidRDefault="00FC3CE5" w:rsidP="00245F9B">
            <w:pPr>
              <w:pStyle w:val="lbltxt"/>
              <w:rPr>
                <w:noProof w:val="0"/>
                <w:szCs w:val="22"/>
                <w:lang w:val="fr-FR"/>
              </w:rPr>
            </w:pPr>
            <w:r w:rsidRPr="00021B73">
              <w:rPr>
                <w:noProof w:val="0"/>
                <w:szCs w:val="22"/>
                <w:lang w:val="fr-FR"/>
              </w:rPr>
              <w:t>Amgen S.A.S.</w:t>
            </w:r>
          </w:p>
          <w:p w14:paraId="556F4B06" w14:textId="77777777" w:rsidR="00FC3CE5" w:rsidRPr="00FD7F9C" w:rsidRDefault="00FC3CE5" w:rsidP="00245F9B">
            <w:pPr>
              <w:rPr>
                <w:rFonts w:ascii="Times New Roman" w:hAnsi="Times New Roman" w:cs="Times New Roman"/>
                <w:b/>
                <w:sz w:val="22"/>
                <w:szCs w:val="22"/>
                <w:lang w:val="fr-FR"/>
              </w:rPr>
            </w:pPr>
            <w:proofErr w:type="gramStart"/>
            <w:r w:rsidRPr="00FD7F9C">
              <w:rPr>
                <w:rFonts w:ascii="Times New Roman" w:hAnsi="Times New Roman" w:cs="Times New Roman"/>
                <w:sz w:val="22"/>
                <w:szCs w:val="22"/>
                <w:lang w:val="fr-FR"/>
              </w:rPr>
              <w:t>Tél:</w:t>
            </w:r>
            <w:proofErr w:type="gramEnd"/>
            <w:r w:rsidRPr="00FD7F9C">
              <w:rPr>
                <w:rFonts w:ascii="Times New Roman" w:hAnsi="Times New Roman" w:cs="Times New Roman"/>
                <w:sz w:val="22"/>
                <w:szCs w:val="22"/>
                <w:lang w:val="fr-FR"/>
              </w:rPr>
              <w:t xml:space="preserve"> +33 (0)9 69 363 363</w:t>
            </w:r>
          </w:p>
        </w:tc>
        <w:tc>
          <w:tcPr>
            <w:tcW w:w="4680" w:type="dxa"/>
          </w:tcPr>
          <w:p w14:paraId="299DF654" w14:textId="77777777" w:rsidR="00FC3CE5" w:rsidRPr="001C3E73" w:rsidRDefault="00FC3CE5" w:rsidP="00245F9B">
            <w:pPr>
              <w:pStyle w:val="lbltxt"/>
              <w:rPr>
                <w:noProof w:val="0"/>
                <w:szCs w:val="22"/>
                <w:lang w:val="es-ES"/>
              </w:rPr>
            </w:pPr>
            <w:r w:rsidRPr="001C3E73">
              <w:rPr>
                <w:b/>
                <w:noProof w:val="0"/>
                <w:szCs w:val="22"/>
                <w:lang w:val="es-ES"/>
              </w:rPr>
              <w:t>Portugal</w:t>
            </w:r>
          </w:p>
          <w:p w14:paraId="2BFFC37E" w14:textId="77777777" w:rsidR="00FC3CE5" w:rsidRPr="001C3E73" w:rsidRDefault="00FC3CE5" w:rsidP="00245F9B">
            <w:pPr>
              <w:pStyle w:val="lbltxt"/>
              <w:rPr>
                <w:noProof w:val="0"/>
                <w:szCs w:val="22"/>
                <w:lang w:val="es-ES"/>
              </w:rPr>
            </w:pPr>
            <w:r w:rsidRPr="001C3E73">
              <w:rPr>
                <w:noProof w:val="0"/>
                <w:szCs w:val="22"/>
                <w:lang w:val="es-ES"/>
              </w:rPr>
              <w:t xml:space="preserve">Amgen </w:t>
            </w:r>
            <w:proofErr w:type="spellStart"/>
            <w:r w:rsidRPr="001C3E73">
              <w:rPr>
                <w:noProof w:val="0"/>
                <w:szCs w:val="22"/>
                <w:lang w:val="es-ES"/>
              </w:rPr>
              <w:t>Biofarmacêutica</w:t>
            </w:r>
            <w:proofErr w:type="spellEnd"/>
            <w:r w:rsidRPr="001C3E73">
              <w:rPr>
                <w:noProof w:val="0"/>
                <w:szCs w:val="22"/>
                <w:lang w:val="es-ES"/>
              </w:rPr>
              <w:t>, Lda.</w:t>
            </w:r>
          </w:p>
          <w:p w14:paraId="0DFB7D7C" w14:textId="77777777" w:rsidR="007C048C" w:rsidRPr="001C3E73" w:rsidRDefault="00FC3CE5" w:rsidP="007C048C">
            <w:pPr>
              <w:rPr>
                <w:rFonts w:ascii="Times New Roman" w:hAnsi="Times New Roman" w:cs="Times New Roman"/>
                <w:lang w:val="es-ES"/>
              </w:rPr>
            </w:pPr>
            <w:r w:rsidRPr="001C3E73">
              <w:rPr>
                <w:rFonts w:ascii="Times New Roman" w:hAnsi="Times New Roman" w:cs="Times New Roman"/>
                <w:szCs w:val="22"/>
                <w:lang w:val="es-ES"/>
              </w:rPr>
              <w:t>Tel: +351 21 422</w:t>
            </w:r>
            <w:r w:rsidR="007C048C" w:rsidRPr="001C3E73">
              <w:rPr>
                <w:rFonts w:ascii="Times New Roman" w:hAnsi="Times New Roman" w:cs="Times New Roman"/>
                <w:lang w:val="es-ES"/>
              </w:rPr>
              <w:t>0606</w:t>
            </w:r>
          </w:p>
          <w:p w14:paraId="0409C72E" w14:textId="77777777" w:rsidR="00FC3CE5" w:rsidRPr="001C3E73" w:rsidRDefault="00FC3CE5" w:rsidP="00245F9B">
            <w:pPr>
              <w:pStyle w:val="lbltxt"/>
              <w:rPr>
                <w:noProof w:val="0"/>
                <w:szCs w:val="22"/>
                <w:lang w:val="es-ES"/>
              </w:rPr>
            </w:pPr>
          </w:p>
          <w:p w14:paraId="062AEDFB" w14:textId="77777777" w:rsidR="00FC3CE5" w:rsidRPr="001C3E73" w:rsidRDefault="00FC3CE5" w:rsidP="00245F9B">
            <w:pPr>
              <w:pStyle w:val="lbltxt"/>
              <w:rPr>
                <w:noProof w:val="0"/>
                <w:szCs w:val="22"/>
                <w:lang w:val="es-ES"/>
              </w:rPr>
            </w:pPr>
          </w:p>
        </w:tc>
      </w:tr>
      <w:tr w:rsidR="00FC3CE5" w:rsidRPr="00BC56FD" w14:paraId="2AA6C793" w14:textId="77777777" w:rsidTr="00245F9B">
        <w:trPr>
          <w:cantSplit/>
        </w:trPr>
        <w:tc>
          <w:tcPr>
            <w:tcW w:w="4680" w:type="dxa"/>
            <w:gridSpan w:val="2"/>
            <w:hideMark/>
          </w:tcPr>
          <w:p w14:paraId="4FA6EDD1" w14:textId="77777777" w:rsidR="00FC3CE5" w:rsidRPr="00FD7F9C" w:rsidRDefault="00FC3CE5" w:rsidP="00245F9B">
            <w:pPr>
              <w:rPr>
                <w:rFonts w:ascii="Times New Roman" w:hAnsi="Times New Roman" w:cs="Times New Roman"/>
                <w:sz w:val="22"/>
                <w:szCs w:val="22"/>
                <w:lang w:val="es-VE"/>
              </w:rPr>
            </w:pPr>
            <w:proofErr w:type="spellStart"/>
            <w:r w:rsidRPr="00FD7F9C">
              <w:rPr>
                <w:rFonts w:ascii="Times New Roman" w:hAnsi="Times New Roman" w:cs="Times New Roman"/>
                <w:b/>
                <w:sz w:val="22"/>
                <w:szCs w:val="22"/>
                <w:lang w:val="es-VE"/>
              </w:rPr>
              <w:t>Hrvatska</w:t>
            </w:r>
            <w:proofErr w:type="spellEnd"/>
          </w:p>
          <w:p w14:paraId="51FE48BC" w14:textId="77777777" w:rsidR="00FC3CE5" w:rsidRPr="00FD7F9C" w:rsidRDefault="00FC3CE5" w:rsidP="00245F9B">
            <w:pPr>
              <w:rPr>
                <w:rFonts w:ascii="Times New Roman" w:hAnsi="Times New Roman" w:cs="Times New Roman"/>
                <w:sz w:val="22"/>
                <w:szCs w:val="22"/>
                <w:lang w:val="es-VE"/>
              </w:rPr>
            </w:pPr>
            <w:r w:rsidRPr="00FD7F9C">
              <w:rPr>
                <w:rFonts w:ascii="Times New Roman" w:hAnsi="Times New Roman" w:cs="Times New Roman"/>
                <w:sz w:val="22"/>
                <w:szCs w:val="22"/>
                <w:lang w:val="es-VE"/>
              </w:rPr>
              <w:t xml:space="preserve">Amgen </w:t>
            </w:r>
            <w:proofErr w:type="spellStart"/>
            <w:r w:rsidRPr="00FD7F9C">
              <w:rPr>
                <w:rFonts w:ascii="Times New Roman" w:hAnsi="Times New Roman" w:cs="Times New Roman"/>
                <w:sz w:val="22"/>
                <w:szCs w:val="22"/>
                <w:lang w:val="es-VE"/>
              </w:rPr>
              <w:t>d.o.o</w:t>
            </w:r>
            <w:proofErr w:type="spellEnd"/>
            <w:r w:rsidRPr="00FD7F9C">
              <w:rPr>
                <w:rFonts w:ascii="Times New Roman" w:hAnsi="Times New Roman" w:cs="Times New Roman"/>
                <w:sz w:val="22"/>
                <w:szCs w:val="22"/>
                <w:lang w:val="es-VE"/>
              </w:rPr>
              <w:t>.</w:t>
            </w:r>
          </w:p>
          <w:p w14:paraId="23393E06" w14:textId="77777777" w:rsidR="00FC3CE5" w:rsidRPr="00FD7F9C" w:rsidRDefault="00FC3CE5" w:rsidP="00245F9B">
            <w:pPr>
              <w:rPr>
                <w:rFonts w:ascii="Times New Roman" w:hAnsi="Times New Roman" w:cs="Times New Roman"/>
                <w:sz w:val="22"/>
                <w:szCs w:val="22"/>
              </w:rPr>
            </w:pPr>
            <w:r w:rsidRPr="00FD7F9C">
              <w:rPr>
                <w:rFonts w:ascii="Times New Roman" w:hAnsi="Times New Roman" w:cs="Times New Roman"/>
                <w:sz w:val="22"/>
                <w:szCs w:val="22"/>
              </w:rPr>
              <w:t>Tel: +385 (0)1 562 57 20</w:t>
            </w:r>
          </w:p>
        </w:tc>
        <w:tc>
          <w:tcPr>
            <w:tcW w:w="4680" w:type="dxa"/>
          </w:tcPr>
          <w:p w14:paraId="660D2AF8" w14:textId="77777777" w:rsidR="00FC3CE5" w:rsidRPr="004474EE" w:rsidRDefault="00FC3CE5" w:rsidP="00245F9B">
            <w:pPr>
              <w:suppressAutoHyphens/>
              <w:rPr>
                <w:rFonts w:ascii="Times New Roman" w:hAnsi="Times New Roman" w:cs="Times New Roman"/>
                <w:b/>
                <w:sz w:val="22"/>
                <w:szCs w:val="22"/>
                <w:lang w:val="es-ES"/>
              </w:rPr>
            </w:pPr>
            <w:proofErr w:type="spellStart"/>
            <w:r w:rsidRPr="004474EE">
              <w:rPr>
                <w:rFonts w:ascii="Times New Roman" w:hAnsi="Times New Roman" w:cs="Times New Roman"/>
                <w:b/>
                <w:sz w:val="22"/>
                <w:szCs w:val="22"/>
                <w:lang w:val="es-ES"/>
              </w:rPr>
              <w:t>România</w:t>
            </w:r>
            <w:proofErr w:type="spellEnd"/>
          </w:p>
          <w:p w14:paraId="22364E2D" w14:textId="77777777" w:rsidR="00FC3CE5" w:rsidRPr="004474EE" w:rsidRDefault="00FC3CE5" w:rsidP="00245F9B">
            <w:pPr>
              <w:rPr>
                <w:rFonts w:ascii="Times New Roman" w:hAnsi="Times New Roman" w:cs="Times New Roman"/>
                <w:color w:val="000000"/>
                <w:sz w:val="22"/>
                <w:szCs w:val="22"/>
                <w:lang w:val="es-ES"/>
              </w:rPr>
            </w:pPr>
            <w:r w:rsidRPr="004474EE">
              <w:rPr>
                <w:rFonts w:ascii="Times New Roman" w:hAnsi="Times New Roman" w:cs="Times New Roman"/>
                <w:color w:val="000000"/>
                <w:sz w:val="22"/>
                <w:szCs w:val="22"/>
                <w:lang w:val="es-ES"/>
              </w:rPr>
              <w:t xml:space="preserve">Amgen </w:t>
            </w:r>
            <w:proofErr w:type="spellStart"/>
            <w:r w:rsidRPr="004474EE">
              <w:rPr>
                <w:rFonts w:ascii="Times New Roman" w:hAnsi="Times New Roman" w:cs="Times New Roman"/>
                <w:color w:val="000000"/>
                <w:sz w:val="22"/>
                <w:szCs w:val="22"/>
                <w:lang w:val="es-ES"/>
              </w:rPr>
              <w:t>România</w:t>
            </w:r>
            <w:proofErr w:type="spellEnd"/>
            <w:r w:rsidRPr="004474EE">
              <w:rPr>
                <w:rFonts w:ascii="Times New Roman" w:hAnsi="Times New Roman" w:cs="Times New Roman"/>
                <w:color w:val="000000"/>
                <w:sz w:val="22"/>
                <w:szCs w:val="22"/>
                <w:lang w:val="es-ES"/>
              </w:rPr>
              <w:t xml:space="preserve"> SRL</w:t>
            </w:r>
          </w:p>
          <w:p w14:paraId="1861E546" w14:textId="77777777" w:rsidR="00FC3CE5" w:rsidRPr="004474EE" w:rsidRDefault="00FC3CE5" w:rsidP="00245F9B">
            <w:pPr>
              <w:pStyle w:val="lbltxt"/>
              <w:rPr>
                <w:noProof w:val="0"/>
                <w:szCs w:val="22"/>
                <w:lang w:val="es-ES"/>
              </w:rPr>
            </w:pPr>
            <w:r w:rsidRPr="004474EE">
              <w:rPr>
                <w:noProof w:val="0"/>
                <w:szCs w:val="22"/>
                <w:lang w:val="es-ES"/>
              </w:rPr>
              <w:t>Tel: +4021 527 3000</w:t>
            </w:r>
          </w:p>
          <w:p w14:paraId="7EA5687F" w14:textId="77777777" w:rsidR="00FC3CE5" w:rsidRPr="004474EE" w:rsidRDefault="00FC3CE5" w:rsidP="00245F9B">
            <w:pPr>
              <w:pStyle w:val="lbltxt"/>
              <w:rPr>
                <w:noProof w:val="0"/>
                <w:szCs w:val="22"/>
                <w:lang w:val="es-ES"/>
              </w:rPr>
            </w:pPr>
          </w:p>
        </w:tc>
      </w:tr>
      <w:tr w:rsidR="00FC3CE5" w:rsidRPr="00FD7F9C" w14:paraId="71D45F54" w14:textId="77777777" w:rsidTr="00245F9B">
        <w:trPr>
          <w:cantSplit/>
        </w:trPr>
        <w:tc>
          <w:tcPr>
            <w:tcW w:w="4680" w:type="dxa"/>
            <w:gridSpan w:val="2"/>
          </w:tcPr>
          <w:p w14:paraId="5B431A8F" w14:textId="77777777" w:rsidR="00FC3CE5" w:rsidRPr="008A2F57" w:rsidRDefault="00FC3CE5" w:rsidP="00245F9B">
            <w:pPr>
              <w:pStyle w:val="lbltxt"/>
              <w:rPr>
                <w:noProof w:val="0"/>
                <w:szCs w:val="22"/>
              </w:rPr>
            </w:pPr>
            <w:r w:rsidRPr="000E3770">
              <w:rPr>
                <w:b/>
                <w:noProof w:val="0"/>
                <w:szCs w:val="22"/>
              </w:rPr>
              <w:t>Ireland</w:t>
            </w:r>
          </w:p>
          <w:p w14:paraId="385EB6B8" w14:textId="77777777" w:rsidR="00FC3CE5" w:rsidRPr="00021B73" w:rsidRDefault="00FC3CE5" w:rsidP="00245F9B">
            <w:pPr>
              <w:pStyle w:val="lbltxt"/>
              <w:rPr>
                <w:noProof w:val="0"/>
                <w:szCs w:val="22"/>
              </w:rPr>
            </w:pPr>
            <w:r w:rsidRPr="00021B73">
              <w:rPr>
                <w:noProof w:val="0"/>
                <w:szCs w:val="22"/>
              </w:rPr>
              <w:t>Amgen</w:t>
            </w:r>
            <w:r w:rsidR="007C048C">
              <w:rPr>
                <w:rFonts w:eastAsia="Arial Unicode MS"/>
                <w:bCs/>
                <w:szCs w:val="22"/>
                <w:lang w:val="hr-HR"/>
              </w:rPr>
              <w:t xml:space="preserve"> Ireland</w:t>
            </w:r>
            <w:r w:rsidRPr="00021B73">
              <w:rPr>
                <w:noProof w:val="0"/>
                <w:szCs w:val="22"/>
              </w:rPr>
              <w:t xml:space="preserve"> Limited</w:t>
            </w:r>
          </w:p>
          <w:p w14:paraId="2494715C" w14:textId="77777777" w:rsidR="00FC3CE5" w:rsidRPr="006E2FCA" w:rsidRDefault="00FC3CE5" w:rsidP="00245F9B">
            <w:pPr>
              <w:pStyle w:val="lbltxt"/>
              <w:rPr>
                <w:rStyle w:val="Initial"/>
                <w:rFonts w:ascii="Times New Roman" w:hAnsi="Times New Roman" w:cs="Times New Roman"/>
                <w:sz w:val="22"/>
                <w:szCs w:val="22"/>
              </w:rPr>
            </w:pPr>
            <w:r w:rsidRPr="00DD4419">
              <w:rPr>
                <w:szCs w:val="22"/>
              </w:rPr>
              <w:t xml:space="preserve">Tel: </w:t>
            </w:r>
            <w:r w:rsidRPr="00DD4419">
              <w:rPr>
                <w:noProof w:val="0"/>
                <w:szCs w:val="22"/>
              </w:rPr>
              <w:t>+</w:t>
            </w:r>
            <w:r w:rsidR="007C048C" w:rsidRPr="00E61FEC">
              <w:rPr>
                <w:noProof w:val="0"/>
                <w:lang w:val="en-US"/>
              </w:rPr>
              <w:t>353 1 8527400</w:t>
            </w:r>
          </w:p>
          <w:p w14:paraId="6DCD98F5" w14:textId="77777777" w:rsidR="00FC3CE5" w:rsidRPr="00FD7F9C" w:rsidRDefault="00FC3CE5" w:rsidP="00245F9B">
            <w:pPr>
              <w:rPr>
                <w:rFonts w:ascii="Times New Roman" w:hAnsi="Times New Roman" w:cs="Times New Roman"/>
                <w:sz w:val="22"/>
                <w:szCs w:val="22"/>
              </w:rPr>
            </w:pPr>
          </w:p>
        </w:tc>
        <w:tc>
          <w:tcPr>
            <w:tcW w:w="4680" w:type="dxa"/>
          </w:tcPr>
          <w:p w14:paraId="0371D43C" w14:textId="77777777" w:rsidR="00FC3CE5" w:rsidRPr="004474EE" w:rsidRDefault="00FC3CE5" w:rsidP="00245F9B">
            <w:pPr>
              <w:pStyle w:val="lbltxt"/>
              <w:rPr>
                <w:b/>
                <w:noProof w:val="0"/>
                <w:szCs w:val="22"/>
                <w:lang w:val="es-ES"/>
              </w:rPr>
            </w:pPr>
            <w:proofErr w:type="spellStart"/>
            <w:r w:rsidRPr="004474EE">
              <w:rPr>
                <w:b/>
                <w:noProof w:val="0"/>
                <w:szCs w:val="22"/>
                <w:lang w:val="es-ES"/>
              </w:rPr>
              <w:t>Slovenija</w:t>
            </w:r>
            <w:proofErr w:type="spellEnd"/>
          </w:p>
          <w:p w14:paraId="40E7C48F" w14:textId="77777777" w:rsidR="00FC3CE5" w:rsidRPr="004474EE" w:rsidRDefault="00FC3CE5" w:rsidP="00245F9B">
            <w:pPr>
              <w:pStyle w:val="lbltxt"/>
              <w:rPr>
                <w:bCs/>
                <w:noProof w:val="0"/>
                <w:szCs w:val="22"/>
                <w:lang w:val="es-ES"/>
              </w:rPr>
            </w:pPr>
            <w:r w:rsidRPr="004474EE">
              <w:rPr>
                <w:noProof w:val="0"/>
                <w:szCs w:val="22"/>
                <w:lang w:val="es-ES"/>
              </w:rPr>
              <w:t xml:space="preserve">AMGEN </w:t>
            </w:r>
            <w:proofErr w:type="spellStart"/>
            <w:r w:rsidRPr="004474EE">
              <w:rPr>
                <w:noProof w:val="0"/>
                <w:szCs w:val="22"/>
                <w:lang w:val="es-ES"/>
              </w:rPr>
              <w:t>zdravila</w:t>
            </w:r>
            <w:proofErr w:type="spellEnd"/>
            <w:r w:rsidRPr="004474EE">
              <w:rPr>
                <w:noProof w:val="0"/>
                <w:szCs w:val="22"/>
                <w:lang w:val="es-ES"/>
              </w:rPr>
              <w:t xml:space="preserve"> </w:t>
            </w:r>
            <w:proofErr w:type="spellStart"/>
            <w:r w:rsidRPr="004474EE">
              <w:rPr>
                <w:noProof w:val="0"/>
                <w:szCs w:val="22"/>
                <w:lang w:val="es-ES"/>
              </w:rPr>
              <w:t>d.o.o</w:t>
            </w:r>
            <w:proofErr w:type="spellEnd"/>
            <w:r w:rsidRPr="004474EE">
              <w:rPr>
                <w:noProof w:val="0"/>
                <w:szCs w:val="22"/>
                <w:lang w:val="es-ES"/>
              </w:rPr>
              <w:t>.</w:t>
            </w:r>
          </w:p>
          <w:p w14:paraId="166C75B9" w14:textId="77777777" w:rsidR="00FC3CE5" w:rsidRPr="00DD4419" w:rsidRDefault="00FC3CE5" w:rsidP="00245F9B">
            <w:pPr>
              <w:pStyle w:val="lbltxt"/>
              <w:rPr>
                <w:bCs/>
                <w:noProof w:val="0"/>
                <w:szCs w:val="22"/>
              </w:rPr>
            </w:pPr>
            <w:r w:rsidRPr="00DD4419">
              <w:rPr>
                <w:bCs/>
                <w:noProof w:val="0"/>
                <w:szCs w:val="22"/>
              </w:rPr>
              <w:t>Tel: +386 (0)1 585 1767</w:t>
            </w:r>
          </w:p>
          <w:p w14:paraId="59ECF087" w14:textId="77777777" w:rsidR="00FC3CE5" w:rsidRPr="006E2FCA" w:rsidRDefault="00FC3CE5" w:rsidP="00245F9B">
            <w:pPr>
              <w:pStyle w:val="lbltxt"/>
              <w:rPr>
                <w:noProof w:val="0"/>
                <w:szCs w:val="22"/>
              </w:rPr>
            </w:pPr>
          </w:p>
        </w:tc>
      </w:tr>
      <w:tr w:rsidR="00FC3CE5" w:rsidRPr="00FD7F9C" w14:paraId="751987EC" w14:textId="77777777" w:rsidTr="00245F9B">
        <w:trPr>
          <w:cantSplit/>
        </w:trPr>
        <w:tc>
          <w:tcPr>
            <w:tcW w:w="4680" w:type="dxa"/>
            <w:gridSpan w:val="2"/>
          </w:tcPr>
          <w:p w14:paraId="7B5A161E" w14:textId="77777777" w:rsidR="00FC3CE5" w:rsidRPr="000E3770" w:rsidRDefault="00FC3CE5" w:rsidP="00245F9B">
            <w:pPr>
              <w:pStyle w:val="lbltxt"/>
              <w:rPr>
                <w:b/>
                <w:noProof w:val="0"/>
                <w:szCs w:val="22"/>
              </w:rPr>
            </w:pPr>
            <w:proofErr w:type="spellStart"/>
            <w:r w:rsidRPr="000E3770">
              <w:rPr>
                <w:b/>
                <w:noProof w:val="0"/>
                <w:szCs w:val="22"/>
              </w:rPr>
              <w:t>Ísland</w:t>
            </w:r>
            <w:proofErr w:type="spellEnd"/>
          </w:p>
          <w:p w14:paraId="4A0F7FCC" w14:textId="77777777" w:rsidR="00FC3CE5" w:rsidRPr="00021B73" w:rsidRDefault="00FC3CE5" w:rsidP="00245F9B">
            <w:pPr>
              <w:pStyle w:val="lbltxt"/>
              <w:rPr>
                <w:noProof w:val="0"/>
                <w:szCs w:val="22"/>
              </w:rPr>
            </w:pPr>
            <w:proofErr w:type="spellStart"/>
            <w:r w:rsidRPr="00021B73">
              <w:rPr>
                <w:noProof w:val="0"/>
                <w:szCs w:val="22"/>
              </w:rPr>
              <w:t>Vistor</w:t>
            </w:r>
            <w:proofErr w:type="spellEnd"/>
            <w:r w:rsidRPr="00021B73">
              <w:rPr>
                <w:noProof w:val="0"/>
                <w:szCs w:val="22"/>
              </w:rPr>
              <w:t xml:space="preserve"> hf.</w:t>
            </w:r>
          </w:p>
          <w:p w14:paraId="4FA69B89" w14:textId="77777777" w:rsidR="00FC3CE5" w:rsidRPr="005D46E4" w:rsidRDefault="00FC3CE5" w:rsidP="00245F9B">
            <w:pPr>
              <w:pStyle w:val="lbltxt"/>
              <w:rPr>
                <w:noProof w:val="0"/>
                <w:szCs w:val="22"/>
              </w:rPr>
            </w:pPr>
            <w:r w:rsidRPr="005D46E4">
              <w:rPr>
                <w:noProof w:val="0"/>
                <w:szCs w:val="22"/>
              </w:rPr>
              <w:t>Sími: +354 535 7000</w:t>
            </w:r>
          </w:p>
          <w:p w14:paraId="45A9BC39" w14:textId="77777777" w:rsidR="00FC3CE5" w:rsidRPr="00DD4419" w:rsidRDefault="00FC3CE5" w:rsidP="00245F9B">
            <w:pPr>
              <w:pStyle w:val="lbltxt"/>
              <w:rPr>
                <w:b/>
                <w:bCs/>
                <w:noProof w:val="0"/>
                <w:szCs w:val="22"/>
              </w:rPr>
            </w:pPr>
          </w:p>
        </w:tc>
        <w:tc>
          <w:tcPr>
            <w:tcW w:w="4680" w:type="dxa"/>
          </w:tcPr>
          <w:p w14:paraId="1BA6AE4D" w14:textId="77777777" w:rsidR="00FC3CE5" w:rsidRPr="008C2A94" w:rsidRDefault="00FC3CE5" w:rsidP="00245F9B">
            <w:pPr>
              <w:pStyle w:val="lbltxt"/>
              <w:rPr>
                <w:b/>
                <w:noProof w:val="0"/>
                <w:szCs w:val="22"/>
                <w:lang w:val="nb-NO"/>
              </w:rPr>
            </w:pPr>
            <w:r w:rsidRPr="008C2A94">
              <w:rPr>
                <w:b/>
                <w:noProof w:val="0"/>
                <w:szCs w:val="22"/>
                <w:lang w:val="nb-NO"/>
              </w:rPr>
              <w:t>Slovenská republika</w:t>
            </w:r>
          </w:p>
          <w:p w14:paraId="64798069" w14:textId="77777777" w:rsidR="00FC3CE5" w:rsidRPr="008C2A94" w:rsidRDefault="00FC3CE5" w:rsidP="00245F9B">
            <w:pPr>
              <w:pStyle w:val="lbltxt"/>
              <w:rPr>
                <w:bCs/>
                <w:noProof w:val="0"/>
                <w:szCs w:val="22"/>
                <w:lang w:val="nb-NO"/>
              </w:rPr>
            </w:pPr>
            <w:r w:rsidRPr="008C2A94">
              <w:rPr>
                <w:bCs/>
                <w:noProof w:val="0"/>
                <w:szCs w:val="22"/>
                <w:lang w:val="nb-NO"/>
              </w:rPr>
              <w:t>Amgen Slovakia s.r.o.</w:t>
            </w:r>
          </w:p>
          <w:p w14:paraId="24401E14" w14:textId="77777777" w:rsidR="00FC3CE5" w:rsidRPr="00F90C75" w:rsidRDefault="00FC3CE5" w:rsidP="00245F9B">
            <w:pPr>
              <w:pStyle w:val="lbltxt"/>
              <w:rPr>
                <w:bCs/>
                <w:noProof w:val="0"/>
                <w:szCs w:val="22"/>
              </w:rPr>
            </w:pPr>
            <w:r w:rsidRPr="00F90C75">
              <w:rPr>
                <w:bCs/>
                <w:noProof w:val="0"/>
                <w:szCs w:val="22"/>
              </w:rPr>
              <w:t>Tel: +421 2 321 114 49</w:t>
            </w:r>
          </w:p>
          <w:p w14:paraId="4ACEA840" w14:textId="77777777" w:rsidR="00FC3CE5" w:rsidRPr="00E47D8C" w:rsidRDefault="00FC3CE5" w:rsidP="00245F9B">
            <w:pPr>
              <w:pStyle w:val="lbltxt"/>
              <w:rPr>
                <w:noProof w:val="0"/>
                <w:szCs w:val="22"/>
              </w:rPr>
            </w:pPr>
          </w:p>
        </w:tc>
      </w:tr>
      <w:tr w:rsidR="00FC3CE5" w:rsidRPr="00FD7F9C" w14:paraId="08595D11" w14:textId="77777777" w:rsidTr="00245F9B">
        <w:trPr>
          <w:cantSplit/>
        </w:trPr>
        <w:tc>
          <w:tcPr>
            <w:tcW w:w="4680" w:type="dxa"/>
            <w:gridSpan w:val="2"/>
            <w:hideMark/>
          </w:tcPr>
          <w:p w14:paraId="6F805F6B" w14:textId="77777777" w:rsidR="00FC3CE5" w:rsidRPr="001C3E73" w:rsidRDefault="00FC3CE5" w:rsidP="00245F9B">
            <w:pPr>
              <w:pStyle w:val="lbltxt"/>
              <w:rPr>
                <w:noProof w:val="0"/>
                <w:szCs w:val="22"/>
                <w:lang w:val="es-ES"/>
              </w:rPr>
            </w:pPr>
            <w:r w:rsidRPr="001C3E73">
              <w:rPr>
                <w:b/>
                <w:noProof w:val="0"/>
                <w:szCs w:val="22"/>
                <w:lang w:val="es-ES"/>
              </w:rPr>
              <w:t>Italia</w:t>
            </w:r>
          </w:p>
          <w:p w14:paraId="2AD98149" w14:textId="77777777" w:rsidR="00FC3CE5" w:rsidRPr="001C3E73" w:rsidRDefault="00FC3CE5" w:rsidP="00245F9B">
            <w:pPr>
              <w:pStyle w:val="lbltxt"/>
              <w:rPr>
                <w:noProof w:val="0"/>
                <w:szCs w:val="22"/>
                <w:lang w:val="es-ES"/>
              </w:rPr>
            </w:pPr>
            <w:r w:rsidRPr="001C3E73">
              <w:rPr>
                <w:noProof w:val="0"/>
                <w:szCs w:val="22"/>
                <w:lang w:val="es-ES"/>
              </w:rPr>
              <w:t xml:space="preserve">Amgen </w:t>
            </w:r>
            <w:proofErr w:type="spellStart"/>
            <w:r w:rsidRPr="001C3E73">
              <w:rPr>
                <w:noProof w:val="0"/>
                <w:szCs w:val="22"/>
                <w:lang w:val="es-ES"/>
              </w:rPr>
              <w:t>S.r.l</w:t>
            </w:r>
            <w:proofErr w:type="spellEnd"/>
            <w:r w:rsidRPr="001C3E73">
              <w:rPr>
                <w:noProof w:val="0"/>
                <w:szCs w:val="22"/>
                <w:lang w:val="es-ES"/>
              </w:rPr>
              <w:t>.</w:t>
            </w:r>
          </w:p>
          <w:p w14:paraId="75419945" w14:textId="77777777" w:rsidR="00FC3CE5" w:rsidRPr="005D46E4" w:rsidRDefault="00FC3CE5" w:rsidP="00245F9B">
            <w:pPr>
              <w:pStyle w:val="lbltxt"/>
              <w:rPr>
                <w:noProof w:val="0"/>
                <w:szCs w:val="22"/>
              </w:rPr>
            </w:pPr>
            <w:r w:rsidRPr="005D46E4">
              <w:rPr>
                <w:noProof w:val="0"/>
                <w:szCs w:val="22"/>
              </w:rPr>
              <w:t>Tel: +39 02 6241121</w:t>
            </w:r>
          </w:p>
        </w:tc>
        <w:tc>
          <w:tcPr>
            <w:tcW w:w="4680" w:type="dxa"/>
          </w:tcPr>
          <w:p w14:paraId="70A1DE68" w14:textId="77777777" w:rsidR="00FC3CE5" w:rsidRPr="001C3E73" w:rsidRDefault="00FC3CE5" w:rsidP="00245F9B">
            <w:pPr>
              <w:pStyle w:val="lbltxt"/>
              <w:rPr>
                <w:noProof w:val="0"/>
                <w:szCs w:val="22"/>
                <w:lang w:val="it-IT"/>
              </w:rPr>
            </w:pPr>
            <w:r w:rsidRPr="001C3E73">
              <w:rPr>
                <w:b/>
                <w:noProof w:val="0"/>
                <w:szCs w:val="22"/>
                <w:lang w:val="it-IT"/>
              </w:rPr>
              <w:t>Suomi/Finland</w:t>
            </w:r>
          </w:p>
          <w:p w14:paraId="0CDE1CD1" w14:textId="77777777" w:rsidR="00FC3CE5" w:rsidRPr="001C3E73" w:rsidRDefault="00FC3CE5" w:rsidP="00245F9B">
            <w:pPr>
              <w:pStyle w:val="lbltxt"/>
              <w:rPr>
                <w:noProof w:val="0"/>
                <w:szCs w:val="22"/>
                <w:lang w:val="it-IT"/>
              </w:rPr>
            </w:pPr>
            <w:r w:rsidRPr="001C3E73">
              <w:rPr>
                <w:noProof w:val="0"/>
                <w:szCs w:val="22"/>
                <w:lang w:val="it-IT"/>
              </w:rPr>
              <w:t>Amgen AB, sivuliike Suomessa/Amgen AB, filial i Finland</w:t>
            </w:r>
          </w:p>
          <w:p w14:paraId="40043A18" w14:textId="77777777" w:rsidR="00FC3CE5" w:rsidRPr="00DE33C3" w:rsidRDefault="00FC3CE5" w:rsidP="00245F9B">
            <w:pPr>
              <w:pStyle w:val="lbltxt"/>
              <w:rPr>
                <w:noProof w:val="0"/>
                <w:szCs w:val="22"/>
              </w:rPr>
            </w:pPr>
            <w:r w:rsidRPr="00DE33C3">
              <w:rPr>
                <w:noProof w:val="0"/>
                <w:szCs w:val="22"/>
              </w:rPr>
              <w:t>Puh/Tel: +358 (0)9 54900500</w:t>
            </w:r>
          </w:p>
          <w:p w14:paraId="7D357F16" w14:textId="77777777" w:rsidR="00FC3CE5" w:rsidRPr="00F90C75" w:rsidRDefault="00FC3CE5" w:rsidP="00245F9B">
            <w:pPr>
              <w:pStyle w:val="lbltxt"/>
              <w:rPr>
                <w:b/>
                <w:noProof w:val="0"/>
                <w:szCs w:val="22"/>
              </w:rPr>
            </w:pPr>
          </w:p>
        </w:tc>
      </w:tr>
      <w:tr w:rsidR="00FC3CE5" w:rsidRPr="00FD7F9C" w14:paraId="1DBC54B8" w14:textId="77777777" w:rsidTr="00245F9B">
        <w:trPr>
          <w:cantSplit/>
        </w:trPr>
        <w:tc>
          <w:tcPr>
            <w:tcW w:w="4680" w:type="dxa"/>
            <w:gridSpan w:val="2"/>
            <w:hideMark/>
          </w:tcPr>
          <w:p w14:paraId="67540235" w14:textId="77777777" w:rsidR="00FC3CE5" w:rsidRPr="004474EE" w:rsidRDefault="00FC3CE5" w:rsidP="00245F9B">
            <w:pPr>
              <w:pStyle w:val="lbltxt"/>
              <w:rPr>
                <w:b/>
                <w:noProof w:val="0"/>
                <w:szCs w:val="22"/>
                <w:lang w:val="es-ES"/>
              </w:rPr>
            </w:pPr>
            <w:r w:rsidRPr="004474EE">
              <w:rPr>
                <w:b/>
                <w:noProof w:val="0"/>
                <w:szCs w:val="22"/>
                <w:lang w:val="es-ES"/>
              </w:rPr>
              <w:t>K</w:t>
            </w:r>
            <w:r w:rsidRPr="000E3770">
              <w:rPr>
                <w:b/>
                <w:noProof w:val="0"/>
                <w:szCs w:val="22"/>
              </w:rPr>
              <w:t>ύπ</w:t>
            </w:r>
            <w:proofErr w:type="spellStart"/>
            <w:r w:rsidRPr="000E3770">
              <w:rPr>
                <w:b/>
                <w:noProof w:val="0"/>
                <w:szCs w:val="22"/>
              </w:rPr>
              <w:t>ρος</w:t>
            </w:r>
            <w:proofErr w:type="spellEnd"/>
          </w:p>
          <w:p w14:paraId="1CE58B77" w14:textId="77777777" w:rsidR="00FC3CE5" w:rsidRPr="004474EE" w:rsidRDefault="00FC3CE5" w:rsidP="00245F9B">
            <w:pPr>
              <w:rPr>
                <w:rFonts w:ascii="Times New Roman" w:hAnsi="Times New Roman" w:cs="Times New Roman"/>
                <w:sz w:val="22"/>
                <w:szCs w:val="22"/>
                <w:lang w:val="es-ES"/>
              </w:rPr>
            </w:pPr>
            <w:r w:rsidRPr="004474EE">
              <w:rPr>
                <w:rFonts w:ascii="Times New Roman" w:hAnsi="Times New Roman" w:cs="Times New Roman"/>
                <w:sz w:val="22"/>
                <w:szCs w:val="22"/>
                <w:lang w:val="es-ES"/>
              </w:rPr>
              <w:t xml:space="preserve">C.A. </w:t>
            </w:r>
            <w:proofErr w:type="spellStart"/>
            <w:r w:rsidRPr="004474EE">
              <w:rPr>
                <w:rFonts w:ascii="Times New Roman" w:hAnsi="Times New Roman" w:cs="Times New Roman"/>
                <w:sz w:val="22"/>
                <w:szCs w:val="22"/>
                <w:lang w:val="es-ES"/>
              </w:rPr>
              <w:t>Papaellinas</w:t>
            </w:r>
            <w:proofErr w:type="spellEnd"/>
            <w:r w:rsidRPr="004474EE">
              <w:rPr>
                <w:rFonts w:ascii="Times New Roman" w:hAnsi="Times New Roman" w:cs="Times New Roman"/>
                <w:sz w:val="22"/>
                <w:szCs w:val="22"/>
                <w:lang w:val="es-ES"/>
              </w:rPr>
              <w:t xml:space="preserve"> </w:t>
            </w:r>
            <w:proofErr w:type="spellStart"/>
            <w:r w:rsidRPr="004474EE">
              <w:rPr>
                <w:rFonts w:ascii="Times New Roman" w:hAnsi="Times New Roman" w:cs="Times New Roman"/>
                <w:sz w:val="22"/>
                <w:szCs w:val="22"/>
                <w:lang w:val="es-ES"/>
              </w:rPr>
              <w:t>Ltd</w:t>
            </w:r>
            <w:proofErr w:type="spellEnd"/>
          </w:p>
          <w:p w14:paraId="2D241066" w14:textId="3791A2AC" w:rsidR="00FC3CE5" w:rsidRPr="004474EE" w:rsidRDefault="00FC3CE5" w:rsidP="00B032BC">
            <w:pPr>
              <w:pStyle w:val="lbltxt"/>
              <w:rPr>
                <w:noProof w:val="0"/>
                <w:szCs w:val="22"/>
                <w:lang w:val="es-ES"/>
              </w:rPr>
            </w:pPr>
            <w:proofErr w:type="spellStart"/>
            <w:r w:rsidRPr="000E3770">
              <w:rPr>
                <w:noProof w:val="0"/>
                <w:szCs w:val="22"/>
              </w:rPr>
              <w:t>Τηλ</w:t>
            </w:r>
            <w:proofErr w:type="spellEnd"/>
            <w:r w:rsidRPr="004474EE">
              <w:rPr>
                <w:noProof w:val="0"/>
                <w:szCs w:val="22"/>
                <w:lang w:val="es-ES"/>
              </w:rPr>
              <w:t>: +357 22741 741</w:t>
            </w:r>
          </w:p>
        </w:tc>
        <w:tc>
          <w:tcPr>
            <w:tcW w:w="4680" w:type="dxa"/>
          </w:tcPr>
          <w:p w14:paraId="5B95ED6C" w14:textId="77777777" w:rsidR="00FC3CE5" w:rsidRPr="005D46E4" w:rsidRDefault="00FC3CE5" w:rsidP="00245F9B">
            <w:pPr>
              <w:pStyle w:val="lbltxt"/>
              <w:rPr>
                <w:noProof w:val="0"/>
                <w:szCs w:val="22"/>
              </w:rPr>
            </w:pPr>
            <w:r w:rsidRPr="00021B73">
              <w:rPr>
                <w:b/>
                <w:noProof w:val="0"/>
                <w:szCs w:val="22"/>
              </w:rPr>
              <w:t>Sverige</w:t>
            </w:r>
          </w:p>
          <w:p w14:paraId="21C2364E" w14:textId="77777777" w:rsidR="00FC3CE5" w:rsidRPr="00DD4419" w:rsidRDefault="00FC3CE5" w:rsidP="00245F9B">
            <w:pPr>
              <w:pStyle w:val="lbltxt"/>
              <w:rPr>
                <w:noProof w:val="0"/>
                <w:szCs w:val="22"/>
              </w:rPr>
            </w:pPr>
            <w:r w:rsidRPr="00DD4419">
              <w:rPr>
                <w:noProof w:val="0"/>
                <w:szCs w:val="22"/>
              </w:rPr>
              <w:t>Amgen AB</w:t>
            </w:r>
          </w:p>
          <w:p w14:paraId="32AA21A8" w14:textId="77777777" w:rsidR="00FC3CE5" w:rsidRPr="006E2FCA" w:rsidRDefault="00FC3CE5" w:rsidP="00245F9B">
            <w:pPr>
              <w:pStyle w:val="lbltxt"/>
              <w:rPr>
                <w:noProof w:val="0"/>
                <w:szCs w:val="22"/>
              </w:rPr>
            </w:pPr>
            <w:r w:rsidRPr="006E2FCA">
              <w:rPr>
                <w:noProof w:val="0"/>
                <w:szCs w:val="22"/>
              </w:rPr>
              <w:t>Tel: +46 (0)8 6951100</w:t>
            </w:r>
          </w:p>
          <w:p w14:paraId="43DA0345" w14:textId="77777777" w:rsidR="00FC3CE5" w:rsidRPr="00DE33C3" w:rsidRDefault="00FC3CE5" w:rsidP="00245F9B">
            <w:pPr>
              <w:pStyle w:val="lbltxt"/>
              <w:rPr>
                <w:bCs/>
                <w:noProof w:val="0"/>
                <w:szCs w:val="22"/>
              </w:rPr>
            </w:pPr>
          </w:p>
        </w:tc>
      </w:tr>
      <w:tr w:rsidR="00FC3CE5" w:rsidRPr="00FD7F9C" w14:paraId="5BD53CC2" w14:textId="77777777" w:rsidTr="00245F9B">
        <w:trPr>
          <w:cantSplit/>
        </w:trPr>
        <w:tc>
          <w:tcPr>
            <w:tcW w:w="4680" w:type="dxa"/>
            <w:gridSpan w:val="2"/>
          </w:tcPr>
          <w:p w14:paraId="5D0AEAD6" w14:textId="77777777" w:rsidR="00FC3CE5" w:rsidRPr="008C2A94" w:rsidRDefault="00FC3CE5" w:rsidP="00245F9B">
            <w:pPr>
              <w:pStyle w:val="lbltxt"/>
              <w:rPr>
                <w:b/>
                <w:bCs/>
                <w:noProof w:val="0"/>
                <w:szCs w:val="22"/>
                <w:lang w:val="de-DE"/>
              </w:rPr>
            </w:pPr>
            <w:r w:rsidRPr="008C2A94">
              <w:rPr>
                <w:b/>
                <w:bCs/>
                <w:noProof w:val="0"/>
                <w:szCs w:val="22"/>
                <w:lang w:val="de-DE"/>
              </w:rPr>
              <w:t>Latvija</w:t>
            </w:r>
          </w:p>
          <w:p w14:paraId="06E00556" w14:textId="77777777" w:rsidR="00FC3CE5" w:rsidRPr="008C2A94" w:rsidRDefault="00FC3CE5" w:rsidP="00245F9B">
            <w:pPr>
              <w:pStyle w:val="lbltxt"/>
              <w:rPr>
                <w:noProof w:val="0"/>
                <w:szCs w:val="22"/>
                <w:lang w:val="de-DE"/>
              </w:rPr>
            </w:pPr>
            <w:r w:rsidRPr="008C2A94">
              <w:rPr>
                <w:noProof w:val="0"/>
                <w:szCs w:val="22"/>
                <w:lang w:val="de-DE"/>
              </w:rPr>
              <w:t>Amgen Switzerland AG Rīgas filiāle</w:t>
            </w:r>
          </w:p>
          <w:p w14:paraId="5B3975CE" w14:textId="77777777" w:rsidR="00FC3CE5" w:rsidRPr="00D83EF6" w:rsidRDefault="00FC3CE5" w:rsidP="00245F9B">
            <w:pPr>
              <w:pStyle w:val="lbltxt"/>
              <w:rPr>
                <w:noProof w:val="0"/>
                <w:szCs w:val="22"/>
              </w:rPr>
            </w:pPr>
            <w:r w:rsidRPr="005D46E4">
              <w:rPr>
                <w:bCs/>
                <w:noProof w:val="0"/>
                <w:szCs w:val="22"/>
              </w:rPr>
              <w:t>Tel: +</w:t>
            </w:r>
            <w:r w:rsidRPr="005D46E4">
              <w:rPr>
                <w:noProof w:val="0"/>
                <w:szCs w:val="22"/>
              </w:rPr>
              <w:t xml:space="preserve">371 </w:t>
            </w:r>
            <w:r w:rsidRPr="00D83EF6">
              <w:rPr>
                <w:bCs/>
                <w:szCs w:val="22"/>
              </w:rPr>
              <w:t>257 25888</w:t>
            </w:r>
          </w:p>
          <w:p w14:paraId="46693734" w14:textId="77777777" w:rsidR="00FC3CE5" w:rsidRPr="00DD4419" w:rsidRDefault="00FC3CE5" w:rsidP="00245F9B">
            <w:pPr>
              <w:pStyle w:val="lbltxt"/>
              <w:rPr>
                <w:b/>
                <w:noProof w:val="0"/>
                <w:szCs w:val="22"/>
              </w:rPr>
            </w:pPr>
          </w:p>
        </w:tc>
        <w:tc>
          <w:tcPr>
            <w:tcW w:w="4680" w:type="dxa"/>
            <w:hideMark/>
          </w:tcPr>
          <w:p w14:paraId="4D7797C9" w14:textId="682CAEAA" w:rsidR="00FC3CE5" w:rsidRPr="00DE33C3" w:rsidRDefault="00FC3CE5" w:rsidP="00245F9B">
            <w:pPr>
              <w:pStyle w:val="lbltxt"/>
              <w:rPr>
                <w:noProof w:val="0"/>
                <w:szCs w:val="22"/>
              </w:rPr>
            </w:pPr>
            <w:r w:rsidRPr="006E2FCA">
              <w:rPr>
                <w:b/>
                <w:noProof w:val="0"/>
                <w:szCs w:val="22"/>
              </w:rPr>
              <w:t>United Kingdom</w:t>
            </w:r>
            <w:r w:rsidR="00552F96">
              <w:rPr>
                <w:b/>
                <w:noProof w:val="0"/>
                <w:szCs w:val="22"/>
              </w:rPr>
              <w:t xml:space="preserve"> (Northern Ireland)</w:t>
            </w:r>
          </w:p>
          <w:p w14:paraId="0006E851" w14:textId="77777777" w:rsidR="00FC3CE5" w:rsidRPr="00F90C75" w:rsidRDefault="00FC3CE5" w:rsidP="00245F9B">
            <w:pPr>
              <w:pStyle w:val="lbltxt"/>
              <w:rPr>
                <w:noProof w:val="0"/>
                <w:szCs w:val="22"/>
              </w:rPr>
            </w:pPr>
            <w:r w:rsidRPr="00F90C75">
              <w:rPr>
                <w:noProof w:val="0"/>
                <w:szCs w:val="22"/>
              </w:rPr>
              <w:t>Amgen Limited</w:t>
            </w:r>
          </w:p>
          <w:p w14:paraId="240B2D4A" w14:textId="77777777" w:rsidR="00FC3CE5" w:rsidRPr="00C80787" w:rsidRDefault="00FC3CE5" w:rsidP="00245F9B">
            <w:pPr>
              <w:pStyle w:val="lbltxt"/>
              <w:rPr>
                <w:bCs/>
                <w:noProof w:val="0"/>
                <w:szCs w:val="22"/>
              </w:rPr>
            </w:pPr>
            <w:r w:rsidRPr="00E47D8C">
              <w:rPr>
                <w:noProof w:val="0"/>
                <w:szCs w:val="22"/>
              </w:rPr>
              <w:t>Tel: +44 (0)1223 420305</w:t>
            </w:r>
          </w:p>
        </w:tc>
      </w:tr>
    </w:tbl>
    <w:p w14:paraId="1E88D3E4" w14:textId="77777777" w:rsidR="002F765C" w:rsidRDefault="002F765C" w:rsidP="002F765C">
      <w:pPr>
        <w:rPr>
          <w:rFonts w:ascii="Times New Roman" w:eastAsia="Times New Roman" w:hAnsi="Times New Roman"/>
          <w:sz w:val="22"/>
          <w:lang w:val="lt-LT"/>
        </w:rPr>
      </w:pPr>
    </w:p>
    <w:p w14:paraId="02359D83" w14:textId="77777777" w:rsidR="00071CFE" w:rsidRPr="00741122" w:rsidRDefault="00071CFE" w:rsidP="002F765C">
      <w:pPr>
        <w:keepNext/>
        <w:rPr>
          <w:rFonts w:ascii="Times New Roman" w:eastAsia="Times New Roman" w:hAnsi="Times New Roman"/>
          <w:b/>
          <w:sz w:val="22"/>
          <w:lang w:val="lt-LT"/>
        </w:rPr>
      </w:pPr>
      <w:r w:rsidRPr="00741122">
        <w:rPr>
          <w:rFonts w:ascii="Times New Roman" w:eastAsia="Times New Roman" w:hAnsi="Times New Roman"/>
          <w:b/>
          <w:sz w:val="22"/>
          <w:lang w:val="lt-LT"/>
        </w:rPr>
        <w:t>Data ostatniej aktualizacji ulotki:</w:t>
      </w:r>
    </w:p>
    <w:p w14:paraId="5DE8493C" w14:textId="77777777" w:rsidR="00071CFE" w:rsidRPr="002F765C" w:rsidRDefault="00071CFE" w:rsidP="002F765C">
      <w:pPr>
        <w:keepNext/>
        <w:rPr>
          <w:rFonts w:ascii="Times New Roman" w:eastAsia="Times New Roman" w:hAnsi="Times New Roman"/>
          <w:sz w:val="22"/>
          <w:lang w:val="lt-LT"/>
        </w:rPr>
      </w:pPr>
    </w:p>
    <w:p w14:paraId="334E67CE" w14:textId="77777777" w:rsidR="00071CFE" w:rsidRPr="00741122" w:rsidRDefault="00071CFE" w:rsidP="002F765C">
      <w:pPr>
        <w:keepNext/>
        <w:rPr>
          <w:rFonts w:ascii="Times New Roman" w:eastAsia="Times New Roman" w:hAnsi="Times New Roman"/>
          <w:b/>
          <w:sz w:val="22"/>
          <w:lang w:val="lt-LT"/>
        </w:rPr>
      </w:pPr>
      <w:r w:rsidRPr="00741122">
        <w:rPr>
          <w:rFonts w:ascii="Times New Roman" w:eastAsia="Times New Roman" w:hAnsi="Times New Roman"/>
          <w:b/>
          <w:sz w:val="22"/>
          <w:lang w:val="lt-LT"/>
        </w:rPr>
        <w:t>Inne źródła informacji</w:t>
      </w:r>
    </w:p>
    <w:p w14:paraId="61F10E9E" w14:textId="77777777" w:rsidR="00071CFE" w:rsidRPr="002F765C" w:rsidRDefault="00071CFE" w:rsidP="002F765C">
      <w:pPr>
        <w:keepNext/>
        <w:rPr>
          <w:rFonts w:ascii="Times New Roman" w:eastAsia="Times New Roman" w:hAnsi="Times New Roman"/>
          <w:sz w:val="22"/>
          <w:lang w:val="lt-LT"/>
        </w:rPr>
      </w:pPr>
    </w:p>
    <w:p w14:paraId="77CAB9DB" w14:textId="77777777" w:rsidR="00071CFE" w:rsidRPr="009442CE" w:rsidRDefault="00071CFE" w:rsidP="002F765C">
      <w:pPr>
        <w:ind w:right="126"/>
        <w:rPr>
          <w:rFonts w:ascii="Times New Roman" w:eastAsia="Times New Roman" w:hAnsi="Times New Roman" w:cs="Times New Roman"/>
          <w:sz w:val="22"/>
          <w:lang w:val="lt-LT"/>
        </w:rPr>
      </w:pPr>
      <w:r w:rsidRPr="00741122">
        <w:rPr>
          <w:rFonts w:ascii="Times New Roman" w:eastAsia="Times New Roman" w:hAnsi="Times New Roman"/>
          <w:sz w:val="22"/>
          <w:lang w:val="lt-LT"/>
        </w:rPr>
        <w:t xml:space="preserve">Szczegółowe informacje o tym leku znajdują się na stronie internetowej Europejskiej Agencji Leków </w:t>
      </w:r>
      <w:r w:rsidR="007F7246">
        <w:fldChar w:fldCharType="begin"/>
      </w:r>
      <w:r w:rsidR="007F7246" w:rsidRPr="00BC56FD">
        <w:rPr>
          <w:lang w:val="lt-LT"/>
          <w:rPrChange w:id="149" w:author="Author">
            <w:rPr/>
          </w:rPrChange>
        </w:rPr>
        <w:instrText>HYPERLINK "http://www.ema.europa.eu"</w:instrText>
      </w:r>
      <w:r w:rsidR="007F7246">
        <w:fldChar w:fldCharType="separate"/>
      </w:r>
      <w:r w:rsidR="007F7246" w:rsidRPr="00261A5A">
        <w:rPr>
          <w:rStyle w:val="Hyperlink"/>
          <w:rFonts w:ascii="Times New Roman" w:hAnsi="Times New Roman" w:cs="Times New Roman"/>
          <w:noProof/>
          <w:sz w:val="22"/>
          <w:lang w:val="pl-PL"/>
        </w:rPr>
        <w:t>http://www.ema.europa.eu</w:t>
      </w:r>
      <w:r w:rsidR="007F7246">
        <w:fldChar w:fldCharType="end"/>
      </w:r>
      <w:r w:rsidR="002B7A26" w:rsidRPr="00261A5A">
        <w:rPr>
          <w:rFonts w:ascii="Times New Roman" w:hAnsi="Times New Roman" w:cs="Times New Roman"/>
          <w:noProof/>
          <w:sz w:val="22"/>
          <w:lang w:val="pl-PL"/>
        </w:rPr>
        <w:t>.</w:t>
      </w:r>
    </w:p>
    <w:p w14:paraId="37490D6E" w14:textId="77777777" w:rsidR="00071CFE" w:rsidRPr="00741122" w:rsidRDefault="00071CFE" w:rsidP="002F765C">
      <w:pPr>
        <w:ind w:right="126"/>
        <w:rPr>
          <w:rFonts w:ascii="Times New Roman" w:eastAsia="Times New Roman" w:hAnsi="Times New Roman"/>
          <w:color w:val="0000FF"/>
          <w:sz w:val="22"/>
          <w:lang w:val="lt-LT"/>
        </w:rPr>
        <w:sectPr w:rsidR="00071CFE" w:rsidRPr="00741122" w:rsidSect="000B0E65">
          <w:footerReference w:type="default" r:id="rId10"/>
          <w:pgSz w:w="11900" w:h="16838" w:code="9"/>
          <w:pgMar w:top="1418" w:right="1134" w:bottom="1418" w:left="1134" w:header="737" w:footer="737" w:gutter="0"/>
          <w:paperSrc w:first="15" w:other="15"/>
          <w:cols w:space="0" w:equalWidth="0">
            <w:col w:w="9352"/>
          </w:cols>
          <w:docGrid w:linePitch="360"/>
        </w:sectPr>
      </w:pPr>
    </w:p>
    <w:p w14:paraId="61D55F2A" w14:textId="77777777" w:rsidR="00F8036C" w:rsidRPr="00134D54" w:rsidRDefault="00F8036C" w:rsidP="008C2A94">
      <w:pPr>
        <w:rPr>
          <w:rFonts w:ascii="Times New Roman" w:eastAsia="Times New Roman" w:hAnsi="Times New Roman"/>
          <w:sz w:val="22"/>
          <w:szCs w:val="22"/>
          <w:lang w:val="pl-PL"/>
        </w:rPr>
      </w:pPr>
    </w:p>
    <w:sectPr w:rsidR="00F8036C" w:rsidRPr="00134D54" w:rsidSect="000B0E65">
      <w:type w:val="continuous"/>
      <w:pgSz w:w="11900" w:h="16838" w:code="9"/>
      <w:pgMar w:top="1418" w:right="1134" w:bottom="1418" w:left="1134" w:header="737" w:footer="737" w:gutter="0"/>
      <w:paperSrc w:first="15" w:other="15"/>
      <w:cols w:space="0" w:equalWidth="0">
        <w:col w:w="935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A5AC" w14:textId="77777777" w:rsidR="00450109" w:rsidRDefault="00450109" w:rsidP="000B0E65">
      <w:r>
        <w:separator/>
      </w:r>
    </w:p>
  </w:endnote>
  <w:endnote w:type="continuationSeparator" w:id="0">
    <w:p w14:paraId="335E06DD" w14:textId="77777777" w:rsidR="00450109" w:rsidRDefault="00450109" w:rsidP="000B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C181" w14:textId="77777777" w:rsidR="00681220" w:rsidRPr="00E71AAE" w:rsidRDefault="00681220">
    <w:pPr>
      <w:pStyle w:val="Footer"/>
      <w:jc w:val="center"/>
      <w:rPr>
        <w:rFonts w:ascii="Arial" w:hAnsi="Arial"/>
        <w:sz w:val="16"/>
        <w:szCs w:val="16"/>
      </w:rPr>
    </w:pPr>
    <w:r w:rsidRPr="00E71AAE">
      <w:rPr>
        <w:rFonts w:ascii="Arial" w:hAnsi="Arial"/>
        <w:sz w:val="16"/>
      </w:rPr>
      <w:fldChar w:fldCharType="begin"/>
    </w:r>
    <w:r w:rsidRPr="00E71AAE">
      <w:rPr>
        <w:rFonts w:ascii="Arial" w:hAnsi="Arial"/>
        <w:sz w:val="16"/>
      </w:rPr>
      <w:instrText xml:space="preserve"> PAGE   \* MERGEFORMAT </w:instrText>
    </w:r>
    <w:r w:rsidRPr="00E71AAE">
      <w:rPr>
        <w:rFonts w:ascii="Arial" w:hAnsi="Arial"/>
        <w:sz w:val="16"/>
      </w:rPr>
      <w:fldChar w:fldCharType="separate"/>
    </w:r>
    <w:r w:rsidR="000B30E1">
      <w:rPr>
        <w:rFonts w:ascii="Arial" w:hAnsi="Arial"/>
        <w:noProof/>
        <w:sz w:val="16"/>
      </w:rPr>
      <w:t>82</w:t>
    </w:r>
    <w:r w:rsidRPr="00E71AAE">
      <w:rPr>
        <w:rFonts w:ascii="Arial" w:hAnsi="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1566" w14:textId="77777777" w:rsidR="00450109" w:rsidRDefault="00450109" w:rsidP="000B0E65">
      <w:r>
        <w:separator/>
      </w:r>
    </w:p>
  </w:footnote>
  <w:footnote w:type="continuationSeparator" w:id="0">
    <w:p w14:paraId="17070351" w14:textId="77777777" w:rsidR="00450109" w:rsidRDefault="00450109" w:rsidP="000B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alt="BT_1000x858px" style="width:15.5pt;height:13.5pt;visibility:visible" o:bullet="t">
        <v:imagedata r:id="rId1" o:title="BT_1000x858px"/>
      </v:shape>
    </w:pict>
  </w:numPicBullet>
  <w:abstractNum w:abstractNumId="0" w15:restartNumberingAfterBreak="0">
    <w:nsid w:val="00000001"/>
    <w:multiLevelType w:val="hybridMultilevel"/>
    <w:tmpl w:val="100F8FCA"/>
    <w:lvl w:ilvl="0" w:tplc="053638A8">
      <w:start w:val="1"/>
      <w:numFmt w:val="decimal"/>
      <w:lvlText w:val="%1."/>
      <w:lvlJc w:val="left"/>
    </w:lvl>
    <w:lvl w:ilvl="1" w:tplc="D1C615EC">
      <w:start w:val="1"/>
      <w:numFmt w:val="bullet"/>
      <w:lvlText w:val=""/>
      <w:lvlJc w:val="left"/>
    </w:lvl>
    <w:lvl w:ilvl="2" w:tplc="5554E358">
      <w:start w:val="1"/>
      <w:numFmt w:val="bullet"/>
      <w:lvlText w:val=""/>
      <w:lvlJc w:val="left"/>
    </w:lvl>
    <w:lvl w:ilvl="3" w:tplc="3296EF40">
      <w:start w:val="1"/>
      <w:numFmt w:val="bullet"/>
      <w:lvlText w:val=""/>
      <w:lvlJc w:val="left"/>
    </w:lvl>
    <w:lvl w:ilvl="4" w:tplc="026C6276">
      <w:start w:val="1"/>
      <w:numFmt w:val="bullet"/>
      <w:lvlText w:val=""/>
      <w:lvlJc w:val="left"/>
    </w:lvl>
    <w:lvl w:ilvl="5" w:tplc="E3664AAE">
      <w:start w:val="1"/>
      <w:numFmt w:val="bullet"/>
      <w:lvlText w:val=""/>
      <w:lvlJc w:val="left"/>
    </w:lvl>
    <w:lvl w:ilvl="6" w:tplc="8842ABA0">
      <w:start w:val="1"/>
      <w:numFmt w:val="bullet"/>
      <w:lvlText w:val=""/>
      <w:lvlJc w:val="left"/>
    </w:lvl>
    <w:lvl w:ilvl="7" w:tplc="89AC279C">
      <w:start w:val="1"/>
      <w:numFmt w:val="bullet"/>
      <w:lvlText w:val=""/>
      <w:lvlJc w:val="left"/>
    </w:lvl>
    <w:lvl w:ilvl="8" w:tplc="19C03620">
      <w:start w:val="1"/>
      <w:numFmt w:val="bullet"/>
      <w:lvlText w:val=""/>
      <w:lvlJc w:val="left"/>
    </w:lvl>
  </w:abstractNum>
  <w:abstractNum w:abstractNumId="1" w15:restartNumberingAfterBreak="0">
    <w:nsid w:val="00000002"/>
    <w:multiLevelType w:val="hybridMultilevel"/>
    <w:tmpl w:val="533EE838"/>
    <w:lvl w:ilvl="0" w:tplc="4DFE7516">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5014ACA"/>
    <w:lvl w:ilvl="0" w:tplc="D668DDE6">
      <w:start w:val="3"/>
      <w:numFmt w:val="decimal"/>
      <w:lvlText w:val="%1."/>
      <w:lvlJc w:val="left"/>
    </w:lvl>
    <w:lvl w:ilvl="1" w:tplc="48C4F01E">
      <w:start w:val="1"/>
      <w:numFmt w:val="bullet"/>
      <w:lvlText w:val=""/>
      <w:lvlJc w:val="left"/>
    </w:lvl>
    <w:lvl w:ilvl="2" w:tplc="326EEF0A">
      <w:start w:val="1"/>
      <w:numFmt w:val="bullet"/>
      <w:lvlText w:val=""/>
      <w:lvlJc w:val="left"/>
    </w:lvl>
    <w:lvl w:ilvl="3" w:tplc="0CCAE6CA">
      <w:start w:val="1"/>
      <w:numFmt w:val="bullet"/>
      <w:lvlText w:val=""/>
      <w:lvlJc w:val="left"/>
    </w:lvl>
    <w:lvl w:ilvl="4" w:tplc="7486939C">
      <w:start w:val="1"/>
      <w:numFmt w:val="bullet"/>
      <w:lvlText w:val=""/>
      <w:lvlJc w:val="left"/>
    </w:lvl>
    <w:lvl w:ilvl="5" w:tplc="4E2E9442">
      <w:start w:val="1"/>
      <w:numFmt w:val="bullet"/>
      <w:lvlText w:val=""/>
      <w:lvlJc w:val="left"/>
    </w:lvl>
    <w:lvl w:ilvl="6" w:tplc="50E4B8FC">
      <w:start w:val="1"/>
      <w:numFmt w:val="bullet"/>
      <w:lvlText w:val=""/>
      <w:lvlJc w:val="left"/>
    </w:lvl>
    <w:lvl w:ilvl="7" w:tplc="29167D6C">
      <w:start w:val="1"/>
      <w:numFmt w:val="bullet"/>
      <w:lvlText w:val=""/>
      <w:lvlJc w:val="left"/>
    </w:lvl>
    <w:lvl w:ilvl="8" w:tplc="1312F002">
      <w:start w:val="1"/>
      <w:numFmt w:val="bullet"/>
      <w:lvlText w:val=""/>
      <w:lvlJc w:val="left"/>
    </w:lvl>
  </w:abstractNum>
  <w:abstractNum w:abstractNumId="3" w15:restartNumberingAfterBreak="0">
    <w:nsid w:val="00000004"/>
    <w:multiLevelType w:val="hybridMultilevel"/>
    <w:tmpl w:val="5F5E7FD0"/>
    <w:lvl w:ilvl="0" w:tplc="9868568E">
      <w:start w:val="4"/>
      <w:numFmt w:val="decimal"/>
      <w:lvlText w:val="%1."/>
      <w:lvlJc w:val="left"/>
    </w:lvl>
    <w:lvl w:ilvl="1" w:tplc="04CC74A6">
      <w:start w:val="1"/>
      <w:numFmt w:val="bullet"/>
      <w:lvlText w:val=""/>
      <w:lvlJc w:val="left"/>
    </w:lvl>
    <w:lvl w:ilvl="2" w:tplc="A2480EE2">
      <w:start w:val="1"/>
      <w:numFmt w:val="bullet"/>
      <w:lvlText w:val=""/>
      <w:lvlJc w:val="left"/>
    </w:lvl>
    <w:lvl w:ilvl="3" w:tplc="41FE3B76">
      <w:start w:val="1"/>
      <w:numFmt w:val="bullet"/>
      <w:lvlText w:val=""/>
      <w:lvlJc w:val="left"/>
    </w:lvl>
    <w:lvl w:ilvl="4" w:tplc="787248C8">
      <w:start w:val="1"/>
      <w:numFmt w:val="bullet"/>
      <w:lvlText w:val=""/>
      <w:lvlJc w:val="left"/>
    </w:lvl>
    <w:lvl w:ilvl="5" w:tplc="9CC4B91A">
      <w:start w:val="1"/>
      <w:numFmt w:val="bullet"/>
      <w:lvlText w:val=""/>
      <w:lvlJc w:val="left"/>
    </w:lvl>
    <w:lvl w:ilvl="6" w:tplc="B2448DA6">
      <w:start w:val="1"/>
      <w:numFmt w:val="bullet"/>
      <w:lvlText w:val=""/>
      <w:lvlJc w:val="left"/>
    </w:lvl>
    <w:lvl w:ilvl="7" w:tplc="8D28C932">
      <w:start w:val="1"/>
      <w:numFmt w:val="bullet"/>
      <w:lvlText w:val=""/>
      <w:lvlJc w:val="left"/>
    </w:lvl>
    <w:lvl w:ilvl="8" w:tplc="F5904F14">
      <w:start w:val="1"/>
      <w:numFmt w:val="bullet"/>
      <w:lvlText w:val=""/>
      <w:lvlJc w:val="left"/>
    </w:lvl>
  </w:abstractNum>
  <w:abstractNum w:abstractNumId="4" w15:restartNumberingAfterBreak="0">
    <w:nsid w:val="00000005"/>
    <w:multiLevelType w:val="hybridMultilevel"/>
    <w:tmpl w:val="0C4AE626"/>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046B218"/>
    <w:lvl w:ilvl="0" w:tplc="E334F168">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68E121E"/>
    <w:lvl w:ilvl="0" w:tplc="FCCA767C">
      <w:start w:val="5"/>
      <w:numFmt w:val="decimal"/>
      <w:lvlText w:val="%1."/>
      <w:lvlJc w:val="left"/>
    </w:lvl>
    <w:lvl w:ilvl="1" w:tplc="EA1AA0C4">
      <w:start w:val="1"/>
      <w:numFmt w:val="bullet"/>
      <w:lvlText w:val=""/>
      <w:lvlJc w:val="left"/>
    </w:lvl>
    <w:lvl w:ilvl="2" w:tplc="EDC2B9E2">
      <w:start w:val="1"/>
      <w:numFmt w:val="bullet"/>
      <w:lvlText w:val=""/>
      <w:lvlJc w:val="left"/>
    </w:lvl>
    <w:lvl w:ilvl="3" w:tplc="9C608D44">
      <w:start w:val="1"/>
      <w:numFmt w:val="bullet"/>
      <w:lvlText w:val=""/>
      <w:lvlJc w:val="left"/>
    </w:lvl>
    <w:lvl w:ilvl="4" w:tplc="EF9E412E">
      <w:start w:val="1"/>
      <w:numFmt w:val="bullet"/>
      <w:lvlText w:val=""/>
      <w:lvlJc w:val="left"/>
    </w:lvl>
    <w:lvl w:ilvl="5" w:tplc="DC400802">
      <w:start w:val="1"/>
      <w:numFmt w:val="bullet"/>
      <w:lvlText w:val=""/>
      <w:lvlJc w:val="left"/>
    </w:lvl>
    <w:lvl w:ilvl="6" w:tplc="81F04F28">
      <w:start w:val="1"/>
      <w:numFmt w:val="bullet"/>
      <w:lvlText w:val=""/>
      <w:lvlJc w:val="left"/>
    </w:lvl>
    <w:lvl w:ilvl="7" w:tplc="13529566">
      <w:start w:val="1"/>
      <w:numFmt w:val="bullet"/>
      <w:lvlText w:val=""/>
      <w:lvlJc w:val="left"/>
    </w:lvl>
    <w:lvl w:ilvl="8" w:tplc="17208020">
      <w:start w:val="1"/>
      <w:numFmt w:val="bullet"/>
      <w:lvlText w:val=""/>
      <w:lvlJc w:val="left"/>
    </w:lvl>
  </w:abstractNum>
  <w:abstractNum w:abstractNumId="7" w15:restartNumberingAfterBreak="0">
    <w:nsid w:val="0000000A"/>
    <w:multiLevelType w:val="hybridMultilevel"/>
    <w:tmpl w:val="9788A89C"/>
    <w:lvl w:ilvl="0" w:tplc="E334F168">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774AC1E0"/>
    <w:lvl w:ilvl="0" w:tplc="E334F168">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B6C0579E"/>
    <w:lvl w:ilvl="0" w:tplc="72C21980">
      <w:start w:val="1"/>
      <w:numFmt w:val="lowerLetter"/>
      <w:lvlText w:val="%1"/>
      <w:lvlJc w:val="left"/>
      <w:rPr>
        <w:vertAlign w:val="superscript"/>
      </w:rPr>
    </w:lvl>
    <w:lvl w:ilvl="1" w:tplc="C5444FE8">
      <w:start w:val="1"/>
      <w:numFmt w:val="bullet"/>
      <w:lvlText w:val=""/>
      <w:lvlJc w:val="left"/>
    </w:lvl>
    <w:lvl w:ilvl="2" w:tplc="D312D9BA">
      <w:start w:val="1"/>
      <w:numFmt w:val="bullet"/>
      <w:lvlText w:val=""/>
      <w:lvlJc w:val="left"/>
    </w:lvl>
    <w:lvl w:ilvl="3" w:tplc="66EE4AEC">
      <w:start w:val="1"/>
      <w:numFmt w:val="bullet"/>
      <w:lvlText w:val=""/>
      <w:lvlJc w:val="left"/>
    </w:lvl>
    <w:lvl w:ilvl="4" w:tplc="D24AFBF8">
      <w:start w:val="1"/>
      <w:numFmt w:val="bullet"/>
      <w:lvlText w:val=""/>
      <w:lvlJc w:val="left"/>
    </w:lvl>
    <w:lvl w:ilvl="5" w:tplc="DEC86338">
      <w:start w:val="1"/>
      <w:numFmt w:val="bullet"/>
      <w:lvlText w:val=""/>
      <w:lvlJc w:val="left"/>
    </w:lvl>
    <w:lvl w:ilvl="6" w:tplc="BD14334A">
      <w:start w:val="1"/>
      <w:numFmt w:val="bullet"/>
      <w:lvlText w:val=""/>
      <w:lvlJc w:val="left"/>
    </w:lvl>
    <w:lvl w:ilvl="7" w:tplc="FBC42606">
      <w:start w:val="1"/>
      <w:numFmt w:val="bullet"/>
      <w:lvlText w:val=""/>
      <w:lvlJc w:val="left"/>
    </w:lvl>
    <w:lvl w:ilvl="8" w:tplc="2F0E70DC">
      <w:start w:val="1"/>
      <w:numFmt w:val="bullet"/>
      <w:lvlText w:val=""/>
      <w:lvlJc w:val="left"/>
    </w:lvl>
  </w:abstractNum>
  <w:abstractNum w:abstractNumId="10" w15:restartNumberingAfterBreak="0">
    <w:nsid w:val="0000000D"/>
    <w:multiLevelType w:val="hybridMultilevel"/>
    <w:tmpl w:val="321CBEB4"/>
    <w:lvl w:ilvl="0" w:tplc="96C8FED6">
      <w:start w:val="1"/>
      <w:numFmt w:val="lowerLetter"/>
      <w:lvlText w:val="%1"/>
      <w:lvlJc w:val="left"/>
      <w:rPr>
        <w:rFonts w:ascii="Times New Roman" w:hAnsi="Times New Roman" w:cs="Times New Roman" w:hint="default"/>
        <w:sz w:val="20"/>
        <w:szCs w:val="20"/>
        <w:vertAlign w:val="superscript"/>
      </w:rPr>
    </w:lvl>
    <w:lvl w:ilvl="1" w:tplc="1DE4F88C">
      <w:start w:val="1"/>
      <w:numFmt w:val="bullet"/>
      <w:lvlText w:val=""/>
      <w:lvlJc w:val="left"/>
    </w:lvl>
    <w:lvl w:ilvl="2" w:tplc="C6344BAE">
      <w:start w:val="1"/>
      <w:numFmt w:val="bullet"/>
      <w:lvlText w:val=""/>
      <w:lvlJc w:val="left"/>
    </w:lvl>
    <w:lvl w:ilvl="3" w:tplc="AC8280F4">
      <w:start w:val="1"/>
      <w:numFmt w:val="bullet"/>
      <w:lvlText w:val=""/>
      <w:lvlJc w:val="left"/>
    </w:lvl>
    <w:lvl w:ilvl="4" w:tplc="AC060DB2">
      <w:start w:val="1"/>
      <w:numFmt w:val="bullet"/>
      <w:lvlText w:val=""/>
      <w:lvlJc w:val="left"/>
    </w:lvl>
    <w:lvl w:ilvl="5" w:tplc="EBCA66CC">
      <w:start w:val="1"/>
      <w:numFmt w:val="bullet"/>
      <w:lvlText w:val=""/>
      <w:lvlJc w:val="left"/>
    </w:lvl>
    <w:lvl w:ilvl="6" w:tplc="0CCAEB62">
      <w:start w:val="1"/>
      <w:numFmt w:val="bullet"/>
      <w:lvlText w:val=""/>
      <w:lvlJc w:val="left"/>
    </w:lvl>
    <w:lvl w:ilvl="7" w:tplc="C05AED3E">
      <w:start w:val="1"/>
      <w:numFmt w:val="bullet"/>
      <w:lvlText w:val=""/>
      <w:lvlJc w:val="left"/>
    </w:lvl>
    <w:lvl w:ilvl="8" w:tplc="0F0E0ACE">
      <w:start w:val="1"/>
      <w:numFmt w:val="bullet"/>
      <w:lvlText w:val=""/>
      <w:lvlJc w:val="left"/>
    </w:lvl>
  </w:abstractNum>
  <w:abstractNum w:abstractNumId="11" w15:restartNumberingAfterBreak="0">
    <w:nsid w:val="0000000E"/>
    <w:multiLevelType w:val="hybridMultilevel"/>
    <w:tmpl w:val="EF68F0B2"/>
    <w:lvl w:ilvl="0" w:tplc="E334F168">
      <w:start w:val="1"/>
      <w:numFmt w:val="bullet"/>
      <w:lvlText w:val="•"/>
      <w:lvlJc w:val="left"/>
      <w:rPr>
        <w:rFonts w:hint="default"/>
        <w:sz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C388CE50"/>
    <w:lvl w:ilvl="0" w:tplc="75B892A2">
      <w:start w:val="1"/>
      <w:numFmt w:val="lowerLetter"/>
      <w:lvlText w:val="%1"/>
      <w:lvlJc w:val="left"/>
      <w:rPr>
        <w:vertAlign w:val="superscript"/>
      </w:rPr>
    </w:lvl>
    <w:lvl w:ilvl="1" w:tplc="C57CD2B8">
      <w:start w:val="1"/>
      <w:numFmt w:val="bullet"/>
      <w:lvlText w:val=""/>
      <w:lvlJc w:val="left"/>
    </w:lvl>
    <w:lvl w:ilvl="2" w:tplc="95AA1CE8">
      <w:start w:val="1"/>
      <w:numFmt w:val="bullet"/>
      <w:lvlText w:val=""/>
      <w:lvlJc w:val="left"/>
    </w:lvl>
    <w:lvl w:ilvl="3" w:tplc="6D3AB464">
      <w:start w:val="1"/>
      <w:numFmt w:val="bullet"/>
      <w:lvlText w:val=""/>
      <w:lvlJc w:val="left"/>
    </w:lvl>
    <w:lvl w:ilvl="4" w:tplc="F55EA758">
      <w:start w:val="1"/>
      <w:numFmt w:val="bullet"/>
      <w:lvlText w:val=""/>
      <w:lvlJc w:val="left"/>
    </w:lvl>
    <w:lvl w:ilvl="5" w:tplc="6A86ED36">
      <w:start w:val="1"/>
      <w:numFmt w:val="bullet"/>
      <w:lvlText w:val=""/>
      <w:lvlJc w:val="left"/>
    </w:lvl>
    <w:lvl w:ilvl="6" w:tplc="EBF6C974">
      <w:start w:val="1"/>
      <w:numFmt w:val="bullet"/>
      <w:lvlText w:val=""/>
      <w:lvlJc w:val="left"/>
    </w:lvl>
    <w:lvl w:ilvl="7" w:tplc="EE444132">
      <w:start w:val="1"/>
      <w:numFmt w:val="bullet"/>
      <w:lvlText w:val=""/>
      <w:lvlJc w:val="left"/>
    </w:lvl>
    <w:lvl w:ilvl="8" w:tplc="68D2BCD2">
      <w:start w:val="1"/>
      <w:numFmt w:val="bullet"/>
      <w:lvlText w:val=""/>
      <w:lvlJc w:val="left"/>
    </w:lvl>
  </w:abstractNum>
  <w:abstractNum w:abstractNumId="13" w15:restartNumberingAfterBreak="0">
    <w:nsid w:val="00000013"/>
    <w:multiLevelType w:val="hybridMultilevel"/>
    <w:tmpl w:val="84321528"/>
    <w:lvl w:ilvl="0" w:tplc="88FE0F98">
      <w:start w:val="1"/>
      <w:numFmt w:val="lowerLetter"/>
      <w:lvlText w:val="%1"/>
      <w:lvlJc w:val="left"/>
      <w:rPr>
        <w:sz w:val="20"/>
        <w:vertAlign w:val="superscript"/>
      </w:rPr>
    </w:lvl>
    <w:lvl w:ilvl="1" w:tplc="A30A5152">
      <w:start w:val="1"/>
      <w:numFmt w:val="bullet"/>
      <w:lvlText w:val=""/>
      <w:lvlJc w:val="left"/>
    </w:lvl>
    <w:lvl w:ilvl="2" w:tplc="0E88D708">
      <w:start w:val="1"/>
      <w:numFmt w:val="bullet"/>
      <w:lvlText w:val=""/>
      <w:lvlJc w:val="left"/>
    </w:lvl>
    <w:lvl w:ilvl="3" w:tplc="FA5C6412">
      <w:start w:val="1"/>
      <w:numFmt w:val="bullet"/>
      <w:lvlText w:val=""/>
      <w:lvlJc w:val="left"/>
    </w:lvl>
    <w:lvl w:ilvl="4" w:tplc="868C2A2C">
      <w:start w:val="1"/>
      <w:numFmt w:val="bullet"/>
      <w:lvlText w:val=""/>
      <w:lvlJc w:val="left"/>
    </w:lvl>
    <w:lvl w:ilvl="5" w:tplc="4A0626C2">
      <w:start w:val="1"/>
      <w:numFmt w:val="bullet"/>
      <w:lvlText w:val=""/>
      <w:lvlJc w:val="left"/>
    </w:lvl>
    <w:lvl w:ilvl="6" w:tplc="27880D48">
      <w:start w:val="1"/>
      <w:numFmt w:val="bullet"/>
      <w:lvlText w:val=""/>
      <w:lvlJc w:val="left"/>
    </w:lvl>
    <w:lvl w:ilvl="7" w:tplc="F4645580">
      <w:start w:val="1"/>
      <w:numFmt w:val="bullet"/>
      <w:lvlText w:val=""/>
      <w:lvlJc w:val="left"/>
    </w:lvl>
    <w:lvl w:ilvl="8" w:tplc="7AFA3674">
      <w:start w:val="1"/>
      <w:numFmt w:val="bullet"/>
      <w:lvlText w:val=""/>
      <w:lvlJc w:val="left"/>
    </w:lvl>
  </w:abstractNum>
  <w:abstractNum w:abstractNumId="14" w15:restartNumberingAfterBreak="0">
    <w:nsid w:val="00000014"/>
    <w:multiLevelType w:val="hybridMultilevel"/>
    <w:tmpl w:val="73A887B6"/>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6"/>
    <w:multiLevelType w:val="hybridMultilevel"/>
    <w:tmpl w:val="9B989794"/>
    <w:lvl w:ilvl="0" w:tplc="0F048906">
      <w:start w:val="1"/>
      <w:numFmt w:val="lowerLetter"/>
      <w:lvlText w:val="%1"/>
      <w:lvlJc w:val="left"/>
      <w:rPr>
        <w:vertAlign w:val="superscript"/>
      </w:rPr>
    </w:lvl>
    <w:lvl w:ilvl="1" w:tplc="4C2E0B9C">
      <w:start w:val="1"/>
      <w:numFmt w:val="bullet"/>
      <w:lvlText w:val=""/>
      <w:lvlJc w:val="left"/>
    </w:lvl>
    <w:lvl w:ilvl="2" w:tplc="B554E010">
      <w:start w:val="1"/>
      <w:numFmt w:val="bullet"/>
      <w:lvlText w:val=""/>
      <w:lvlJc w:val="left"/>
    </w:lvl>
    <w:lvl w:ilvl="3" w:tplc="7F54443C">
      <w:start w:val="1"/>
      <w:numFmt w:val="bullet"/>
      <w:lvlText w:val=""/>
      <w:lvlJc w:val="left"/>
    </w:lvl>
    <w:lvl w:ilvl="4" w:tplc="20DAAD82">
      <w:start w:val="1"/>
      <w:numFmt w:val="bullet"/>
      <w:lvlText w:val=""/>
      <w:lvlJc w:val="left"/>
    </w:lvl>
    <w:lvl w:ilvl="5" w:tplc="E940D79C">
      <w:start w:val="1"/>
      <w:numFmt w:val="bullet"/>
      <w:lvlText w:val=""/>
      <w:lvlJc w:val="left"/>
    </w:lvl>
    <w:lvl w:ilvl="6" w:tplc="1AA21F34">
      <w:start w:val="1"/>
      <w:numFmt w:val="bullet"/>
      <w:lvlText w:val=""/>
      <w:lvlJc w:val="left"/>
    </w:lvl>
    <w:lvl w:ilvl="7" w:tplc="7B1E93FE">
      <w:start w:val="1"/>
      <w:numFmt w:val="bullet"/>
      <w:lvlText w:val=""/>
      <w:lvlJc w:val="left"/>
    </w:lvl>
    <w:lvl w:ilvl="8" w:tplc="2326E5CE">
      <w:start w:val="1"/>
      <w:numFmt w:val="bullet"/>
      <w:lvlText w:val=""/>
      <w:lvlJc w:val="left"/>
    </w:lvl>
  </w:abstractNum>
  <w:abstractNum w:abstractNumId="16" w15:restartNumberingAfterBreak="0">
    <w:nsid w:val="00000019"/>
    <w:multiLevelType w:val="hybridMultilevel"/>
    <w:tmpl w:val="DBD64F0C"/>
    <w:lvl w:ilvl="0" w:tplc="388CC7EE">
      <w:start w:val="1"/>
      <w:numFmt w:val="lowerLetter"/>
      <w:lvlText w:val="%1"/>
      <w:lvlJc w:val="left"/>
      <w:rPr>
        <w:vertAlign w:val="superscript"/>
      </w:rPr>
    </w:lvl>
    <w:lvl w:ilvl="1" w:tplc="75B40A76">
      <w:start w:val="1"/>
      <w:numFmt w:val="bullet"/>
      <w:lvlText w:val=""/>
      <w:lvlJc w:val="left"/>
    </w:lvl>
    <w:lvl w:ilvl="2" w:tplc="9B8E2020">
      <w:start w:val="1"/>
      <w:numFmt w:val="bullet"/>
      <w:lvlText w:val=""/>
      <w:lvlJc w:val="left"/>
    </w:lvl>
    <w:lvl w:ilvl="3" w:tplc="E3F02A08">
      <w:start w:val="1"/>
      <w:numFmt w:val="bullet"/>
      <w:lvlText w:val=""/>
      <w:lvlJc w:val="left"/>
    </w:lvl>
    <w:lvl w:ilvl="4" w:tplc="DE527DBA">
      <w:start w:val="1"/>
      <w:numFmt w:val="bullet"/>
      <w:lvlText w:val=""/>
      <w:lvlJc w:val="left"/>
    </w:lvl>
    <w:lvl w:ilvl="5" w:tplc="BC0467BC">
      <w:start w:val="1"/>
      <w:numFmt w:val="bullet"/>
      <w:lvlText w:val=""/>
      <w:lvlJc w:val="left"/>
    </w:lvl>
    <w:lvl w:ilvl="6" w:tplc="3790F8C0">
      <w:start w:val="1"/>
      <w:numFmt w:val="bullet"/>
      <w:lvlText w:val=""/>
      <w:lvlJc w:val="left"/>
    </w:lvl>
    <w:lvl w:ilvl="7" w:tplc="93046580">
      <w:start w:val="1"/>
      <w:numFmt w:val="bullet"/>
      <w:lvlText w:val=""/>
      <w:lvlJc w:val="left"/>
    </w:lvl>
    <w:lvl w:ilvl="8" w:tplc="64B6360C">
      <w:start w:val="1"/>
      <w:numFmt w:val="bullet"/>
      <w:lvlText w:val=""/>
      <w:lvlJc w:val="left"/>
    </w:lvl>
  </w:abstractNum>
  <w:abstractNum w:abstractNumId="17" w15:restartNumberingAfterBreak="0">
    <w:nsid w:val="0000001B"/>
    <w:multiLevelType w:val="hybridMultilevel"/>
    <w:tmpl w:val="351495B4"/>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C"/>
    <w:multiLevelType w:val="hybridMultilevel"/>
    <w:tmpl w:val="14330624"/>
    <w:lvl w:ilvl="0" w:tplc="2938D308">
      <w:start w:val="1"/>
      <w:numFmt w:val="bullet"/>
      <w:lvlText w:val="•"/>
      <w:lvlJc w:val="left"/>
    </w:lvl>
    <w:lvl w:ilvl="1" w:tplc="6BEE0264">
      <w:start w:val="1"/>
      <w:numFmt w:val="bullet"/>
      <w:lvlText w:val=""/>
      <w:lvlJc w:val="left"/>
    </w:lvl>
    <w:lvl w:ilvl="2" w:tplc="0CEE4D44">
      <w:start w:val="1"/>
      <w:numFmt w:val="bullet"/>
      <w:lvlText w:val=""/>
      <w:lvlJc w:val="left"/>
    </w:lvl>
    <w:lvl w:ilvl="3" w:tplc="BD82D6BE">
      <w:start w:val="1"/>
      <w:numFmt w:val="bullet"/>
      <w:lvlText w:val=""/>
      <w:lvlJc w:val="left"/>
    </w:lvl>
    <w:lvl w:ilvl="4" w:tplc="CBCA796E">
      <w:start w:val="1"/>
      <w:numFmt w:val="bullet"/>
      <w:lvlText w:val=""/>
      <w:lvlJc w:val="left"/>
    </w:lvl>
    <w:lvl w:ilvl="5" w:tplc="EEF49510">
      <w:start w:val="1"/>
      <w:numFmt w:val="bullet"/>
      <w:lvlText w:val=""/>
      <w:lvlJc w:val="left"/>
    </w:lvl>
    <w:lvl w:ilvl="6" w:tplc="14880306">
      <w:start w:val="1"/>
      <w:numFmt w:val="bullet"/>
      <w:lvlText w:val=""/>
      <w:lvlJc w:val="left"/>
    </w:lvl>
    <w:lvl w:ilvl="7" w:tplc="54C224D6">
      <w:start w:val="1"/>
      <w:numFmt w:val="bullet"/>
      <w:lvlText w:val=""/>
      <w:lvlJc w:val="left"/>
    </w:lvl>
    <w:lvl w:ilvl="8" w:tplc="6E10CF92">
      <w:start w:val="1"/>
      <w:numFmt w:val="bullet"/>
      <w:lvlText w:val=""/>
      <w:lvlJc w:val="left"/>
    </w:lvl>
  </w:abstractNum>
  <w:abstractNum w:abstractNumId="19" w15:restartNumberingAfterBreak="0">
    <w:nsid w:val="0000001D"/>
    <w:multiLevelType w:val="hybridMultilevel"/>
    <w:tmpl w:val="C644A1EE"/>
    <w:lvl w:ilvl="0" w:tplc="55169892">
      <w:start w:val="1"/>
      <w:numFmt w:val="bullet"/>
      <w:lvlText w:val="1"/>
      <w:lvlJc w:val="left"/>
      <w:rPr>
        <w:vertAlign w:val="superscript"/>
      </w:rPr>
    </w:lvl>
    <w:lvl w:ilvl="1" w:tplc="7F2C5838">
      <w:start w:val="1"/>
      <w:numFmt w:val="bullet"/>
      <w:lvlText w:val=""/>
      <w:lvlJc w:val="left"/>
    </w:lvl>
    <w:lvl w:ilvl="2" w:tplc="CBDEA982">
      <w:start w:val="1"/>
      <w:numFmt w:val="bullet"/>
      <w:lvlText w:val=""/>
      <w:lvlJc w:val="left"/>
    </w:lvl>
    <w:lvl w:ilvl="3" w:tplc="95880FD6">
      <w:start w:val="1"/>
      <w:numFmt w:val="bullet"/>
      <w:lvlText w:val=""/>
      <w:lvlJc w:val="left"/>
    </w:lvl>
    <w:lvl w:ilvl="4" w:tplc="D70A34B0">
      <w:start w:val="1"/>
      <w:numFmt w:val="bullet"/>
      <w:lvlText w:val=""/>
      <w:lvlJc w:val="left"/>
    </w:lvl>
    <w:lvl w:ilvl="5" w:tplc="9698BB80">
      <w:start w:val="1"/>
      <w:numFmt w:val="bullet"/>
      <w:lvlText w:val=""/>
      <w:lvlJc w:val="left"/>
    </w:lvl>
    <w:lvl w:ilvl="6" w:tplc="BF780884">
      <w:start w:val="1"/>
      <w:numFmt w:val="bullet"/>
      <w:lvlText w:val=""/>
      <w:lvlJc w:val="left"/>
    </w:lvl>
    <w:lvl w:ilvl="7" w:tplc="1AFEEB7E">
      <w:start w:val="1"/>
      <w:numFmt w:val="bullet"/>
      <w:lvlText w:val=""/>
      <w:lvlJc w:val="left"/>
    </w:lvl>
    <w:lvl w:ilvl="8" w:tplc="DFDEC5C0">
      <w:start w:val="1"/>
      <w:numFmt w:val="bullet"/>
      <w:lvlText w:val=""/>
      <w:lvlJc w:val="left"/>
    </w:lvl>
  </w:abstractNum>
  <w:abstractNum w:abstractNumId="20" w15:restartNumberingAfterBreak="0">
    <w:nsid w:val="0000001E"/>
    <w:multiLevelType w:val="hybridMultilevel"/>
    <w:tmpl w:val="D32E438C"/>
    <w:lvl w:ilvl="0" w:tplc="D9A04D76">
      <w:start w:val="2"/>
      <w:numFmt w:val="decimal"/>
      <w:lvlText w:val="%1"/>
      <w:lvlJc w:val="left"/>
      <w:rPr>
        <w:vertAlign w:val="superscript"/>
      </w:rPr>
    </w:lvl>
    <w:lvl w:ilvl="1" w:tplc="0504B820">
      <w:start w:val="1"/>
      <w:numFmt w:val="bullet"/>
      <w:lvlText w:val=""/>
      <w:lvlJc w:val="left"/>
    </w:lvl>
    <w:lvl w:ilvl="2" w:tplc="513E4B52">
      <w:start w:val="1"/>
      <w:numFmt w:val="bullet"/>
      <w:lvlText w:val=""/>
      <w:lvlJc w:val="left"/>
    </w:lvl>
    <w:lvl w:ilvl="3" w:tplc="10DE9052">
      <w:start w:val="1"/>
      <w:numFmt w:val="bullet"/>
      <w:lvlText w:val=""/>
      <w:lvlJc w:val="left"/>
    </w:lvl>
    <w:lvl w:ilvl="4" w:tplc="0D90CF24">
      <w:start w:val="1"/>
      <w:numFmt w:val="bullet"/>
      <w:lvlText w:val=""/>
      <w:lvlJc w:val="left"/>
    </w:lvl>
    <w:lvl w:ilvl="5" w:tplc="302A317E">
      <w:start w:val="1"/>
      <w:numFmt w:val="bullet"/>
      <w:lvlText w:val=""/>
      <w:lvlJc w:val="left"/>
    </w:lvl>
    <w:lvl w:ilvl="6" w:tplc="26FE4888">
      <w:start w:val="1"/>
      <w:numFmt w:val="bullet"/>
      <w:lvlText w:val=""/>
      <w:lvlJc w:val="left"/>
    </w:lvl>
    <w:lvl w:ilvl="7" w:tplc="1CCE7BF4">
      <w:start w:val="1"/>
      <w:numFmt w:val="bullet"/>
      <w:lvlText w:val=""/>
      <w:lvlJc w:val="left"/>
    </w:lvl>
    <w:lvl w:ilvl="8" w:tplc="C824AA04">
      <w:start w:val="1"/>
      <w:numFmt w:val="bullet"/>
      <w:lvlText w:val=""/>
      <w:lvlJc w:val="left"/>
    </w:lvl>
  </w:abstractNum>
  <w:abstractNum w:abstractNumId="21" w15:restartNumberingAfterBreak="0">
    <w:nsid w:val="0000001F"/>
    <w:multiLevelType w:val="hybridMultilevel"/>
    <w:tmpl w:val="E4C60E00"/>
    <w:lvl w:ilvl="0" w:tplc="C4FC9644">
      <w:start w:val="5"/>
      <w:numFmt w:val="decimal"/>
      <w:lvlText w:val="%1"/>
      <w:lvlJc w:val="left"/>
      <w:rPr>
        <w:vertAlign w:val="superscript"/>
      </w:rPr>
    </w:lvl>
    <w:lvl w:ilvl="1" w:tplc="23F00228">
      <w:start w:val="1"/>
      <w:numFmt w:val="bullet"/>
      <w:lvlText w:val=""/>
      <w:lvlJc w:val="left"/>
    </w:lvl>
    <w:lvl w:ilvl="2" w:tplc="2BD60DA8">
      <w:start w:val="1"/>
      <w:numFmt w:val="bullet"/>
      <w:lvlText w:val=""/>
      <w:lvlJc w:val="left"/>
    </w:lvl>
    <w:lvl w:ilvl="3" w:tplc="4F54E060">
      <w:start w:val="1"/>
      <w:numFmt w:val="bullet"/>
      <w:lvlText w:val=""/>
      <w:lvlJc w:val="left"/>
    </w:lvl>
    <w:lvl w:ilvl="4" w:tplc="6666DAC6">
      <w:start w:val="1"/>
      <w:numFmt w:val="bullet"/>
      <w:lvlText w:val=""/>
      <w:lvlJc w:val="left"/>
    </w:lvl>
    <w:lvl w:ilvl="5" w:tplc="7500EA58">
      <w:start w:val="1"/>
      <w:numFmt w:val="bullet"/>
      <w:lvlText w:val=""/>
      <w:lvlJc w:val="left"/>
    </w:lvl>
    <w:lvl w:ilvl="6" w:tplc="B7388ABE">
      <w:start w:val="1"/>
      <w:numFmt w:val="bullet"/>
      <w:lvlText w:val=""/>
      <w:lvlJc w:val="left"/>
    </w:lvl>
    <w:lvl w:ilvl="7" w:tplc="21006A82">
      <w:start w:val="1"/>
      <w:numFmt w:val="bullet"/>
      <w:lvlText w:val=""/>
      <w:lvlJc w:val="left"/>
    </w:lvl>
    <w:lvl w:ilvl="8" w:tplc="9FE6C9C6">
      <w:start w:val="1"/>
      <w:numFmt w:val="bullet"/>
      <w:lvlText w:val=""/>
      <w:lvlJc w:val="left"/>
    </w:lvl>
  </w:abstractNum>
  <w:abstractNum w:abstractNumId="22" w15:restartNumberingAfterBreak="0">
    <w:nsid w:val="00000020"/>
    <w:multiLevelType w:val="hybridMultilevel"/>
    <w:tmpl w:val="29BECFF2"/>
    <w:lvl w:ilvl="0" w:tplc="04090001">
      <w:start w:val="1"/>
      <w:numFmt w:val="bullet"/>
      <w:lvlText w:val=""/>
      <w:lvlJc w:val="left"/>
      <w:rPr>
        <w:rFonts w:ascii="Symbol" w:hAnsi="Symbol" w:hint="default"/>
        <w:b w:val="0"/>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1"/>
    <w:multiLevelType w:val="hybridMultilevel"/>
    <w:tmpl w:val="D7DEFAEE"/>
    <w:lvl w:ilvl="0" w:tplc="E5E4EBC6">
      <w:start w:val="1"/>
      <w:numFmt w:val="bullet"/>
      <w:lvlText w:val="1"/>
      <w:lvlJc w:val="left"/>
      <w:rPr>
        <w:vertAlign w:val="superscript"/>
      </w:rPr>
    </w:lvl>
    <w:lvl w:ilvl="1" w:tplc="A9D85464">
      <w:start w:val="1"/>
      <w:numFmt w:val="bullet"/>
      <w:lvlText w:val=""/>
      <w:lvlJc w:val="left"/>
    </w:lvl>
    <w:lvl w:ilvl="2" w:tplc="E5C094A0">
      <w:start w:val="1"/>
      <w:numFmt w:val="bullet"/>
      <w:lvlText w:val=""/>
      <w:lvlJc w:val="left"/>
    </w:lvl>
    <w:lvl w:ilvl="3" w:tplc="44C22EE2">
      <w:start w:val="1"/>
      <w:numFmt w:val="bullet"/>
      <w:lvlText w:val=""/>
      <w:lvlJc w:val="left"/>
    </w:lvl>
    <w:lvl w:ilvl="4" w:tplc="FDB6BD12">
      <w:start w:val="1"/>
      <w:numFmt w:val="bullet"/>
      <w:lvlText w:val=""/>
      <w:lvlJc w:val="left"/>
    </w:lvl>
    <w:lvl w:ilvl="5" w:tplc="102EF086">
      <w:start w:val="1"/>
      <w:numFmt w:val="bullet"/>
      <w:lvlText w:val=""/>
      <w:lvlJc w:val="left"/>
    </w:lvl>
    <w:lvl w:ilvl="6" w:tplc="F0C6A252">
      <w:start w:val="1"/>
      <w:numFmt w:val="bullet"/>
      <w:lvlText w:val=""/>
      <w:lvlJc w:val="left"/>
    </w:lvl>
    <w:lvl w:ilvl="7" w:tplc="C60E8B9E">
      <w:start w:val="1"/>
      <w:numFmt w:val="bullet"/>
      <w:lvlText w:val=""/>
      <w:lvlJc w:val="left"/>
    </w:lvl>
    <w:lvl w:ilvl="8" w:tplc="BE0A3B34">
      <w:start w:val="1"/>
      <w:numFmt w:val="bullet"/>
      <w:lvlText w:val=""/>
      <w:lvlJc w:val="left"/>
    </w:lvl>
  </w:abstractNum>
  <w:abstractNum w:abstractNumId="24" w15:restartNumberingAfterBreak="0">
    <w:nsid w:val="00000023"/>
    <w:multiLevelType w:val="hybridMultilevel"/>
    <w:tmpl w:val="6AC4549E"/>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4"/>
    <w:multiLevelType w:val="hybridMultilevel"/>
    <w:tmpl w:val="AEFC74F4"/>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6"/>
    <w:multiLevelType w:val="hybridMultilevel"/>
    <w:tmpl w:val="BCCEE2EE"/>
    <w:lvl w:ilvl="0" w:tplc="5F28FAC0">
      <w:start w:val="3"/>
      <w:numFmt w:val="decimal"/>
      <w:lvlText w:val="%1"/>
      <w:lvlJc w:val="left"/>
      <w:rPr>
        <w:vertAlign w:val="superscript"/>
      </w:rPr>
    </w:lvl>
    <w:lvl w:ilvl="1" w:tplc="1BB451C8">
      <w:start w:val="1"/>
      <w:numFmt w:val="bullet"/>
      <w:lvlText w:val=""/>
      <w:lvlJc w:val="left"/>
    </w:lvl>
    <w:lvl w:ilvl="2" w:tplc="EDE65AA2">
      <w:start w:val="1"/>
      <w:numFmt w:val="bullet"/>
      <w:lvlText w:val=""/>
      <w:lvlJc w:val="left"/>
    </w:lvl>
    <w:lvl w:ilvl="3" w:tplc="6BE2396A">
      <w:start w:val="1"/>
      <w:numFmt w:val="bullet"/>
      <w:lvlText w:val=""/>
      <w:lvlJc w:val="left"/>
    </w:lvl>
    <w:lvl w:ilvl="4" w:tplc="E078081E">
      <w:start w:val="1"/>
      <w:numFmt w:val="bullet"/>
      <w:lvlText w:val=""/>
      <w:lvlJc w:val="left"/>
    </w:lvl>
    <w:lvl w:ilvl="5" w:tplc="BB6467D6">
      <w:start w:val="1"/>
      <w:numFmt w:val="bullet"/>
      <w:lvlText w:val=""/>
      <w:lvlJc w:val="left"/>
    </w:lvl>
    <w:lvl w:ilvl="6" w:tplc="D214E81C">
      <w:start w:val="1"/>
      <w:numFmt w:val="bullet"/>
      <w:lvlText w:val=""/>
      <w:lvlJc w:val="left"/>
    </w:lvl>
    <w:lvl w:ilvl="7" w:tplc="FB3E19A8">
      <w:start w:val="1"/>
      <w:numFmt w:val="bullet"/>
      <w:lvlText w:val=""/>
      <w:lvlJc w:val="left"/>
    </w:lvl>
    <w:lvl w:ilvl="8" w:tplc="A462BF74">
      <w:start w:val="1"/>
      <w:numFmt w:val="bullet"/>
      <w:lvlText w:val=""/>
      <w:lvlJc w:val="left"/>
    </w:lvl>
  </w:abstractNum>
  <w:abstractNum w:abstractNumId="27" w15:restartNumberingAfterBreak="0">
    <w:nsid w:val="00000028"/>
    <w:multiLevelType w:val="hybridMultilevel"/>
    <w:tmpl w:val="18E2085A"/>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A"/>
    <w:multiLevelType w:val="hybridMultilevel"/>
    <w:tmpl w:val="F486711A"/>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C"/>
    <w:multiLevelType w:val="hybridMultilevel"/>
    <w:tmpl w:val="334E9EF4"/>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D"/>
    <w:multiLevelType w:val="hybridMultilevel"/>
    <w:tmpl w:val="2DF6D648"/>
    <w:lvl w:ilvl="0" w:tplc="29E6A6D4">
      <w:start w:val="1"/>
      <w:numFmt w:val="bullet"/>
      <w:lvlText w:val="*"/>
      <w:lvlJc w:val="left"/>
    </w:lvl>
    <w:lvl w:ilvl="1" w:tplc="BDD40B1A">
      <w:start w:val="1"/>
      <w:numFmt w:val="bullet"/>
      <w:lvlText w:val=""/>
      <w:lvlJc w:val="left"/>
    </w:lvl>
    <w:lvl w:ilvl="2" w:tplc="4C92031A">
      <w:start w:val="1"/>
      <w:numFmt w:val="bullet"/>
      <w:lvlText w:val=""/>
      <w:lvlJc w:val="left"/>
    </w:lvl>
    <w:lvl w:ilvl="3" w:tplc="33C8D448">
      <w:start w:val="1"/>
      <w:numFmt w:val="bullet"/>
      <w:lvlText w:val=""/>
      <w:lvlJc w:val="left"/>
    </w:lvl>
    <w:lvl w:ilvl="4" w:tplc="881E84C6">
      <w:start w:val="1"/>
      <w:numFmt w:val="bullet"/>
      <w:lvlText w:val=""/>
      <w:lvlJc w:val="left"/>
    </w:lvl>
    <w:lvl w:ilvl="5" w:tplc="487E8DE8">
      <w:start w:val="1"/>
      <w:numFmt w:val="bullet"/>
      <w:lvlText w:val=""/>
      <w:lvlJc w:val="left"/>
    </w:lvl>
    <w:lvl w:ilvl="6" w:tplc="70C24E30">
      <w:start w:val="1"/>
      <w:numFmt w:val="bullet"/>
      <w:lvlText w:val=""/>
      <w:lvlJc w:val="left"/>
    </w:lvl>
    <w:lvl w:ilvl="7" w:tplc="E542A25A">
      <w:start w:val="1"/>
      <w:numFmt w:val="bullet"/>
      <w:lvlText w:val=""/>
      <w:lvlJc w:val="left"/>
    </w:lvl>
    <w:lvl w:ilvl="8" w:tplc="C1AEAF94">
      <w:start w:val="1"/>
      <w:numFmt w:val="bullet"/>
      <w:lvlText w:val=""/>
      <w:lvlJc w:val="left"/>
    </w:lvl>
  </w:abstractNum>
  <w:abstractNum w:abstractNumId="31" w15:restartNumberingAfterBreak="0">
    <w:nsid w:val="0000002E"/>
    <w:multiLevelType w:val="hybridMultilevel"/>
    <w:tmpl w:val="F440DFBA"/>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0"/>
    <w:multiLevelType w:val="hybridMultilevel"/>
    <w:tmpl w:val="54141EF2"/>
    <w:lvl w:ilvl="0" w:tplc="06929298">
      <w:start w:val="1"/>
      <w:numFmt w:val="bullet"/>
      <w:lvlText w:val="1"/>
      <w:lvlJc w:val="left"/>
      <w:rPr>
        <w:vertAlign w:val="superscript"/>
      </w:rPr>
    </w:lvl>
    <w:lvl w:ilvl="1" w:tplc="3A6CB64A">
      <w:start w:val="1"/>
      <w:numFmt w:val="bullet"/>
      <w:lvlText w:val=""/>
      <w:lvlJc w:val="left"/>
    </w:lvl>
    <w:lvl w:ilvl="2" w:tplc="E1FABF84">
      <w:start w:val="1"/>
      <w:numFmt w:val="bullet"/>
      <w:lvlText w:val=""/>
      <w:lvlJc w:val="left"/>
    </w:lvl>
    <w:lvl w:ilvl="3" w:tplc="A838EFBC">
      <w:start w:val="1"/>
      <w:numFmt w:val="bullet"/>
      <w:lvlText w:val=""/>
      <w:lvlJc w:val="left"/>
    </w:lvl>
    <w:lvl w:ilvl="4" w:tplc="97CE5004">
      <w:start w:val="1"/>
      <w:numFmt w:val="bullet"/>
      <w:lvlText w:val=""/>
      <w:lvlJc w:val="left"/>
    </w:lvl>
    <w:lvl w:ilvl="5" w:tplc="313E5FA4">
      <w:start w:val="1"/>
      <w:numFmt w:val="bullet"/>
      <w:lvlText w:val=""/>
      <w:lvlJc w:val="left"/>
    </w:lvl>
    <w:lvl w:ilvl="6" w:tplc="78D4DDDE">
      <w:start w:val="1"/>
      <w:numFmt w:val="bullet"/>
      <w:lvlText w:val=""/>
      <w:lvlJc w:val="left"/>
    </w:lvl>
    <w:lvl w:ilvl="7" w:tplc="33803A4A">
      <w:start w:val="1"/>
      <w:numFmt w:val="bullet"/>
      <w:lvlText w:val=""/>
      <w:lvlJc w:val="left"/>
    </w:lvl>
    <w:lvl w:ilvl="8" w:tplc="B1E2D60C">
      <w:start w:val="1"/>
      <w:numFmt w:val="bullet"/>
      <w:lvlText w:val=""/>
      <w:lvlJc w:val="left"/>
    </w:lvl>
  </w:abstractNum>
  <w:abstractNum w:abstractNumId="33" w15:restartNumberingAfterBreak="0">
    <w:nsid w:val="00000031"/>
    <w:multiLevelType w:val="hybridMultilevel"/>
    <w:tmpl w:val="91AE54A2"/>
    <w:lvl w:ilvl="0" w:tplc="875EC3F0">
      <w:start w:val="2"/>
      <w:numFmt w:val="decimal"/>
      <w:lvlText w:val="%1"/>
      <w:lvlJc w:val="left"/>
      <w:rPr>
        <w:vertAlign w:val="superscript"/>
      </w:rPr>
    </w:lvl>
    <w:lvl w:ilvl="1" w:tplc="4C62CA22">
      <w:start w:val="1"/>
      <w:numFmt w:val="bullet"/>
      <w:lvlText w:val=""/>
      <w:lvlJc w:val="left"/>
    </w:lvl>
    <w:lvl w:ilvl="2" w:tplc="06A8C872">
      <w:start w:val="1"/>
      <w:numFmt w:val="bullet"/>
      <w:lvlText w:val=""/>
      <w:lvlJc w:val="left"/>
    </w:lvl>
    <w:lvl w:ilvl="3" w:tplc="48C2C8AC">
      <w:start w:val="1"/>
      <w:numFmt w:val="bullet"/>
      <w:lvlText w:val=""/>
      <w:lvlJc w:val="left"/>
    </w:lvl>
    <w:lvl w:ilvl="4" w:tplc="1882940C">
      <w:start w:val="1"/>
      <w:numFmt w:val="bullet"/>
      <w:lvlText w:val=""/>
      <w:lvlJc w:val="left"/>
    </w:lvl>
    <w:lvl w:ilvl="5" w:tplc="2CC006C4">
      <w:start w:val="1"/>
      <w:numFmt w:val="bullet"/>
      <w:lvlText w:val=""/>
      <w:lvlJc w:val="left"/>
    </w:lvl>
    <w:lvl w:ilvl="6" w:tplc="EF145B12">
      <w:start w:val="1"/>
      <w:numFmt w:val="bullet"/>
      <w:lvlText w:val=""/>
      <w:lvlJc w:val="left"/>
    </w:lvl>
    <w:lvl w:ilvl="7" w:tplc="1E0C0DE6">
      <w:start w:val="1"/>
      <w:numFmt w:val="bullet"/>
      <w:lvlText w:val=""/>
      <w:lvlJc w:val="left"/>
    </w:lvl>
    <w:lvl w:ilvl="8" w:tplc="A2505438">
      <w:start w:val="1"/>
      <w:numFmt w:val="bullet"/>
      <w:lvlText w:val=""/>
      <w:lvlJc w:val="left"/>
    </w:lvl>
  </w:abstractNum>
  <w:abstractNum w:abstractNumId="34" w15:restartNumberingAfterBreak="0">
    <w:nsid w:val="00000032"/>
    <w:multiLevelType w:val="hybridMultilevel"/>
    <w:tmpl w:val="2E20E066"/>
    <w:lvl w:ilvl="0" w:tplc="10500E38">
      <w:start w:val="1"/>
      <w:numFmt w:val="bullet"/>
      <w:lvlText w:val="4"/>
      <w:lvlJc w:val="left"/>
      <w:rPr>
        <w:vertAlign w:val="superscript"/>
      </w:rPr>
    </w:lvl>
    <w:lvl w:ilvl="1" w:tplc="CD68BC02">
      <w:start w:val="1"/>
      <w:numFmt w:val="bullet"/>
      <w:lvlText w:val=""/>
      <w:lvlJc w:val="left"/>
    </w:lvl>
    <w:lvl w:ilvl="2" w:tplc="4ED221B2">
      <w:start w:val="1"/>
      <w:numFmt w:val="bullet"/>
      <w:lvlText w:val=""/>
      <w:lvlJc w:val="left"/>
    </w:lvl>
    <w:lvl w:ilvl="3" w:tplc="172E9EB0">
      <w:start w:val="1"/>
      <w:numFmt w:val="bullet"/>
      <w:lvlText w:val=""/>
      <w:lvlJc w:val="left"/>
    </w:lvl>
    <w:lvl w:ilvl="4" w:tplc="3264B166">
      <w:start w:val="1"/>
      <w:numFmt w:val="bullet"/>
      <w:lvlText w:val=""/>
      <w:lvlJc w:val="left"/>
    </w:lvl>
    <w:lvl w:ilvl="5" w:tplc="285EF9B6">
      <w:start w:val="1"/>
      <w:numFmt w:val="bullet"/>
      <w:lvlText w:val=""/>
      <w:lvlJc w:val="left"/>
    </w:lvl>
    <w:lvl w:ilvl="6" w:tplc="7EF03882">
      <w:start w:val="1"/>
      <w:numFmt w:val="bullet"/>
      <w:lvlText w:val=""/>
      <w:lvlJc w:val="left"/>
    </w:lvl>
    <w:lvl w:ilvl="7" w:tplc="1C94E51C">
      <w:start w:val="1"/>
      <w:numFmt w:val="bullet"/>
      <w:lvlText w:val=""/>
      <w:lvlJc w:val="left"/>
    </w:lvl>
    <w:lvl w:ilvl="8" w:tplc="1D0EF03A">
      <w:start w:val="1"/>
      <w:numFmt w:val="bullet"/>
      <w:lvlText w:val=""/>
      <w:lvlJc w:val="left"/>
    </w:lvl>
  </w:abstractNum>
  <w:abstractNum w:abstractNumId="35" w15:restartNumberingAfterBreak="0">
    <w:nsid w:val="00000033"/>
    <w:multiLevelType w:val="hybridMultilevel"/>
    <w:tmpl w:val="7E4A38F8"/>
    <w:lvl w:ilvl="0" w:tplc="2772C386">
      <w:start w:val="1"/>
      <w:numFmt w:val="bullet"/>
      <w:lvlText w:val="1"/>
      <w:lvlJc w:val="left"/>
      <w:rPr>
        <w:vertAlign w:val="superscript"/>
      </w:rPr>
    </w:lvl>
    <w:lvl w:ilvl="1" w:tplc="83AA957E">
      <w:start w:val="1"/>
      <w:numFmt w:val="bullet"/>
      <w:lvlText w:val=""/>
      <w:lvlJc w:val="left"/>
    </w:lvl>
    <w:lvl w:ilvl="2" w:tplc="96BE6EF8">
      <w:start w:val="1"/>
      <w:numFmt w:val="bullet"/>
      <w:lvlText w:val=""/>
      <w:lvlJc w:val="left"/>
    </w:lvl>
    <w:lvl w:ilvl="3" w:tplc="C358C0EE">
      <w:start w:val="1"/>
      <w:numFmt w:val="bullet"/>
      <w:lvlText w:val=""/>
      <w:lvlJc w:val="left"/>
    </w:lvl>
    <w:lvl w:ilvl="4" w:tplc="1E749F60">
      <w:start w:val="1"/>
      <w:numFmt w:val="bullet"/>
      <w:lvlText w:val=""/>
      <w:lvlJc w:val="left"/>
    </w:lvl>
    <w:lvl w:ilvl="5" w:tplc="99A6FA5E">
      <w:start w:val="1"/>
      <w:numFmt w:val="bullet"/>
      <w:lvlText w:val=""/>
      <w:lvlJc w:val="left"/>
    </w:lvl>
    <w:lvl w:ilvl="6" w:tplc="7AA6D3C6">
      <w:start w:val="1"/>
      <w:numFmt w:val="bullet"/>
      <w:lvlText w:val=""/>
      <w:lvlJc w:val="left"/>
    </w:lvl>
    <w:lvl w:ilvl="7" w:tplc="D3F04D0C">
      <w:start w:val="1"/>
      <w:numFmt w:val="bullet"/>
      <w:lvlText w:val=""/>
      <w:lvlJc w:val="left"/>
    </w:lvl>
    <w:lvl w:ilvl="8" w:tplc="2F7E4FE8">
      <w:start w:val="1"/>
      <w:numFmt w:val="bullet"/>
      <w:lvlText w:val=""/>
      <w:lvlJc w:val="left"/>
    </w:lvl>
  </w:abstractNum>
  <w:abstractNum w:abstractNumId="36" w15:restartNumberingAfterBreak="0">
    <w:nsid w:val="00000036"/>
    <w:multiLevelType w:val="hybridMultilevel"/>
    <w:tmpl w:val="7F01579A"/>
    <w:lvl w:ilvl="0" w:tplc="A97808F6">
      <w:start w:val="6"/>
      <w:numFmt w:val="decimal"/>
      <w:lvlText w:val="%1."/>
      <w:lvlJc w:val="left"/>
    </w:lvl>
    <w:lvl w:ilvl="1" w:tplc="04848EF6">
      <w:start w:val="1"/>
      <w:numFmt w:val="bullet"/>
      <w:lvlText w:val=""/>
      <w:lvlJc w:val="left"/>
    </w:lvl>
    <w:lvl w:ilvl="2" w:tplc="E3C46BB8">
      <w:start w:val="1"/>
      <w:numFmt w:val="bullet"/>
      <w:lvlText w:val=""/>
      <w:lvlJc w:val="left"/>
    </w:lvl>
    <w:lvl w:ilvl="3" w:tplc="C8E0AC32">
      <w:start w:val="1"/>
      <w:numFmt w:val="bullet"/>
      <w:lvlText w:val=""/>
      <w:lvlJc w:val="left"/>
    </w:lvl>
    <w:lvl w:ilvl="4" w:tplc="8A88F4B2">
      <w:start w:val="1"/>
      <w:numFmt w:val="bullet"/>
      <w:lvlText w:val=""/>
      <w:lvlJc w:val="left"/>
    </w:lvl>
    <w:lvl w:ilvl="5" w:tplc="171AA49A">
      <w:start w:val="1"/>
      <w:numFmt w:val="bullet"/>
      <w:lvlText w:val=""/>
      <w:lvlJc w:val="left"/>
    </w:lvl>
    <w:lvl w:ilvl="6" w:tplc="42D2D6AE">
      <w:start w:val="1"/>
      <w:numFmt w:val="bullet"/>
      <w:lvlText w:val=""/>
      <w:lvlJc w:val="left"/>
    </w:lvl>
    <w:lvl w:ilvl="7" w:tplc="80BE8432">
      <w:start w:val="1"/>
      <w:numFmt w:val="bullet"/>
      <w:lvlText w:val=""/>
      <w:lvlJc w:val="left"/>
    </w:lvl>
    <w:lvl w:ilvl="8" w:tplc="EF8675C2">
      <w:start w:val="1"/>
      <w:numFmt w:val="bullet"/>
      <w:lvlText w:val=""/>
      <w:lvlJc w:val="left"/>
    </w:lvl>
  </w:abstractNum>
  <w:abstractNum w:abstractNumId="37" w15:restartNumberingAfterBreak="0">
    <w:nsid w:val="00000037"/>
    <w:multiLevelType w:val="hybridMultilevel"/>
    <w:tmpl w:val="49DA307C"/>
    <w:lvl w:ilvl="0" w:tplc="A3323DC0">
      <w:start w:val="7"/>
      <w:numFmt w:val="decimal"/>
      <w:lvlText w:val="%1."/>
      <w:lvlJc w:val="left"/>
    </w:lvl>
    <w:lvl w:ilvl="1" w:tplc="79727C10">
      <w:start w:val="1"/>
      <w:numFmt w:val="bullet"/>
      <w:lvlText w:val=""/>
      <w:lvlJc w:val="left"/>
    </w:lvl>
    <w:lvl w:ilvl="2" w:tplc="16D8B58E">
      <w:start w:val="1"/>
      <w:numFmt w:val="bullet"/>
      <w:lvlText w:val=""/>
      <w:lvlJc w:val="left"/>
    </w:lvl>
    <w:lvl w:ilvl="3" w:tplc="AB7E72F4">
      <w:start w:val="1"/>
      <w:numFmt w:val="bullet"/>
      <w:lvlText w:val=""/>
      <w:lvlJc w:val="left"/>
    </w:lvl>
    <w:lvl w:ilvl="4" w:tplc="832CC368">
      <w:start w:val="1"/>
      <w:numFmt w:val="bullet"/>
      <w:lvlText w:val=""/>
      <w:lvlJc w:val="left"/>
    </w:lvl>
    <w:lvl w:ilvl="5" w:tplc="F0B4AFB6">
      <w:start w:val="1"/>
      <w:numFmt w:val="bullet"/>
      <w:lvlText w:val=""/>
      <w:lvlJc w:val="left"/>
    </w:lvl>
    <w:lvl w:ilvl="6" w:tplc="7C121C7A">
      <w:start w:val="1"/>
      <w:numFmt w:val="bullet"/>
      <w:lvlText w:val=""/>
      <w:lvlJc w:val="left"/>
    </w:lvl>
    <w:lvl w:ilvl="7" w:tplc="CAF00E58">
      <w:start w:val="1"/>
      <w:numFmt w:val="bullet"/>
      <w:lvlText w:val=""/>
      <w:lvlJc w:val="left"/>
    </w:lvl>
    <w:lvl w:ilvl="8" w:tplc="C20AA6CA">
      <w:start w:val="1"/>
      <w:numFmt w:val="bullet"/>
      <w:lvlText w:val=""/>
      <w:lvlJc w:val="left"/>
    </w:lvl>
  </w:abstractNum>
  <w:abstractNum w:abstractNumId="38" w15:restartNumberingAfterBreak="0">
    <w:nsid w:val="00000038"/>
    <w:multiLevelType w:val="hybridMultilevel"/>
    <w:tmpl w:val="7055A5F4"/>
    <w:lvl w:ilvl="0" w:tplc="DFF8E9FE">
      <w:start w:val="8"/>
      <w:numFmt w:val="decimal"/>
      <w:lvlText w:val="%1."/>
      <w:lvlJc w:val="left"/>
    </w:lvl>
    <w:lvl w:ilvl="1" w:tplc="5BA4F692">
      <w:start w:val="1"/>
      <w:numFmt w:val="bullet"/>
      <w:lvlText w:val=""/>
      <w:lvlJc w:val="left"/>
    </w:lvl>
    <w:lvl w:ilvl="2" w:tplc="05FAB35C">
      <w:start w:val="1"/>
      <w:numFmt w:val="bullet"/>
      <w:lvlText w:val=""/>
      <w:lvlJc w:val="left"/>
    </w:lvl>
    <w:lvl w:ilvl="3" w:tplc="4498F704">
      <w:start w:val="1"/>
      <w:numFmt w:val="bullet"/>
      <w:lvlText w:val=""/>
      <w:lvlJc w:val="left"/>
    </w:lvl>
    <w:lvl w:ilvl="4" w:tplc="E8AE18CE">
      <w:start w:val="1"/>
      <w:numFmt w:val="bullet"/>
      <w:lvlText w:val=""/>
      <w:lvlJc w:val="left"/>
    </w:lvl>
    <w:lvl w:ilvl="5" w:tplc="084828CE">
      <w:start w:val="1"/>
      <w:numFmt w:val="bullet"/>
      <w:lvlText w:val=""/>
      <w:lvlJc w:val="left"/>
    </w:lvl>
    <w:lvl w:ilvl="6" w:tplc="C352B306">
      <w:start w:val="1"/>
      <w:numFmt w:val="bullet"/>
      <w:lvlText w:val=""/>
      <w:lvlJc w:val="left"/>
    </w:lvl>
    <w:lvl w:ilvl="7" w:tplc="94749804">
      <w:start w:val="1"/>
      <w:numFmt w:val="bullet"/>
      <w:lvlText w:val=""/>
      <w:lvlJc w:val="left"/>
    </w:lvl>
    <w:lvl w:ilvl="8" w:tplc="544657E4">
      <w:start w:val="1"/>
      <w:numFmt w:val="bullet"/>
      <w:lvlText w:val=""/>
      <w:lvlJc w:val="left"/>
    </w:lvl>
  </w:abstractNum>
  <w:abstractNum w:abstractNumId="39" w15:restartNumberingAfterBreak="0">
    <w:nsid w:val="0000006F"/>
    <w:multiLevelType w:val="hybridMultilevel"/>
    <w:tmpl w:val="FBC67428"/>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70"/>
    <w:multiLevelType w:val="hybridMultilevel"/>
    <w:tmpl w:val="053B0A9E"/>
    <w:lvl w:ilvl="0" w:tplc="59F46C0E">
      <w:start w:val="1"/>
      <w:numFmt w:val="decimal"/>
      <w:lvlText w:val="%1."/>
      <w:lvlJc w:val="left"/>
    </w:lvl>
    <w:lvl w:ilvl="1" w:tplc="C574A1B2">
      <w:start w:val="1"/>
      <w:numFmt w:val="bullet"/>
      <w:lvlText w:val=""/>
      <w:lvlJc w:val="left"/>
    </w:lvl>
    <w:lvl w:ilvl="2" w:tplc="D70EF302">
      <w:start w:val="1"/>
      <w:numFmt w:val="bullet"/>
      <w:lvlText w:val=""/>
      <w:lvlJc w:val="left"/>
    </w:lvl>
    <w:lvl w:ilvl="3" w:tplc="24EE0480">
      <w:start w:val="1"/>
      <w:numFmt w:val="bullet"/>
      <w:lvlText w:val=""/>
      <w:lvlJc w:val="left"/>
    </w:lvl>
    <w:lvl w:ilvl="4" w:tplc="1F6CF438">
      <w:start w:val="1"/>
      <w:numFmt w:val="bullet"/>
      <w:lvlText w:val=""/>
      <w:lvlJc w:val="left"/>
    </w:lvl>
    <w:lvl w:ilvl="5" w:tplc="A88EF6B2">
      <w:start w:val="1"/>
      <w:numFmt w:val="bullet"/>
      <w:lvlText w:val=""/>
      <w:lvlJc w:val="left"/>
    </w:lvl>
    <w:lvl w:ilvl="6" w:tplc="BBB45DC8">
      <w:start w:val="1"/>
      <w:numFmt w:val="bullet"/>
      <w:lvlText w:val=""/>
      <w:lvlJc w:val="left"/>
    </w:lvl>
    <w:lvl w:ilvl="7" w:tplc="487E66E4">
      <w:start w:val="1"/>
      <w:numFmt w:val="bullet"/>
      <w:lvlText w:val=""/>
      <w:lvlJc w:val="left"/>
    </w:lvl>
    <w:lvl w:ilvl="8" w:tplc="B5DAFA44">
      <w:start w:val="1"/>
      <w:numFmt w:val="bullet"/>
      <w:lvlText w:val=""/>
      <w:lvlJc w:val="left"/>
    </w:lvl>
  </w:abstractNum>
  <w:abstractNum w:abstractNumId="41" w15:restartNumberingAfterBreak="0">
    <w:nsid w:val="00000071"/>
    <w:multiLevelType w:val="hybridMultilevel"/>
    <w:tmpl w:val="34FD6B4E"/>
    <w:lvl w:ilvl="0" w:tplc="A5621794">
      <w:start w:val="1"/>
      <w:numFmt w:val="decimal"/>
      <w:lvlText w:val="%1."/>
      <w:lvlJc w:val="left"/>
    </w:lvl>
    <w:lvl w:ilvl="1" w:tplc="CB2613F4">
      <w:start w:val="1"/>
      <w:numFmt w:val="bullet"/>
      <w:lvlText w:val=""/>
      <w:lvlJc w:val="left"/>
    </w:lvl>
    <w:lvl w:ilvl="2" w:tplc="C276BB56">
      <w:start w:val="1"/>
      <w:numFmt w:val="bullet"/>
      <w:lvlText w:val=""/>
      <w:lvlJc w:val="left"/>
    </w:lvl>
    <w:lvl w:ilvl="3" w:tplc="6DA26D88">
      <w:start w:val="1"/>
      <w:numFmt w:val="bullet"/>
      <w:lvlText w:val=""/>
      <w:lvlJc w:val="left"/>
    </w:lvl>
    <w:lvl w:ilvl="4" w:tplc="7C564BAA">
      <w:start w:val="1"/>
      <w:numFmt w:val="bullet"/>
      <w:lvlText w:val=""/>
      <w:lvlJc w:val="left"/>
    </w:lvl>
    <w:lvl w:ilvl="5" w:tplc="313C4314">
      <w:start w:val="1"/>
      <w:numFmt w:val="bullet"/>
      <w:lvlText w:val=""/>
      <w:lvlJc w:val="left"/>
    </w:lvl>
    <w:lvl w:ilvl="6" w:tplc="AE56BDFC">
      <w:start w:val="1"/>
      <w:numFmt w:val="bullet"/>
      <w:lvlText w:val=""/>
      <w:lvlJc w:val="left"/>
    </w:lvl>
    <w:lvl w:ilvl="7" w:tplc="1F06871E">
      <w:start w:val="1"/>
      <w:numFmt w:val="bullet"/>
      <w:lvlText w:val=""/>
      <w:lvlJc w:val="left"/>
    </w:lvl>
    <w:lvl w:ilvl="8" w:tplc="F93E66C6">
      <w:start w:val="1"/>
      <w:numFmt w:val="bullet"/>
      <w:lvlText w:val=""/>
      <w:lvlJc w:val="left"/>
    </w:lvl>
  </w:abstractNum>
  <w:abstractNum w:abstractNumId="42" w15:restartNumberingAfterBreak="0">
    <w:nsid w:val="00000072"/>
    <w:multiLevelType w:val="hybridMultilevel"/>
    <w:tmpl w:val="5915FF32"/>
    <w:lvl w:ilvl="0" w:tplc="FC7224CC">
      <w:start w:val="2"/>
      <w:numFmt w:val="decimal"/>
      <w:lvlText w:val="%1."/>
      <w:lvlJc w:val="left"/>
    </w:lvl>
    <w:lvl w:ilvl="1" w:tplc="ED847B0C">
      <w:start w:val="1"/>
      <w:numFmt w:val="bullet"/>
      <w:lvlText w:val=""/>
      <w:lvlJc w:val="left"/>
    </w:lvl>
    <w:lvl w:ilvl="2" w:tplc="ED9632D4">
      <w:start w:val="1"/>
      <w:numFmt w:val="bullet"/>
      <w:lvlText w:val=""/>
      <w:lvlJc w:val="left"/>
    </w:lvl>
    <w:lvl w:ilvl="3" w:tplc="70B8E2DE">
      <w:start w:val="1"/>
      <w:numFmt w:val="bullet"/>
      <w:lvlText w:val=""/>
      <w:lvlJc w:val="left"/>
    </w:lvl>
    <w:lvl w:ilvl="4" w:tplc="F66E82D2">
      <w:start w:val="1"/>
      <w:numFmt w:val="bullet"/>
      <w:lvlText w:val=""/>
      <w:lvlJc w:val="left"/>
    </w:lvl>
    <w:lvl w:ilvl="5" w:tplc="418ADE3E">
      <w:start w:val="1"/>
      <w:numFmt w:val="bullet"/>
      <w:lvlText w:val=""/>
      <w:lvlJc w:val="left"/>
    </w:lvl>
    <w:lvl w:ilvl="6" w:tplc="94F04076">
      <w:start w:val="1"/>
      <w:numFmt w:val="bullet"/>
      <w:lvlText w:val=""/>
      <w:lvlJc w:val="left"/>
    </w:lvl>
    <w:lvl w:ilvl="7" w:tplc="60AC057E">
      <w:start w:val="1"/>
      <w:numFmt w:val="bullet"/>
      <w:lvlText w:val=""/>
      <w:lvlJc w:val="left"/>
    </w:lvl>
    <w:lvl w:ilvl="8" w:tplc="234A1630">
      <w:start w:val="1"/>
      <w:numFmt w:val="bullet"/>
      <w:lvlText w:val=""/>
      <w:lvlJc w:val="left"/>
    </w:lvl>
  </w:abstractNum>
  <w:abstractNum w:abstractNumId="43" w15:restartNumberingAfterBreak="0">
    <w:nsid w:val="00000073"/>
    <w:multiLevelType w:val="hybridMultilevel"/>
    <w:tmpl w:val="A5BC9D0C"/>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74"/>
    <w:multiLevelType w:val="hybridMultilevel"/>
    <w:tmpl w:val="4C3AD948"/>
    <w:lvl w:ilvl="0" w:tplc="FFFFFFFF">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75"/>
    <w:multiLevelType w:val="hybridMultilevel"/>
    <w:tmpl w:val="28A0ECA2"/>
    <w:lvl w:ilvl="0" w:tplc="FFFFFFFF">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76"/>
    <w:multiLevelType w:val="hybridMultilevel"/>
    <w:tmpl w:val="17A1B582"/>
    <w:lvl w:ilvl="0" w:tplc="5D7E1CEC">
      <w:start w:val="1"/>
      <w:numFmt w:val="bullet"/>
      <w:lvlText w:val="•"/>
      <w:lvlJc w:val="left"/>
    </w:lvl>
    <w:lvl w:ilvl="1" w:tplc="E65883A4">
      <w:start w:val="1"/>
      <w:numFmt w:val="bullet"/>
      <w:lvlText w:val=""/>
      <w:lvlJc w:val="left"/>
    </w:lvl>
    <w:lvl w:ilvl="2" w:tplc="BCE8838A">
      <w:start w:val="1"/>
      <w:numFmt w:val="bullet"/>
      <w:lvlText w:val=""/>
      <w:lvlJc w:val="left"/>
    </w:lvl>
    <w:lvl w:ilvl="3" w:tplc="BD620DEE">
      <w:start w:val="1"/>
      <w:numFmt w:val="bullet"/>
      <w:lvlText w:val=""/>
      <w:lvlJc w:val="left"/>
    </w:lvl>
    <w:lvl w:ilvl="4" w:tplc="BFCC8E7A">
      <w:start w:val="1"/>
      <w:numFmt w:val="bullet"/>
      <w:lvlText w:val=""/>
      <w:lvlJc w:val="left"/>
    </w:lvl>
    <w:lvl w:ilvl="5" w:tplc="564C11F8">
      <w:start w:val="1"/>
      <w:numFmt w:val="bullet"/>
      <w:lvlText w:val=""/>
      <w:lvlJc w:val="left"/>
    </w:lvl>
    <w:lvl w:ilvl="6" w:tplc="D6D2BF96">
      <w:start w:val="1"/>
      <w:numFmt w:val="bullet"/>
      <w:lvlText w:val=""/>
      <w:lvlJc w:val="left"/>
    </w:lvl>
    <w:lvl w:ilvl="7" w:tplc="5D5A9EB4">
      <w:start w:val="1"/>
      <w:numFmt w:val="bullet"/>
      <w:lvlText w:val=""/>
      <w:lvlJc w:val="left"/>
    </w:lvl>
    <w:lvl w:ilvl="8" w:tplc="F1FC192E">
      <w:start w:val="1"/>
      <w:numFmt w:val="bullet"/>
      <w:lvlText w:val=""/>
      <w:lvlJc w:val="left"/>
    </w:lvl>
  </w:abstractNum>
  <w:abstractNum w:abstractNumId="47" w15:restartNumberingAfterBreak="0">
    <w:nsid w:val="00000077"/>
    <w:multiLevelType w:val="hybridMultilevel"/>
    <w:tmpl w:val="4DF72E4E"/>
    <w:lvl w:ilvl="0" w:tplc="CF9875E4">
      <w:start w:val="3"/>
      <w:numFmt w:val="decimal"/>
      <w:lvlText w:val="%1."/>
      <w:lvlJc w:val="left"/>
    </w:lvl>
    <w:lvl w:ilvl="1" w:tplc="4ACA8EA2">
      <w:start w:val="1"/>
      <w:numFmt w:val="bullet"/>
      <w:lvlText w:val=""/>
      <w:lvlJc w:val="left"/>
    </w:lvl>
    <w:lvl w:ilvl="2" w:tplc="4882F012">
      <w:start w:val="1"/>
      <w:numFmt w:val="bullet"/>
      <w:lvlText w:val=""/>
      <w:lvlJc w:val="left"/>
    </w:lvl>
    <w:lvl w:ilvl="3" w:tplc="97786D8A">
      <w:start w:val="1"/>
      <w:numFmt w:val="bullet"/>
      <w:lvlText w:val=""/>
      <w:lvlJc w:val="left"/>
    </w:lvl>
    <w:lvl w:ilvl="4" w:tplc="AD4CECF6">
      <w:start w:val="1"/>
      <w:numFmt w:val="bullet"/>
      <w:lvlText w:val=""/>
      <w:lvlJc w:val="left"/>
    </w:lvl>
    <w:lvl w:ilvl="5" w:tplc="4F2A6394">
      <w:start w:val="1"/>
      <w:numFmt w:val="bullet"/>
      <w:lvlText w:val=""/>
      <w:lvlJc w:val="left"/>
    </w:lvl>
    <w:lvl w:ilvl="6" w:tplc="AA0C0ABA">
      <w:start w:val="1"/>
      <w:numFmt w:val="bullet"/>
      <w:lvlText w:val=""/>
      <w:lvlJc w:val="left"/>
    </w:lvl>
    <w:lvl w:ilvl="7" w:tplc="ECF4FA98">
      <w:start w:val="1"/>
      <w:numFmt w:val="bullet"/>
      <w:lvlText w:val=""/>
      <w:lvlJc w:val="left"/>
    </w:lvl>
    <w:lvl w:ilvl="8" w:tplc="1C50A334">
      <w:start w:val="1"/>
      <w:numFmt w:val="bullet"/>
      <w:lvlText w:val=""/>
      <w:lvlJc w:val="left"/>
    </w:lvl>
  </w:abstractNum>
  <w:abstractNum w:abstractNumId="48" w15:restartNumberingAfterBreak="0">
    <w:nsid w:val="00000078"/>
    <w:multiLevelType w:val="hybridMultilevel"/>
    <w:tmpl w:val="4ECEC62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7C"/>
    <w:multiLevelType w:val="hybridMultilevel"/>
    <w:tmpl w:val="19E21BB2"/>
    <w:lvl w:ilvl="0" w:tplc="11BCBF44">
      <w:start w:val="4"/>
      <w:numFmt w:val="decimal"/>
      <w:lvlText w:val="%1."/>
      <w:lvlJc w:val="left"/>
    </w:lvl>
    <w:lvl w:ilvl="1" w:tplc="387AF8EE">
      <w:start w:val="1"/>
      <w:numFmt w:val="bullet"/>
      <w:lvlText w:val=""/>
      <w:lvlJc w:val="left"/>
    </w:lvl>
    <w:lvl w:ilvl="2" w:tplc="6C8C95CC">
      <w:start w:val="1"/>
      <w:numFmt w:val="bullet"/>
      <w:lvlText w:val=""/>
      <w:lvlJc w:val="left"/>
    </w:lvl>
    <w:lvl w:ilvl="3" w:tplc="57E41670">
      <w:start w:val="1"/>
      <w:numFmt w:val="bullet"/>
      <w:lvlText w:val=""/>
      <w:lvlJc w:val="left"/>
    </w:lvl>
    <w:lvl w:ilvl="4" w:tplc="20884B32">
      <w:start w:val="1"/>
      <w:numFmt w:val="bullet"/>
      <w:lvlText w:val=""/>
      <w:lvlJc w:val="left"/>
    </w:lvl>
    <w:lvl w:ilvl="5" w:tplc="48E85666">
      <w:start w:val="1"/>
      <w:numFmt w:val="bullet"/>
      <w:lvlText w:val=""/>
      <w:lvlJc w:val="left"/>
    </w:lvl>
    <w:lvl w:ilvl="6" w:tplc="19C26578">
      <w:start w:val="1"/>
      <w:numFmt w:val="bullet"/>
      <w:lvlText w:val=""/>
      <w:lvlJc w:val="left"/>
    </w:lvl>
    <w:lvl w:ilvl="7" w:tplc="3626AABE">
      <w:start w:val="1"/>
      <w:numFmt w:val="bullet"/>
      <w:lvlText w:val=""/>
      <w:lvlJc w:val="left"/>
    </w:lvl>
    <w:lvl w:ilvl="8" w:tplc="D6F0385A">
      <w:start w:val="1"/>
      <w:numFmt w:val="bullet"/>
      <w:lvlText w:val=""/>
      <w:lvlJc w:val="left"/>
    </w:lvl>
  </w:abstractNum>
  <w:abstractNum w:abstractNumId="50" w15:restartNumberingAfterBreak="0">
    <w:nsid w:val="0000007D"/>
    <w:multiLevelType w:val="hybridMultilevel"/>
    <w:tmpl w:val="CF36C6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7E"/>
    <w:multiLevelType w:val="hybridMultilevel"/>
    <w:tmpl w:val="911668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7F"/>
    <w:multiLevelType w:val="hybridMultilevel"/>
    <w:tmpl w:val="D7488A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80"/>
    <w:multiLevelType w:val="hybridMultilevel"/>
    <w:tmpl w:val="B8041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81"/>
    <w:multiLevelType w:val="hybridMultilevel"/>
    <w:tmpl w:val="E5381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86"/>
    <w:multiLevelType w:val="hybridMultilevel"/>
    <w:tmpl w:val="0BFFAE18"/>
    <w:lvl w:ilvl="0" w:tplc="2EACEA74">
      <w:start w:val="5"/>
      <w:numFmt w:val="decimal"/>
      <w:lvlText w:val="%1."/>
      <w:lvlJc w:val="left"/>
    </w:lvl>
    <w:lvl w:ilvl="1" w:tplc="E488DC96">
      <w:start w:val="1"/>
      <w:numFmt w:val="bullet"/>
      <w:lvlText w:val=""/>
      <w:lvlJc w:val="left"/>
    </w:lvl>
    <w:lvl w:ilvl="2" w:tplc="28F84058">
      <w:start w:val="1"/>
      <w:numFmt w:val="bullet"/>
      <w:lvlText w:val=""/>
      <w:lvlJc w:val="left"/>
    </w:lvl>
    <w:lvl w:ilvl="3" w:tplc="01D83616">
      <w:start w:val="1"/>
      <w:numFmt w:val="bullet"/>
      <w:lvlText w:val=""/>
      <w:lvlJc w:val="left"/>
    </w:lvl>
    <w:lvl w:ilvl="4" w:tplc="7A940A22">
      <w:start w:val="1"/>
      <w:numFmt w:val="bullet"/>
      <w:lvlText w:val=""/>
      <w:lvlJc w:val="left"/>
    </w:lvl>
    <w:lvl w:ilvl="5" w:tplc="0FDCE4CC">
      <w:start w:val="1"/>
      <w:numFmt w:val="bullet"/>
      <w:lvlText w:val=""/>
      <w:lvlJc w:val="left"/>
    </w:lvl>
    <w:lvl w:ilvl="6" w:tplc="E6027F8C">
      <w:start w:val="1"/>
      <w:numFmt w:val="bullet"/>
      <w:lvlText w:val=""/>
      <w:lvlJc w:val="left"/>
    </w:lvl>
    <w:lvl w:ilvl="7" w:tplc="C6B814FE">
      <w:start w:val="1"/>
      <w:numFmt w:val="bullet"/>
      <w:lvlText w:val=""/>
      <w:lvlJc w:val="left"/>
    </w:lvl>
    <w:lvl w:ilvl="8" w:tplc="CBBA59DA">
      <w:start w:val="1"/>
      <w:numFmt w:val="bullet"/>
      <w:lvlText w:val=""/>
      <w:lvlJc w:val="left"/>
    </w:lvl>
  </w:abstractNum>
  <w:abstractNum w:abstractNumId="56" w15:restartNumberingAfterBreak="0">
    <w:nsid w:val="00000087"/>
    <w:multiLevelType w:val="hybridMultilevel"/>
    <w:tmpl w:val="0E3E47A8"/>
    <w:lvl w:ilvl="0" w:tplc="B8F08916">
      <w:start w:val="6"/>
      <w:numFmt w:val="decimal"/>
      <w:lvlText w:val="%1."/>
      <w:lvlJc w:val="left"/>
    </w:lvl>
    <w:lvl w:ilvl="1" w:tplc="B4ACABE6">
      <w:start w:val="1"/>
      <w:numFmt w:val="bullet"/>
      <w:lvlText w:val=""/>
      <w:lvlJc w:val="left"/>
    </w:lvl>
    <w:lvl w:ilvl="2" w:tplc="480AF9EA">
      <w:start w:val="1"/>
      <w:numFmt w:val="bullet"/>
      <w:lvlText w:val=""/>
      <w:lvlJc w:val="left"/>
    </w:lvl>
    <w:lvl w:ilvl="3" w:tplc="35B02A7C">
      <w:start w:val="1"/>
      <w:numFmt w:val="bullet"/>
      <w:lvlText w:val=""/>
      <w:lvlJc w:val="left"/>
    </w:lvl>
    <w:lvl w:ilvl="4" w:tplc="4A48FF88">
      <w:start w:val="1"/>
      <w:numFmt w:val="bullet"/>
      <w:lvlText w:val=""/>
      <w:lvlJc w:val="left"/>
    </w:lvl>
    <w:lvl w:ilvl="5" w:tplc="93F257A6">
      <w:start w:val="1"/>
      <w:numFmt w:val="bullet"/>
      <w:lvlText w:val=""/>
      <w:lvlJc w:val="left"/>
    </w:lvl>
    <w:lvl w:ilvl="6" w:tplc="E154ED06">
      <w:start w:val="1"/>
      <w:numFmt w:val="bullet"/>
      <w:lvlText w:val=""/>
      <w:lvlJc w:val="left"/>
    </w:lvl>
    <w:lvl w:ilvl="7" w:tplc="BB40F892">
      <w:start w:val="1"/>
      <w:numFmt w:val="bullet"/>
      <w:lvlText w:val=""/>
      <w:lvlJc w:val="left"/>
    </w:lvl>
    <w:lvl w:ilvl="8" w:tplc="86A63186">
      <w:start w:val="1"/>
      <w:numFmt w:val="bullet"/>
      <w:lvlText w:val=""/>
      <w:lvlJc w:val="left"/>
    </w:lvl>
  </w:abstractNum>
  <w:abstractNum w:abstractNumId="57" w15:restartNumberingAfterBreak="0">
    <w:nsid w:val="00000088"/>
    <w:multiLevelType w:val="hybridMultilevel"/>
    <w:tmpl w:val="44944A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39232CE"/>
    <w:multiLevelType w:val="hybridMultilevel"/>
    <w:tmpl w:val="0A04B0D6"/>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0F0329B4"/>
    <w:multiLevelType w:val="hybridMultilevel"/>
    <w:tmpl w:val="54D4A93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1" w15:restartNumberingAfterBreak="0">
    <w:nsid w:val="11603C8E"/>
    <w:multiLevelType w:val="hybridMultilevel"/>
    <w:tmpl w:val="BA16691A"/>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12032117"/>
    <w:multiLevelType w:val="hybridMultilevel"/>
    <w:tmpl w:val="D67C11D0"/>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3" w15:restartNumberingAfterBreak="0">
    <w:nsid w:val="13D5000E"/>
    <w:multiLevelType w:val="hybridMultilevel"/>
    <w:tmpl w:val="38403DDC"/>
    <w:lvl w:ilvl="0" w:tplc="FFFFFFFF">
      <w:start w:val="1"/>
      <w:numFmt w:val="bullet"/>
      <w:lvlText w:val="-"/>
      <w:lvlJc w:val="left"/>
      <w:rPr>
        <w:rFonts w:hint="default"/>
      </w:rPr>
    </w:lvl>
    <w:lvl w:ilvl="1" w:tplc="C3CAD006">
      <w:start w:val="1"/>
      <w:numFmt w:val="bullet"/>
      <w:lvlText w:val=""/>
      <w:lvlJc w:val="left"/>
    </w:lvl>
    <w:lvl w:ilvl="2" w:tplc="0082CA36">
      <w:start w:val="1"/>
      <w:numFmt w:val="bullet"/>
      <w:lvlText w:val=""/>
      <w:lvlJc w:val="left"/>
    </w:lvl>
    <w:lvl w:ilvl="3" w:tplc="F0BCF0C4">
      <w:start w:val="1"/>
      <w:numFmt w:val="bullet"/>
      <w:lvlText w:val=""/>
      <w:lvlJc w:val="left"/>
    </w:lvl>
    <w:lvl w:ilvl="4" w:tplc="2A0C51DE">
      <w:start w:val="1"/>
      <w:numFmt w:val="bullet"/>
      <w:lvlText w:val=""/>
      <w:lvlJc w:val="left"/>
    </w:lvl>
    <w:lvl w:ilvl="5" w:tplc="15EE95F8">
      <w:start w:val="1"/>
      <w:numFmt w:val="bullet"/>
      <w:lvlText w:val=""/>
      <w:lvlJc w:val="left"/>
    </w:lvl>
    <w:lvl w:ilvl="6" w:tplc="C7CEAAB4">
      <w:start w:val="1"/>
      <w:numFmt w:val="bullet"/>
      <w:lvlText w:val=""/>
      <w:lvlJc w:val="left"/>
    </w:lvl>
    <w:lvl w:ilvl="7" w:tplc="522CCAEE">
      <w:start w:val="1"/>
      <w:numFmt w:val="bullet"/>
      <w:lvlText w:val=""/>
      <w:lvlJc w:val="left"/>
    </w:lvl>
    <w:lvl w:ilvl="8" w:tplc="87C2A27E">
      <w:start w:val="1"/>
      <w:numFmt w:val="bullet"/>
      <w:lvlText w:val=""/>
      <w:lvlJc w:val="left"/>
    </w:lvl>
  </w:abstractNum>
  <w:abstractNum w:abstractNumId="64" w15:restartNumberingAfterBreak="0">
    <w:nsid w:val="18A2430F"/>
    <w:multiLevelType w:val="hybridMultilevel"/>
    <w:tmpl w:val="EF86A498"/>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5" w15:restartNumberingAfterBreak="0">
    <w:nsid w:val="1E8F1C29"/>
    <w:multiLevelType w:val="hybridMultilevel"/>
    <w:tmpl w:val="D77EB7AC"/>
    <w:lvl w:ilvl="0" w:tplc="4C1AD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D82019"/>
    <w:multiLevelType w:val="hybridMultilevel"/>
    <w:tmpl w:val="E11A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6E6355"/>
    <w:multiLevelType w:val="hybridMultilevel"/>
    <w:tmpl w:val="EB28EFC0"/>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8" w15:restartNumberingAfterBreak="0">
    <w:nsid w:val="2A0F3591"/>
    <w:multiLevelType w:val="hybridMultilevel"/>
    <w:tmpl w:val="E11A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B4045C"/>
    <w:multiLevelType w:val="hybridMultilevel"/>
    <w:tmpl w:val="E138D11E"/>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0" w15:restartNumberingAfterBreak="0">
    <w:nsid w:val="2C586B11"/>
    <w:multiLevelType w:val="hybridMultilevel"/>
    <w:tmpl w:val="E0B87512"/>
    <w:lvl w:ilvl="0" w:tplc="A86CA52A">
      <w:start w:val="2"/>
      <w:numFmt w:val="decimal"/>
      <w:lvlText w:val="%1"/>
      <w:lvlJc w:val="left"/>
      <w:pPr>
        <w:ind w:left="927" w:hanging="360"/>
      </w:pPr>
      <w:rPr>
        <w:rFonts w:hint="default"/>
        <w:vertAlign w:val="superscrip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1" w15:restartNumberingAfterBreak="0">
    <w:nsid w:val="2D001367"/>
    <w:multiLevelType w:val="hybridMultilevel"/>
    <w:tmpl w:val="9FC0F7AC"/>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2" w15:restartNumberingAfterBreak="0">
    <w:nsid w:val="2D6C3120"/>
    <w:multiLevelType w:val="hybridMultilevel"/>
    <w:tmpl w:val="4E0CA026"/>
    <w:lvl w:ilvl="0" w:tplc="453A3B54">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2D8159E7"/>
    <w:multiLevelType w:val="hybridMultilevel"/>
    <w:tmpl w:val="85A22950"/>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4" w15:restartNumberingAfterBreak="0">
    <w:nsid w:val="2EA70B88"/>
    <w:multiLevelType w:val="hybridMultilevel"/>
    <w:tmpl w:val="E0E42EFE"/>
    <w:lvl w:ilvl="0" w:tplc="392E2040">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2F59286A"/>
    <w:multiLevelType w:val="hybridMultilevel"/>
    <w:tmpl w:val="5E765A34"/>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6" w15:restartNumberingAfterBreak="0">
    <w:nsid w:val="323D7F8D"/>
    <w:multiLevelType w:val="hybridMultilevel"/>
    <w:tmpl w:val="EC344F40"/>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7" w15:restartNumberingAfterBreak="0">
    <w:nsid w:val="33B723C5"/>
    <w:multiLevelType w:val="hybridMultilevel"/>
    <w:tmpl w:val="41CA75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3961737A"/>
    <w:multiLevelType w:val="hybridMultilevel"/>
    <w:tmpl w:val="9B5A4886"/>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9" w15:restartNumberingAfterBreak="0">
    <w:nsid w:val="433F783B"/>
    <w:multiLevelType w:val="hybridMultilevel"/>
    <w:tmpl w:val="420AECDC"/>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0" w15:restartNumberingAfterBreak="0">
    <w:nsid w:val="43BE1DA3"/>
    <w:multiLevelType w:val="hybridMultilevel"/>
    <w:tmpl w:val="689C8EF2"/>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43C11751"/>
    <w:multiLevelType w:val="hybridMultilevel"/>
    <w:tmpl w:val="247287B8"/>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2" w15:restartNumberingAfterBreak="0">
    <w:nsid w:val="451D2434"/>
    <w:multiLevelType w:val="hybridMultilevel"/>
    <w:tmpl w:val="85F47FF8"/>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3" w15:restartNumberingAfterBreak="0">
    <w:nsid w:val="46C942F5"/>
    <w:multiLevelType w:val="hybridMultilevel"/>
    <w:tmpl w:val="CF769E1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4" w15:restartNumberingAfterBreak="0">
    <w:nsid w:val="47E02734"/>
    <w:multiLevelType w:val="hybridMultilevel"/>
    <w:tmpl w:val="955C6FA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5" w15:restartNumberingAfterBreak="0">
    <w:nsid w:val="50F57DBB"/>
    <w:multiLevelType w:val="hybridMultilevel"/>
    <w:tmpl w:val="3B1AE02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6" w15:restartNumberingAfterBreak="0">
    <w:nsid w:val="542B3DD8"/>
    <w:multiLevelType w:val="hybridMultilevel"/>
    <w:tmpl w:val="96F6D372"/>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55BB2C84"/>
    <w:multiLevelType w:val="hybridMultilevel"/>
    <w:tmpl w:val="4C68AE3C"/>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89" w15:restartNumberingAfterBreak="0">
    <w:nsid w:val="57E534A8"/>
    <w:multiLevelType w:val="hybridMultilevel"/>
    <w:tmpl w:val="322C4E4A"/>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0" w15:restartNumberingAfterBreak="0">
    <w:nsid w:val="5DBF28C4"/>
    <w:multiLevelType w:val="hybridMultilevel"/>
    <w:tmpl w:val="DD48B41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1" w15:restartNumberingAfterBreak="0">
    <w:nsid w:val="5E1E7D90"/>
    <w:multiLevelType w:val="hybridMultilevel"/>
    <w:tmpl w:val="1FCE84FE"/>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2" w15:restartNumberingAfterBreak="0">
    <w:nsid w:val="5E3326B4"/>
    <w:multiLevelType w:val="hybridMultilevel"/>
    <w:tmpl w:val="8E74A318"/>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3" w15:restartNumberingAfterBreak="0">
    <w:nsid w:val="62517C9D"/>
    <w:multiLevelType w:val="hybridMultilevel"/>
    <w:tmpl w:val="C2EC7B60"/>
    <w:lvl w:ilvl="0" w:tplc="B2D8A0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881BBD"/>
    <w:multiLevelType w:val="hybridMultilevel"/>
    <w:tmpl w:val="6482605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5" w15:restartNumberingAfterBreak="0">
    <w:nsid w:val="63C25EFA"/>
    <w:multiLevelType w:val="hybridMultilevel"/>
    <w:tmpl w:val="7DD6ECA6"/>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6" w15:restartNumberingAfterBreak="0">
    <w:nsid w:val="64042E1D"/>
    <w:multiLevelType w:val="hybridMultilevel"/>
    <w:tmpl w:val="ECC4DCB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7" w15:restartNumberingAfterBreak="0">
    <w:nsid w:val="66796D87"/>
    <w:multiLevelType w:val="hybridMultilevel"/>
    <w:tmpl w:val="D77EB7AC"/>
    <w:lvl w:ilvl="0" w:tplc="4C1AD3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91D5430"/>
    <w:multiLevelType w:val="hybridMultilevel"/>
    <w:tmpl w:val="92B6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AF1148"/>
    <w:multiLevelType w:val="hybridMultilevel"/>
    <w:tmpl w:val="1B584234"/>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0" w15:restartNumberingAfterBreak="0">
    <w:nsid w:val="6C1B107E"/>
    <w:multiLevelType w:val="hybridMultilevel"/>
    <w:tmpl w:val="3E1C0FE0"/>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1" w15:restartNumberingAfterBreak="0">
    <w:nsid w:val="6CBE0504"/>
    <w:multiLevelType w:val="hybridMultilevel"/>
    <w:tmpl w:val="ABB2368C"/>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2" w15:restartNumberingAfterBreak="0">
    <w:nsid w:val="6F5674AC"/>
    <w:multiLevelType w:val="hybridMultilevel"/>
    <w:tmpl w:val="62B2B57E"/>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F95690E"/>
    <w:multiLevelType w:val="hybridMultilevel"/>
    <w:tmpl w:val="68FABE8E"/>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5" w15:restartNumberingAfterBreak="0">
    <w:nsid w:val="70FE0F6B"/>
    <w:multiLevelType w:val="hybridMultilevel"/>
    <w:tmpl w:val="1238440E"/>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6" w15:restartNumberingAfterBreak="0">
    <w:nsid w:val="73380ED3"/>
    <w:multiLevelType w:val="hybridMultilevel"/>
    <w:tmpl w:val="34B8BFEC"/>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7" w15:restartNumberingAfterBreak="0">
    <w:nsid w:val="748B4993"/>
    <w:multiLevelType w:val="hybridMultilevel"/>
    <w:tmpl w:val="92B6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E34047"/>
    <w:multiLevelType w:val="hybridMultilevel"/>
    <w:tmpl w:val="B2A25C8E"/>
    <w:lvl w:ilvl="0" w:tplc="E334F168">
      <w:start w:val="1"/>
      <w:numFmt w:val="bullet"/>
      <w:lvlText w:val="•"/>
      <w:lvlJc w:val="left"/>
      <w:pPr>
        <w:ind w:left="1287" w:hanging="360"/>
      </w:pPr>
      <w:rPr>
        <w:rFont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9" w15:restartNumberingAfterBreak="0">
    <w:nsid w:val="7A100D28"/>
    <w:multiLevelType w:val="hybridMultilevel"/>
    <w:tmpl w:val="C2860424"/>
    <w:lvl w:ilvl="0" w:tplc="48704D5C">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0" w15:restartNumberingAfterBreak="0">
    <w:nsid w:val="7C8B341A"/>
    <w:multiLevelType w:val="hybridMultilevel"/>
    <w:tmpl w:val="F6AA6F80"/>
    <w:lvl w:ilvl="0" w:tplc="FFFFFFFF">
      <w:start w:val="1"/>
      <w:numFmt w:val="bullet"/>
      <w:lvlText w:val="-"/>
      <w:lvlJc w:val="left"/>
    </w:lvl>
    <w:lvl w:ilvl="1" w:tplc="7BAE3DF8">
      <w:start w:val="1"/>
      <w:numFmt w:val="bullet"/>
      <w:lvlText w:val=""/>
      <w:lvlJc w:val="left"/>
    </w:lvl>
    <w:lvl w:ilvl="2" w:tplc="C5EEDCC0">
      <w:start w:val="1"/>
      <w:numFmt w:val="bullet"/>
      <w:lvlText w:val=""/>
      <w:lvlJc w:val="left"/>
    </w:lvl>
    <w:lvl w:ilvl="3" w:tplc="5FD4D50A">
      <w:start w:val="1"/>
      <w:numFmt w:val="bullet"/>
      <w:lvlText w:val=""/>
      <w:lvlJc w:val="left"/>
    </w:lvl>
    <w:lvl w:ilvl="4" w:tplc="8D766C12">
      <w:start w:val="1"/>
      <w:numFmt w:val="bullet"/>
      <w:lvlText w:val=""/>
      <w:lvlJc w:val="left"/>
    </w:lvl>
    <w:lvl w:ilvl="5" w:tplc="73A88EA2">
      <w:start w:val="1"/>
      <w:numFmt w:val="bullet"/>
      <w:lvlText w:val=""/>
      <w:lvlJc w:val="left"/>
    </w:lvl>
    <w:lvl w:ilvl="6" w:tplc="86D299F6">
      <w:start w:val="1"/>
      <w:numFmt w:val="bullet"/>
      <w:lvlText w:val=""/>
      <w:lvlJc w:val="left"/>
    </w:lvl>
    <w:lvl w:ilvl="7" w:tplc="D7BC0226">
      <w:start w:val="1"/>
      <w:numFmt w:val="bullet"/>
      <w:lvlText w:val=""/>
      <w:lvlJc w:val="left"/>
    </w:lvl>
    <w:lvl w:ilvl="8" w:tplc="D9E4BB82">
      <w:start w:val="1"/>
      <w:numFmt w:val="bullet"/>
      <w:lvlText w:val=""/>
      <w:lvlJc w:val="left"/>
    </w:lvl>
  </w:abstractNum>
  <w:num w:numId="1" w16cid:durableId="1327172228">
    <w:abstractNumId w:val="0"/>
  </w:num>
  <w:num w:numId="2" w16cid:durableId="770127382">
    <w:abstractNumId w:val="1"/>
  </w:num>
  <w:num w:numId="3" w16cid:durableId="1426539104">
    <w:abstractNumId w:val="2"/>
  </w:num>
  <w:num w:numId="4" w16cid:durableId="453868104">
    <w:abstractNumId w:val="3"/>
  </w:num>
  <w:num w:numId="5" w16cid:durableId="1388409457">
    <w:abstractNumId w:val="4"/>
  </w:num>
  <w:num w:numId="6" w16cid:durableId="1493252262">
    <w:abstractNumId w:val="5"/>
  </w:num>
  <w:num w:numId="7" w16cid:durableId="1537087709">
    <w:abstractNumId w:val="6"/>
  </w:num>
  <w:num w:numId="8" w16cid:durableId="1946304347">
    <w:abstractNumId w:val="7"/>
  </w:num>
  <w:num w:numId="9" w16cid:durableId="751051319">
    <w:abstractNumId w:val="8"/>
  </w:num>
  <w:num w:numId="10" w16cid:durableId="1684698582">
    <w:abstractNumId w:val="9"/>
  </w:num>
  <w:num w:numId="11" w16cid:durableId="1604260686">
    <w:abstractNumId w:val="10"/>
  </w:num>
  <w:num w:numId="12" w16cid:durableId="1520196087">
    <w:abstractNumId w:val="11"/>
  </w:num>
  <w:num w:numId="13" w16cid:durableId="2014796409">
    <w:abstractNumId w:val="12"/>
  </w:num>
  <w:num w:numId="14" w16cid:durableId="1663436047">
    <w:abstractNumId w:val="13"/>
  </w:num>
  <w:num w:numId="15" w16cid:durableId="1448162408">
    <w:abstractNumId w:val="14"/>
  </w:num>
  <w:num w:numId="16" w16cid:durableId="1691294712">
    <w:abstractNumId w:val="15"/>
  </w:num>
  <w:num w:numId="17" w16cid:durableId="397946849">
    <w:abstractNumId w:val="16"/>
  </w:num>
  <w:num w:numId="18" w16cid:durableId="982928732">
    <w:abstractNumId w:val="17"/>
  </w:num>
  <w:num w:numId="19" w16cid:durableId="1648363030">
    <w:abstractNumId w:val="18"/>
  </w:num>
  <w:num w:numId="20" w16cid:durableId="802893402">
    <w:abstractNumId w:val="19"/>
  </w:num>
  <w:num w:numId="21" w16cid:durableId="2126457193">
    <w:abstractNumId w:val="20"/>
  </w:num>
  <w:num w:numId="22" w16cid:durableId="1741367028">
    <w:abstractNumId w:val="21"/>
  </w:num>
  <w:num w:numId="23" w16cid:durableId="797722845">
    <w:abstractNumId w:val="22"/>
  </w:num>
  <w:num w:numId="24" w16cid:durableId="1483084715">
    <w:abstractNumId w:val="23"/>
  </w:num>
  <w:num w:numId="25" w16cid:durableId="1823154798">
    <w:abstractNumId w:val="24"/>
  </w:num>
  <w:num w:numId="26" w16cid:durableId="1895508309">
    <w:abstractNumId w:val="25"/>
  </w:num>
  <w:num w:numId="27" w16cid:durableId="2078475271">
    <w:abstractNumId w:val="26"/>
  </w:num>
  <w:num w:numId="28" w16cid:durableId="95252629">
    <w:abstractNumId w:val="27"/>
  </w:num>
  <w:num w:numId="29" w16cid:durableId="1492526794">
    <w:abstractNumId w:val="28"/>
  </w:num>
  <w:num w:numId="30" w16cid:durableId="587738338">
    <w:abstractNumId w:val="29"/>
  </w:num>
  <w:num w:numId="31" w16cid:durableId="317849638">
    <w:abstractNumId w:val="30"/>
  </w:num>
  <w:num w:numId="32" w16cid:durableId="2093162145">
    <w:abstractNumId w:val="31"/>
  </w:num>
  <w:num w:numId="33" w16cid:durableId="876426655">
    <w:abstractNumId w:val="32"/>
  </w:num>
  <w:num w:numId="34" w16cid:durableId="117067646">
    <w:abstractNumId w:val="33"/>
  </w:num>
  <w:num w:numId="35" w16cid:durableId="1932734114">
    <w:abstractNumId w:val="34"/>
  </w:num>
  <w:num w:numId="36" w16cid:durableId="1348095046">
    <w:abstractNumId w:val="35"/>
  </w:num>
  <w:num w:numId="37" w16cid:durableId="1965885667">
    <w:abstractNumId w:val="36"/>
  </w:num>
  <w:num w:numId="38" w16cid:durableId="1954552528">
    <w:abstractNumId w:val="37"/>
  </w:num>
  <w:num w:numId="39" w16cid:durableId="1443260923">
    <w:abstractNumId w:val="38"/>
  </w:num>
  <w:num w:numId="40" w16cid:durableId="653874258">
    <w:abstractNumId w:val="39"/>
  </w:num>
  <w:num w:numId="41" w16cid:durableId="1825270161">
    <w:abstractNumId w:val="40"/>
  </w:num>
  <w:num w:numId="42" w16cid:durableId="187373547">
    <w:abstractNumId w:val="41"/>
  </w:num>
  <w:num w:numId="43" w16cid:durableId="1168793571">
    <w:abstractNumId w:val="42"/>
  </w:num>
  <w:num w:numId="44" w16cid:durableId="1895192419">
    <w:abstractNumId w:val="43"/>
  </w:num>
  <w:num w:numId="45" w16cid:durableId="2116359170">
    <w:abstractNumId w:val="44"/>
  </w:num>
  <w:num w:numId="46" w16cid:durableId="2088651851">
    <w:abstractNumId w:val="45"/>
  </w:num>
  <w:num w:numId="47" w16cid:durableId="586772473">
    <w:abstractNumId w:val="46"/>
  </w:num>
  <w:num w:numId="48" w16cid:durableId="1576740894">
    <w:abstractNumId w:val="47"/>
  </w:num>
  <w:num w:numId="49" w16cid:durableId="1920214692">
    <w:abstractNumId w:val="48"/>
  </w:num>
  <w:num w:numId="50" w16cid:durableId="849150210">
    <w:abstractNumId w:val="49"/>
  </w:num>
  <w:num w:numId="51" w16cid:durableId="890530953">
    <w:abstractNumId w:val="50"/>
  </w:num>
  <w:num w:numId="52" w16cid:durableId="674966113">
    <w:abstractNumId w:val="51"/>
  </w:num>
  <w:num w:numId="53" w16cid:durableId="1096484046">
    <w:abstractNumId w:val="52"/>
  </w:num>
  <w:num w:numId="54" w16cid:durableId="1838496838">
    <w:abstractNumId w:val="53"/>
  </w:num>
  <w:num w:numId="55" w16cid:durableId="222303277">
    <w:abstractNumId w:val="54"/>
  </w:num>
  <w:num w:numId="56" w16cid:durableId="1844274259">
    <w:abstractNumId w:val="55"/>
  </w:num>
  <w:num w:numId="57" w16cid:durableId="1195921217">
    <w:abstractNumId w:val="56"/>
  </w:num>
  <w:num w:numId="58" w16cid:durableId="1486430468">
    <w:abstractNumId w:val="57"/>
  </w:num>
  <w:num w:numId="59" w16cid:durableId="334234836">
    <w:abstractNumId w:val="72"/>
  </w:num>
  <w:num w:numId="60" w16cid:durableId="132523069">
    <w:abstractNumId w:val="74"/>
  </w:num>
  <w:num w:numId="61" w16cid:durableId="762726614">
    <w:abstractNumId w:val="77"/>
  </w:num>
  <w:num w:numId="62" w16cid:durableId="1487434804">
    <w:abstractNumId w:val="70"/>
  </w:num>
  <w:num w:numId="63" w16cid:durableId="943657446">
    <w:abstractNumId w:val="65"/>
  </w:num>
  <w:num w:numId="64" w16cid:durableId="588580383">
    <w:abstractNumId w:val="93"/>
  </w:num>
  <w:num w:numId="65" w16cid:durableId="1164853849">
    <w:abstractNumId w:val="107"/>
  </w:num>
  <w:num w:numId="66" w16cid:durableId="2140754436">
    <w:abstractNumId w:val="66"/>
  </w:num>
  <w:num w:numId="67" w16cid:durableId="1708336426">
    <w:abstractNumId w:val="98"/>
  </w:num>
  <w:num w:numId="68" w16cid:durableId="1138497518">
    <w:abstractNumId w:val="68"/>
  </w:num>
  <w:num w:numId="69" w16cid:durableId="1224679901">
    <w:abstractNumId w:val="80"/>
  </w:num>
  <w:num w:numId="70" w16cid:durableId="1581791860">
    <w:abstractNumId w:val="86"/>
  </w:num>
  <w:num w:numId="71" w16cid:durableId="1477799260">
    <w:abstractNumId w:val="61"/>
  </w:num>
  <w:num w:numId="72" w16cid:durableId="1076826832">
    <w:abstractNumId w:val="63"/>
  </w:num>
  <w:num w:numId="73" w16cid:durableId="1123380486">
    <w:abstractNumId w:val="110"/>
  </w:num>
  <w:num w:numId="74" w16cid:durableId="1561476179">
    <w:abstractNumId w:val="96"/>
  </w:num>
  <w:num w:numId="75" w16cid:durableId="1237059598">
    <w:abstractNumId w:val="85"/>
  </w:num>
  <w:num w:numId="76" w16cid:durableId="1156843888">
    <w:abstractNumId w:val="94"/>
  </w:num>
  <w:num w:numId="77" w16cid:durableId="593562062">
    <w:abstractNumId w:val="84"/>
  </w:num>
  <w:num w:numId="78" w16cid:durableId="2128116658">
    <w:abstractNumId w:val="90"/>
  </w:num>
  <w:num w:numId="79" w16cid:durableId="1474980524">
    <w:abstractNumId w:val="83"/>
  </w:num>
  <w:num w:numId="80" w16cid:durableId="885023785">
    <w:abstractNumId w:val="106"/>
  </w:num>
  <w:num w:numId="81" w16cid:durableId="919827556">
    <w:abstractNumId w:val="81"/>
  </w:num>
  <w:num w:numId="82" w16cid:durableId="924800375">
    <w:abstractNumId w:val="95"/>
  </w:num>
  <w:num w:numId="83" w16cid:durableId="1531796661">
    <w:abstractNumId w:val="108"/>
  </w:num>
  <w:num w:numId="84" w16cid:durableId="1359501926">
    <w:abstractNumId w:val="73"/>
  </w:num>
  <w:num w:numId="85" w16cid:durableId="654071521">
    <w:abstractNumId w:val="71"/>
  </w:num>
  <w:num w:numId="86" w16cid:durableId="1552229610">
    <w:abstractNumId w:val="67"/>
  </w:num>
  <w:num w:numId="87" w16cid:durableId="412166558">
    <w:abstractNumId w:val="105"/>
  </w:num>
  <w:num w:numId="88" w16cid:durableId="1934820636">
    <w:abstractNumId w:val="79"/>
  </w:num>
  <w:num w:numId="89" w16cid:durableId="489029852">
    <w:abstractNumId w:val="64"/>
  </w:num>
  <w:num w:numId="90" w16cid:durableId="952445292">
    <w:abstractNumId w:val="92"/>
  </w:num>
  <w:num w:numId="91" w16cid:durableId="1256401188">
    <w:abstractNumId w:val="82"/>
  </w:num>
  <w:num w:numId="92" w16cid:durableId="596642375">
    <w:abstractNumId w:val="101"/>
  </w:num>
  <w:num w:numId="93" w16cid:durableId="1422794248">
    <w:abstractNumId w:val="104"/>
  </w:num>
  <w:num w:numId="94" w16cid:durableId="314726097">
    <w:abstractNumId w:val="69"/>
  </w:num>
  <w:num w:numId="95" w16cid:durableId="1403066135">
    <w:abstractNumId w:val="62"/>
  </w:num>
  <w:num w:numId="96" w16cid:durableId="703291149">
    <w:abstractNumId w:val="87"/>
  </w:num>
  <w:num w:numId="97" w16cid:durableId="906110522">
    <w:abstractNumId w:val="100"/>
  </w:num>
  <w:num w:numId="98" w16cid:durableId="875700735">
    <w:abstractNumId w:val="78"/>
  </w:num>
  <w:num w:numId="99" w16cid:durableId="196432794">
    <w:abstractNumId w:val="58"/>
  </w:num>
  <w:num w:numId="100" w16cid:durableId="1287158113">
    <w:abstractNumId w:val="91"/>
  </w:num>
  <w:num w:numId="101" w16cid:durableId="333652748">
    <w:abstractNumId w:val="89"/>
  </w:num>
  <w:num w:numId="102" w16cid:durableId="1440178059">
    <w:abstractNumId w:val="60"/>
  </w:num>
  <w:num w:numId="103" w16cid:durableId="697782853">
    <w:abstractNumId w:val="99"/>
  </w:num>
  <w:num w:numId="104" w16cid:durableId="1646422974">
    <w:abstractNumId w:val="102"/>
  </w:num>
  <w:num w:numId="105" w16cid:durableId="417287921">
    <w:abstractNumId w:val="75"/>
  </w:num>
  <w:num w:numId="106" w16cid:durableId="409470006">
    <w:abstractNumId w:val="76"/>
  </w:num>
  <w:num w:numId="107" w16cid:durableId="1802112506">
    <w:abstractNumId w:val="59"/>
  </w:num>
  <w:num w:numId="108" w16cid:durableId="786043538">
    <w:abstractNumId w:val="103"/>
  </w:num>
  <w:num w:numId="109" w16cid:durableId="1647275358">
    <w:abstractNumId w:val="88"/>
  </w:num>
  <w:num w:numId="110" w16cid:durableId="2029215033">
    <w:abstractNumId w:val="109"/>
  </w:num>
  <w:num w:numId="111" w16cid:durableId="114910028">
    <w:abstractNumId w:val="9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NotTrackMoves/>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87E"/>
    <w:rsid w:val="000000F2"/>
    <w:rsid w:val="00000B0F"/>
    <w:rsid w:val="00001688"/>
    <w:rsid w:val="00001A5F"/>
    <w:rsid w:val="00002A18"/>
    <w:rsid w:val="00002B20"/>
    <w:rsid w:val="00003AF7"/>
    <w:rsid w:val="000053FC"/>
    <w:rsid w:val="0000562F"/>
    <w:rsid w:val="00006271"/>
    <w:rsid w:val="000066F3"/>
    <w:rsid w:val="00007C64"/>
    <w:rsid w:val="00011D64"/>
    <w:rsid w:val="00011FC0"/>
    <w:rsid w:val="00011FE1"/>
    <w:rsid w:val="00013F90"/>
    <w:rsid w:val="000204F2"/>
    <w:rsid w:val="00021B73"/>
    <w:rsid w:val="0002274A"/>
    <w:rsid w:val="00023583"/>
    <w:rsid w:val="00027925"/>
    <w:rsid w:val="00027BBD"/>
    <w:rsid w:val="0003038D"/>
    <w:rsid w:val="00031D37"/>
    <w:rsid w:val="00033545"/>
    <w:rsid w:val="00033B3C"/>
    <w:rsid w:val="00034685"/>
    <w:rsid w:val="00042967"/>
    <w:rsid w:val="000436FA"/>
    <w:rsid w:val="00043E8F"/>
    <w:rsid w:val="0004405D"/>
    <w:rsid w:val="00045C31"/>
    <w:rsid w:val="00046A09"/>
    <w:rsid w:val="00046F55"/>
    <w:rsid w:val="00047D2C"/>
    <w:rsid w:val="00050918"/>
    <w:rsid w:val="00050CEC"/>
    <w:rsid w:val="0005252E"/>
    <w:rsid w:val="00053C4D"/>
    <w:rsid w:val="000558EF"/>
    <w:rsid w:val="00056865"/>
    <w:rsid w:val="00057FEF"/>
    <w:rsid w:val="000642A4"/>
    <w:rsid w:val="00065071"/>
    <w:rsid w:val="00066BF9"/>
    <w:rsid w:val="000679A8"/>
    <w:rsid w:val="00067C10"/>
    <w:rsid w:val="00067D33"/>
    <w:rsid w:val="00071CFE"/>
    <w:rsid w:val="00074707"/>
    <w:rsid w:val="00075FF8"/>
    <w:rsid w:val="0007651D"/>
    <w:rsid w:val="00077ED4"/>
    <w:rsid w:val="000802EA"/>
    <w:rsid w:val="00081509"/>
    <w:rsid w:val="0008245F"/>
    <w:rsid w:val="000826B3"/>
    <w:rsid w:val="00084642"/>
    <w:rsid w:val="0008597C"/>
    <w:rsid w:val="00087613"/>
    <w:rsid w:val="00087BFD"/>
    <w:rsid w:val="00090103"/>
    <w:rsid w:val="0009249B"/>
    <w:rsid w:val="0009303A"/>
    <w:rsid w:val="000953D7"/>
    <w:rsid w:val="000954CD"/>
    <w:rsid w:val="00096BA7"/>
    <w:rsid w:val="00096D11"/>
    <w:rsid w:val="00097E5D"/>
    <w:rsid w:val="000A0DF6"/>
    <w:rsid w:val="000A36B5"/>
    <w:rsid w:val="000A44C8"/>
    <w:rsid w:val="000A5984"/>
    <w:rsid w:val="000A6CAC"/>
    <w:rsid w:val="000A767C"/>
    <w:rsid w:val="000B0E65"/>
    <w:rsid w:val="000B30E1"/>
    <w:rsid w:val="000B3A4D"/>
    <w:rsid w:val="000B473B"/>
    <w:rsid w:val="000B4913"/>
    <w:rsid w:val="000B5471"/>
    <w:rsid w:val="000B61F9"/>
    <w:rsid w:val="000B7C7F"/>
    <w:rsid w:val="000C015B"/>
    <w:rsid w:val="000C1BFA"/>
    <w:rsid w:val="000C26A8"/>
    <w:rsid w:val="000C5F44"/>
    <w:rsid w:val="000C64B7"/>
    <w:rsid w:val="000D16FC"/>
    <w:rsid w:val="000D3335"/>
    <w:rsid w:val="000D400E"/>
    <w:rsid w:val="000D4DF2"/>
    <w:rsid w:val="000D4F87"/>
    <w:rsid w:val="000D704E"/>
    <w:rsid w:val="000E1A80"/>
    <w:rsid w:val="000E1CC5"/>
    <w:rsid w:val="000E2034"/>
    <w:rsid w:val="000E2CC7"/>
    <w:rsid w:val="000E3770"/>
    <w:rsid w:val="000E3978"/>
    <w:rsid w:val="000E3A0B"/>
    <w:rsid w:val="000E4D3E"/>
    <w:rsid w:val="000E5D2A"/>
    <w:rsid w:val="000E7F5A"/>
    <w:rsid w:val="000F01AC"/>
    <w:rsid w:val="000F02D1"/>
    <w:rsid w:val="000F1DDD"/>
    <w:rsid w:val="000F260E"/>
    <w:rsid w:val="000F28E1"/>
    <w:rsid w:val="000F2F1A"/>
    <w:rsid w:val="000F4222"/>
    <w:rsid w:val="000F46BA"/>
    <w:rsid w:val="000F4D1D"/>
    <w:rsid w:val="000F7AF4"/>
    <w:rsid w:val="00100305"/>
    <w:rsid w:val="00100997"/>
    <w:rsid w:val="00100BEA"/>
    <w:rsid w:val="0010118C"/>
    <w:rsid w:val="0010237A"/>
    <w:rsid w:val="00102574"/>
    <w:rsid w:val="0010468E"/>
    <w:rsid w:val="00104810"/>
    <w:rsid w:val="00105519"/>
    <w:rsid w:val="00105FDF"/>
    <w:rsid w:val="00110607"/>
    <w:rsid w:val="00110779"/>
    <w:rsid w:val="00110A46"/>
    <w:rsid w:val="00111C48"/>
    <w:rsid w:val="00111FFF"/>
    <w:rsid w:val="001131C5"/>
    <w:rsid w:val="00113BEF"/>
    <w:rsid w:val="00113C0F"/>
    <w:rsid w:val="00114020"/>
    <w:rsid w:val="0011428C"/>
    <w:rsid w:val="001144EB"/>
    <w:rsid w:val="001151A5"/>
    <w:rsid w:val="001154BB"/>
    <w:rsid w:val="001156C6"/>
    <w:rsid w:val="00116986"/>
    <w:rsid w:val="0012278E"/>
    <w:rsid w:val="00123FB3"/>
    <w:rsid w:val="001245EC"/>
    <w:rsid w:val="00124EFB"/>
    <w:rsid w:val="00124F4B"/>
    <w:rsid w:val="001266C6"/>
    <w:rsid w:val="001306AA"/>
    <w:rsid w:val="0013185E"/>
    <w:rsid w:val="00132533"/>
    <w:rsid w:val="001339A2"/>
    <w:rsid w:val="00133E44"/>
    <w:rsid w:val="00134D54"/>
    <w:rsid w:val="0013527B"/>
    <w:rsid w:val="00136941"/>
    <w:rsid w:val="00137F8D"/>
    <w:rsid w:val="0014004B"/>
    <w:rsid w:val="0014020E"/>
    <w:rsid w:val="001413CB"/>
    <w:rsid w:val="00143688"/>
    <w:rsid w:val="00144DF3"/>
    <w:rsid w:val="0014797F"/>
    <w:rsid w:val="00147AF3"/>
    <w:rsid w:val="001501FD"/>
    <w:rsid w:val="001530D6"/>
    <w:rsid w:val="001566D8"/>
    <w:rsid w:val="00156C80"/>
    <w:rsid w:val="00157A1D"/>
    <w:rsid w:val="001614C2"/>
    <w:rsid w:val="00164261"/>
    <w:rsid w:val="00165813"/>
    <w:rsid w:val="00166265"/>
    <w:rsid w:val="00167165"/>
    <w:rsid w:val="001702E7"/>
    <w:rsid w:val="00175071"/>
    <w:rsid w:val="00175A1F"/>
    <w:rsid w:val="00176238"/>
    <w:rsid w:val="001778E9"/>
    <w:rsid w:val="00180112"/>
    <w:rsid w:val="00182126"/>
    <w:rsid w:val="00182E71"/>
    <w:rsid w:val="001852BA"/>
    <w:rsid w:val="00187B78"/>
    <w:rsid w:val="00190ED3"/>
    <w:rsid w:val="00192999"/>
    <w:rsid w:val="001932D9"/>
    <w:rsid w:val="00193D6F"/>
    <w:rsid w:val="00195116"/>
    <w:rsid w:val="001975F0"/>
    <w:rsid w:val="001A09F8"/>
    <w:rsid w:val="001A2F53"/>
    <w:rsid w:val="001A3DA1"/>
    <w:rsid w:val="001A6DB8"/>
    <w:rsid w:val="001A7475"/>
    <w:rsid w:val="001B0BF7"/>
    <w:rsid w:val="001B0EF2"/>
    <w:rsid w:val="001B1790"/>
    <w:rsid w:val="001B17FB"/>
    <w:rsid w:val="001B611F"/>
    <w:rsid w:val="001B6E0A"/>
    <w:rsid w:val="001B7634"/>
    <w:rsid w:val="001B794B"/>
    <w:rsid w:val="001C07A1"/>
    <w:rsid w:val="001C111D"/>
    <w:rsid w:val="001C1649"/>
    <w:rsid w:val="001C3E73"/>
    <w:rsid w:val="001C4251"/>
    <w:rsid w:val="001C5907"/>
    <w:rsid w:val="001C5E60"/>
    <w:rsid w:val="001C6CA9"/>
    <w:rsid w:val="001C77B1"/>
    <w:rsid w:val="001D19AA"/>
    <w:rsid w:val="001D1DDF"/>
    <w:rsid w:val="001D2895"/>
    <w:rsid w:val="001D3AF3"/>
    <w:rsid w:val="001D6754"/>
    <w:rsid w:val="001D67A5"/>
    <w:rsid w:val="001E2C6A"/>
    <w:rsid w:val="001E62B2"/>
    <w:rsid w:val="001F04BF"/>
    <w:rsid w:val="001F215A"/>
    <w:rsid w:val="001F32B7"/>
    <w:rsid w:val="001F41A3"/>
    <w:rsid w:val="001F6BA3"/>
    <w:rsid w:val="001F76FE"/>
    <w:rsid w:val="002011CB"/>
    <w:rsid w:val="00202B1C"/>
    <w:rsid w:val="00202FC5"/>
    <w:rsid w:val="0020540E"/>
    <w:rsid w:val="00211112"/>
    <w:rsid w:val="00213F9E"/>
    <w:rsid w:val="00214B5C"/>
    <w:rsid w:val="00216BB4"/>
    <w:rsid w:val="0021710C"/>
    <w:rsid w:val="002178C6"/>
    <w:rsid w:val="00220926"/>
    <w:rsid w:val="002231C7"/>
    <w:rsid w:val="00225269"/>
    <w:rsid w:val="002262E7"/>
    <w:rsid w:val="00226B6B"/>
    <w:rsid w:val="0022759B"/>
    <w:rsid w:val="002308A5"/>
    <w:rsid w:val="00231102"/>
    <w:rsid w:val="002320B4"/>
    <w:rsid w:val="0023279D"/>
    <w:rsid w:val="0023471C"/>
    <w:rsid w:val="0023615D"/>
    <w:rsid w:val="002367B3"/>
    <w:rsid w:val="00236BFF"/>
    <w:rsid w:val="00240AC8"/>
    <w:rsid w:val="00241A1E"/>
    <w:rsid w:val="00242700"/>
    <w:rsid w:val="002429E5"/>
    <w:rsid w:val="0024366C"/>
    <w:rsid w:val="00243731"/>
    <w:rsid w:val="00243991"/>
    <w:rsid w:val="00245F9B"/>
    <w:rsid w:val="00245FE9"/>
    <w:rsid w:val="00247641"/>
    <w:rsid w:val="00250218"/>
    <w:rsid w:val="0025263B"/>
    <w:rsid w:val="00252B48"/>
    <w:rsid w:val="00254A10"/>
    <w:rsid w:val="00254E67"/>
    <w:rsid w:val="00254E7E"/>
    <w:rsid w:val="00255BE0"/>
    <w:rsid w:val="00255C97"/>
    <w:rsid w:val="00256702"/>
    <w:rsid w:val="002569A6"/>
    <w:rsid w:val="00256FA8"/>
    <w:rsid w:val="002602D2"/>
    <w:rsid w:val="00260ABE"/>
    <w:rsid w:val="0026169E"/>
    <w:rsid w:val="00261A5A"/>
    <w:rsid w:val="0026219A"/>
    <w:rsid w:val="002652AA"/>
    <w:rsid w:val="002656FA"/>
    <w:rsid w:val="002679D4"/>
    <w:rsid w:val="00270216"/>
    <w:rsid w:val="00270970"/>
    <w:rsid w:val="0027151D"/>
    <w:rsid w:val="00273A08"/>
    <w:rsid w:val="00273C24"/>
    <w:rsid w:val="002759DC"/>
    <w:rsid w:val="002803E1"/>
    <w:rsid w:val="00280D89"/>
    <w:rsid w:val="002810A5"/>
    <w:rsid w:val="002818B0"/>
    <w:rsid w:val="002819E7"/>
    <w:rsid w:val="00281B1E"/>
    <w:rsid w:val="00281B7E"/>
    <w:rsid w:val="00283A69"/>
    <w:rsid w:val="0028736C"/>
    <w:rsid w:val="00290064"/>
    <w:rsid w:val="002905BB"/>
    <w:rsid w:val="00292E46"/>
    <w:rsid w:val="00293835"/>
    <w:rsid w:val="00293965"/>
    <w:rsid w:val="00295C0C"/>
    <w:rsid w:val="00296DE7"/>
    <w:rsid w:val="00297968"/>
    <w:rsid w:val="002A186F"/>
    <w:rsid w:val="002A1D22"/>
    <w:rsid w:val="002B0716"/>
    <w:rsid w:val="002B0882"/>
    <w:rsid w:val="002B1650"/>
    <w:rsid w:val="002B2B0C"/>
    <w:rsid w:val="002B7A26"/>
    <w:rsid w:val="002C0764"/>
    <w:rsid w:val="002C2612"/>
    <w:rsid w:val="002C296D"/>
    <w:rsid w:val="002C2B91"/>
    <w:rsid w:val="002C4661"/>
    <w:rsid w:val="002C52CD"/>
    <w:rsid w:val="002C5A26"/>
    <w:rsid w:val="002C69FD"/>
    <w:rsid w:val="002C7654"/>
    <w:rsid w:val="002D10D3"/>
    <w:rsid w:val="002D141E"/>
    <w:rsid w:val="002D2178"/>
    <w:rsid w:val="002D319F"/>
    <w:rsid w:val="002D3AE0"/>
    <w:rsid w:val="002D4951"/>
    <w:rsid w:val="002D562B"/>
    <w:rsid w:val="002D6FFD"/>
    <w:rsid w:val="002E19CE"/>
    <w:rsid w:val="002E3434"/>
    <w:rsid w:val="002E35A7"/>
    <w:rsid w:val="002E57E8"/>
    <w:rsid w:val="002F0258"/>
    <w:rsid w:val="002F1DFF"/>
    <w:rsid w:val="002F20D6"/>
    <w:rsid w:val="002F2966"/>
    <w:rsid w:val="002F4083"/>
    <w:rsid w:val="002F4098"/>
    <w:rsid w:val="002F55F4"/>
    <w:rsid w:val="002F5802"/>
    <w:rsid w:val="002F5F94"/>
    <w:rsid w:val="002F765C"/>
    <w:rsid w:val="002F7CDD"/>
    <w:rsid w:val="00300FC0"/>
    <w:rsid w:val="0030312A"/>
    <w:rsid w:val="003032F6"/>
    <w:rsid w:val="00304B48"/>
    <w:rsid w:val="0030674B"/>
    <w:rsid w:val="00307766"/>
    <w:rsid w:val="00307BD1"/>
    <w:rsid w:val="00307D30"/>
    <w:rsid w:val="00310BA6"/>
    <w:rsid w:val="00313088"/>
    <w:rsid w:val="00313263"/>
    <w:rsid w:val="00313BA3"/>
    <w:rsid w:val="003141EC"/>
    <w:rsid w:val="00314929"/>
    <w:rsid w:val="00314B6B"/>
    <w:rsid w:val="00314B7F"/>
    <w:rsid w:val="00321327"/>
    <w:rsid w:val="00322430"/>
    <w:rsid w:val="0032315B"/>
    <w:rsid w:val="0032535A"/>
    <w:rsid w:val="00327680"/>
    <w:rsid w:val="00327D6D"/>
    <w:rsid w:val="003305C0"/>
    <w:rsid w:val="003307C0"/>
    <w:rsid w:val="00330B96"/>
    <w:rsid w:val="0033156E"/>
    <w:rsid w:val="003315BF"/>
    <w:rsid w:val="00332412"/>
    <w:rsid w:val="00334D5B"/>
    <w:rsid w:val="0034221D"/>
    <w:rsid w:val="00342829"/>
    <w:rsid w:val="00343279"/>
    <w:rsid w:val="00343486"/>
    <w:rsid w:val="003437A7"/>
    <w:rsid w:val="00343920"/>
    <w:rsid w:val="00343A90"/>
    <w:rsid w:val="00343B96"/>
    <w:rsid w:val="003446EC"/>
    <w:rsid w:val="00346047"/>
    <w:rsid w:val="00350ACB"/>
    <w:rsid w:val="00351489"/>
    <w:rsid w:val="00351E6C"/>
    <w:rsid w:val="00352C8F"/>
    <w:rsid w:val="00355340"/>
    <w:rsid w:val="003564F4"/>
    <w:rsid w:val="003624AC"/>
    <w:rsid w:val="00364AD2"/>
    <w:rsid w:val="00367368"/>
    <w:rsid w:val="00370AD9"/>
    <w:rsid w:val="00371679"/>
    <w:rsid w:val="0037333E"/>
    <w:rsid w:val="00374381"/>
    <w:rsid w:val="00375043"/>
    <w:rsid w:val="00377244"/>
    <w:rsid w:val="0038156C"/>
    <w:rsid w:val="003819E0"/>
    <w:rsid w:val="00382265"/>
    <w:rsid w:val="00382333"/>
    <w:rsid w:val="00383A4E"/>
    <w:rsid w:val="003843E9"/>
    <w:rsid w:val="00386867"/>
    <w:rsid w:val="00390045"/>
    <w:rsid w:val="00390824"/>
    <w:rsid w:val="0039177A"/>
    <w:rsid w:val="003920E9"/>
    <w:rsid w:val="00392176"/>
    <w:rsid w:val="003934C0"/>
    <w:rsid w:val="00395733"/>
    <w:rsid w:val="0039630F"/>
    <w:rsid w:val="00397EEC"/>
    <w:rsid w:val="00397F32"/>
    <w:rsid w:val="003A00CA"/>
    <w:rsid w:val="003A0DAD"/>
    <w:rsid w:val="003A2B2A"/>
    <w:rsid w:val="003B0004"/>
    <w:rsid w:val="003B3443"/>
    <w:rsid w:val="003B3501"/>
    <w:rsid w:val="003B424F"/>
    <w:rsid w:val="003B4B63"/>
    <w:rsid w:val="003B53F3"/>
    <w:rsid w:val="003B7CFC"/>
    <w:rsid w:val="003C01FF"/>
    <w:rsid w:val="003C0DA2"/>
    <w:rsid w:val="003C14D6"/>
    <w:rsid w:val="003C2770"/>
    <w:rsid w:val="003C3911"/>
    <w:rsid w:val="003C4482"/>
    <w:rsid w:val="003C4873"/>
    <w:rsid w:val="003C4B22"/>
    <w:rsid w:val="003C4CB8"/>
    <w:rsid w:val="003D144E"/>
    <w:rsid w:val="003D179A"/>
    <w:rsid w:val="003D263C"/>
    <w:rsid w:val="003D355C"/>
    <w:rsid w:val="003D43C2"/>
    <w:rsid w:val="003D767F"/>
    <w:rsid w:val="003D7B2D"/>
    <w:rsid w:val="003E086C"/>
    <w:rsid w:val="003E1365"/>
    <w:rsid w:val="003E25D4"/>
    <w:rsid w:val="003E2B44"/>
    <w:rsid w:val="003E315A"/>
    <w:rsid w:val="003E3C47"/>
    <w:rsid w:val="003E43F3"/>
    <w:rsid w:val="003E4435"/>
    <w:rsid w:val="003E6668"/>
    <w:rsid w:val="003E6678"/>
    <w:rsid w:val="003E6869"/>
    <w:rsid w:val="003E6894"/>
    <w:rsid w:val="003F1B4E"/>
    <w:rsid w:val="003F3898"/>
    <w:rsid w:val="003F445D"/>
    <w:rsid w:val="003F5447"/>
    <w:rsid w:val="003F553C"/>
    <w:rsid w:val="003F5F8E"/>
    <w:rsid w:val="00400A82"/>
    <w:rsid w:val="0040155A"/>
    <w:rsid w:val="0040162E"/>
    <w:rsid w:val="0040170A"/>
    <w:rsid w:val="00401832"/>
    <w:rsid w:val="00402641"/>
    <w:rsid w:val="00403130"/>
    <w:rsid w:val="00403C18"/>
    <w:rsid w:val="004048EE"/>
    <w:rsid w:val="00404932"/>
    <w:rsid w:val="00405231"/>
    <w:rsid w:val="00405A3C"/>
    <w:rsid w:val="00407BF0"/>
    <w:rsid w:val="00411610"/>
    <w:rsid w:val="0041202B"/>
    <w:rsid w:val="00412CFE"/>
    <w:rsid w:val="00414A4D"/>
    <w:rsid w:val="00417CB2"/>
    <w:rsid w:val="00422FB5"/>
    <w:rsid w:val="00423567"/>
    <w:rsid w:val="00425112"/>
    <w:rsid w:val="00426D5C"/>
    <w:rsid w:val="00426E4B"/>
    <w:rsid w:val="00427591"/>
    <w:rsid w:val="0043173F"/>
    <w:rsid w:val="00431A25"/>
    <w:rsid w:val="0043247C"/>
    <w:rsid w:val="00432981"/>
    <w:rsid w:val="00432C22"/>
    <w:rsid w:val="004356EC"/>
    <w:rsid w:val="00435909"/>
    <w:rsid w:val="00435B05"/>
    <w:rsid w:val="00436C94"/>
    <w:rsid w:val="00437A8A"/>
    <w:rsid w:val="004448AF"/>
    <w:rsid w:val="004455DE"/>
    <w:rsid w:val="00445F9E"/>
    <w:rsid w:val="00446E96"/>
    <w:rsid w:val="004474EE"/>
    <w:rsid w:val="00450109"/>
    <w:rsid w:val="004504DA"/>
    <w:rsid w:val="004508D7"/>
    <w:rsid w:val="0045392D"/>
    <w:rsid w:val="00454069"/>
    <w:rsid w:val="00455A2F"/>
    <w:rsid w:val="00460124"/>
    <w:rsid w:val="004611C2"/>
    <w:rsid w:val="00462042"/>
    <w:rsid w:val="004636BD"/>
    <w:rsid w:val="00464039"/>
    <w:rsid w:val="0046497A"/>
    <w:rsid w:val="00466409"/>
    <w:rsid w:val="00466967"/>
    <w:rsid w:val="004720D2"/>
    <w:rsid w:val="00473442"/>
    <w:rsid w:val="00473CE8"/>
    <w:rsid w:val="004751D6"/>
    <w:rsid w:val="0047574B"/>
    <w:rsid w:val="0047588A"/>
    <w:rsid w:val="00475D4F"/>
    <w:rsid w:val="00480321"/>
    <w:rsid w:val="00480685"/>
    <w:rsid w:val="00480CF8"/>
    <w:rsid w:val="004816E2"/>
    <w:rsid w:val="004820F4"/>
    <w:rsid w:val="0048231D"/>
    <w:rsid w:val="004833F2"/>
    <w:rsid w:val="00484CDB"/>
    <w:rsid w:val="004850A9"/>
    <w:rsid w:val="00486229"/>
    <w:rsid w:val="004918FB"/>
    <w:rsid w:val="00492EBA"/>
    <w:rsid w:val="0049642E"/>
    <w:rsid w:val="004968B1"/>
    <w:rsid w:val="00497D08"/>
    <w:rsid w:val="004A112C"/>
    <w:rsid w:val="004A3431"/>
    <w:rsid w:val="004A59C6"/>
    <w:rsid w:val="004A7F2A"/>
    <w:rsid w:val="004B1C9B"/>
    <w:rsid w:val="004B3C3C"/>
    <w:rsid w:val="004B3DB3"/>
    <w:rsid w:val="004B5B3A"/>
    <w:rsid w:val="004B65DC"/>
    <w:rsid w:val="004B72DD"/>
    <w:rsid w:val="004C45E8"/>
    <w:rsid w:val="004C4AF8"/>
    <w:rsid w:val="004C5D03"/>
    <w:rsid w:val="004C5F6C"/>
    <w:rsid w:val="004C6405"/>
    <w:rsid w:val="004C78FF"/>
    <w:rsid w:val="004C7D78"/>
    <w:rsid w:val="004D025A"/>
    <w:rsid w:val="004D05DC"/>
    <w:rsid w:val="004D1245"/>
    <w:rsid w:val="004D1781"/>
    <w:rsid w:val="004D2AE1"/>
    <w:rsid w:val="004D2CBF"/>
    <w:rsid w:val="004D2E4E"/>
    <w:rsid w:val="004D2FD4"/>
    <w:rsid w:val="004D54A4"/>
    <w:rsid w:val="004D55CB"/>
    <w:rsid w:val="004D5D05"/>
    <w:rsid w:val="004D6DAA"/>
    <w:rsid w:val="004D7734"/>
    <w:rsid w:val="004E0926"/>
    <w:rsid w:val="004E0C83"/>
    <w:rsid w:val="004E146F"/>
    <w:rsid w:val="004E2187"/>
    <w:rsid w:val="004E231B"/>
    <w:rsid w:val="004E3516"/>
    <w:rsid w:val="004E3929"/>
    <w:rsid w:val="004E4332"/>
    <w:rsid w:val="004E5F02"/>
    <w:rsid w:val="004E73E6"/>
    <w:rsid w:val="004F113B"/>
    <w:rsid w:val="004F202C"/>
    <w:rsid w:val="004F21E6"/>
    <w:rsid w:val="004F3713"/>
    <w:rsid w:val="004F3EE6"/>
    <w:rsid w:val="004F461B"/>
    <w:rsid w:val="004F4AC1"/>
    <w:rsid w:val="004F6359"/>
    <w:rsid w:val="004F69D3"/>
    <w:rsid w:val="004F7676"/>
    <w:rsid w:val="004F7A4C"/>
    <w:rsid w:val="00501A0C"/>
    <w:rsid w:val="00502283"/>
    <w:rsid w:val="005025D4"/>
    <w:rsid w:val="0050626B"/>
    <w:rsid w:val="00510DE9"/>
    <w:rsid w:val="00511CFF"/>
    <w:rsid w:val="00514919"/>
    <w:rsid w:val="00523C36"/>
    <w:rsid w:val="00524FF2"/>
    <w:rsid w:val="005274DE"/>
    <w:rsid w:val="0053082F"/>
    <w:rsid w:val="0053095B"/>
    <w:rsid w:val="00531F37"/>
    <w:rsid w:val="00531FAA"/>
    <w:rsid w:val="00532160"/>
    <w:rsid w:val="00533912"/>
    <w:rsid w:val="00534F3B"/>
    <w:rsid w:val="00540F49"/>
    <w:rsid w:val="00541338"/>
    <w:rsid w:val="005428A6"/>
    <w:rsid w:val="005433AE"/>
    <w:rsid w:val="00543455"/>
    <w:rsid w:val="00544143"/>
    <w:rsid w:val="00545C47"/>
    <w:rsid w:val="00547F46"/>
    <w:rsid w:val="005506E2"/>
    <w:rsid w:val="00552F96"/>
    <w:rsid w:val="00553AF6"/>
    <w:rsid w:val="00554576"/>
    <w:rsid w:val="0055471B"/>
    <w:rsid w:val="0055555C"/>
    <w:rsid w:val="00556888"/>
    <w:rsid w:val="005571CC"/>
    <w:rsid w:val="0055761A"/>
    <w:rsid w:val="00557811"/>
    <w:rsid w:val="00557DD6"/>
    <w:rsid w:val="00560390"/>
    <w:rsid w:val="0056187F"/>
    <w:rsid w:val="00561E8A"/>
    <w:rsid w:val="005624A7"/>
    <w:rsid w:val="0056397A"/>
    <w:rsid w:val="00567913"/>
    <w:rsid w:val="00571267"/>
    <w:rsid w:val="00571410"/>
    <w:rsid w:val="00571747"/>
    <w:rsid w:val="0057195F"/>
    <w:rsid w:val="005766E4"/>
    <w:rsid w:val="00577FB8"/>
    <w:rsid w:val="00581AB6"/>
    <w:rsid w:val="00581DF3"/>
    <w:rsid w:val="00582178"/>
    <w:rsid w:val="00584907"/>
    <w:rsid w:val="00585943"/>
    <w:rsid w:val="00585C5D"/>
    <w:rsid w:val="00590DA6"/>
    <w:rsid w:val="00592BF3"/>
    <w:rsid w:val="005931D3"/>
    <w:rsid w:val="00593908"/>
    <w:rsid w:val="00593F41"/>
    <w:rsid w:val="00594A25"/>
    <w:rsid w:val="005A28E1"/>
    <w:rsid w:val="005A497F"/>
    <w:rsid w:val="005A5C36"/>
    <w:rsid w:val="005A5F0A"/>
    <w:rsid w:val="005A6D25"/>
    <w:rsid w:val="005A7358"/>
    <w:rsid w:val="005A749A"/>
    <w:rsid w:val="005B018D"/>
    <w:rsid w:val="005B06D9"/>
    <w:rsid w:val="005B1082"/>
    <w:rsid w:val="005B1BBB"/>
    <w:rsid w:val="005B299C"/>
    <w:rsid w:val="005B2CBE"/>
    <w:rsid w:val="005B4641"/>
    <w:rsid w:val="005B485C"/>
    <w:rsid w:val="005B6852"/>
    <w:rsid w:val="005C127B"/>
    <w:rsid w:val="005C20EB"/>
    <w:rsid w:val="005C2A9C"/>
    <w:rsid w:val="005C3609"/>
    <w:rsid w:val="005C373F"/>
    <w:rsid w:val="005C3758"/>
    <w:rsid w:val="005C3FED"/>
    <w:rsid w:val="005C4198"/>
    <w:rsid w:val="005C4342"/>
    <w:rsid w:val="005C5382"/>
    <w:rsid w:val="005C5E1B"/>
    <w:rsid w:val="005C5F14"/>
    <w:rsid w:val="005C615F"/>
    <w:rsid w:val="005C6E91"/>
    <w:rsid w:val="005D03E8"/>
    <w:rsid w:val="005D0655"/>
    <w:rsid w:val="005D0D0A"/>
    <w:rsid w:val="005D1030"/>
    <w:rsid w:val="005D2816"/>
    <w:rsid w:val="005D46E4"/>
    <w:rsid w:val="005D5E80"/>
    <w:rsid w:val="005D7BF4"/>
    <w:rsid w:val="005E0AFE"/>
    <w:rsid w:val="005E1C34"/>
    <w:rsid w:val="005E334E"/>
    <w:rsid w:val="005E3470"/>
    <w:rsid w:val="005E68DA"/>
    <w:rsid w:val="005E6FBF"/>
    <w:rsid w:val="005F04A0"/>
    <w:rsid w:val="005F0D13"/>
    <w:rsid w:val="005F106E"/>
    <w:rsid w:val="005F254D"/>
    <w:rsid w:val="005F5119"/>
    <w:rsid w:val="005F5CA0"/>
    <w:rsid w:val="005F66C9"/>
    <w:rsid w:val="005F6C01"/>
    <w:rsid w:val="005F6F65"/>
    <w:rsid w:val="005F7E9F"/>
    <w:rsid w:val="006005F9"/>
    <w:rsid w:val="00602CE9"/>
    <w:rsid w:val="006046D7"/>
    <w:rsid w:val="0060658D"/>
    <w:rsid w:val="00607354"/>
    <w:rsid w:val="00611240"/>
    <w:rsid w:val="00613329"/>
    <w:rsid w:val="0061492D"/>
    <w:rsid w:val="00623BC9"/>
    <w:rsid w:val="00626025"/>
    <w:rsid w:val="00626E77"/>
    <w:rsid w:val="0063024F"/>
    <w:rsid w:val="00632227"/>
    <w:rsid w:val="00632998"/>
    <w:rsid w:val="00633B72"/>
    <w:rsid w:val="00633F20"/>
    <w:rsid w:val="0063447B"/>
    <w:rsid w:val="006351CF"/>
    <w:rsid w:val="006357E6"/>
    <w:rsid w:val="00637643"/>
    <w:rsid w:val="006377C9"/>
    <w:rsid w:val="0064177C"/>
    <w:rsid w:val="00641822"/>
    <w:rsid w:val="006450D6"/>
    <w:rsid w:val="00650BC8"/>
    <w:rsid w:val="00651560"/>
    <w:rsid w:val="00652D96"/>
    <w:rsid w:val="006535D9"/>
    <w:rsid w:val="0065551D"/>
    <w:rsid w:val="00655922"/>
    <w:rsid w:val="006561A5"/>
    <w:rsid w:val="00656BA5"/>
    <w:rsid w:val="00660DA3"/>
    <w:rsid w:val="00661085"/>
    <w:rsid w:val="00661B25"/>
    <w:rsid w:val="006628B6"/>
    <w:rsid w:val="00663B3B"/>
    <w:rsid w:val="00665FBE"/>
    <w:rsid w:val="00667994"/>
    <w:rsid w:val="00667C1B"/>
    <w:rsid w:val="006700C4"/>
    <w:rsid w:val="00671B0B"/>
    <w:rsid w:val="00671D29"/>
    <w:rsid w:val="00672176"/>
    <w:rsid w:val="006722B4"/>
    <w:rsid w:val="00672CB2"/>
    <w:rsid w:val="0067600C"/>
    <w:rsid w:val="0067658A"/>
    <w:rsid w:val="00676E8C"/>
    <w:rsid w:val="0067771C"/>
    <w:rsid w:val="0068072D"/>
    <w:rsid w:val="006807D7"/>
    <w:rsid w:val="00680B01"/>
    <w:rsid w:val="00680B1E"/>
    <w:rsid w:val="00681220"/>
    <w:rsid w:val="00681BDE"/>
    <w:rsid w:val="006836A3"/>
    <w:rsid w:val="00685166"/>
    <w:rsid w:val="006872D8"/>
    <w:rsid w:val="00690524"/>
    <w:rsid w:val="0069184A"/>
    <w:rsid w:val="00694DAD"/>
    <w:rsid w:val="006952A7"/>
    <w:rsid w:val="00695394"/>
    <w:rsid w:val="006A12A2"/>
    <w:rsid w:val="006A36B9"/>
    <w:rsid w:val="006A3D25"/>
    <w:rsid w:val="006A4AD3"/>
    <w:rsid w:val="006A59E4"/>
    <w:rsid w:val="006A7FC1"/>
    <w:rsid w:val="006B0705"/>
    <w:rsid w:val="006B0C84"/>
    <w:rsid w:val="006B3B91"/>
    <w:rsid w:val="006B3E20"/>
    <w:rsid w:val="006B441C"/>
    <w:rsid w:val="006B4DF5"/>
    <w:rsid w:val="006B5917"/>
    <w:rsid w:val="006B5D4A"/>
    <w:rsid w:val="006B5DE3"/>
    <w:rsid w:val="006B7224"/>
    <w:rsid w:val="006B7545"/>
    <w:rsid w:val="006B7644"/>
    <w:rsid w:val="006C116D"/>
    <w:rsid w:val="006C170B"/>
    <w:rsid w:val="006C22FD"/>
    <w:rsid w:val="006C3756"/>
    <w:rsid w:val="006C3C3F"/>
    <w:rsid w:val="006C42FD"/>
    <w:rsid w:val="006C4316"/>
    <w:rsid w:val="006C5E54"/>
    <w:rsid w:val="006D25F9"/>
    <w:rsid w:val="006D59A8"/>
    <w:rsid w:val="006D68F5"/>
    <w:rsid w:val="006D6961"/>
    <w:rsid w:val="006D6AA8"/>
    <w:rsid w:val="006D7470"/>
    <w:rsid w:val="006D7716"/>
    <w:rsid w:val="006D77E0"/>
    <w:rsid w:val="006E1178"/>
    <w:rsid w:val="006E25D1"/>
    <w:rsid w:val="006E2FCA"/>
    <w:rsid w:val="006E6281"/>
    <w:rsid w:val="006E6EF1"/>
    <w:rsid w:val="006E7EDA"/>
    <w:rsid w:val="006F103C"/>
    <w:rsid w:val="006F37B6"/>
    <w:rsid w:val="006F3D9F"/>
    <w:rsid w:val="006F67D9"/>
    <w:rsid w:val="006F75B9"/>
    <w:rsid w:val="006F7BC8"/>
    <w:rsid w:val="0070054C"/>
    <w:rsid w:val="00701AD3"/>
    <w:rsid w:val="007038ED"/>
    <w:rsid w:val="00705A85"/>
    <w:rsid w:val="00705C79"/>
    <w:rsid w:val="00706933"/>
    <w:rsid w:val="00706935"/>
    <w:rsid w:val="00706EFF"/>
    <w:rsid w:val="00707D69"/>
    <w:rsid w:val="0071027C"/>
    <w:rsid w:val="00712B66"/>
    <w:rsid w:val="00713398"/>
    <w:rsid w:val="00717442"/>
    <w:rsid w:val="007209B1"/>
    <w:rsid w:val="0072114F"/>
    <w:rsid w:val="0072154D"/>
    <w:rsid w:val="00722F71"/>
    <w:rsid w:val="007270E7"/>
    <w:rsid w:val="00727522"/>
    <w:rsid w:val="00730C28"/>
    <w:rsid w:val="007310E6"/>
    <w:rsid w:val="00732230"/>
    <w:rsid w:val="0073525E"/>
    <w:rsid w:val="00735DD6"/>
    <w:rsid w:val="00735FE0"/>
    <w:rsid w:val="00736866"/>
    <w:rsid w:val="007373FF"/>
    <w:rsid w:val="007375CE"/>
    <w:rsid w:val="0074077F"/>
    <w:rsid w:val="00741122"/>
    <w:rsid w:val="007416FB"/>
    <w:rsid w:val="00742BCB"/>
    <w:rsid w:val="00745131"/>
    <w:rsid w:val="0074558A"/>
    <w:rsid w:val="007456F0"/>
    <w:rsid w:val="00745C44"/>
    <w:rsid w:val="007471AC"/>
    <w:rsid w:val="007472F1"/>
    <w:rsid w:val="00747A2C"/>
    <w:rsid w:val="00752B12"/>
    <w:rsid w:val="00753C4C"/>
    <w:rsid w:val="00754B1C"/>
    <w:rsid w:val="00756EE3"/>
    <w:rsid w:val="007577B8"/>
    <w:rsid w:val="00757A3A"/>
    <w:rsid w:val="00760361"/>
    <w:rsid w:val="007626A3"/>
    <w:rsid w:val="0076272E"/>
    <w:rsid w:val="00763484"/>
    <w:rsid w:val="00763847"/>
    <w:rsid w:val="00763EEF"/>
    <w:rsid w:val="0076478A"/>
    <w:rsid w:val="00764CBE"/>
    <w:rsid w:val="00767ABC"/>
    <w:rsid w:val="00770845"/>
    <w:rsid w:val="00771846"/>
    <w:rsid w:val="007728E5"/>
    <w:rsid w:val="00774186"/>
    <w:rsid w:val="0077431F"/>
    <w:rsid w:val="00774357"/>
    <w:rsid w:val="007826D6"/>
    <w:rsid w:val="00783379"/>
    <w:rsid w:val="00783491"/>
    <w:rsid w:val="0078410B"/>
    <w:rsid w:val="00784C65"/>
    <w:rsid w:val="00785268"/>
    <w:rsid w:val="00785340"/>
    <w:rsid w:val="0079025B"/>
    <w:rsid w:val="00791046"/>
    <w:rsid w:val="0079201C"/>
    <w:rsid w:val="007920A2"/>
    <w:rsid w:val="0079240A"/>
    <w:rsid w:val="00792CD3"/>
    <w:rsid w:val="007933A9"/>
    <w:rsid w:val="007935C3"/>
    <w:rsid w:val="0079539C"/>
    <w:rsid w:val="00795829"/>
    <w:rsid w:val="0079691E"/>
    <w:rsid w:val="007979C3"/>
    <w:rsid w:val="007A1F17"/>
    <w:rsid w:val="007A2E83"/>
    <w:rsid w:val="007A359E"/>
    <w:rsid w:val="007A3900"/>
    <w:rsid w:val="007A4492"/>
    <w:rsid w:val="007A4D3B"/>
    <w:rsid w:val="007A54FA"/>
    <w:rsid w:val="007A5A2C"/>
    <w:rsid w:val="007A5D78"/>
    <w:rsid w:val="007B19CC"/>
    <w:rsid w:val="007B5EE6"/>
    <w:rsid w:val="007B6511"/>
    <w:rsid w:val="007B6729"/>
    <w:rsid w:val="007B72CF"/>
    <w:rsid w:val="007B7310"/>
    <w:rsid w:val="007C0024"/>
    <w:rsid w:val="007C048C"/>
    <w:rsid w:val="007C09F1"/>
    <w:rsid w:val="007C1B9D"/>
    <w:rsid w:val="007C2453"/>
    <w:rsid w:val="007C2548"/>
    <w:rsid w:val="007C3EDC"/>
    <w:rsid w:val="007C78C0"/>
    <w:rsid w:val="007C7B7B"/>
    <w:rsid w:val="007C7C9E"/>
    <w:rsid w:val="007D03CC"/>
    <w:rsid w:val="007D0726"/>
    <w:rsid w:val="007D0D39"/>
    <w:rsid w:val="007D1E67"/>
    <w:rsid w:val="007D4228"/>
    <w:rsid w:val="007D57BC"/>
    <w:rsid w:val="007D75FC"/>
    <w:rsid w:val="007D7A99"/>
    <w:rsid w:val="007E129F"/>
    <w:rsid w:val="007E1A47"/>
    <w:rsid w:val="007E1E09"/>
    <w:rsid w:val="007E4D19"/>
    <w:rsid w:val="007F4249"/>
    <w:rsid w:val="007F5CB7"/>
    <w:rsid w:val="007F7168"/>
    <w:rsid w:val="007F7246"/>
    <w:rsid w:val="0080030A"/>
    <w:rsid w:val="008013B6"/>
    <w:rsid w:val="008042B8"/>
    <w:rsid w:val="00804EFF"/>
    <w:rsid w:val="00805EAD"/>
    <w:rsid w:val="00806668"/>
    <w:rsid w:val="00810C07"/>
    <w:rsid w:val="00811098"/>
    <w:rsid w:val="00811175"/>
    <w:rsid w:val="00812262"/>
    <w:rsid w:val="008131F8"/>
    <w:rsid w:val="00813303"/>
    <w:rsid w:val="00814B60"/>
    <w:rsid w:val="008151BC"/>
    <w:rsid w:val="00816AFF"/>
    <w:rsid w:val="00817B88"/>
    <w:rsid w:val="0082058A"/>
    <w:rsid w:val="00821446"/>
    <w:rsid w:val="00823170"/>
    <w:rsid w:val="00823452"/>
    <w:rsid w:val="00826BF1"/>
    <w:rsid w:val="00830765"/>
    <w:rsid w:val="00831853"/>
    <w:rsid w:val="008326F1"/>
    <w:rsid w:val="00832FB1"/>
    <w:rsid w:val="008332E0"/>
    <w:rsid w:val="00834B5C"/>
    <w:rsid w:val="00836072"/>
    <w:rsid w:val="0083661A"/>
    <w:rsid w:val="00837126"/>
    <w:rsid w:val="00837749"/>
    <w:rsid w:val="00837FA8"/>
    <w:rsid w:val="008409C7"/>
    <w:rsid w:val="00842016"/>
    <w:rsid w:val="00842916"/>
    <w:rsid w:val="008440AA"/>
    <w:rsid w:val="00845F26"/>
    <w:rsid w:val="008501A9"/>
    <w:rsid w:val="0085243F"/>
    <w:rsid w:val="008527A3"/>
    <w:rsid w:val="00854CCC"/>
    <w:rsid w:val="00854D5D"/>
    <w:rsid w:val="0086000F"/>
    <w:rsid w:val="0086012E"/>
    <w:rsid w:val="00863851"/>
    <w:rsid w:val="008662F1"/>
    <w:rsid w:val="008704D1"/>
    <w:rsid w:val="00870C69"/>
    <w:rsid w:val="0087269D"/>
    <w:rsid w:val="00875900"/>
    <w:rsid w:val="00875EB6"/>
    <w:rsid w:val="008772E4"/>
    <w:rsid w:val="008835CE"/>
    <w:rsid w:val="00884E46"/>
    <w:rsid w:val="008854CA"/>
    <w:rsid w:val="008858A5"/>
    <w:rsid w:val="00886166"/>
    <w:rsid w:val="00890198"/>
    <w:rsid w:val="008925D3"/>
    <w:rsid w:val="00892D6F"/>
    <w:rsid w:val="00894B81"/>
    <w:rsid w:val="0089505A"/>
    <w:rsid w:val="00895829"/>
    <w:rsid w:val="00896EE1"/>
    <w:rsid w:val="008A116C"/>
    <w:rsid w:val="008A17E9"/>
    <w:rsid w:val="008A29D7"/>
    <w:rsid w:val="008A2F57"/>
    <w:rsid w:val="008A37A2"/>
    <w:rsid w:val="008A412A"/>
    <w:rsid w:val="008A4B5A"/>
    <w:rsid w:val="008A5502"/>
    <w:rsid w:val="008A554A"/>
    <w:rsid w:val="008A6904"/>
    <w:rsid w:val="008B138C"/>
    <w:rsid w:val="008B2ADB"/>
    <w:rsid w:val="008B57D2"/>
    <w:rsid w:val="008C149F"/>
    <w:rsid w:val="008C2A94"/>
    <w:rsid w:val="008C3A81"/>
    <w:rsid w:val="008C45E7"/>
    <w:rsid w:val="008C6E4C"/>
    <w:rsid w:val="008D38DA"/>
    <w:rsid w:val="008D3EFA"/>
    <w:rsid w:val="008D555F"/>
    <w:rsid w:val="008E0963"/>
    <w:rsid w:val="008E2B31"/>
    <w:rsid w:val="008E2F5B"/>
    <w:rsid w:val="008E4515"/>
    <w:rsid w:val="008E66D0"/>
    <w:rsid w:val="008E6F1C"/>
    <w:rsid w:val="008E7338"/>
    <w:rsid w:val="008F262B"/>
    <w:rsid w:val="008F34D1"/>
    <w:rsid w:val="008F372C"/>
    <w:rsid w:val="008F3A8F"/>
    <w:rsid w:val="008F4C95"/>
    <w:rsid w:val="008F6101"/>
    <w:rsid w:val="00900553"/>
    <w:rsid w:val="00901713"/>
    <w:rsid w:val="0090319A"/>
    <w:rsid w:val="009042ED"/>
    <w:rsid w:val="00904D30"/>
    <w:rsid w:val="00905155"/>
    <w:rsid w:val="00907B3E"/>
    <w:rsid w:val="009108E9"/>
    <w:rsid w:val="00910905"/>
    <w:rsid w:val="009120CF"/>
    <w:rsid w:val="00912F7F"/>
    <w:rsid w:val="00914CDF"/>
    <w:rsid w:val="00917ADE"/>
    <w:rsid w:val="009209C6"/>
    <w:rsid w:val="009215FC"/>
    <w:rsid w:val="00921C80"/>
    <w:rsid w:val="009222A2"/>
    <w:rsid w:val="00923841"/>
    <w:rsid w:val="0092608C"/>
    <w:rsid w:val="00927CB5"/>
    <w:rsid w:val="0093010D"/>
    <w:rsid w:val="00930DAA"/>
    <w:rsid w:val="00931A16"/>
    <w:rsid w:val="00931BFB"/>
    <w:rsid w:val="00931C1F"/>
    <w:rsid w:val="00933F6A"/>
    <w:rsid w:val="009354A3"/>
    <w:rsid w:val="0093630E"/>
    <w:rsid w:val="009417F9"/>
    <w:rsid w:val="00941F4B"/>
    <w:rsid w:val="00942278"/>
    <w:rsid w:val="00942535"/>
    <w:rsid w:val="00942758"/>
    <w:rsid w:val="009442CE"/>
    <w:rsid w:val="0095002A"/>
    <w:rsid w:val="0095028F"/>
    <w:rsid w:val="00950449"/>
    <w:rsid w:val="00951322"/>
    <w:rsid w:val="00951795"/>
    <w:rsid w:val="00951CB8"/>
    <w:rsid w:val="00954C0A"/>
    <w:rsid w:val="00955BB0"/>
    <w:rsid w:val="00955D16"/>
    <w:rsid w:val="00955DF4"/>
    <w:rsid w:val="009578F7"/>
    <w:rsid w:val="00960835"/>
    <w:rsid w:val="00960DC8"/>
    <w:rsid w:val="009614D1"/>
    <w:rsid w:val="00961CD9"/>
    <w:rsid w:val="00962072"/>
    <w:rsid w:val="0096260A"/>
    <w:rsid w:val="0096518E"/>
    <w:rsid w:val="0096631C"/>
    <w:rsid w:val="00967E45"/>
    <w:rsid w:val="00970EE8"/>
    <w:rsid w:val="00973C82"/>
    <w:rsid w:val="009741EC"/>
    <w:rsid w:val="00974A8B"/>
    <w:rsid w:val="0097636B"/>
    <w:rsid w:val="00976A5B"/>
    <w:rsid w:val="00980845"/>
    <w:rsid w:val="009838BF"/>
    <w:rsid w:val="00983A92"/>
    <w:rsid w:val="00983FAD"/>
    <w:rsid w:val="009860F2"/>
    <w:rsid w:val="00986CCD"/>
    <w:rsid w:val="00987678"/>
    <w:rsid w:val="00990C40"/>
    <w:rsid w:val="0099177E"/>
    <w:rsid w:val="009925E9"/>
    <w:rsid w:val="009965CE"/>
    <w:rsid w:val="00996D41"/>
    <w:rsid w:val="00996DA6"/>
    <w:rsid w:val="0099737B"/>
    <w:rsid w:val="00997EB3"/>
    <w:rsid w:val="00997F14"/>
    <w:rsid w:val="009A1F13"/>
    <w:rsid w:val="009A2142"/>
    <w:rsid w:val="009A23EF"/>
    <w:rsid w:val="009A27F1"/>
    <w:rsid w:val="009A4A10"/>
    <w:rsid w:val="009A55E1"/>
    <w:rsid w:val="009A5747"/>
    <w:rsid w:val="009A63C4"/>
    <w:rsid w:val="009A7433"/>
    <w:rsid w:val="009B04B4"/>
    <w:rsid w:val="009B2481"/>
    <w:rsid w:val="009B24C7"/>
    <w:rsid w:val="009B3FDB"/>
    <w:rsid w:val="009B59B2"/>
    <w:rsid w:val="009B780A"/>
    <w:rsid w:val="009C01F1"/>
    <w:rsid w:val="009C0C98"/>
    <w:rsid w:val="009C0D48"/>
    <w:rsid w:val="009C3CBC"/>
    <w:rsid w:val="009C55FE"/>
    <w:rsid w:val="009C68F4"/>
    <w:rsid w:val="009C7CC3"/>
    <w:rsid w:val="009D1163"/>
    <w:rsid w:val="009D1472"/>
    <w:rsid w:val="009D34B9"/>
    <w:rsid w:val="009D48D4"/>
    <w:rsid w:val="009E0C61"/>
    <w:rsid w:val="009E2C6C"/>
    <w:rsid w:val="009E6014"/>
    <w:rsid w:val="009E6F20"/>
    <w:rsid w:val="009E74C8"/>
    <w:rsid w:val="009E753D"/>
    <w:rsid w:val="009E7AD1"/>
    <w:rsid w:val="009F06BE"/>
    <w:rsid w:val="009F0911"/>
    <w:rsid w:val="009F2BDD"/>
    <w:rsid w:val="009F5377"/>
    <w:rsid w:val="009F5DAB"/>
    <w:rsid w:val="00A00394"/>
    <w:rsid w:val="00A01769"/>
    <w:rsid w:val="00A01D45"/>
    <w:rsid w:val="00A02467"/>
    <w:rsid w:val="00A02763"/>
    <w:rsid w:val="00A03A2F"/>
    <w:rsid w:val="00A05200"/>
    <w:rsid w:val="00A053BE"/>
    <w:rsid w:val="00A05D4E"/>
    <w:rsid w:val="00A05F72"/>
    <w:rsid w:val="00A0662E"/>
    <w:rsid w:val="00A06681"/>
    <w:rsid w:val="00A07323"/>
    <w:rsid w:val="00A1009F"/>
    <w:rsid w:val="00A104BE"/>
    <w:rsid w:val="00A10CC5"/>
    <w:rsid w:val="00A12CED"/>
    <w:rsid w:val="00A12F2F"/>
    <w:rsid w:val="00A213BD"/>
    <w:rsid w:val="00A2145D"/>
    <w:rsid w:val="00A21731"/>
    <w:rsid w:val="00A22E06"/>
    <w:rsid w:val="00A230CE"/>
    <w:rsid w:val="00A25B72"/>
    <w:rsid w:val="00A268BD"/>
    <w:rsid w:val="00A26DFC"/>
    <w:rsid w:val="00A30759"/>
    <w:rsid w:val="00A315BD"/>
    <w:rsid w:val="00A316D6"/>
    <w:rsid w:val="00A3431E"/>
    <w:rsid w:val="00A343D8"/>
    <w:rsid w:val="00A3484F"/>
    <w:rsid w:val="00A354A3"/>
    <w:rsid w:val="00A356D1"/>
    <w:rsid w:val="00A35CB4"/>
    <w:rsid w:val="00A4420B"/>
    <w:rsid w:val="00A44819"/>
    <w:rsid w:val="00A45CCA"/>
    <w:rsid w:val="00A4617D"/>
    <w:rsid w:val="00A47F8C"/>
    <w:rsid w:val="00A512E3"/>
    <w:rsid w:val="00A5231E"/>
    <w:rsid w:val="00A5417E"/>
    <w:rsid w:val="00A5421A"/>
    <w:rsid w:val="00A54F24"/>
    <w:rsid w:val="00A5759D"/>
    <w:rsid w:val="00A60376"/>
    <w:rsid w:val="00A6059F"/>
    <w:rsid w:val="00A62134"/>
    <w:rsid w:val="00A635B7"/>
    <w:rsid w:val="00A64133"/>
    <w:rsid w:val="00A644A9"/>
    <w:rsid w:val="00A646E9"/>
    <w:rsid w:val="00A64C1B"/>
    <w:rsid w:val="00A656A9"/>
    <w:rsid w:val="00A65791"/>
    <w:rsid w:val="00A65B99"/>
    <w:rsid w:val="00A66704"/>
    <w:rsid w:val="00A674EB"/>
    <w:rsid w:val="00A70C5F"/>
    <w:rsid w:val="00A7210A"/>
    <w:rsid w:val="00A7264E"/>
    <w:rsid w:val="00A72DB0"/>
    <w:rsid w:val="00A73F6F"/>
    <w:rsid w:val="00A74176"/>
    <w:rsid w:val="00A74A61"/>
    <w:rsid w:val="00A75206"/>
    <w:rsid w:val="00A75AF4"/>
    <w:rsid w:val="00A75D83"/>
    <w:rsid w:val="00A76566"/>
    <w:rsid w:val="00A76D0A"/>
    <w:rsid w:val="00A81BF2"/>
    <w:rsid w:val="00A82848"/>
    <w:rsid w:val="00A8295B"/>
    <w:rsid w:val="00A82F56"/>
    <w:rsid w:val="00A8357D"/>
    <w:rsid w:val="00A84D64"/>
    <w:rsid w:val="00A85267"/>
    <w:rsid w:val="00A918E1"/>
    <w:rsid w:val="00A94F9F"/>
    <w:rsid w:val="00A954FC"/>
    <w:rsid w:val="00A96370"/>
    <w:rsid w:val="00AA10AE"/>
    <w:rsid w:val="00AA2020"/>
    <w:rsid w:val="00AA2BAB"/>
    <w:rsid w:val="00AA55E9"/>
    <w:rsid w:val="00AA57CF"/>
    <w:rsid w:val="00AA776B"/>
    <w:rsid w:val="00AB23EE"/>
    <w:rsid w:val="00AB2AB2"/>
    <w:rsid w:val="00AB2CAC"/>
    <w:rsid w:val="00AB511B"/>
    <w:rsid w:val="00AB53A2"/>
    <w:rsid w:val="00AB5F17"/>
    <w:rsid w:val="00AB6AF1"/>
    <w:rsid w:val="00AB6B08"/>
    <w:rsid w:val="00AC22DA"/>
    <w:rsid w:val="00AC301B"/>
    <w:rsid w:val="00AC3662"/>
    <w:rsid w:val="00AC3A9E"/>
    <w:rsid w:val="00AD2633"/>
    <w:rsid w:val="00AD3B0A"/>
    <w:rsid w:val="00AD3F88"/>
    <w:rsid w:val="00AD4612"/>
    <w:rsid w:val="00AD50A9"/>
    <w:rsid w:val="00AD65EF"/>
    <w:rsid w:val="00AD7BB6"/>
    <w:rsid w:val="00AE0408"/>
    <w:rsid w:val="00AE38D4"/>
    <w:rsid w:val="00AE7E90"/>
    <w:rsid w:val="00AF0BCE"/>
    <w:rsid w:val="00AF12BB"/>
    <w:rsid w:val="00AF1E6A"/>
    <w:rsid w:val="00AF5EBA"/>
    <w:rsid w:val="00AF7C55"/>
    <w:rsid w:val="00B0110B"/>
    <w:rsid w:val="00B02E7A"/>
    <w:rsid w:val="00B02E9F"/>
    <w:rsid w:val="00B032BC"/>
    <w:rsid w:val="00B0387E"/>
    <w:rsid w:val="00B03C1C"/>
    <w:rsid w:val="00B04878"/>
    <w:rsid w:val="00B04C00"/>
    <w:rsid w:val="00B06B6D"/>
    <w:rsid w:val="00B06FD3"/>
    <w:rsid w:val="00B0719E"/>
    <w:rsid w:val="00B07FB8"/>
    <w:rsid w:val="00B11826"/>
    <w:rsid w:val="00B118A5"/>
    <w:rsid w:val="00B12EEC"/>
    <w:rsid w:val="00B1376D"/>
    <w:rsid w:val="00B14B20"/>
    <w:rsid w:val="00B14DF9"/>
    <w:rsid w:val="00B15C82"/>
    <w:rsid w:val="00B15CB7"/>
    <w:rsid w:val="00B15CC4"/>
    <w:rsid w:val="00B16328"/>
    <w:rsid w:val="00B17622"/>
    <w:rsid w:val="00B20B3E"/>
    <w:rsid w:val="00B213E1"/>
    <w:rsid w:val="00B217D2"/>
    <w:rsid w:val="00B21870"/>
    <w:rsid w:val="00B21C6D"/>
    <w:rsid w:val="00B253A5"/>
    <w:rsid w:val="00B26271"/>
    <w:rsid w:val="00B26D87"/>
    <w:rsid w:val="00B31076"/>
    <w:rsid w:val="00B3382B"/>
    <w:rsid w:val="00B35581"/>
    <w:rsid w:val="00B40CA9"/>
    <w:rsid w:val="00B4242C"/>
    <w:rsid w:val="00B42AB2"/>
    <w:rsid w:val="00B42BE8"/>
    <w:rsid w:val="00B4354F"/>
    <w:rsid w:val="00B43BDB"/>
    <w:rsid w:val="00B44172"/>
    <w:rsid w:val="00B44CD4"/>
    <w:rsid w:val="00B44E6F"/>
    <w:rsid w:val="00B44FF8"/>
    <w:rsid w:val="00B453E9"/>
    <w:rsid w:val="00B45B77"/>
    <w:rsid w:val="00B46ED4"/>
    <w:rsid w:val="00B477D9"/>
    <w:rsid w:val="00B5032D"/>
    <w:rsid w:val="00B504DF"/>
    <w:rsid w:val="00B529A9"/>
    <w:rsid w:val="00B53604"/>
    <w:rsid w:val="00B5488C"/>
    <w:rsid w:val="00B55B1A"/>
    <w:rsid w:val="00B579F7"/>
    <w:rsid w:val="00B60B5D"/>
    <w:rsid w:val="00B60EA4"/>
    <w:rsid w:val="00B618D6"/>
    <w:rsid w:val="00B62F40"/>
    <w:rsid w:val="00B65AF7"/>
    <w:rsid w:val="00B6664C"/>
    <w:rsid w:val="00B66FBA"/>
    <w:rsid w:val="00B67165"/>
    <w:rsid w:val="00B70721"/>
    <w:rsid w:val="00B70EF6"/>
    <w:rsid w:val="00B71A02"/>
    <w:rsid w:val="00B72AEA"/>
    <w:rsid w:val="00B7516D"/>
    <w:rsid w:val="00B75E4A"/>
    <w:rsid w:val="00B77F89"/>
    <w:rsid w:val="00B815C6"/>
    <w:rsid w:val="00B81A8C"/>
    <w:rsid w:val="00B82E4B"/>
    <w:rsid w:val="00B83E49"/>
    <w:rsid w:val="00B90C96"/>
    <w:rsid w:val="00B93069"/>
    <w:rsid w:val="00B93BD2"/>
    <w:rsid w:val="00B94BAB"/>
    <w:rsid w:val="00B95933"/>
    <w:rsid w:val="00B96378"/>
    <w:rsid w:val="00B974C5"/>
    <w:rsid w:val="00B977BA"/>
    <w:rsid w:val="00BA0CF4"/>
    <w:rsid w:val="00BA0D85"/>
    <w:rsid w:val="00BA0FBC"/>
    <w:rsid w:val="00BA5BEE"/>
    <w:rsid w:val="00BA7C7A"/>
    <w:rsid w:val="00BB06A7"/>
    <w:rsid w:val="00BB0D8D"/>
    <w:rsid w:val="00BB17C6"/>
    <w:rsid w:val="00BB404A"/>
    <w:rsid w:val="00BB541F"/>
    <w:rsid w:val="00BB634B"/>
    <w:rsid w:val="00BB7096"/>
    <w:rsid w:val="00BB7260"/>
    <w:rsid w:val="00BC0F4C"/>
    <w:rsid w:val="00BC1545"/>
    <w:rsid w:val="00BC21D5"/>
    <w:rsid w:val="00BC25F7"/>
    <w:rsid w:val="00BC2B82"/>
    <w:rsid w:val="00BC3D6B"/>
    <w:rsid w:val="00BC3F91"/>
    <w:rsid w:val="00BC4358"/>
    <w:rsid w:val="00BC4731"/>
    <w:rsid w:val="00BC56FD"/>
    <w:rsid w:val="00BC7C23"/>
    <w:rsid w:val="00BD3146"/>
    <w:rsid w:val="00BD47BF"/>
    <w:rsid w:val="00BD765A"/>
    <w:rsid w:val="00BE079B"/>
    <w:rsid w:val="00BE1517"/>
    <w:rsid w:val="00BE1761"/>
    <w:rsid w:val="00BE19E9"/>
    <w:rsid w:val="00BE2D4E"/>
    <w:rsid w:val="00BE3FD8"/>
    <w:rsid w:val="00BE477C"/>
    <w:rsid w:val="00BE4DF5"/>
    <w:rsid w:val="00BE638B"/>
    <w:rsid w:val="00BF0AF3"/>
    <w:rsid w:val="00BF27AA"/>
    <w:rsid w:val="00BF7462"/>
    <w:rsid w:val="00C00462"/>
    <w:rsid w:val="00C00EA5"/>
    <w:rsid w:val="00C02CE2"/>
    <w:rsid w:val="00C051ED"/>
    <w:rsid w:val="00C066D0"/>
    <w:rsid w:val="00C06C58"/>
    <w:rsid w:val="00C07174"/>
    <w:rsid w:val="00C114AF"/>
    <w:rsid w:val="00C11B3B"/>
    <w:rsid w:val="00C11F79"/>
    <w:rsid w:val="00C136C6"/>
    <w:rsid w:val="00C15F4D"/>
    <w:rsid w:val="00C201A5"/>
    <w:rsid w:val="00C20B08"/>
    <w:rsid w:val="00C240AA"/>
    <w:rsid w:val="00C245F6"/>
    <w:rsid w:val="00C26C93"/>
    <w:rsid w:val="00C26D82"/>
    <w:rsid w:val="00C27E55"/>
    <w:rsid w:val="00C327FD"/>
    <w:rsid w:val="00C33782"/>
    <w:rsid w:val="00C3503B"/>
    <w:rsid w:val="00C359D3"/>
    <w:rsid w:val="00C4094C"/>
    <w:rsid w:val="00C41546"/>
    <w:rsid w:val="00C415B7"/>
    <w:rsid w:val="00C41E33"/>
    <w:rsid w:val="00C422AE"/>
    <w:rsid w:val="00C42ED2"/>
    <w:rsid w:val="00C45F84"/>
    <w:rsid w:val="00C46EF6"/>
    <w:rsid w:val="00C4733F"/>
    <w:rsid w:val="00C55B37"/>
    <w:rsid w:val="00C56147"/>
    <w:rsid w:val="00C56F77"/>
    <w:rsid w:val="00C57140"/>
    <w:rsid w:val="00C575DA"/>
    <w:rsid w:val="00C57888"/>
    <w:rsid w:val="00C57AC4"/>
    <w:rsid w:val="00C62163"/>
    <w:rsid w:val="00C6245F"/>
    <w:rsid w:val="00C63339"/>
    <w:rsid w:val="00C67510"/>
    <w:rsid w:val="00C675FC"/>
    <w:rsid w:val="00C67A84"/>
    <w:rsid w:val="00C70451"/>
    <w:rsid w:val="00C70F2D"/>
    <w:rsid w:val="00C71BC2"/>
    <w:rsid w:val="00C72090"/>
    <w:rsid w:val="00C7210F"/>
    <w:rsid w:val="00C72478"/>
    <w:rsid w:val="00C7259D"/>
    <w:rsid w:val="00C727F7"/>
    <w:rsid w:val="00C73016"/>
    <w:rsid w:val="00C73993"/>
    <w:rsid w:val="00C74FEF"/>
    <w:rsid w:val="00C75BDF"/>
    <w:rsid w:val="00C771CA"/>
    <w:rsid w:val="00C80787"/>
    <w:rsid w:val="00C80EDE"/>
    <w:rsid w:val="00C821C3"/>
    <w:rsid w:val="00C831F9"/>
    <w:rsid w:val="00C83C8D"/>
    <w:rsid w:val="00C8400C"/>
    <w:rsid w:val="00C8409E"/>
    <w:rsid w:val="00C84E3D"/>
    <w:rsid w:val="00C86CEA"/>
    <w:rsid w:val="00C91493"/>
    <w:rsid w:val="00C92850"/>
    <w:rsid w:val="00C94618"/>
    <w:rsid w:val="00C968E9"/>
    <w:rsid w:val="00C977FE"/>
    <w:rsid w:val="00C9783D"/>
    <w:rsid w:val="00C979DE"/>
    <w:rsid w:val="00CA09D8"/>
    <w:rsid w:val="00CA2EB6"/>
    <w:rsid w:val="00CA39F5"/>
    <w:rsid w:val="00CA50EC"/>
    <w:rsid w:val="00CA72C4"/>
    <w:rsid w:val="00CB0B55"/>
    <w:rsid w:val="00CB2CBA"/>
    <w:rsid w:val="00CB37E3"/>
    <w:rsid w:val="00CB4E00"/>
    <w:rsid w:val="00CB52F9"/>
    <w:rsid w:val="00CB5611"/>
    <w:rsid w:val="00CB7A4F"/>
    <w:rsid w:val="00CC0AF8"/>
    <w:rsid w:val="00CC0BC5"/>
    <w:rsid w:val="00CC17DE"/>
    <w:rsid w:val="00CC27BF"/>
    <w:rsid w:val="00CC4689"/>
    <w:rsid w:val="00CC6348"/>
    <w:rsid w:val="00CC78F4"/>
    <w:rsid w:val="00CD0D57"/>
    <w:rsid w:val="00CD1308"/>
    <w:rsid w:val="00CD1CED"/>
    <w:rsid w:val="00CD5061"/>
    <w:rsid w:val="00CD5520"/>
    <w:rsid w:val="00CD55E7"/>
    <w:rsid w:val="00CD6883"/>
    <w:rsid w:val="00CE0C54"/>
    <w:rsid w:val="00CE1BB7"/>
    <w:rsid w:val="00CE2844"/>
    <w:rsid w:val="00CE4E7F"/>
    <w:rsid w:val="00CE759D"/>
    <w:rsid w:val="00CF0D07"/>
    <w:rsid w:val="00CF14B2"/>
    <w:rsid w:val="00CF291B"/>
    <w:rsid w:val="00CF57C6"/>
    <w:rsid w:val="00CF60AE"/>
    <w:rsid w:val="00D0026F"/>
    <w:rsid w:val="00D0149C"/>
    <w:rsid w:val="00D03544"/>
    <w:rsid w:val="00D04B83"/>
    <w:rsid w:val="00D061CE"/>
    <w:rsid w:val="00D0675C"/>
    <w:rsid w:val="00D06FCB"/>
    <w:rsid w:val="00D0730A"/>
    <w:rsid w:val="00D10A10"/>
    <w:rsid w:val="00D10FB3"/>
    <w:rsid w:val="00D123ED"/>
    <w:rsid w:val="00D150FF"/>
    <w:rsid w:val="00D20ED2"/>
    <w:rsid w:val="00D21701"/>
    <w:rsid w:val="00D2333E"/>
    <w:rsid w:val="00D23F80"/>
    <w:rsid w:val="00D24A07"/>
    <w:rsid w:val="00D26AF2"/>
    <w:rsid w:val="00D32089"/>
    <w:rsid w:val="00D32C10"/>
    <w:rsid w:val="00D330D5"/>
    <w:rsid w:val="00D347FB"/>
    <w:rsid w:val="00D37645"/>
    <w:rsid w:val="00D3767C"/>
    <w:rsid w:val="00D41B7C"/>
    <w:rsid w:val="00D42076"/>
    <w:rsid w:val="00D45DD5"/>
    <w:rsid w:val="00D46E35"/>
    <w:rsid w:val="00D501EF"/>
    <w:rsid w:val="00D51535"/>
    <w:rsid w:val="00D520D0"/>
    <w:rsid w:val="00D52528"/>
    <w:rsid w:val="00D525EC"/>
    <w:rsid w:val="00D536E4"/>
    <w:rsid w:val="00D561DA"/>
    <w:rsid w:val="00D56F61"/>
    <w:rsid w:val="00D6025A"/>
    <w:rsid w:val="00D6092A"/>
    <w:rsid w:val="00D60E09"/>
    <w:rsid w:val="00D620EC"/>
    <w:rsid w:val="00D637E1"/>
    <w:rsid w:val="00D6468C"/>
    <w:rsid w:val="00D6619C"/>
    <w:rsid w:val="00D663AA"/>
    <w:rsid w:val="00D66EF8"/>
    <w:rsid w:val="00D72033"/>
    <w:rsid w:val="00D72CB2"/>
    <w:rsid w:val="00D749DC"/>
    <w:rsid w:val="00D74C82"/>
    <w:rsid w:val="00D7559C"/>
    <w:rsid w:val="00D76214"/>
    <w:rsid w:val="00D76522"/>
    <w:rsid w:val="00D7780D"/>
    <w:rsid w:val="00D8129B"/>
    <w:rsid w:val="00D81700"/>
    <w:rsid w:val="00D83E69"/>
    <w:rsid w:val="00D83EF6"/>
    <w:rsid w:val="00D85256"/>
    <w:rsid w:val="00D85420"/>
    <w:rsid w:val="00D872F7"/>
    <w:rsid w:val="00D876E9"/>
    <w:rsid w:val="00D87730"/>
    <w:rsid w:val="00D878B0"/>
    <w:rsid w:val="00D9099C"/>
    <w:rsid w:val="00D91B78"/>
    <w:rsid w:val="00D9472E"/>
    <w:rsid w:val="00D95C71"/>
    <w:rsid w:val="00D97011"/>
    <w:rsid w:val="00D97733"/>
    <w:rsid w:val="00D97B28"/>
    <w:rsid w:val="00DA1167"/>
    <w:rsid w:val="00DA14CD"/>
    <w:rsid w:val="00DA23F7"/>
    <w:rsid w:val="00DA2492"/>
    <w:rsid w:val="00DA2848"/>
    <w:rsid w:val="00DA5843"/>
    <w:rsid w:val="00DB288F"/>
    <w:rsid w:val="00DB34A2"/>
    <w:rsid w:val="00DB4028"/>
    <w:rsid w:val="00DB547A"/>
    <w:rsid w:val="00DB6834"/>
    <w:rsid w:val="00DB768F"/>
    <w:rsid w:val="00DC0827"/>
    <w:rsid w:val="00DC089D"/>
    <w:rsid w:val="00DC161E"/>
    <w:rsid w:val="00DC2654"/>
    <w:rsid w:val="00DC3146"/>
    <w:rsid w:val="00DC355A"/>
    <w:rsid w:val="00DC390B"/>
    <w:rsid w:val="00DC39C8"/>
    <w:rsid w:val="00DC5635"/>
    <w:rsid w:val="00DC5879"/>
    <w:rsid w:val="00DC6A61"/>
    <w:rsid w:val="00DC706B"/>
    <w:rsid w:val="00DC72B2"/>
    <w:rsid w:val="00DD0488"/>
    <w:rsid w:val="00DD0FF6"/>
    <w:rsid w:val="00DD26EE"/>
    <w:rsid w:val="00DD4419"/>
    <w:rsid w:val="00DD4921"/>
    <w:rsid w:val="00DD4DAD"/>
    <w:rsid w:val="00DD61FE"/>
    <w:rsid w:val="00DD63DD"/>
    <w:rsid w:val="00DE0B3A"/>
    <w:rsid w:val="00DE127F"/>
    <w:rsid w:val="00DE14DF"/>
    <w:rsid w:val="00DE33C3"/>
    <w:rsid w:val="00DE6714"/>
    <w:rsid w:val="00DF0ADE"/>
    <w:rsid w:val="00DF21B4"/>
    <w:rsid w:val="00DF2DF6"/>
    <w:rsid w:val="00DF49C5"/>
    <w:rsid w:val="00DF723D"/>
    <w:rsid w:val="00DF7DB2"/>
    <w:rsid w:val="00E01221"/>
    <w:rsid w:val="00E01A36"/>
    <w:rsid w:val="00E02F3A"/>
    <w:rsid w:val="00E030D3"/>
    <w:rsid w:val="00E0461D"/>
    <w:rsid w:val="00E04796"/>
    <w:rsid w:val="00E05CA1"/>
    <w:rsid w:val="00E069EA"/>
    <w:rsid w:val="00E076BE"/>
    <w:rsid w:val="00E10C99"/>
    <w:rsid w:val="00E10FB8"/>
    <w:rsid w:val="00E13951"/>
    <w:rsid w:val="00E15A3A"/>
    <w:rsid w:val="00E15AB8"/>
    <w:rsid w:val="00E16896"/>
    <w:rsid w:val="00E17DED"/>
    <w:rsid w:val="00E22BCC"/>
    <w:rsid w:val="00E23251"/>
    <w:rsid w:val="00E254F0"/>
    <w:rsid w:val="00E25639"/>
    <w:rsid w:val="00E25691"/>
    <w:rsid w:val="00E25D60"/>
    <w:rsid w:val="00E26C6C"/>
    <w:rsid w:val="00E27D75"/>
    <w:rsid w:val="00E34A0C"/>
    <w:rsid w:val="00E3507C"/>
    <w:rsid w:val="00E35AE5"/>
    <w:rsid w:val="00E373E6"/>
    <w:rsid w:val="00E41C71"/>
    <w:rsid w:val="00E434CE"/>
    <w:rsid w:val="00E43B19"/>
    <w:rsid w:val="00E43E0B"/>
    <w:rsid w:val="00E47D8C"/>
    <w:rsid w:val="00E505AE"/>
    <w:rsid w:val="00E5081B"/>
    <w:rsid w:val="00E5130D"/>
    <w:rsid w:val="00E51A57"/>
    <w:rsid w:val="00E51B02"/>
    <w:rsid w:val="00E5387B"/>
    <w:rsid w:val="00E55A2D"/>
    <w:rsid w:val="00E55EB5"/>
    <w:rsid w:val="00E56273"/>
    <w:rsid w:val="00E60A90"/>
    <w:rsid w:val="00E63DDF"/>
    <w:rsid w:val="00E640CC"/>
    <w:rsid w:val="00E6492B"/>
    <w:rsid w:val="00E64EE7"/>
    <w:rsid w:val="00E6696C"/>
    <w:rsid w:val="00E66AA0"/>
    <w:rsid w:val="00E70F41"/>
    <w:rsid w:val="00E71AAE"/>
    <w:rsid w:val="00E71B07"/>
    <w:rsid w:val="00E73886"/>
    <w:rsid w:val="00E75A20"/>
    <w:rsid w:val="00E76F32"/>
    <w:rsid w:val="00E77289"/>
    <w:rsid w:val="00E77874"/>
    <w:rsid w:val="00E77ACE"/>
    <w:rsid w:val="00E82153"/>
    <w:rsid w:val="00E8240E"/>
    <w:rsid w:val="00E82640"/>
    <w:rsid w:val="00E86CAB"/>
    <w:rsid w:val="00E90C3E"/>
    <w:rsid w:val="00E92B61"/>
    <w:rsid w:val="00E93D8D"/>
    <w:rsid w:val="00E941C5"/>
    <w:rsid w:val="00E958FC"/>
    <w:rsid w:val="00E96E9E"/>
    <w:rsid w:val="00EA01F4"/>
    <w:rsid w:val="00EA0372"/>
    <w:rsid w:val="00EA207D"/>
    <w:rsid w:val="00EA2941"/>
    <w:rsid w:val="00EA2CDD"/>
    <w:rsid w:val="00EA3221"/>
    <w:rsid w:val="00EA3777"/>
    <w:rsid w:val="00EA578F"/>
    <w:rsid w:val="00EA5C1E"/>
    <w:rsid w:val="00EA66C2"/>
    <w:rsid w:val="00EA6D38"/>
    <w:rsid w:val="00EA7563"/>
    <w:rsid w:val="00EA799D"/>
    <w:rsid w:val="00EB1D93"/>
    <w:rsid w:val="00EB1DA9"/>
    <w:rsid w:val="00EB3130"/>
    <w:rsid w:val="00EB3489"/>
    <w:rsid w:val="00EB35F0"/>
    <w:rsid w:val="00EB3CE2"/>
    <w:rsid w:val="00EB3E40"/>
    <w:rsid w:val="00EB4FA7"/>
    <w:rsid w:val="00EB5AE1"/>
    <w:rsid w:val="00EB6CF4"/>
    <w:rsid w:val="00EC09BB"/>
    <w:rsid w:val="00EC0B0D"/>
    <w:rsid w:val="00EC0B52"/>
    <w:rsid w:val="00EC0CB1"/>
    <w:rsid w:val="00EC4E1B"/>
    <w:rsid w:val="00EC4E38"/>
    <w:rsid w:val="00EC727D"/>
    <w:rsid w:val="00ED0789"/>
    <w:rsid w:val="00ED1A82"/>
    <w:rsid w:val="00ED2101"/>
    <w:rsid w:val="00ED3594"/>
    <w:rsid w:val="00ED36CB"/>
    <w:rsid w:val="00ED4AFF"/>
    <w:rsid w:val="00ED527E"/>
    <w:rsid w:val="00EE02E4"/>
    <w:rsid w:val="00EE3EA7"/>
    <w:rsid w:val="00EE4193"/>
    <w:rsid w:val="00EE5581"/>
    <w:rsid w:val="00EE5AC3"/>
    <w:rsid w:val="00EF0216"/>
    <w:rsid w:val="00EF0453"/>
    <w:rsid w:val="00EF276B"/>
    <w:rsid w:val="00EF39C2"/>
    <w:rsid w:val="00EF406C"/>
    <w:rsid w:val="00EF6BA7"/>
    <w:rsid w:val="00EF7708"/>
    <w:rsid w:val="00F0030C"/>
    <w:rsid w:val="00F00F36"/>
    <w:rsid w:val="00F0137C"/>
    <w:rsid w:val="00F01E96"/>
    <w:rsid w:val="00F0259F"/>
    <w:rsid w:val="00F027A8"/>
    <w:rsid w:val="00F02B22"/>
    <w:rsid w:val="00F052F4"/>
    <w:rsid w:val="00F063C8"/>
    <w:rsid w:val="00F065A1"/>
    <w:rsid w:val="00F07E48"/>
    <w:rsid w:val="00F107E7"/>
    <w:rsid w:val="00F11CE8"/>
    <w:rsid w:val="00F12660"/>
    <w:rsid w:val="00F12C6A"/>
    <w:rsid w:val="00F13123"/>
    <w:rsid w:val="00F1349B"/>
    <w:rsid w:val="00F13CFD"/>
    <w:rsid w:val="00F14E33"/>
    <w:rsid w:val="00F16017"/>
    <w:rsid w:val="00F20399"/>
    <w:rsid w:val="00F20ACB"/>
    <w:rsid w:val="00F217E9"/>
    <w:rsid w:val="00F244EA"/>
    <w:rsid w:val="00F24D25"/>
    <w:rsid w:val="00F25E1E"/>
    <w:rsid w:val="00F303B2"/>
    <w:rsid w:val="00F30D3E"/>
    <w:rsid w:val="00F33003"/>
    <w:rsid w:val="00F350BB"/>
    <w:rsid w:val="00F35712"/>
    <w:rsid w:val="00F37100"/>
    <w:rsid w:val="00F37B87"/>
    <w:rsid w:val="00F414F4"/>
    <w:rsid w:val="00F41918"/>
    <w:rsid w:val="00F4252D"/>
    <w:rsid w:val="00F42589"/>
    <w:rsid w:val="00F4354B"/>
    <w:rsid w:val="00F43CC9"/>
    <w:rsid w:val="00F465D9"/>
    <w:rsid w:val="00F52AC6"/>
    <w:rsid w:val="00F533B1"/>
    <w:rsid w:val="00F5362E"/>
    <w:rsid w:val="00F53BB4"/>
    <w:rsid w:val="00F543CD"/>
    <w:rsid w:val="00F544C7"/>
    <w:rsid w:val="00F544D7"/>
    <w:rsid w:val="00F56321"/>
    <w:rsid w:val="00F574AA"/>
    <w:rsid w:val="00F57858"/>
    <w:rsid w:val="00F60025"/>
    <w:rsid w:val="00F604B7"/>
    <w:rsid w:val="00F60FAA"/>
    <w:rsid w:val="00F6225D"/>
    <w:rsid w:val="00F64258"/>
    <w:rsid w:val="00F65BDC"/>
    <w:rsid w:val="00F66EE7"/>
    <w:rsid w:val="00F67321"/>
    <w:rsid w:val="00F67367"/>
    <w:rsid w:val="00F7339C"/>
    <w:rsid w:val="00F73484"/>
    <w:rsid w:val="00F7349A"/>
    <w:rsid w:val="00F73724"/>
    <w:rsid w:val="00F7562B"/>
    <w:rsid w:val="00F76038"/>
    <w:rsid w:val="00F76A9D"/>
    <w:rsid w:val="00F77695"/>
    <w:rsid w:val="00F77F8A"/>
    <w:rsid w:val="00F8036C"/>
    <w:rsid w:val="00F80453"/>
    <w:rsid w:val="00F80940"/>
    <w:rsid w:val="00F84164"/>
    <w:rsid w:val="00F8540F"/>
    <w:rsid w:val="00F859DE"/>
    <w:rsid w:val="00F90220"/>
    <w:rsid w:val="00F90C75"/>
    <w:rsid w:val="00F91B42"/>
    <w:rsid w:val="00F93819"/>
    <w:rsid w:val="00F93C93"/>
    <w:rsid w:val="00F9433F"/>
    <w:rsid w:val="00F94540"/>
    <w:rsid w:val="00F949C0"/>
    <w:rsid w:val="00F949E5"/>
    <w:rsid w:val="00F96651"/>
    <w:rsid w:val="00FA3E13"/>
    <w:rsid w:val="00FA3F7F"/>
    <w:rsid w:val="00FA48FF"/>
    <w:rsid w:val="00FA5205"/>
    <w:rsid w:val="00FA53D5"/>
    <w:rsid w:val="00FA6426"/>
    <w:rsid w:val="00FA6967"/>
    <w:rsid w:val="00FB011B"/>
    <w:rsid w:val="00FB04E2"/>
    <w:rsid w:val="00FB0964"/>
    <w:rsid w:val="00FB0DB0"/>
    <w:rsid w:val="00FB1161"/>
    <w:rsid w:val="00FB1AF4"/>
    <w:rsid w:val="00FB20D0"/>
    <w:rsid w:val="00FB274F"/>
    <w:rsid w:val="00FB2F16"/>
    <w:rsid w:val="00FB5ED7"/>
    <w:rsid w:val="00FB5EDE"/>
    <w:rsid w:val="00FB7B6A"/>
    <w:rsid w:val="00FC19C6"/>
    <w:rsid w:val="00FC21BF"/>
    <w:rsid w:val="00FC2575"/>
    <w:rsid w:val="00FC2AA4"/>
    <w:rsid w:val="00FC3CE5"/>
    <w:rsid w:val="00FC5E02"/>
    <w:rsid w:val="00FC688D"/>
    <w:rsid w:val="00FC7407"/>
    <w:rsid w:val="00FD113C"/>
    <w:rsid w:val="00FD4CDA"/>
    <w:rsid w:val="00FD5BD6"/>
    <w:rsid w:val="00FD6677"/>
    <w:rsid w:val="00FD6CA8"/>
    <w:rsid w:val="00FD7F9C"/>
    <w:rsid w:val="00FE1AC3"/>
    <w:rsid w:val="00FE1EE0"/>
    <w:rsid w:val="00FE3E75"/>
    <w:rsid w:val="00FE480B"/>
    <w:rsid w:val="00FE4EE5"/>
    <w:rsid w:val="00FE6B73"/>
    <w:rsid w:val="00FE70C9"/>
    <w:rsid w:val="00FF07B6"/>
    <w:rsid w:val="00FF0D69"/>
    <w:rsid w:val="00FF158E"/>
    <w:rsid w:val="00FF35EA"/>
    <w:rsid w:val="00FF5AE8"/>
    <w:rsid w:val="00FF7630"/>
  </w:rsids>
  <m:mathPr>
    <m:mathFont m:val="Cambria Math"/>
    <m:brkBin m:val="before"/>
    <m:brkBinSub m:val="--"/>
    <m:smallFrac m:val="0"/>
    <m:dispDef/>
    <m:lMargin m:val="0"/>
    <m:rMargin m:val="0"/>
    <m:defJc m:val="centerGroup"/>
    <m:wrapIndent m:val="1440"/>
    <m:intLim m:val="subSup"/>
    <m:naryLim m:val="undOvr"/>
  </m:mathPr>
  <w:themeFontLang w:val="pl-PL"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2F67B80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E65"/>
    <w:pPr>
      <w:tabs>
        <w:tab w:val="center" w:pos="4513"/>
        <w:tab w:val="right" w:pos="9026"/>
      </w:tabs>
    </w:pPr>
  </w:style>
  <w:style w:type="character" w:customStyle="1" w:styleId="HeaderChar">
    <w:name w:val="Header Char"/>
    <w:basedOn w:val="DefaultParagraphFont"/>
    <w:link w:val="Header"/>
    <w:uiPriority w:val="99"/>
    <w:rsid w:val="000B0E65"/>
  </w:style>
  <w:style w:type="paragraph" w:styleId="Footer">
    <w:name w:val="footer"/>
    <w:basedOn w:val="Normal"/>
    <w:link w:val="FooterChar"/>
    <w:uiPriority w:val="99"/>
    <w:unhideWhenUsed/>
    <w:rsid w:val="000B0E65"/>
    <w:pPr>
      <w:tabs>
        <w:tab w:val="center" w:pos="4513"/>
        <w:tab w:val="right" w:pos="9026"/>
      </w:tabs>
    </w:pPr>
  </w:style>
  <w:style w:type="character" w:customStyle="1" w:styleId="FooterChar">
    <w:name w:val="Footer Char"/>
    <w:basedOn w:val="DefaultParagraphFont"/>
    <w:link w:val="Footer"/>
    <w:uiPriority w:val="99"/>
    <w:rsid w:val="000B0E65"/>
  </w:style>
  <w:style w:type="paragraph" w:styleId="BalloonText">
    <w:name w:val="Balloon Text"/>
    <w:basedOn w:val="Normal"/>
    <w:link w:val="BalloonTextChar"/>
    <w:uiPriority w:val="99"/>
    <w:semiHidden/>
    <w:unhideWhenUsed/>
    <w:rsid w:val="007920A2"/>
    <w:rPr>
      <w:rFonts w:ascii="Segoe UI" w:hAnsi="Segoe UI" w:cs="Segoe UI"/>
      <w:sz w:val="18"/>
      <w:szCs w:val="18"/>
    </w:rPr>
  </w:style>
  <w:style w:type="character" w:customStyle="1" w:styleId="BalloonTextChar">
    <w:name w:val="Balloon Text Char"/>
    <w:link w:val="BalloonText"/>
    <w:uiPriority w:val="99"/>
    <w:semiHidden/>
    <w:rsid w:val="007920A2"/>
    <w:rPr>
      <w:rFonts w:ascii="Segoe UI" w:hAnsi="Segoe UI" w:cs="Segoe UI"/>
      <w:sz w:val="18"/>
      <w:szCs w:val="18"/>
    </w:rPr>
  </w:style>
  <w:style w:type="table" w:styleId="TableGrid">
    <w:name w:val="Table Grid"/>
    <w:basedOn w:val="TableNormal"/>
    <w:uiPriority w:val="39"/>
    <w:rsid w:val="0056039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390"/>
    <w:pPr>
      <w:autoSpaceDE w:val="0"/>
      <w:autoSpaceDN w:val="0"/>
      <w:adjustRightInd w:val="0"/>
    </w:pPr>
    <w:rPr>
      <w:rFonts w:ascii="Times New Roman" w:hAnsi="Times New Roman" w:cs="Times New Roman"/>
      <w:color w:val="000000"/>
      <w:sz w:val="24"/>
      <w:szCs w:val="24"/>
      <w:lang w:val="en-IN"/>
    </w:rPr>
  </w:style>
  <w:style w:type="paragraph" w:styleId="Revision">
    <w:name w:val="Revision"/>
    <w:hidden/>
    <w:uiPriority w:val="99"/>
    <w:semiHidden/>
    <w:rsid w:val="00741122"/>
    <w:rPr>
      <w:lang w:val="en-IN" w:eastAsia="en-IN"/>
    </w:rPr>
  </w:style>
  <w:style w:type="paragraph" w:customStyle="1" w:styleId="TitleA">
    <w:name w:val="Title A"/>
    <w:basedOn w:val="Normal"/>
    <w:qFormat/>
    <w:rsid w:val="00BE2D4E"/>
    <w:pPr>
      <w:spacing w:line="0" w:lineRule="atLeast"/>
      <w:ind w:right="6"/>
      <w:jc w:val="center"/>
    </w:pPr>
    <w:rPr>
      <w:rFonts w:ascii="Times New Roman" w:eastAsia="Times New Roman" w:hAnsi="Times New Roman"/>
      <w:b/>
      <w:sz w:val="22"/>
      <w:szCs w:val="22"/>
      <w:lang w:val="lt-LT"/>
    </w:rPr>
  </w:style>
  <w:style w:type="character" w:styleId="Hyperlink">
    <w:name w:val="Hyperlink"/>
    <w:uiPriority w:val="99"/>
    <w:rsid w:val="007F7246"/>
    <w:rPr>
      <w:color w:val="0000FF"/>
      <w:u w:val="single"/>
    </w:rPr>
  </w:style>
  <w:style w:type="character" w:customStyle="1" w:styleId="Mention1">
    <w:name w:val="Mention1"/>
    <w:uiPriority w:val="99"/>
    <w:semiHidden/>
    <w:unhideWhenUsed/>
    <w:rsid w:val="007F7246"/>
    <w:rPr>
      <w:color w:val="2B579A"/>
      <w:shd w:val="clear" w:color="auto" w:fill="E6E6E6"/>
    </w:rPr>
  </w:style>
  <w:style w:type="paragraph" w:styleId="HTMLPreformatted">
    <w:name w:val="HTML Preformatted"/>
    <w:basedOn w:val="Normal"/>
    <w:link w:val="HTMLPreformattedChar"/>
    <w:uiPriority w:val="99"/>
    <w:semiHidden/>
    <w:unhideWhenUsed/>
    <w:rsid w:val="00B21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pl-PL" w:eastAsia="ja-JP"/>
    </w:rPr>
  </w:style>
  <w:style w:type="character" w:customStyle="1" w:styleId="HTMLPreformattedChar">
    <w:name w:val="HTML Preformatted Char"/>
    <w:link w:val="HTMLPreformatted"/>
    <w:uiPriority w:val="99"/>
    <w:semiHidden/>
    <w:rsid w:val="00B213E1"/>
    <w:rPr>
      <w:rFonts w:ascii="Courier New" w:eastAsia="Times New Roman" w:hAnsi="Courier New" w:cs="Courier New"/>
    </w:rPr>
  </w:style>
  <w:style w:type="paragraph" w:customStyle="1" w:styleId="CM2">
    <w:name w:val="CM2"/>
    <w:basedOn w:val="Default"/>
    <w:next w:val="Default"/>
    <w:uiPriority w:val="99"/>
    <w:rsid w:val="00FC3CE5"/>
    <w:pPr>
      <w:widowControl w:val="0"/>
      <w:spacing w:line="253" w:lineRule="atLeast"/>
    </w:pPr>
    <w:rPr>
      <w:rFonts w:eastAsia="Times New Roman"/>
      <w:color w:val="auto"/>
      <w:lang w:val="en-GB" w:eastAsia="en-GB"/>
    </w:rPr>
  </w:style>
  <w:style w:type="character" w:styleId="CommentReference">
    <w:name w:val="annotation reference"/>
    <w:uiPriority w:val="99"/>
    <w:rsid w:val="00FC3CE5"/>
    <w:rPr>
      <w:sz w:val="16"/>
      <w:szCs w:val="16"/>
    </w:rPr>
  </w:style>
  <w:style w:type="paragraph" w:customStyle="1" w:styleId="lbltxt">
    <w:name w:val="lbltxt"/>
    <w:rsid w:val="00FC3CE5"/>
    <w:rPr>
      <w:rFonts w:ascii="Times New Roman" w:eastAsia="Times New Roman" w:hAnsi="Times New Roman" w:cs="Times New Roman"/>
      <w:noProof/>
      <w:sz w:val="22"/>
      <w:lang w:val="en-GB"/>
    </w:rPr>
  </w:style>
  <w:style w:type="character" w:customStyle="1" w:styleId="Initial">
    <w:name w:val="Initial"/>
    <w:rsid w:val="00FC3CE5"/>
    <w:rPr>
      <w:rFonts w:ascii="CG Times" w:hAnsi="CG Times" w:cs="CG Times" w:hint="default"/>
      <w:noProof w:val="0"/>
      <w:sz w:val="24"/>
      <w:lang w:val="da-DK"/>
    </w:rPr>
  </w:style>
  <w:style w:type="character" w:styleId="Strong">
    <w:name w:val="Strong"/>
    <w:qFormat/>
    <w:rsid w:val="00FC3CE5"/>
    <w:rPr>
      <w:b/>
      <w:bCs/>
    </w:rPr>
  </w:style>
  <w:style w:type="paragraph" w:styleId="CommentText">
    <w:name w:val="annotation text"/>
    <w:basedOn w:val="Normal"/>
    <w:link w:val="CommentTextChar"/>
    <w:uiPriority w:val="99"/>
    <w:unhideWhenUsed/>
    <w:rsid w:val="008013B6"/>
  </w:style>
  <w:style w:type="character" w:customStyle="1" w:styleId="CommentTextChar">
    <w:name w:val="Comment Text Char"/>
    <w:basedOn w:val="DefaultParagraphFont"/>
    <w:link w:val="CommentText"/>
    <w:uiPriority w:val="99"/>
    <w:rsid w:val="008013B6"/>
  </w:style>
  <w:style w:type="paragraph" w:styleId="CommentSubject">
    <w:name w:val="annotation subject"/>
    <w:basedOn w:val="CommentText"/>
    <w:next w:val="CommentText"/>
    <w:link w:val="CommentSubjectChar"/>
    <w:uiPriority w:val="99"/>
    <w:semiHidden/>
    <w:unhideWhenUsed/>
    <w:rsid w:val="008013B6"/>
    <w:rPr>
      <w:b/>
      <w:bCs/>
    </w:rPr>
  </w:style>
  <w:style w:type="character" w:customStyle="1" w:styleId="CommentSubjectChar">
    <w:name w:val="Comment Subject Char"/>
    <w:link w:val="CommentSubject"/>
    <w:uiPriority w:val="99"/>
    <w:semiHidden/>
    <w:rsid w:val="008013B6"/>
    <w:rPr>
      <w:b/>
      <w:bCs/>
    </w:rPr>
  </w:style>
  <w:style w:type="paragraph" w:styleId="BodyText">
    <w:name w:val="Body Text"/>
    <w:basedOn w:val="Normal"/>
    <w:link w:val="BodyTextChar"/>
    <w:uiPriority w:val="1"/>
    <w:qFormat/>
    <w:rsid w:val="00E77ACE"/>
    <w:pPr>
      <w:widowControl w:val="0"/>
      <w:autoSpaceDE w:val="0"/>
      <w:autoSpaceDN w:val="0"/>
      <w:adjustRightInd w:val="0"/>
      <w:ind w:left="118"/>
    </w:pPr>
    <w:rPr>
      <w:rFonts w:ascii="Times New Roman" w:eastAsia="Times New Roman" w:hAnsi="Times New Roman" w:cs="Times New Roman"/>
      <w:sz w:val="22"/>
      <w:szCs w:val="22"/>
      <w:lang w:val="en-US" w:eastAsia="en-US"/>
    </w:rPr>
  </w:style>
  <w:style w:type="character" w:customStyle="1" w:styleId="BodyTextChar">
    <w:name w:val="Body Text Char"/>
    <w:link w:val="BodyText"/>
    <w:uiPriority w:val="1"/>
    <w:rsid w:val="00E77ACE"/>
    <w:rPr>
      <w:rFonts w:ascii="Times New Roman" w:eastAsia="Times New Roman" w:hAnsi="Times New Roman" w:cs="Times New Roman"/>
      <w:sz w:val="22"/>
      <w:szCs w:val="22"/>
      <w:lang w:val="en-US" w:eastAsia="en-US"/>
    </w:rPr>
  </w:style>
  <w:style w:type="paragraph" w:customStyle="1" w:styleId="TitleB">
    <w:name w:val="Title B"/>
    <w:basedOn w:val="Normal"/>
    <w:qFormat/>
    <w:rsid w:val="002D2178"/>
    <w:pPr>
      <w:keepNext/>
      <w:numPr>
        <w:numId w:val="110"/>
      </w:numPr>
      <w:tabs>
        <w:tab w:val="left" w:pos="567"/>
      </w:tabs>
      <w:ind w:left="567" w:hanging="567"/>
    </w:pPr>
    <w:rPr>
      <w:rFonts w:ascii="Times New Roman" w:hAnsi="Times New Roman" w:cs="Times New Roman"/>
      <w:b/>
      <w:noProof/>
      <w:sz w:val="22"/>
      <w:szCs w:val="22"/>
      <w:lang w:val="pl-PL"/>
    </w:rPr>
  </w:style>
  <w:style w:type="paragraph" w:customStyle="1" w:styleId="Annex">
    <w:name w:val="Annex"/>
    <w:basedOn w:val="Normal"/>
    <w:next w:val="Normal"/>
    <w:rsid w:val="00F8036C"/>
    <w:pPr>
      <w:jc w:val="center"/>
    </w:pPr>
    <w:rPr>
      <w:rFonts w:ascii="Times New Roman" w:eastAsia="Times New Roman" w:hAnsi="Times New Roman" w:cs="Times New Roman"/>
      <w:b/>
      <w:sz w:val="22"/>
      <w:lang w:val="en-US" w:eastAsia="ja-JP"/>
    </w:rPr>
  </w:style>
  <w:style w:type="paragraph" w:customStyle="1" w:styleId="BodytextAgency">
    <w:name w:val="Body text (Agency)"/>
    <w:basedOn w:val="Normal"/>
    <w:link w:val="BodytextAgencyChar"/>
    <w:qFormat/>
    <w:rsid w:val="00F8036C"/>
    <w:pPr>
      <w:spacing w:after="140" w:line="280" w:lineRule="atLeast"/>
    </w:pPr>
    <w:rPr>
      <w:rFonts w:ascii="Verdana" w:eastAsia="SimSun" w:hAnsi="Verdana" w:cs="Times New Roman"/>
      <w:sz w:val="18"/>
      <w:lang w:val="pl-PL" w:eastAsia="pl-PL"/>
    </w:rPr>
  </w:style>
  <w:style w:type="paragraph" w:customStyle="1" w:styleId="DraftingNotesAgency">
    <w:name w:val="Drafting Notes (Agency)"/>
    <w:basedOn w:val="Normal"/>
    <w:next w:val="BodytextAgency"/>
    <w:link w:val="DraftingNotesAgencyChar"/>
    <w:rsid w:val="00F8036C"/>
    <w:pPr>
      <w:spacing w:after="140" w:line="280" w:lineRule="atLeast"/>
    </w:pPr>
    <w:rPr>
      <w:rFonts w:ascii="Courier New" w:eastAsia="SimSun" w:hAnsi="Courier New" w:cs="Times New Roman"/>
      <w:i/>
      <w:color w:val="339966"/>
      <w:sz w:val="18"/>
      <w:lang w:val="pl-PL" w:eastAsia="pl-PL"/>
    </w:rPr>
  </w:style>
  <w:style w:type="paragraph" w:customStyle="1" w:styleId="No-numheading3Agency">
    <w:name w:val="No-num heading 3 (Agency)"/>
    <w:basedOn w:val="Normal"/>
    <w:next w:val="BodytextAgency"/>
    <w:link w:val="No-numheading3AgencyChar"/>
    <w:uiPriority w:val="99"/>
    <w:rsid w:val="00F8036C"/>
    <w:pPr>
      <w:keepNext/>
      <w:spacing w:before="280" w:after="220"/>
      <w:outlineLvl w:val="2"/>
    </w:pPr>
    <w:rPr>
      <w:rFonts w:ascii="Verdana" w:eastAsia="SimSun" w:hAnsi="Verdana" w:cs="Times New Roman"/>
      <w:b/>
      <w:kern w:val="32"/>
      <w:sz w:val="22"/>
      <w:lang w:val="pl-PL" w:eastAsia="pl-PL"/>
    </w:rPr>
  </w:style>
  <w:style w:type="character" w:customStyle="1" w:styleId="DraftingNotesAgencyChar">
    <w:name w:val="Drafting Notes (Agency) Char"/>
    <w:link w:val="DraftingNotesAgency"/>
    <w:locked/>
    <w:rsid w:val="00F8036C"/>
    <w:rPr>
      <w:rFonts w:ascii="Courier New" w:eastAsia="SimSun" w:hAnsi="Courier New" w:cs="Times New Roman"/>
      <w:i/>
      <w:color w:val="339966"/>
      <w:sz w:val="18"/>
    </w:rPr>
  </w:style>
  <w:style w:type="character" w:customStyle="1" w:styleId="BodytextAgencyChar">
    <w:name w:val="Body text (Agency) Char"/>
    <w:link w:val="BodytextAgency"/>
    <w:locked/>
    <w:rsid w:val="00F8036C"/>
    <w:rPr>
      <w:rFonts w:ascii="Verdana" w:eastAsia="SimSun" w:hAnsi="Verdana" w:cs="Times New Roman"/>
      <w:sz w:val="18"/>
    </w:rPr>
  </w:style>
  <w:style w:type="character" w:customStyle="1" w:styleId="No-numheading3AgencyChar">
    <w:name w:val="No-num heading 3 (Agency) Char"/>
    <w:link w:val="No-numheading3Agency"/>
    <w:uiPriority w:val="99"/>
    <w:locked/>
    <w:rsid w:val="00F8036C"/>
    <w:rPr>
      <w:rFonts w:ascii="Verdana" w:eastAsia="SimSun" w:hAnsi="Verdana" w:cs="Times New Roman"/>
      <w:b/>
      <w:kern w:val="32"/>
      <w:sz w:val="22"/>
    </w:rPr>
  </w:style>
  <w:style w:type="character" w:styleId="UnresolvedMention">
    <w:name w:val="Unresolved Mention"/>
    <w:basedOn w:val="DefaultParagraphFont"/>
    <w:uiPriority w:val="99"/>
    <w:semiHidden/>
    <w:unhideWhenUsed/>
    <w:rsid w:val="00FB274F"/>
    <w:rPr>
      <w:color w:val="605E5C"/>
      <w:shd w:val="clear" w:color="auto" w:fill="E1DFDD"/>
    </w:rPr>
  </w:style>
  <w:style w:type="character" w:styleId="FollowedHyperlink">
    <w:name w:val="FollowedHyperlink"/>
    <w:basedOn w:val="DefaultParagraphFont"/>
    <w:uiPriority w:val="99"/>
    <w:semiHidden/>
    <w:unhideWhenUsed/>
    <w:rsid w:val="00DE67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370024">
      <w:bodyDiv w:val="1"/>
      <w:marLeft w:val="0"/>
      <w:marRight w:val="0"/>
      <w:marTop w:val="0"/>
      <w:marBottom w:val="0"/>
      <w:divBdr>
        <w:top w:val="none" w:sz="0" w:space="0" w:color="auto"/>
        <w:left w:val="none" w:sz="0" w:space="0" w:color="auto"/>
        <w:bottom w:val="none" w:sz="0" w:space="0" w:color="auto"/>
        <w:right w:val="none" w:sz="0" w:space="0" w:color="auto"/>
      </w:divBdr>
    </w:div>
    <w:div w:id="929311130">
      <w:bodyDiv w:val="1"/>
      <w:marLeft w:val="0"/>
      <w:marRight w:val="0"/>
      <w:marTop w:val="0"/>
      <w:marBottom w:val="0"/>
      <w:divBdr>
        <w:top w:val="none" w:sz="0" w:space="0" w:color="auto"/>
        <w:left w:val="none" w:sz="0" w:space="0" w:color="auto"/>
        <w:bottom w:val="none" w:sz="0" w:space="0" w:color="auto"/>
        <w:right w:val="none" w:sz="0" w:space="0" w:color="auto"/>
      </w:divBdr>
    </w:div>
    <w:div w:id="1151601100">
      <w:bodyDiv w:val="1"/>
      <w:marLeft w:val="0"/>
      <w:marRight w:val="0"/>
      <w:marTop w:val="0"/>
      <w:marBottom w:val="0"/>
      <w:divBdr>
        <w:top w:val="none" w:sz="0" w:space="0" w:color="auto"/>
        <w:left w:val="none" w:sz="0" w:space="0" w:color="auto"/>
        <w:bottom w:val="none" w:sz="0" w:space="0" w:color="auto"/>
        <w:right w:val="none" w:sz="0" w:space="0" w:color="auto"/>
      </w:divBdr>
    </w:div>
    <w:div w:id="1755007515">
      <w:bodyDiv w:val="1"/>
      <w:marLeft w:val="0"/>
      <w:marRight w:val="0"/>
      <w:marTop w:val="0"/>
      <w:marBottom w:val="0"/>
      <w:divBdr>
        <w:top w:val="none" w:sz="0" w:space="0" w:color="auto"/>
        <w:left w:val="none" w:sz="0" w:space="0" w:color="auto"/>
        <w:bottom w:val="none" w:sz="0" w:space="0" w:color="auto"/>
        <w:right w:val="none" w:sz="0" w:space="0" w:color="auto"/>
      </w:divBdr>
    </w:div>
    <w:div w:id="1861772713">
      <w:bodyDiv w:val="1"/>
      <w:marLeft w:val="0"/>
      <w:marRight w:val="0"/>
      <w:marTop w:val="0"/>
      <w:marBottom w:val="0"/>
      <w:divBdr>
        <w:top w:val="none" w:sz="0" w:space="0" w:color="auto"/>
        <w:left w:val="none" w:sz="0" w:space="0" w:color="auto"/>
        <w:bottom w:val="none" w:sz="0" w:space="0" w:color="auto"/>
        <w:right w:val="none" w:sz="0" w:space="0" w:color="auto"/>
      </w:divBdr>
    </w:div>
    <w:div w:id="1907371812">
      <w:bodyDiv w:val="1"/>
      <w:marLeft w:val="0"/>
      <w:marRight w:val="0"/>
      <w:marTop w:val="0"/>
      <w:marBottom w:val="0"/>
      <w:divBdr>
        <w:top w:val="none" w:sz="0" w:space="0" w:color="auto"/>
        <w:left w:val="none" w:sz="0" w:space="0" w:color="auto"/>
        <w:bottom w:val="none" w:sz="0" w:space="0" w:color="auto"/>
        <w:right w:val="none" w:sz="0" w:space="0" w:color="auto"/>
      </w:divBdr>
    </w:div>
    <w:div w:id="2055306963">
      <w:bodyDiv w:val="1"/>
      <w:marLeft w:val="0"/>
      <w:marRight w:val="0"/>
      <w:marTop w:val="0"/>
      <w:marBottom w:val="0"/>
      <w:divBdr>
        <w:top w:val="none" w:sz="0" w:space="0" w:color="auto"/>
        <w:left w:val="none" w:sz="0" w:space="0" w:color="auto"/>
        <w:bottom w:val="none" w:sz="0" w:space="0" w:color="auto"/>
        <w:right w:val="none" w:sz="0" w:space="0" w:color="auto"/>
      </w:divBdr>
    </w:div>
    <w:div w:id="20735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EMADOC-1700519818-2518336</_dlc_DocId>
    <_dlc_DocIdUrl xmlns="a034c160-bfb7-45f5-8632-2eb7e0508071">
      <Url>https://euema.sharepoint.com/sites/CRM/_layouts/15/DocIdRedir.aspx?ID=EMADOC-1700519818-2518336</Url>
      <Description>EMADOC-1700519818-2518336</Description>
    </_dlc_DocIdUrl>
  </documentManagement>
</p:properties>
</file>

<file path=customXml/itemProps1.xml><?xml version="1.0" encoding="utf-8"?>
<ds:datastoreItem xmlns:ds="http://schemas.openxmlformats.org/officeDocument/2006/customXml" ds:itemID="{804ACD81-388A-4DAE-928A-4D77DC3894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F978703-7E89-4CB3-AE76-7FA189180362}">
  <ds:schemaRefs>
    <ds:schemaRef ds:uri="http://schemas.openxmlformats.org/officeDocument/2006/bibliography"/>
  </ds:schemaRefs>
</ds:datastoreItem>
</file>

<file path=customXml/itemProps3.xml><?xml version="1.0" encoding="utf-8"?>
<ds:datastoreItem xmlns:ds="http://schemas.openxmlformats.org/officeDocument/2006/customXml" ds:itemID="{01E3BCE9-F877-4E3B-9FC9-03E2B4B8F8AA}"/>
</file>

<file path=customXml/itemProps4.xml><?xml version="1.0" encoding="utf-8"?>
<ds:datastoreItem xmlns:ds="http://schemas.openxmlformats.org/officeDocument/2006/customXml" ds:itemID="{639C2E4C-81F8-4B8D-BFA2-531C7B191564}"/>
</file>

<file path=customXml/itemProps5.xml><?xml version="1.0" encoding="utf-8"?>
<ds:datastoreItem xmlns:ds="http://schemas.openxmlformats.org/officeDocument/2006/customXml" ds:itemID="{4A695D46-52D9-4C4F-BCB6-31C01DF4A76B}"/>
</file>

<file path=customXml/itemProps6.xml><?xml version="1.0" encoding="utf-8"?>
<ds:datastoreItem xmlns:ds="http://schemas.openxmlformats.org/officeDocument/2006/customXml" ds:itemID="{F6F4F4D4-E7CE-4F7B-A6A0-86E7D3A888D1}"/>
</file>

<file path=docProps/app.xml><?xml version="1.0" encoding="utf-8"?>
<Properties xmlns="http://schemas.openxmlformats.org/officeDocument/2006/extended-properties" xmlns:vt="http://schemas.openxmlformats.org/officeDocument/2006/docPropsVTypes">
  <Template>Normal</Template>
  <TotalTime>0</TotalTime>
  <Pages>82</Pages>
  <Words>30209</Words>
  <Characters>172194</Characters>
  <Application>Microsoft Office Word</Application>
  <DocSecurity>0</DocSecurity>
  <Lines>1434</Lines>
  <Paragraphs>403</Paragraphs>
  <ScaleCrop>false</ScaleCrop>
  <Company/>
  <LinksUpToDate>false</LinksUpToDate>
  <CharactersWithSpaces>202000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3473422</vt:i4>
      </vt:variant>
      <vt:variant>
        <vt:i4>477244</vt:i4>
      </vt:variant>
      <vt:variant>
        <vt:i4>1026</vt:i4>
      </vt:variant>
      <vt:variant>
        <vt:i4>1</vt:i4>
      </vt:variant>
      <vt:variant>
        <vt:lpwstr>cid:image001.png@01D3522B.4CCFE240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2025-09-18T10:08:00Z</dcterms:created>
  <dcterms:modified xsi:type="dcterms:W3CDTF">2025-09-18T10:08:00Z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75b66f2b-d236-4d84-aff7-b8149d996a3a</vt:lpwstr>
  </property>
</Properties>
</file>